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96E39" w14:textId="77777777" w:rsidR="000262C4" w:rsidRPr="007C2A52" w:rsidRDefault="000262C4" w:rsidP="001D0AF5">
      <w:pPr>
        <w:pStyle w:val="Navadensplet"/>
        <w:spacing w:before="0" w:beforeAutospacing="0" w:after="0" w:afterAutospacing="0" w:line="276" w:lineRule="auto"/>
        <w:jc w:val="both"/>
        <w:rPr>
          <w:b/>
        </w:rPr>
      </w:pPr>
      <w:r w:rsidRPr="007C2A52">
        <w:rPr>
          <w:b/>
        </w:rPr>
        <w:t>Študent naj bo! Študijske izmenjave med Poljsko in Jugoslavijo, 1956–</w:t>
      </w:r>
      <w:r w:rsidR="00D0741D" w:rsidRPr="007C2A52">
        <w:rPr>
          <w:b/>
        </w:rPr>
        <w:t>1965</w:t>
      </w:r>
    </w:p>
    <w:p w14:paraId="02865F45" w14:textId="77777777" w:rsidR="000262C4" w:rsidRPr="007C2A52" w:rsidRDefault="000262C4" w:rsidP="001D0AF5">
      <w:pPr>
        <w:pStyle w:val="Navadensplet"/>
        <w:spacing w:before="0" w:beforeAutospacing="0" w:after="0" w:afterAutospacing="0" w:line="276" w:lineRule="auto"/>
        <w:jc w:val="both"/>
      </w:pPr>
    </w:p>
    <w:p w14:paraId="78019661" w14:textId="7AA5D661" w:rsidR="000C6FE6" w:rsidRPr="007C2A52" w:rsidRDefault="005C6096" w:rsidP="001D0AF5">
      <w:pPr>
        <w:pStyle w:val="Navadensplet"/>
        <w:spacing w:before="0" w:beforeAutospacing="0" w:after="0" w:afterAutospacing="0" w:line="276" w:lineRule="auto"/>
        <w:jc w:val="both"/>
        <w:rPr>
          <w:i/>
        </w:rPr>
      </w:pPr>
      <w:r w:rsidRPr="007C2A52">
        <w:rPr>
          <w:i/>
        </w:rPr>
        <w:t xml:space="preserve">Bežen </w:t>
      </w:r>
      <w:r w:rsidR="00143ACE" w:rsidRPr="007C2A52">
        <w:rPr>
          <w:i/>
        </w:rPr>
        <w:t>pogled na poljsko in jugoslovansko časopisje</w:t>
      </w:r>
      <w:r w:rsidR="003B02DD" w:rsidRPr="007C2A52">
        <w:rPr>
          <w:i/>
        </w:rPr>
        <w:t xml:space="preserve"> </w:t>
      </w:r>
      <w:r w:rsidR="00C977AB">
        <w:rPr>
          <w:i/>
        </w:rPr>
        <w:t>s</w:t>
      </w:r>
      <w:r w:rsidR="00C977AB" w:rsidRPr="007C2A52">
        <w:rPr>
          <w:i/>
        </w:rPr>
        <w:t xml:space="preserve"> </w:t>
      </w:r>
      <w:r w:rsidRPr="007C2A52">
        <w:rPr>
          <w:i/>
        </w:rPr>
        <w:t xml:space="preserve">konca leta 1956 pokaže, da se je </w:t>
      </w:r>
      <w:r w:rsidR="00143ACE" w:rsidRPr="007C2A52">
        <w:rPr>
          <w:i/>
        </w:rPr>
        <w:t xml:space="preserve">v tem času </w:t>
      </w:r>
      <w:r w:rsidRPr="007C2A52">
        <w:rPr>
          <w:i/>
        </w:rPr>
        <w:t>obseg transnacionalnih izmenjav med državama močno povečal.</w:t>
      </w:r>
      <w:r w:rsidR="00143ACE" w:rsidRPr="007C2A52">
        <w:rPr>
          <w:i/>
        </w:rPr>
        <w:t xml:space="preserve"> </w:t>
      </w:r>
      <w:r w:rsidRPr="007C2A52">
        <w:rPr>
          <w:i/>
        </w:rPr>
        <w:t xml:space="preserve">Temu so botrovali dogodki poljskega oktobra, ki so Poljski omogočili, da </w:t>
      </w:r>
      <w:r w:rsidR="003B02DD" w:rsidRPr="007C2A52">
        <w:rPr>
          <w:i/>
        </w:rPr>
        <w:t xml:space="preserve">okrepi svojo suverenost in </w:t>
      </w:r>
      <w:r w:rsidRPr="007C2A52">
        <w:rPr>
          <w:i/>
        </w:rPr>
        <w:t xml:space="preserve">zastavi gradnjo socializma v </w:t>
      </w:r>
      <w:r w:rsidR="00C977AB" w:rsidRPr="007C2A52">
        <w:rPr>
          <w:i/>
        </w:rPr>
        <w:t>sklad</w:t>
      </w:r>
      <w:r w:rsidR="00C977AB">
        <w:rPr>
          <w:i/>
        </w:rPr>
        <w:t>u</w:t>
      </w:r>
      <w:r w:rsidR="00C977AB" w:rsidRPr="007C2A52">
        <w:rPr>
          <w:i/>
        </w:rPr>
        <w:t xml:space="preserve"> </w:t>
      </w:r>
      <w:r w:rsidRPr="007C2A52">
        <w:rPr>
          <w:i/>
        </w:rPr>
        <w:t>z lastnim</w:t>
      </w:r>
      <w:r w:rsidR="00143ACE" w:rsidRPr="007C2A52">
        <w:rPr>
          <w:i/>
        </w:rPr>
        <w:t xml:space="preserve">i družbenopolitičnimi potrebami. </w:t>
      </w:r>
      <w:r w:rsidRPr="007C2A52">
        <w:rPr>
          <w:i/>
        </w:rPr>
        <w:t xml:space="preserve">Med Poljaki se je močno povečal </w:t>
      </w:r>
      <w:r w:rsidR="00EC2C32" w:rsidRPr="007C2A52">
        <w:rPr>
          <w:i/>
        </w:rPr>
        <w:t>interes</w:t>
      </w:r>
      <w:r w:rsidRPr="007C2A52">
        <w:rPr>
          <w:i/>
        </w:rPr>
        <w:t xml:space="preserve"> za Jugoslavijo, ki je lastno pot v socializem zasledovala že od leta 1948, medtem ko so Jugoslovani z zanimanjem spremljali</w:t>
      </w:r>
      <w:r w:rsidR="00EC2C32" w:rsidRPr="007C2A52">
        <w:rPr>
          <w:i/>
        </w:rPr>
        <w:t>, kakšno</w:t>
      </w:r>
      <w:r w:rsidRPr="007C2A52">
        <w:rPr>
          <w:i/>
        </w:rPr>
        <w:t xml:space="preserve"> </w:t>
      </w:r>
      <w:r w:rsidR="00D0741D" w:rsidRPr="007C2A52">
        <w:rPr>
          <w:i/>
        </w:rPr>
        <w:t>prihodnost si</w:t>
      </w:r>
      <w:r w:rsidRPr="007C2A52">
        <w:rPr>
          <w:i/>
        </w:rPr>
        <w:t xml:space="preserve"> bo </w:t>
      </w:r>
      <w:r w:rsidR="00D0741D" w:rsidRPr="007C2A52">
        <w:rPr>
          <w:i/>
        </w:rPr>
        <w:t>izborila</w:t>
      </w:r>
      <w:r w:rsidRPr="007C2A52">
        <w:rPr>
          <w:i/>
        </w:rPr>
        <w:t xml:space="preserve"> Poljska in </w:t>
      </w:r>
      <w:r w:rsidR="00EC2C32" w:rsidRPr="007C2A52">
        <w:rPr>
          <w:i/>
        </w:rPr>
        <w:t xml:space="preserve">v kolikšni meri bo </w:t>
      </w:r>
      <w:r w:rsidR="0080414F" w:rsidRPr="007C2A52">
        <w:rPr>
          <w:i/>
        </w:rPr>
        <w:t>sledila jugoslovanskemu zgledu.</w:t>
      </w:r>
      <w:r w:rsidR="00143ACE" w:rsidRPr="007C2A52">
        <w:rPr>
          <w:i/>
        </w:rPr>
        <w:t xml:space="preserve"> </w:t>
      </w:r>
    </w:p>
    <w:p w14:paraId="6FF30FE8" w14:textId="77777777" w:rsidR="00DB00B0" w:rsidRPr="007C2A52" w:rsidRDefault="00143ACE" w:rsidP="001D0AF5">
      <w:pPr>
        <w:pStyle w:val="Navadensplet"/>
        <w:spacing w:before="0" w:beforeAutospacing="0" w:after="0" w:afterAutospacing="0" w:line="276" w:lineRule="auto"/>
        <w:jc w:val="both"/>
        <w:rPr>
          <w:i/>
        </w:rPr>
      </w:pPr>
      <w:r w:rsidRPr="007C2A52">
        <w:rPr>
          <w:i/>
        </w:rPr>
        <w:t>Ena od najštevilčnejših skupin, ki so med Poljsko in Jugoslavijo potovale v poznih petdesetih in</w:t>
      </w:r>
      <w:r w:rsidR="00DB3C40" w:rsidRPr="007C2A52">
        <w:rPr>
          <w:i/>
        </w:rPr>
        <w:t xml:space="preserve"> zgodnjih</w:t>
      </w:r>
      <w:r w:rsidRPr="007C2A52">
        <w:rPr>
          <w:i/>
        </w:rPr>
        <w:t xml:space="preserve"> šestdesetih letih, so bili študenti. </w:t>
      </w:r>
      <w:r w:rsidR="00DB00B0" w:rsidRPr="007C2A52">
        <w:rPr>
          <w:i/>
        </w:rPr>
        <w:t xml:space="preserve">Mladi iz obeh držav so v okviru študentskih izmenjav opravljali redni študij in prakso ter se udeleževali izobraževalnih ekskurzij in turističnih potovanj. Stiki med Poljaki in Jugoslovani v njihovih formativnih letih so pomembno prispevali k medsebojnemu spoznavanju ter prenosu znanja in izkušenj, do določene mere </w:t>
      </w:r>
      <w:r w:rsidR="003B02DD" w:rsidRPr="007C2A52">
        <w:rPr>
          <w:i/>
        </w:rPr>
        <w:t xml:space="preserve">pa so tudi </w:t>
      </w:r>
      <w:r w:rsidR="00DB00B0" w:rsidRPr="007C2A52">
        <w:rPr>
          <w:i/>
        </w:rPr>
        <w:t xml:space="preserve">spodbujali širjenje socialističnih vrednot v </w:t>
      </w:r>
      <w:r w:rsidR="003B02DD" w:rsidRPr="007C2A52">
        <w:rPr>
          <w:i/>
        </w:rPr>
        <w:t>okviru družbenopolitičnih sistemov</w:t>
      </w:r>
      <w:r w:rsidR="00DB00B0" w:rsidRPr="007C2A52">
        <w:rPr>
          <w:i/>
        </w:rPr>
        <w:t xml:space="preserve">, ki so mladim </w:t>
      </w:r>
      <w:r w:rsidR="003B02DD" w:rsidRPr="007C2A52">
        <w:rPr>
          <w:i/>
        </w:rPr>
        <w:t>zagotavljali</w:t>
      </w:r>
      <w:r w:rsidR="00DB00B0" w:rsidRPr="007C2A52">
        <w:rPr>
          <w:i/>
        </w:rPr>
        <w:t xml:space="preserve"> široke študijske možnosti.</w:t>
      </w:r>
    </w:p>
    <w:p w14:paraId="5B4D57A4" w14:textId="77777777" w:rsidR="001D0AF5" w:rsidRDefault="001D0AF5" w:rsidP="001D0AF5">
      <w:pPr>
        <w:spacing w:line="276" w:lineRule="auto"/>
        <w:jc w:val="both"/>
      </w:pPr>
    </w:p>
    <w:p w14:paraId="1AFCE77D" w14:textId="77777777" w:rsidR="000C6FE6" w:rsidRPr="007C2A52" w:rsidRDefault="00D63A11" w:rsidP="001D0AF5">
      <w:pPr>
        <w:spacing w:line="276" w:lineRule="auto"/>
        <w:jc w:val="both"/>
      </w:pPr>
      <w:r w:rsidRPr="007C2A52">
        <w:t xml:space="preserve">Daljše študijske izmenjave </w:t>
      </w:r>
      <w:r w:rsidR="00D0741D" w:rsidRPr="007C2A52">
        <w:t xml:space="preserve">med Poljsko in Jugoslavijo </w:t>
      </w:r>
      <w:r w:rsidRPr="007C2A52">
        <w:t xml:space="preserve">so potekale na podlagi sporazuma o kulturnem sodelovanju. Obe državi sta v povprečju letno podelili od štiri do pet štipendij, ki so trajale deset mesecev, kar je bilo primerljivo z obsegom študijskih izmenjav, ki jih je Jugoslavija imela z drugimi vzhodnoevropskimi državami. Večina teh štipendij ni bila namenjena dodiplomskemu študiju, temveč specializacijam, ki so najpogosteje potekale v okviru doktorskega študija. </w:t>
      </w:r>
    </w:p>
    <w:p w14:paraId="734955E9" w14:textId="471E2F8A" w:rsidR="000262C4" w:rsidRPr="007C2A52" w:rsidRDefault="00D63A11" w:rsidP="001D0AF5">
      <w:pPr>
        <w:spacing w:line="276" w:lineRule="auto"/>
        <w:jc w:val="both"/>
        <w:rPr>
          <w:rFonts w:eastAsia="Times New Roman" w:cs="Times New Roman"/>
          <w:szCs w:val="24"/>
          <w:lang w:eastAsia="sl-SI"/>
        </w:rPr>
      </w:pPr>
      <w:r w:rsidRPr="007C2A52">
        <w:t xml:space="preserve">Mladi, ki so odhajali na študij na Poljsko ali v Jugoslavijo, so prihajali iz različnih disciplin. Najbolj zastopane so bile družboslovne in humanistične vede, kot so </w:t>
      </w:r>
      <w:r w:rsidR="003B02DD" w:rsidRPr="007C2A52">
        <w:t xml:space="preserve">jezikoslovje, </w:t>
      </w:r>
      <w:r w:rsidRPr="007C2A52">
        <w:t xml:space="preserve">sociologija, </w:t>
      </w:r>
      <w:r w:rsidR="003B02DD" w:rsidRPr="007C2A52">
        <w:t xml:space="preserve">in </w:t>
      </w:r>
      <w:r w:rsidRPr="007C2A52">
        <w:t>pravo, pogoste pa so bile tudi naravoslovne in tehnične smeri, kot so rudarstvo, tekstilstvo in agronomija. Prijavni obrazci kažejo, da so bile motivacije za specializacije predvsem pragmatične</w:t>
      </w:r>
      <w:r w:rsidR="00D84E18" w:rsidRPr="007C2A52">
        <w:t xml:space="preserve"> narave</w:t>
      </w:r>
      <w:r w:rsidRPr="007C2A52">
        <w:t xml:space="preserve">, osredotočene na širjenje znanja in vzpostavljanje novih </w:t>
      </w:r>
      <w:r w:rsidR="003B02DD" w:rsidRPr="007C2A52">
        <w:t>stikov,</w:t>
      </w:r>
      <w:r w:rsidR="00DF1738">
        <w:t xml:space="preserve"> </w:t>
      </w:r>
      <w:r w:rsidRPr="007C2A52">
        <w:t>medtem ko so bili politični ali ideološki motivi redki.</w:t>
      </w:r>
      <w:r w:rsidR="000262C4" w:rsidRPr="007C2A52">
        <w:rPr>
          <w:rFonts w:eastAsia="Times New Roman" w:cs="Times New Roman"/>
          <w:szCs w:val="24"/>
          <w:lang w:eastAsia="sl-SI"/>
        </w:rPr>
        <w:t xml:space="preserve"> </w:t>
      </w:r>
    </w:p>
    <w:p w14:paraId="5F71D1FD" w14:textId="77777777" w:rsidR="000262C4" w:rsidRPr="007C2A52" w:rsidRDefault="000262C4" w:rsidP="001D0AF5">
      <w:pPr>
        <w:spacing w:line="276" w:lineRule="auto"/>
        <w:jc w:val="both"/>
        <w:rPr>
          <w:rFonts w:eastAsia="Times New Roman" w:cs="Times New Roman"/>
          <w:szCs w:val="24"/>
          <w:lang w:eastAsia="sl-SI"/>
        </w:rPr>
      </w:pPr>
    </w:p>
    <w:p w14:paraId="2C91CAFA" w14:textId="6C1294FA" w:rsidR="004B1206" w:rsidRPr="007C2A52" w:rsidRDefault="00D84E18" w:rsidP="001D0AF5">
      <w:pPr>
        <w:spacing w:line="276" w:lineRule="auto"/>
        <w:jc w:val="both"/>
        <w:rPr>
          <w:rFonts w:eastAsia="Times New Roman" w:cs="Times New Roman"/>
          <w:szCs w:val="24"/>
          <w:lang w:eastAsia="sl-SI"/>
        </w:rPr>
      </w:pPr>
      <w:r w:rsidRPr="007C2A52">
        <w:rPr>
          <w:rFonts w:eastAsia="Times New Roman" w:cs="Times New Roman"/>
          <w:szCs w:val="24"/>
          <w:lang w:eastAsia="sl-SI"/>
        </w:rPr>
        <w:t xml:space="preserve">Mnogo več poljskih in jugoslovanskih študentov je sodelovalo v krajših izmenjavah pod okriljem študentskih organizacij in univerz. Te so najpogosteje vključevale izlete izobraževalno-turističnega značaja, </w:t>
      </w:r>
      <w:r w:rsidR="005720C5" w:rsidRPr="007C2A52">
        <w:rPr>
          <w:rFonts w:eastAsia="Times New Roman" w:cs="Times New Roman"/>
          <w:szCs w:val="24"/>
          <w:lang w:eastAsia="sl-SI"/>
        </w:rPr>
        <w:t xml:space="preserve">ki so </w:t>
      </w:r>
      <w:r w:rsidRPr="007C2A52">
        <w:rPr>
          <w:rFonts w:eastAsia="Times New Roman" w:cs="Times New Roman"/>
          <w:szCs w:val="24"/>
          <w:lang w:eastAsia="sl-SI"/>
        </w:rPr>
        <w:t>trajali</w:t>
      </w:r>
      <w:r w:rsidR="005720C5" w:rsidRPr="007C2A52">
        <w:rPr>
          <w:rFonts w:eastAsia="Times New Roman" w:cs="Times New Roman"/>
          <w:szCs w:val="24"/>
          <w:lang w:eastAsia="sl-SI"/>
        </w:rPr>
        <w:t xml:space="preserve"> od enega do dveh t</w:t>
      </w:r>
      <w:r w:rsidRPr="007C2A52">
        <w:rPr>
          <w:rFonts w:eastAsia="Times New Roman" w:cs="Times New Roman"/>
          <w:szCs w:val="24"/>
          <w:lang w:eastAsia="sl-SI"/>
        </w:rPr>
        <w:t>ednov</w:t>
      </w:r>
      <w:r w:rsidR="005720C5" w:rsidRPr="007C2A52">
        <w:rPr>
          <w:rFonts w:eastAsia="Times New Roman" w:cs="Times New Roman"/>
          <w:szCs w:val="24"/>
          <w:lang w:eastAsia="sl-SI"/>
        </w:rPr>
        <w:t>.</w:t>
      </w:r>
      <w:r w:rsidRPr="007C2A52">
        <w:rPr>
          <w:rFonts w:eastAsia="Times New Roman" w:cs="Times New Roman"/>
          <w:szCs w:val="24"/>
          <w:lang w:eastAsia="sl-SI"/>
        </w:rPr>
        <w:t xml:space="preserve"> </w:t>
      </w:r>
      <w:r w:rsidR="005720C5" w:rsidRPr="007C2A52">
        <w:rPr>
          <w:rFonts w:eastAsia="Times New Roman" w:cs="Times New Roman"/>
          <w:szCs w:val="24"/>
          <w:lang w:eastAsia="sl-SI"/>
        </w:rPr>
        <w:t xml:space="preserve">Po </w:t>
      </w:r>
      <w:r w:rsidRPr="007C2A52">
        <w:rPr>
          <w:rFonts w:eastAsia="Times New Roman" w:cs="Times New Roman"/>
          <w:szCs w:val="24"/>
          <w:lang w:eastAsia="sl-SI"/>
        </w:rPr>
        <w:t>oktobru 1956</w:t>
      </w:r>
      <w:r w:rsidR="005720C5" w:rsidRPr="007C2A52">
        <w:rPr>
          <w:rFonts w:eastAsia="Times New Roman" w:cs="Times New Roman"/>
          <w:szCs w:val="24"/>
          <w:lang w:eastAsia="sl-SI"/>
        </w:rPr>
        <w:t xml:space="preserve"> je zanimanje za </w:t>
      </w:r>
      <w:r w:rsidRPr="007C2A52">
        <w:rPr>
          <w:rFonts w:eastAsia="Times New Roman" w:cs="Times New Roman"/>
          <w:szCs w:val="24"/>
          <w:lang w:eastAsia="sl-SI"/>
        </w:rPr>
        <w:t>tovrstne</w:t>
      </w:r>
      <w:r w:rsidR="005720C5" w:rsidRPr="007C2A52">
        <w:rPr>
          <w:rFonts w:eastAsia="Times New Roman" w:cs="Times New Roman"/>
          <w:szCs w:val="24"/>
          <w:lang w:eastAsia="sl-SI"/>
        </w:rPr>
        <w:t xml:space="preserve"> študentske obiske doživelo</w:t>
      </w:r>
      <w:r w:rsidRPr="007C2A52">
        <w:rPr>
          <w:rFonts w:eastAsia="Times New Roman" w:cs="Times New Roman"/>
          <w:szCs w:val="24"/>
          <w:lang w:eastAsia="sl-SI"/>
        </w:rPr>
        <w:t xml:space="preserve"> izjemen</w:t>
      </w:r>
      <w:r w:rsidR="005720C5" w:rsidRPr="007C2A52">
        <w:rPr>
          <w:rFonts w:eastAsia="Times New Roman" w:cs="Times New Roman"/>
          <w:szCs w:val="24"/>
          <w:lang w:eastAsia="sl-SI"/>
        </w:rPr>
        <w:t xml:space="preserve"> razcvet. </w:t>
      </w:r>
      <w:r w:rsidRPr="007C2A52">
        <w:rPr>
          <w:rFonts w:eastAsia="Times New Roman" w:cs="Times New Roman"/>
          <w:szCs w:val="24"/>
          <w:lang w:eastAsia="sl-SI"/>
        </w:rPr>
        <w:t>P</w:t>
      </w:r>
      <w:r w:rsidR="005720C5" w:rsidRPr="007C2A52">
        <w:rPr>
          <w:rFonts w:eastAsia="Times New Roman" w:cs="Times New Roman"/>
          <w:szCs w:val="24"/>
          <w:lang w:eastAsia="sl-SI"/>
        </w:rPr>
        <w:t>oljska študentska organizacija je</w:t>
      </w:r>
      <w:r w:rsidRPr="007C2A52">
        <w:rPr>
          <w:rFonts w:eastAsia="Times New Roman" w:cs="Times New Roman"/>
          <w:szCs w:val="24"/>
          <w:lang w:eastAsia="sl-SI"/>
        </w:rPr>
        <w:t xml:space="preserve"> </w:t>
      </w:r>
      <w:r w:rsidR="005720C5" w:rsidRPr="007C2A52">
        <w:rPr>
          <w:rFonts w:eastAsia="Times New Roman" w:cs="Times New Roman"/>
          <w:szCs w:val="24"/>
          <w:lang w:eastAsia="sl-SI"/>
        </w:rPr>
        <w:t xml:space="preserve">za leto 1957 predlagala izmenjavo </w:t>
      </w:r>
      <w:r w:rsidRPr="007C2A52">
        <w:rPr>
          <w:rFonts w:eastAsia="Times New Roman" w:cs="Times New Roman"/>
          <w:szCs w:val="24"/>
          <w:lang w:eastAsia="sl-SI"/>
        </w:rPr>
        <w:t>okoli</w:t>
      </w:r>
      <w:r w:rsidR="005720C5" w:rsidRPr="007C2A52">
        <w:rPr>
          <w:rFonts w:eastAsia="Times New Roman" w:cs="Times New Roman"/>
          <w:szCs w:val="24"/>
          <w:lang w:eastAsia="sl-SI"/>
        </w:rPr>
        <w:t xml:space="preserve"> 1000 študentov, kar je bilo </w:t>
      </w:r>
      <w:r w:rsidRPr="007C2A52">
        <w:rPr>
          <w:rFonts w:eastAsia="Times New Roman" w:cs="Times New Roman"/>
          <w:szCs w:val="24"/>
          <w:lang w:eastAsia="sl-SI"/>
        </w:rPr>
        <w:t>primerljivo z obsegom poljsko-sovjetskih študentskih izmenjav v tistem obdobju. Srečanja med poljskimi in jugoslovanskimi študenti v letu</w:t>
      </w:r>
      <w:r w:rsidR="005720C5" w:rsidRPr="007C2A52">
        <w:rPr>
          <w:rFonts w:eastAsia="Times New Roman" w:cs="Times New Roman"/>
          <w:szCs w:val="24"/>
          <w:lang w:eastAsia="sl-SI"/>
        </w:rPr>
        <w:t xml:space="preserve"> 1957 </w:t>
      </w:r>
      <w:r w:rsidRPr="007C2A52">
        <w:rPr>
          <w:rFonts w:eastAsia="Times New Roman" w:cs="Times New Roman"/>
          <w:szCs w:val="24"/>
          <w:lang w:eastAsia="sl-SI"/>
        </w:rPr>
        <w:t>so bila posledično zelo kaotična</w:t>
      </w:r>
      <w:r w:rsidR="005720C5" w:rsidRPr="007C2A52">
        <w:rPr>
          <w:rFonts w:eastAsia="Times New Roman" w:cs="Times New Roman"/>
          <w:szCs w:val="24"/>
          <w:lang w:eastAsia="sl-SI"/>
        </w:rPr>
        <w:t xml:space="preserve"> – </w:t>
      </w:r>
      <w:r w:rsidRPr="007C2A52">
        <w:rPr>
          <w:rFonts w:eastAsia="Times New Roman" w:cs="Times New Roman"/>
          <w:szCs w:val="24"/>
          <w:lang w:eastAsia="sl-SI"/>
        </w:rPr>
        <w:t xml:space="preserve">na Univerzi v Varšavi so se denimo hkrati znašle na obisku </w:t>
      </w:r>
      <w:r w:rsidR="005720C5" w:rsidRPr="007C2A52">
        <w:rPr>
          <w:rFonts w:eastAsia="Times New Roman" w:cs="Times New Roman"/>
          <w:szCs w:val="24"/>
          <w:lang w:eastAsia="sl-SI"/>
        </w:rPr>
        <w:t>delegacije iz Beograda, Ljubljane in Novega Sada.</w:t>
      </w:r>
    </w:p>
    <w:p w14:paraId="70249A28" w14:textId="1FEA1E7A" w:rsidR="006074F2" w:rsidRPr="007C2A52" w:rsidRDefault="00D84E18" w:rsidP="001D0AF5">
      <w:pPr>
        <w:spacing w:line="276" w:lineRule="auto"/>
        <w:jc w:val="both"/>
        <w:rPr>
          <w:rFonts w:eastAsia="Times New Roman" w:cs="Times New Roman"/>
          <w:szCs w:val="24"/>
          <w:lang w:eastAsia="sl-SI"/>
        </w:rPr>
      </w:pPr>
      <w:r w:rsidRPr="007C2A52">
        <w:rPr>
          <w:rFonts w:eastAsia="Times New Roman" w:cs="Times New Roman"/>
          <w:szCs w:val="24"/>
          <w:lang w:eastAsia="sl-SI"/>
        </w:rPr>
        <w:t>Š</w:t>
      </w:r>
      <w:r w:rsidR="005720C5" w:rsidRPr="007C2A52">
        <w:rPr>
          <w:rFonts w:eastAsia="Times New Roman" w:cs="Times New Roman"/>
          <w:szCs w:val="24"/>
          <w:lang w:eastAsia="sl-SI"/>
        </w:rPr>
        <w:t xml:space="preserve">tudentske organizacije </w:t>
      </w:r>
      <w:r w:rsidRPr="007C2A52">
        <w:rPr>
          <w:rFonts w:eastAsia="Times New Roman" w:cs="Times New Roman"/>
          <w:szCs w:val="24"/>
          <w:lang w:eastAsia="sl-SI"/>
        </w:rPr>
        <w:t xml:space="preserve">so prihodnje izmenjave zato zastavile bolj usklajeno in kontrolirano. </w:t>
      </w:r>
      <w:r w:rsidR="005720C5" w:rsidRPr="007C2A52">
        <w:rPr>
          <w:rFonts w:eastAsia="Times New Roman" w:cs="Times New Roman"/>
          <w:szCs w:val="24"/>
          <w:lang w:eastAsia="sl-SI"/>
        </w:rPr>
        <w:t xml:space="preserve">V naslednjem desetletju </w:t>
      </w:r>
      <w:r w:rsidRPr="007C2A52">
        <w:rPr>
          <w:rFonts w:eastAsia="Times New Roman" w:cs="Times New Roman"/>
          <w:szCs w:val="24"/>
          <w:lang w:eastAsia="sl-SI"/>
        </w:rPr>
        <w:t>se je na medsebojne obiske letno odpravilo po nekaj</w:t>
      </w:r>
      <w:r w:rsidR="005720C5" w:rsidRPr="007C2A52">
        <w:rPr>
          <w:rFonts w:eastAsia="Times New Roman" w:cs="Times New Roman"/>
          <w:szCs w:val="24"/>
          <w:lang w:eastAsia="sl-SI"/>
        </w:rPr>
        <w:t xml:space="preserve"> sto poljskih in jugoslovanskih študentov. Večina </w:t>
      </w:r>
      <w:r w:rsidR="00101BA3" w:rsidRPr="007C2A52">
        <w:rPr>
          <w:rFonts w:eastAsia="Times New Roman" w:cs="Times New Roman"/>
          <w:szCs w:val="24"/>
          <w:lang w:eastAsia="sl-SI"/>
        </w:rPr>
        <w:t>se je udeleževala turističnih izletov</w:t>
      </w:r>
      <w:r w:rsidR="005720C5" w:rsidRPr="007C2A52">
        <w:rPr>
          <w:rFonts w:eastAsia="Times New Roman" w:cs="Times New Roman"/>
          <w:szCs w:val="24"/>
          <w:lang w:eastAsia="sl-SI"/>
        </w:rPr>
        <w:t xml:space="preserve">, ki so jih organizirale študentske </w:t>
      </w:r>
      <w:r w:rsidR="003B02DD" w:rsidRPr="007C2A52">
        <w:rPr>
          <w:rFonts w:eastAsia="Times New Roman" w:cs="Times New Roman"/>
          <w:szCs w:val="24"/>
          <w:lang w:eastAsia="sl-SI"/>
        </w:rPr>
        <w:t xml:space="preserve">organizacije in študentske </w:t>
      </w:r>
      <w:r w:rsidR="005720C5" w:rsidRPr="007C2A52">
        <w:rPr>
          <w:rFonts w:eastAsia="Times New Roman" w:cs="Times New Roman"/>
          <w:szCs w:val="24"/>
          <w:lang w:eastAsia="sl-SI"/>
        </w:rPr>
        <w:t xml:space="preserve">potovalne agencije, </w:t>
      </w:r>
      <w:r w:rsidR="00101BA3" w:rsidRPr="007C2A52">
        <w:rPr>
          <w:rFonts w:eastAsia="Times New Roman" w:cs="Times New Roman"/>
          <w:szCs w:val="24"/>
          <w:lang w:eastAsia="sl-SI"/>
        </w:rPr>
        <w:t xml:space="preserve">po </w:t>
      </w:r>
      <w:r w:rsidR="005720C5" w:rsidRPr="007C2A52">
        <w:rPr>
          <w:rFonts w:eastAsia="Times New Roman" w:cs="Times New Roman"/>
          <w:szCs w:val="24"/>
          <w:lang w:eastAsia="sl-SI"/>
        </w:rPr>
        <w:t>ne</w:t>
      </w:r>
      <w:r w:rsidR="00101BA3" w:rsidRPr="007C2A52">
        <w:rPr>
          <w:rFonts w:eastAsia="Times New Roman" w:cs="Times New Roman"/>
          <w:szCs w:val="24"/>
          <w:lang w:eastAsia="sl-SI"/>
        </w:rPr>
        <w:t xml:space="preserve">kaj deset </w:t>
      </w:r>
      <w:r w:rsidR="004B766E">
        <w:rPr>
          <w:rFonts w:eastAsia="Times New Roman" w:cs="Times New Roman"/>
          <w:szCs w:val="24"/>
          <w:lang w:eastAsia="sl-SI"/>
        </w:rPr>
        <w:t>na leto</w:t>
      </w:r>
      <w:r w:rsidR="004B766E" w:rsidRPr="007C2A52">
        <w:rPr>
          <w:rFonts w:eastAsia="Times New Roman" w:cs="Times New Roman"/>
          <w:szCs w:val="24"/>
          <w:lang w:eastAsia="sl-SI"/>
        </w:rPr>
        <w:t xml:space="preserve"> </w:t>
      </w:r>
      <w:r w:rsidR="00101BA3" w:rsidRPr="007C2A52">
        <w:rPr>
          <w:rFonts w:eastAsia="Times New Roman" w:cs="Times New Roman"/>
          <w:szCs w:val="24"/>
          <w:lang w:eastAsia="sl-SI"/>
        </w:rPr>
        <w:t xml:space="preserve">pa jih je sodelovalo </w:t>
      </w:r>
      <w:r w:rsidR="003B02DD" w:rsidRPr="007C2A52">
        <w:rPr>
          <w:rFonts w:eastAsia="Times New Roman" w:cs="Times New Roman"/>
          <w:szCs w:val="24"/>
          <w:lang w:eastAsia="sl-SI"/>
        </w:rPr>
        <w:t xml:space="preserve">tudi </w:t>
      </w:r>
      <w:r w:rsidR="00101BA3" w:rsidRPr="007C2A52">
        <w:rPr>
          <w:rFonts w:eastAsia="Times New Roman" w:cs="Times New Roman"/>
          <w:szCs w:val="24"/>
          <w:lang w:eastAsia="sl-SI"/>
        </w:rPr>
        <w:t>v bilateralnih izmenjavah, ki so bile vzpostavlje</w:t>
      </w:r>
      <w:r w:rsidR="006074F2" w:rsidRPr="007C2A52">
        <w:rPr>
          <w:rFonts w:eastAsia="Times New Roman" w:cs="Times New Roman"/>
          <w:szCs w:val="24"/>
          <w:lang w:eastAsia="sl-SI"/>
        </w:rPr>
        <w:t>ne v okviru posameznih univerz (Univerzi v Mariboru in Katovicah kot eden od primerov).</w:t>
      </w:r>
    </w:p>
    <w:p w14:paraId="6A9F79E6" w14:textId="55C88965" w:rsidR="00D0741D" w:rsidRPr="007C2A52" w:rsidRDefault="007835C9" w:rsidP="001D0AF5">
      <w:pPr>
        <w:spacing w:line="276" w:lineRule="auto"/>
        <w:jc w:val="both"/>
      </w:pPr>
      <w:r w:rsidRPr="007C2A52">
        <w:lastRenderedPageBreak/>
        <w:t xml:space="preserve">Druga, prav tako množična oblika krajših izmenjav so bile študentske prakse. Potekale so pod okriljem mednarodnih študentskih zvez, </w:t>
      </w:r>
      <w:r w:rsidR="00FA201F" w:rsidRPr="007C2A52">
        <w:t xml:space="preserve">za lokalno logistiko </w:t>
      </w:r>
      <w:r w:rsidR="003B02DD" w:rsidRPr="007C2A52">
        <w:t xml:space="preserve">pa so </w:t>
      </w:r>
      <w:r w:rsidRPr="007C2A52">
        <w:t>bile zadolžene poljske in jugoslovanske študentske organizacije. Večina teh praks je bila tehnične narave, potekale so v različnih tovarn</w:t>
      </w:r>
      <w:r w:rsidR="00FA201F" w:rsidRPr="007C2A52">
        <w:t xml:space="preserve">ah, </w:t>
      </w:r>
      <w:r w:rsidRPr="007C2A52">
        <w:t>podjetjih</w:t>
      </w:r>
      <w:r w:rsidR="00FA201F" w:rsidRPr="007C2A52">
        <w:t xml:space="preserve"> in drugih ustanovah</w:t>
      </w:r>
      <w:r w:rsidRPr="007C2A52">
        <w:t xml:space="preserve"> ter trajale od enega do štirih mesecev.</w:t>
      </w:r>
      <w:r w:rsidR="00FA201F" w:rsidRPr="007C2A52">
        <w:t xml:space="preserve"> </w:t>
      </w:r>
      <w:r w:rsidR="00A86CE6" w:rsidRPr="007C2A52">
        <w:t>Na področju študentskih praks je bila Poljska za Jugoslavijo pomembna partnerica</w:t>
      </w:r>
      <w:r w:rsidR="00805337" w:rsidRPr="007C2A52">
        <w:t xml:space="preserve"> –</w:t>
      </w:r>
      <w:r w:rsidR="00DF1738">
        <w:t xml:space="preserve"> </w:t>
      </w:r>
      <w:r w:rsidR="00A86CE6" w:rsidRPr="007C2A52">
        <w:t xml:space="preserve">kot je razvidno iz tabele, jo je po številu </w:t>
      </w:r>
      <w:r w:rsidR="00805337" w:rsidRPr="007C2A52">
        <w:t xml:space="preserve">izmenjanih praktikantov </w:t>
      </w:r>
      <w:r w:rsidR="00A86CE6" w:rsidRPr="007C2A52">
        <w:t>presegala le Zvezna Republika Nemčija.</w:t>
      </w:r>
    </w:p>
    <w:tbl>
      <w:tblPr>
        <w:tblStyle w:val="Tabelamrea"/>
        <w:tblpPr w:leftFromText="141" w:rightFromText="141" w:vertAnchor="page" w:horzAnchor="margin" w:tblpY="3503"/>
        <w:tblW w:w="9085" w:type="dxa"/>
        <w:tblLook w:val="04A0" w:firstRow="1" w:lastRow="0" w:firstColumn="1" w:lastColumn="0" w:noHBand="0" w:noVBand="1"/>
      </w:tblPr>
      <w:tblGrid>
        <w:gridCol w:w="644"/>
        <w:gridCol w:w="1640"/>
        <w:gridCol w:w="1015"/>
        <w:gridCol w:w="1396"/>
        <w:gridCol w:w="1650"/>
        <w:gridCol w:w="1152"/>
        <w:gridCol w:w="1588"/>
      </w:tblGrid>
      <w:tr w:rsidR="001D0AF5" w:rsidRPr="007C2A52" w14:paraId="37AF574C" w14:textId="77777777" w:rsidTr="001D0AF5">
        <w:trPr>
          <w:trHeight w:val="387"/>
        </w:trPr>
        <w:tc>
          <w:tcPr>
            <w:tcW w:w="64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A8D08D" w:themeFill="accent6" w:themeFillTint="99"/>
            <w:vAlign w:val="center"/>
          </w:tcPr>
          <w:p w14:paraId="4DFFA2BD" w14:textId="77777777" w:rsidR="001D0AF5" w:rsidRPr="007C2A52" w:rsidRDefault="001D0AF5" w:rsidP="001D0AF5">
            <w:pPr>
              <w:jc w:val="center"/>
              <w:rPr>
                <w:rFonts w:asciiTheme="majorHAnsi" w:hAnsiTheme="majorHAnsi" w:cstheme="majorHAnsi"/>
                <w:sz w:val="20"/>
                <w:szCs w:val="20"/>
              </w:rPr>
            </w:pPr>
          </w:p>
        </w:tc>
        <w:tc>
          <w:tcPr>
            <w:tcW w:w="164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A8D08D" w:themeFill="accent6" w:themeFillTint="99"/>
            <w:vAlign w:val="center"/>
          </w:tcPr>
          <w:p w14:paraId="63131662"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Jugoslovanske prakse na Poljskem</w:t>
            </w:r>
          </w:p>
        </w:tc>
        <w:tc>
          <w:tcPr>
            <w:tcW w:w="2411" w:type="dxa"/>
            <w:gridSpan w:val="2"/>
            <w:tcBorders>
              <w:top w:val="single" w:sz="4" w:space="0" w:color="FFFFFF" w:themeColor="background1"/>
              <w:left w:val="single" w:sz="4" w:space="0" w:color="FFFFFF" w:themeColor="background1"/>
              <w:bottom w:val="single" w:sz="4" w:space="0" w:color="D9D9D9" w:themeColor="background1" w:themeShade="D9"/>
              <w:right w:val="single" w:sz="4" w:space="0" w:color="FFFFFF" w:themeColor="background1"/>
            </w:tcBorders>
            <w:shd w:val="clear" w:color="auto" w:fill="B4C6E7" w:themeFill="accent5" w:themeFillTint="66"/>
            <w:vAlign w:val="center"/>
          </w:tcPr>
          <w:p w14:paraId="6E4E92C1" w14:textId="77777777" w:rsidR="001D0AF5" w:rsidRPr="007C2A52" w:rsidRDefault="001D0AF5" w:rsidP="001D0AF5">
            <w:pPr>
              <w:jc w:val="center"/>
              <w:rPr>
                <w:rFonts w:asciiTheme="majorHAnsi" w:hAnsiTheme="majorHAnsi" w:cstheme="majorHAnsi"/>
                <w:b/>
                <w:color w:val="404040" w:themeColor="text1" w:themeTint="BF"/>
                <w:sz w:val="20"/>
                <w:szCs w:val="20"/>
              </w:rPr>
            </w:pPr>
            <w:r w:rsidRPr="007C2A52">
              <w:rPr>
                <w:rFonts w:asciiTheme="majorHAnsi" w:hAnsiTheme="majorHAnsi" w:cstheme="majorHAnsi"/>
                <w:b/>
                <w:color w:val="404040" w:themeColor="text1" w:themeTint="BF"/>
                <w:sz w:val="20"/>
                <w:szCs w:val="20"/>
              </w:rPr>
              <w:t>Jugoslovanske prakse drugje</w:t>
            </w:r>
          </w:p>
        </w:tc>
        <w:tc>
          <w:tcPr>
            <w:tcW w:w="165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A8D08D" w:themeFill="accent6" w:themeFillTint="99"/>
            <w:vAlign w:val="center"/>
          </w:tcPr>
          <w:p w14:paraId="5760D831"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Poljske prakse v Jugoslaviji</w:t>
            </w:r>
          </w:p>
        </w:tc>
        <w:tc>
          <w:tcPr>
            <w:tcW w:w="27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3952C72A" w14:textId="77777777" w:rsidR="001D0AF5" w:rsidRPr="007C2A52" w:rsidRDefault="001D0AF5" w:rsidP="001D0AF5">
            <w:pPr>
              <w:jc w:val="center"/>
              <w:rPr>
                <w:rFonts w:asciiTheme="majorHAnsi" w:hAnsiTheme="majorHAnsi" w:cstheme="majorHAnsi"/>
                <w:b/>
                <w:color w:val="404040" w:themeColor="text1" w:themeTint="BF"/>
                <w:sz w:val="20"/>
                <w:szCs w:val="20"/>
              </w:rPr>
            </w:pPr>
            <w:r w:rsidRPr="007C2A52">
              <w:rPr>
                <w:rFonts w:asciiTheme="majorHAnsi" w:hAnsiTheme="majorHAnsi" w:cstheme="majorHAnsi"/>
                <w:b/>
                <w:color w:val="404040" w:themeColor="text1" w:themeTint="BF"/>
                <w:sz w:val="20"/>
                <w:szCs w:val="20"/>
              </w:rPr>
              <w:t>Druge prakse v Jugoslaviji</w:t>
            </w:r>
          </w:p>
        </w:tc>
      </w:tr>
      <w:tr w:rsidR="001D0AF5" w:rsidRPr="007C2A52" w14:paraId="7CFBB55C" w14:textId="77777777" w:rsidTr="001D0AF5">
        <w:trPr>
          <w:trHeight w:val="412"/>
        </w:trPr>
        <w:tc>
          <w:tcPr>
            <w:tcW w:w="644" w:type="dxa"/>
            <w:vMerge/>
            <w:tcBorders>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5CB4CB8F" w14:textId="77777777" w:rsidR="001D0AF5" w:rsidRPr="007C2A52" w:rsidRDefault="001D0AF5" w:rsidP="001D0AF5">
            <w:pPr>
              <w:jc w:val="center"/>
              <w:rPr>
                <w:rFonts w:asciiTheme="majorHAnsi" w:hAnsiTheme="majorHAnsi" w:cstheme="majorHAnsi"/>
                <w:sz w:val="20"/>
                <w:szCs w:val="20"/>
              </w:rPr>
            </w:pPr>
          </w:p>
        </w:tc>
        <w:tc>
          <w:tcPr>
            <w:tcW w:w="1640" w:type="dxa"/>
            <w:vMerge/>
            <w:tcBorders>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1EF21BB2" w14:textId="77777777" w:rsidR="001D0AF5" w:rsidRPr="007C2A52" w:rsidRDefault="001D0AF5" w:rsidP="001D0AF5">
            <w:pPr>
              <w:jc w:val="center"/>
              <w:rPr>
                <w:rFonts w:asciiTheme="majorHAnsi" w:hAnsiTheme="majorHAnsi" w:cstheme="majorHAnsi"/>
                <w:sz w:val="20"/>
                <w:szCs w:val="20"/>
              </w:rPr>
            </w:pP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491D40F9" w14:textId="77777777" w:rsidR="001D0AF5" w:rsidRPr="007C2A52" w:rsidRDefault="001D0AF5" w:rsidP="001D0AF5">
            <w:pPr>
              <w:jc w:val="center"/>
              <w:rPr>
                <w:rFonts w:asciiTheme="majorHAnsi" w:hAnsiTheme="majorHAnsi" w:cstheme="majorHAnsi"/>
                <w:b/>
                <w:color w:val="404040" w:themeColor="text1" w:themeTint="BF"/>
                <w:sz w:val="20"/>
                <w:szCs w:val="20"/>
              </w:rPr>
            </w:pPr>
            <w:r w:rsidRPr="007C2A52">
              <w:rPr>
                <w:rFonts w:asciiTheme="majorHAnsi" w:hAnsiTheme="majorHAnsi" w:cstheme="majorHAnsi"/>
                <w:b/>
                <w:color w:val="404040" w:themeColor="text1" w:themeTint="BF"/>
                <w:sz w:val="20"/>
                <w:szCs w:val="20"/>
              </w:rPr>
              <w:t>ZRN</w:t>
            </w:r>
          </w:p>
        </w:tc>
        <w:tc>
          <w:tcPr>
            <w:tcW w:w="1396" w:type="dxa"/>
            <w:tcBorders>
              <w:top w:val="single" w:sz="4" w:space="0" w:color="D9D9D9" w:themeColor="background1" w:themeShade="D9"/>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02526AF9" w14:textId="77777777" w:rsidR="001D0AF5" w:rsidRPr="007C2A52" w:rsidRDefault="001D0AF5" w:rsidP="001D0AF5">
            <w:pPr>
              <w:jc w:val="center"/>
              <w:rPr>
                <w:rFonts w:asciiTheme="majorHAnsi" w:hAnsiTheme="majorHAnsi" w:cstheme="majorHAnsi"/>
                <w:b/>
                <w:color w:val="404040" w:themeColor="text1" w:themeTint="BF"/>
                <w:sz w:val="20"/>
                <w:szCs w:val="20"/>
              </w:rPr>
            </w:pPr>
            <w:r w:rsidRPr="007C2A52">
              <w:rPr>
                <w:rFonts w:asciiTheme="majorHAnsi" w:hAnsiTheme="majorHAnsi" w:cstheme="majorHAnsi"/>
                <w:b/>
                <w:color w:val="404040" w:themeColor="text1" w:themeTint="BF"/>
                <w:sz w:val="20"/>
                <w:szCs w:val="20"/>
              </w:rPr>
              <w:t>VB ali FR</w:t>
            </w:r>
          </w:p>
        </w:tc>
        <w:tc>
          <w:tcPr>
            <w:tcW w:w="1650" w:type="dxa"/>
            <w:vMerge/>
            <w:tcBorders>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2EDE961E" w14:textId="77777777" w:rsidR="001D0AF5" w:rsidRPr="007C2A52" w:rsidRDefault="001D0AF5" w:rsidP="001D0AF5">
            <w:pPr>
              <w:jc w:val="center"/>
              <w:rPr>
                <w:rFonts w:asciiTheme="majorHAnsi" w:hAnsiTheme="majorHAnsi" w:cstheme="majorHAnsi"/>
                <w:sz w:val="20"/>
                <w:szCs w:val="20"/>
              </w:rPr>
            </w:pP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2C31D791" w14:textId="77777777" w:rsidR="001D0AF5" w:rsidRPr="007C2A52" w:rsidRDefault="001D0AF5" w:rsidP="001D0AF5">
            <w:pPr>
              <w:jc w:val="center"/>
              <w:rPr>
                <w:rFonts w:asciiTheme="majorHAnsi" w:hAnsiTheme="majorHAnsi" w:cstheme="majorHAnsi"/>
                <w:b/>
                <w:color w:val="404040" w:themeColor="text1" w:themeTint="BF"/>
                <w:sz w:val="20"/>
                <w:szCs w:val="20"/>
              </w:rPr>
            </w:pPr>
            <w:r w:rsidRPr="007C2A52">
              <w:rPr>
                <w:rFonts w:asciiTheme="majorHAnsi" w:hAnsiTheme="majorHAnsi" w:cstheme="majorHAnsi"/>
                <w:b/>
                <w:color w:val="404040" w:themeColor="text1" w:themeTint="BF"/>
                <w:sz w:val="20"/>
                <w:szCs w:val="20"/>
              </w:rPr>
              <w:t>ZRN</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0F2797EA" w14:textId="77777777" w:rsidR="001D0AF5" w:rsidRPr="007C2A52" w:rsidRDefault="001D0AF5" w:rsidP="001D0AF5">
            <w:pPr>
              <w:jc w:val="center"/>
              <w:rPr>
                <w:rFonts w:asciiTheme="majorHAnsi" w:hAnsiTheme="majorHAnsi" w:cstheme="majorHAnsi"/>
                <w:b/>
                <w:color w:val="404040" w:themeColor="text1" w:themeTint="BF"/>
                <w:sz w:val="20"/>
                <w:szCs w:val="20"/>
              </w:rPr>
            </w:pPr>
            <w:r w:rsidRPr="007C2A52">
              <w:rPr>
                <w:rFonts w:asciiTheme="majorHAnsi" w:hAnsiTheme="majorHAnsi" w:cstheme="majorHAnsi"/>
                <w:b/>
                <w:color w:val="404040" w:themeColor="text1" w:themeTint="BF"/>
                <w:sz w:val="20"/>
                <w:szCs w:val="20"/>
              </w:rPr>
              <w:t>VB ali FR</w:t>
            </w:r>
          </w:p>
        </w:tc>
      </w:tr>
      <w:tr w:rsidR="001D0AF5" w:rsidRPr="007C2A52" w14:paraId="1A57FD6D" w14:textId="77777777" w:rsidTr="001D0AF5">
        <w:trPr>
          <w:trHeight w:val="387"/>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5F6983F4"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1958</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tcPr>
          <w:p w14:paraId="6DF81974"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167</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5" w:themeFillTint="33"/>
            <w:vAlign w:val="center"/>
          </w:tcPr>
          <w:p w14:paraId="61F573F8"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291</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5" w:themeFillTint="33"/>
            <w:vAlign w:val="center"/>
          </w:tcPr>
          <w:p w14:paraId="206EE29D"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47 (VB)</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8F85BA1" w14:textId="77777777" w:rsidR="001D0AF5" w:rsidRPr="007C2A52" w:rsidRDefault="001D0AF5" w:rsidP="001D0AF5">
            <w:pPr>
              <w:jc w:val="center"/>
              <w:rPr>
                <w:rFonts w:asciiTheme="majorHAnsi" w:hAnsiTheme="majorHAnsi" w:cstheme="majorHAnsi"/>
                <w:sz w:val="20"/>
                <w:szCs w:val="20"/>
              </w:rPr>
            </w:pP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AE00AFA" w14:textId="77777777" w:rsidR="001D0AF5" w:rsidRPr="007C2A52" w:rsidRDefault="001D0AF5" w:rsidP="001D0AF5">
            <w:pPr>
              <w:jc w:val="center"/>
              <w:rPr>
                <w:rFonts w:asciiTheme="majorHAnsi" w:hAnsiTheme="majorHAnsi" w:cstheme="majorHAnsi"/>
                <w:color w:val="404040" w:themeColor="text1" w:themeTint="BF"/>
                <w:sz w:val="20"/>
                <w:szCs w:val="20"/>
              </w:rPr>
            </w:pP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011EA58" w14:textId="77777777" w:rsidR="001D0AF5" w:rsidRPr="007C2A52" w:rsidRDefault="001D0AF5" w:rsidP="001D0AF5">
            <w:pPr>
              <w:jc w:val="center"/>
              <w:rPr>
                <w:rFonts w:asciiTheme="majorHAnsi" w:hAnsiTheme="majorHAnsi" w:cstheme="majorHAnsi"/>
                <w:color w:val="404040" w:themeColor="text1" w:themeTint="BF"/>
                <w:sz w:val="20"/>
                <w:szCs w:val="20"/>
              </w:rPr>
            </w:pPr>
          </w:p>
        </w:tc>
      </w:tr>
      <w:tr w:rsidR="001D0AF5" w:rsidRPr="007C2A52" w14:paraId="2FAB806D" w14:textId="77777777" w:rsidTr="001D0AF5">
        <w:trPr>
          <w:trHeight w:val="400"/>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3CA1EEB4"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1959</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5E0B3" w:themeFill="accent6" w:themeFillTint="66"/>
            <w:vAlign w:val="center"/>
          </w:tcPr>
          <w:p w14:paraId="2B4F3A65"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153</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198007B7"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284</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5FB4B4D8"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36 (VB)</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28AB99B" w14:textId="77777777" w:rsidR="001D0AF5" w:rsidRPr="007C2A52" w:rsidRDefault="001D0AF5" w:rsidP="001D0AF5">
            <w:pPr>
              <w:jc w:val="center"/>
              <w:rPr>
                <w:rFonts w:asciiTheme="majorHAnsi" w:hAnsiTheme="majorHAnsi" w:cstheme="majorHAnsi"/>
                <w:sz w:val="20"/>
                <w:szCs w:val="20"/>
              </w:rPr>
            </w:pP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EFF41CF" w14:textId="77777777" w:rsidR="001D0AF5" w:rsidRPr="007C2A52" w:rsidRDefault="001D0AF5" w:rsidP="001D0AF5">
            <w:pPr>
              <w:jc w:val="center"/>
              <w:rPr>
                <w:rFonts w:asciiTheme="majorHAnsi" w:hAnsiTheme="majorHAnsi" w:cstheme="majorHAnsi"/>
                <w:color w:val="404040" w:themeColor="text1" w:themeTint="BF"/>
                <w:sz w:val="20"/>
                <w:szCs w:val="20"/>
              </w:rPr>
            </w:pP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18C5526" w14:textId="77777777" w:rsidR="001D0AF5" w:rsidRPr="007C2A52" w:rsidRDefault="001D0AF5" w:rsidP="001D0AF5">
            <w:pPr>
              <w:jc w:val="center"/>
              <w:rPr>
                <w:rFonts w:asciiTheme="majorHAnsi" w:hAnsiTheme="majorHAnsi" w:cstheme="majorHAnsi"/>
                <w:color w:val="404040" w:themeColor="text1" w:themeTint="BF"/>
                <w:sz w:val="20"/>
                <w:szCs w:val="20"/>
              </w:rPr>
            </w:pPr>
          </w:p>
        </w:tc>
      </w:tr>
      <w:tr w:rsidR="001D0AF5" w:rsidRPr="007C2A52" w14:paraId="37BEF7BF" w14:textId="77777777" w:rsidTr="001D0AF5">
        <w:trPr>
          <w:trHeight w:val="387"/>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616AA58B"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1960</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tcPr>
          <w:p w14:paraId="535DBE6E"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212</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5" w:themeFillTint="33"/>
            <w:vAlign w:val="center"/>
          </w:tcPr>
          <w:p w14:paraId="4E5F623E"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331</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5" w:themeFillTint="33"/>
            <w:vAlign w:val="center"/>
          </w:tcPr>
          <w:p w14:paraId="3C48CE06"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46 (FR)</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0148C6D" w14:textId="77777777" w:rsidR="001D0AF5" w:rsidRPr="007C2A52" w:rsidRDefault="001D0AF5" w:rsidP="001D0AF5">
            <w:pPr>
              <w:jc w:val="center"/>
              <w:rPr>
                <w:rFonts w:asciiTheme="majorHAnsi" w:hAnsiTheme="majorHAnsi" w:cstheme="majorHAnsi"/>
                <w:sz w:val="20"/>
                <w:szCs w:val="20"/>
              </w:rPr>
            </w:pP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F5C200B" w14:textId="77777777" w:rsidR="001D0AF5" w:rsidRPr="007C2A52" w:rsidRDefault="001D0AF5" w:rsidP="001D0AF5">
            <w:pPr>
              <w:jc w:val="center"/>
              <w:rPr>
                <w:rFonts w:asciiTheme="majorHAnsi" w:hAnsiTheme="majorHAnsi" w:cstheme="majorHAnsi"/>
                <w:color w:val="404040" w:themeColor="text1" w:themeTint="BF"/>
                <w:sz w:val="20"/>
                <w:szCs w:val="20"/>
              </w:rPr>
            </w:pP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C4615CB" w14:textId="77777777" w:rsidR="001D0AF5" w:rsidRPr="007C2A52" w:rsidRDefault="001D0AF5" w:rsidP="001D0AF5">
            <w:pPr>
              <w:jc w:val="center"/>
              <w:rPr>
                <w:rFonts w:asciiTheme="majorHAnsi" w:hAnsiTheme="majorHAnsi" w:cstheme="majorHAnsi"/>
                <w:color w:val="404040" w:themeColor="text1" w:themeTint="BF"/>
                <w:sz w:val="20"/>
                <w:szCs w:val="20"/>
              </w:rPr>
            </w:pPr>
          </w:p>
        </w:tc>
      </w:tr>
      <w:tr w:rsidR="001D0AF5" w:rsidRPr="007C2A52" w14:paraId="2EE7E877" w14:textId="77777777" w:rsidTr="001D0AF5">
        <w:trPr>
          <w:trHeight w:val="400"/>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34331C8D"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1961</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5E0B3" w:themeFill="accent6" w:themeFillTint="66"/>
            <w:vAlign w:val="center"/>
          </w:tcPr>
          <w:p w14:paraId="27DB0F9C"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210</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19F2AAF7"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320</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0D9590AA"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50 (VB)</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5E0B3" w:themeFill="accent6" w:themeFillTint="66"/>
            <w:vAlign w:val="center"/>
          </w:tcPr>
          <w:p w14:paraId="3DDB6F72"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117</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264F5044"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114</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4BC7111A" w14:textId="77777777" w:rsidR="001D0AF5" w:rsidRPr="007C2A52" w:rsidRDefault="001D0AF5" w:rsidP="001D0AF5">
            <w:pPr>
              <w:jc w:val="center"/>
              <w:rPr>
                <w:rFonts w:asciiTheme="majorHAnsi" w:hAnsiTheme="majorHAnsi" w:cstheme="majorHAnsi"/>
                <w:color w:val="404040" w:themeColor="text1" w:themeTint="BF"/>
                <w:sz w:val="20"/>
                <w:szCs w:val="20"/>
              </w:rPr>
            </w:pPr>
          </w:p>
        </w:tc>
      </w:tr>
      <w:tr w:rsidR="001D0AF5" w:rsidRPr="007C2A52" w14:paraId="2D69988A" w14:textId="77777777" w:rsidTr="001D0AF5">
        <w:trPr>
          <w:trHeight w:val="387"/>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11CDE4CA"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1962</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tcPr>
          <w:p w14:paraId="22CEDEC5"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144</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5" w:themeFillTint="33"/>
            <w:vAlign w:val="center"/>
          </w:tcPr>
          <w:p w14:paraId="7544E6AF"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159</w:t>
            </w: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5" w:themeFillTint="33"/>
            <w:vAlign w:val="center"/>
          </w:tcPr>
          <w:p w14:paraId="6F52AD79"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30 (VB)</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tcPr>
          <w:p w14:paraId="51D5FC5C"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125</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193F2393"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106</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6448330" w14:textId="77777777" w:rsidR="001D0AF5" w:rsidRPr="007C2A52" w:rsidRDefault="001D0AF5" w:rsidP="001D0AF5">
            <w:pPr>
              <w:jc w:val="center"/>
              <w:rPr>
                <w:rFonts w:asciiTheme="majorHAnsi" w:hAnsiTheme="majorHAnsi" w:cstheme="majorHAnsi"/>
                <w:color w:val="404040" w:themeColor="text1" w:themeTint="BF"/>
                <w:sz w:val="20"/>
                <w:szCs w:val="20"/>
              </w:rPr>
            </w:pPr>
          </w:p>
        </w:tc>
      </w:tr>
      <w:tr w:rsidR="001D0AF5" w:rsidRPr="007C2A52" w14:paraId="5029B819" w14:textId="77777777" w:rsidTr="001D0AF5">
        <w:trPr>
          <w:trHeight w:val="400"/>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470DA047"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1963</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0CA9BD5" w14:textId="77777777" w:rsidR="001D0AF5" w:rsidRPr="007C2A52" w:rsidRDefault="001D0AF5" w:rsidP="001D0AF5">
            <w:pPr>
              <w:jc w:val="center"/>
              <w:rPr>
                <w:rFonts w:asciiTheme="majorHAnsi" w:hAnsiTheme="majorHAnsi" w:cstheme="majorHAnsi"/>
                <w:sz w:val="20"/>
                <w:szCs w:val="20"/>
              </w:rPr>
            </w:pP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7C924A1" w14:textId="77777777" w:rsidR="001D0AF5" w:rsidRPr="007C2A52" w:rsidRDefault="001D0AF5" w:rsidP="001D0AF5">
            <w:pPr>
              <w:jc w:val="center"/>
              <w:rPr>
                <w:rFonts w:asciiTheme="majorHAnsi" w:hAnsiTheme="majorHAnsi" w:cstheme="majorHAnsi"/>
                <w:sz w:val="20"/>
                <w:szCs w:val="20"/>
              </w:rPr>
            </w:pP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A8EFDD7" w14:textId="77777777" w:rsidR="001D0AF5" w:rsidRPr="007C2A52" w:rsidRDefault="001D0AF5" w:rsidP="001D0AF5">
            <w:pPr>
              <w:jc w:val="center"/>
              <w:rPr>
                <w:rFonts w:asciiTheme="majorHAnsi" w:hAnsiTheme="majorHAnsi" w:cstheme="majorHAnsi"/>
                <w:sz w:val="20"/>
                <w:szCs w:val="20"/>
              </w:rPr>
            </w:pP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AAD1AA5" w14:textId="77777777" w:rsidR="001D0AF5" w:rsidRPr="007C2A52" w:rsidRDefault="001D0AF5" w:rsidP="001D0AF5">
            <w:pPr>
              <w:jc w:val="center"/>
              <w:rPr>
                <w:rFonts w:asciiTheme="majorHAnsi" w:hAnsiTheme="majorHAnsi" w:cstheme="majorHAnsi"/>
                <w:sz w:val="20"/>
                <w:szCs w:val="20"/>
              </w:rPr>
            </w:pP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DE3D0E2" w14:textId="77777777" w:rsidR="001D0AF5" w:rsidRPr="007C2A52" w:rsidRDefault="001D0AF5" w:rsidP="001D0AF5">
            <w:pPr>
              <w:jc w:val="center"/>
              <w:rPr>
                <w:rFonts w:asciiTheme="majorHAnsi" w:hAnsiTheme="majorHAnsi" w:cstheme="majorHAnsi"/>
                <w:color w:val="404040" w:themeColor="text1" w:themeTint="BF"/>
                <w:sz w:val="20"/>
                <w:szCs w:val="20"/>
              </w:rPr>
            </w:pP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7D136A3" w14:textId="77777777" w:rsidR="001D0AF5" w:rsidRPr="007C2A52" w:rsidRDefault="001D0AF5" w:rsidP="001D0AF5">
            <w:pPr>
              <w:jc w:val="center"/>
              <w:rPr>
                <w:rFonts w:asciiTheme="majorHAnsi" w:hAnsiTheme="majorHAnsi" w:cstheme="majorHAnsi"/>
                <w:color w:val="404040" w:themeColor="text1" w:themeTint="BF"/>
                <w:sz w:val="20"/>
                <w:szCs w:val="20"/>
              </w:rPr>
            </w:pPr>
          </w:p>
        </w:tc>
      </w:tr>
      <w:tr w:rsidR="001D0AF5" w:rsidRPr="007C2A52" w14:paraId="3AD225CF" w14:textId="77777777" w:rsidTr="001D0AF5">
        <w:trPr>
          <w:trHeight w:val="387"/>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6B88695A"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1964</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B3E8C77" w14:textId="77777777" w:rsidR="001D0AF5" w:rsidRPr="007C2A52" w:rsidRDefault="001D0AF5" w:rsidP="001D0AF5">
            <w:pPr>
              <w:jc w:val="center"/>
              <w:rPr>
                <w:rFonts w:asciiTheme="majorHAnsi" w:hAnsiTheme="majorHAnsi" w:cstheme="majorHAnsi"/>
                <w:sz w:val="20"/>
                <w:szCs w:val="20"/>
              </w:rPr>
            </w:pP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99FAB4A" w14:textId="77777777" w:rsidR="001D0AF5" w:rsidRPr="007C2A52" w:rsidRDefault="001D0AF5" w:rsidP="001D0AF5">
            <w:pPr>
              <w:jc w:val="center"/>
              <w:rPr>
                <w:rFonts w:asciiTheme="majorHAnsi" w:hAnsiTheme="majorHAnsi" w:cstheme="majorHAnsi"/>
                <w:sz w:val="20"/>
                <w:szCs w:val="20"/>
              </w:rPr>
            </w:pP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D7B0BAD" w14:textId="77777777" w:rsidR="001D0AF5" w:rsidRPr="007C2A52" w:rsidRDefault="001D0AF5" w:rsidP="001D0AF5">
            <w:pPr>
              <w:jc w:val="center"/>
              <w:rPr>
                <w:rFonts w:asciiTheme="majorHAnsi" w:hAnsiTheme="majorHAnsi" w:cstheme="majorHAnsi"/>
                <w:sz w:val="20"/>
                <w:szCs w:val="20"/>
              </w:rPr>
            </w:pP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5E0B3" w:themeFill="accent6" w:themeFillTint="66"/>
            <w:vAlign w:val="center"/>
          </w:tcPr>
          <w:p w14:paraId="547BC4DD"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199</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2B3C2409"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205</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5" w:themeFillTint="66"/>
            <w:vAlign w:val="center"/>
          </w:tcPr>
          <w:p w14:paraId="3D3F2744"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49 (FR)</w:t>
            </w:r>
          </w:p>
        </w:tc>
      </w:tr>
      <w:tr w:rsidR="001D0AF5" w:rsidRPr="007C2A52" w14:paraId="3F8D172B" w14:textId="77777777" w:rsidTr="001D0AF5">
        <w:trPr>
          <w:trHeight w:val="400"/>
        </w:trPr>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8D08D" w:themeFill="accent6" w:themeFillTint="99"/>
            <w:vAlign w:val="center"/>
          </w:tcPr>
          <w:p w14:paraId="2B014254" w14:textId="77777777" w:rsidR="001D0AF5" w:rsidRPr="007C2A52" w:rsidRDefault="001D0AF5" w:rsidP="001D0AF5">
            <w:pPr>
              <w:jc w:val="center"/>
              <w:rPr>
                <w:rFonts w:asciiTheme="majorHAnsi" w:hAnsiTheme="majorHAnsi" w:cstheme="majorHAnsi"/>
                <w:b/>
                <w:sz w:val="20"/>
                <w:szCs w:val="20"/>
              </w:rPr>
            </w:pPr>
            <w:r w:rsidRPr="007C2A52">
              <w:rPr>
                <w:rFonts w:asciiTheme="majorHAnsi" w:hAnsiTheme="majorHAnsi" w:cstheme="majorHAnsi"/>
                <w:b/>
                <w:sz w:val="20"/>
                <w:szCs w:val="20"/>
              </w:rPr>
              <w:t>1965</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A5A58F8" w14:textId="77777777" w:rsidR="001D0AF5" w:rsidRPr="007C2A52" w:rsidRDefault="001D0AF5" w:rsidP="001D0AF5">
            <w:pPr>
              <w:jc w:val="center"/>
              <w:rPr>
                <w:rFonts w:asciiTheme="majorHAnsi" w:hAnsiTheme="majorHAnsi" w:cstheme="majorHAnsi"/>
                <w:sz w:val="20"/>
                <w:szCs w:val="20"/>
              </w:rPr>
            </w:pP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71414BC" w14:textId="77777777" w:rsidR="001D0AF5" w:rsidRPr="007C2A52" w:rsidRDefault="001D0AF5" w:rsidP="001D0AF5">
            <w:pPr>
              <w:jc w:val="center"/>
              <w:rPr>
                <w:rFonts w:asciiTheme="majorHAnsi" w:hAnsiTheme="majorHAnsi" w:cstheme="majorHAnsi"/>
                <w:sz w:val="20"/>
                <w:szCs w:val="20"/>
              </w:rPr>
            </w:pPr>
          </w:p>
        </w:tc>
        <w:tc>
          <w:tcPr>
            <w:tcW w:w="1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86C46B0" w14:textId="77777777" w:rsidR="001D0AF5" w:rsidRPr="007C2A52" w:rsidRDefault="001D0AF5" w:rsidP="001D0AF5">
            <w:pPr>
              <w:jc w:val="center"/>
              <w:rPr>
                <w:rFonts w:asciiTheme="majorHAnsi" w:hAnsiTheme="majorHAnsi" w:cstheme="majorHAnsi"/>
                <w:sz w:val="20"/>
                <w:szCs w:val="20"/>
              </w:rPr>
            </w:pP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tcPr>
          <w:p w14:paraId="7CE0B855" w14:textId="77777777" w:rsidR="001D0AF5" w:rsidRPr="007C2A52" w:rsidRDefault="001D0AF5" w:rsidP="001D0AF5">
            <w:pPr>
              <w:jc w:val="center"/>
              <w:rPr>
                <w:rFonts w:asciiTheme="majorHAnsi" w:hAnsiTheme="majorHAnsi" w:cstheme="majorHAnsi"/>
                <w:sz w:val="20"/>
                <w:szCs w:val="20"/>
              </w:rPr>
            </w:pPr>
            <w:r w:rsidRPr="007C2A52">
              <w:rPr>
                <w:rFonts w:asciiTheme="majorHAnsi" w:hAnsiTheme="majorHAnsi" w:cstheme="majorHAnsi"/>
                <w:sz w:val="20"/>
                <w:szCs w:val="20"/>
              </w:rPr>
              <w:t>182</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540C9262"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194</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1589D09" w14:textId="77777777" w:rsidR="001D0AF5" w:rsidRPr="007C2A52" w:rsidRDefault="001D0AF5" w:rsidP="001D0AF5">
            <w:pPr>
              <w:jc w:val="center"/>
              <w:rPr>
                <w:rFonts w:asciiTheme="majorHAnsi" w:hAnsiTheme="majorHAnsi" w:cstheme="majorHAnsi"/>
                <w:color w:val="404040" w:themeColor="text1" w:themeTint="BF"/>
                <w:sz w:val="20"/>
                <w:szCs w:val="20"/>
              </w:rPr>
            </w:pPr>
            <w:r w:rsidRPr="007C2A52">
              <w:rPr>
                <w:rFonts w:asciiTheme="majorHAnsi" w:hAnsiTheme="majorHAnsi" w:cstheme="majorHAnsi"/>
                <w:color w:val="404040" w:themeColor="text1" w:themeTint="BF"/>
                <w:sz w:val="20"/>
                <w:szCs w:val="20"/>
              </w:rPr>
              <w:t>40 (VB)</w:t>
            </w:r>
          </w:p>
        </w:tc>
      </w:tr>
    </w:tbl>
    <w:p w14:paraId="03145143" w14:textId="77777777" w:rsidR="00D0741D" w:rsidRPr="007C2A52" w:rsidRDefault="00D0741D" w:rsidP="001D0AF5">
      <w:pPr>
        <w:spacing w:line="276" w:lineRule="auto"/>
        <w:jc w:val="both"/>
      </w:pPr>
    </w:p>
    <w:p w14:paraId="37B710F8" w14:textId="77777777" w:rsidR="00D0741D" w:rsidRPr="007C2A52" w:rsidRDefault="00D0741D" w:rsidP="001D0AF5">
      <w:pPr>
        <w:pStyle w:val="Sprotnaopomba-besedilo"/>
        <w:spacing w:line="276" w:lineRule="auto"/>
        <w:rPr>
          <w:sz w:val="20"/>
          <w:szCs w:val="20"/>
        </w:rPr>
      </w:pPr>
      <w:r w:rsidRPr="007C2A52">
        <w:rPr>
          <w:sz w:val="20"/>
          <w:szCs w:val="20"/>
        </w:rPr>
        <w:t>Vir: Arhiv Jugoslavij, 145. Savez studenata Jugoslavije, 34</w:t>
      </w:r>
      <w:r w:rsidR="003B02DD" w:rsidRPr="007C2A52">
        <w:rPr>
          <w:sz w:val="20"/>
          <w:szCs w:val="20"/>
        </w:rPr>
        <w:t>–</w:t>
      </w:r>
      <w:r w:rsidRPr="007C2A52">
        <w:rPr>
          <w:sz w:val="20"/>
          <w:szCs w:val="20"/>
        </w:rPr>
        <w:t>95, str. 67, 194, 236.</w:t>
      </w:r>
    </w:p>
    <w:p w14:paraId="0512DCB4" w14:textId="77777777" w:rsidR="00D0741D" w:rsidRPr="007C2A52" w:rsidRDefault="00D0741D" w:rsidP="001D0AF5">
      <w:pPr>
        <w:spacing w:line="276" w:lineRule="auto"/>
        <w:jc w:val="both"/>
      </w:pPr>
    </w:p>
    <w:p w14:paraId="3FA99A5E" w14:textId="77777777" w:rsidR="000C6FE6" w:rsidRPr="007C2A52" w:rsidRDefault="00A86CE6" w:rsidP="001D0AF5">
      <w:pPr>
        <w:spacing w:line="276" w:lineRule="auto"/>
        <w:jc w:val="both"/>
      </w:pPr>
      <w:r w:rsidRPr="007C2A52">
        <w:t xml:space="preserve">Razloge za velik obseg </w:t>
      </w:r>
      <w:r w:rsidR="003B02DD" w:rsidRPr="007C2A52">
        <w:t xml:space="preserve">poljsko-jugoslovanskih </w:t>
      </w:r>
      <w:r w:rsidR="00805337" w:rsidRPr="007C2A52">
        <w:t xml:space="preserve">študentskih </w:t>
      </w:r>
      <w:r w:rsidRPr="007C2A52">
        <w:t>praks je težko identificirati. Visoke številke so do</w:t>
      </w:r>
      <w:r w:rsidR="00805337" w:rsidRPr="007C2A52">
        <w:t xml:space="preserve"> določene mere </w:t>
      </w:r>
      <w:r w:rsidRPr="007C2A52">
        <w:t xml:space="preserve">gotovo odražale ideološke interese </w:t>
      </w:r>
      <w:r w:rsidR="003B02DD" w:rsidRPr="007C2A52">
        <w:t xml:space="preserve">vodstev </w:t>
      </w:r>
      <w:r w:rsidRPr="007C2A52">
        <w:t xml:space="preserve">obeh držav, ki </w:t>
      </w:r>
      <w:r w:rsidR="003B02DD" w:rsidRPr="007C2A52">
        <w:rPr>
          <w:rFonts w:eastAsia="Times New Roman" w:cs="Times New Roman"/>
          <w:szCs w:val="24"/>
          <w:lang w:eastAsia="sl-SI"/>
        </w:rPr>
        <w:t>sta si</w:t>
      </w:r>
      <w:r w:rsidRPr="007C2A52">
        <w:rPr>
          <w:rFonts w:eastAsia="Times New Roman" w:cs="Times New Roman"/>
          <w:szCs w:val="24"/>
          <w:lang w:eastAsia="sl-SI"/>
        </w:rPr>
        <w:t xml:space="preserve"> prizadevali za čim večjo izmenjavo znanja in izkušenj </w:t>
      </w:r>
      <w:r w:rsidR="00805337" w:rsidRPr="007C2A52">
        <w:rPr>
          <w:rFonts w:eastAsia="Times New Roman" w:cs="Times New Roman"/>
          <w:szCs w:val="24"/>
          <w:lang w:eastAsia="sl-SI"/>
        </w:rPr>
        <w:t xml:space="preserve">v okviru socialističnega sveta. </w:t>
      </w:r>
      <w:r w:rsidR="00805337" w:rsidRPr="007C2A52">
        <w:t xml:space="preserve">Poljska in Jugoslavija sta bili namreč poleg Češkoslovaške v poznih petdesetih in zgodnjih šestdesetih letih edini socialistični državi, vključeni v mednarodne študentske zveze, ki so omogočale medsebojno izmenjavo </w:t>
      </w:r>
      <w:r w:rsidR="003B02DD" w:rsidRPr="007C2A52">
        <w:t>mladih praktikantov</w:t>
      </w:r>
      <w:r w:rsidR="00805337" w:rsidRPr="007C2A52">
        <w:t xml:space="preserve">. </w:t>
      </w:r>
    </w:p>
    <w:p w14:paraId="6893CBBB" w14:textId="0674B23F" w:rsidR="004B1206" w:rsidRPr="007C2A52" w:rsidRDefault="00805337" w:rsidP="001D0AF5">
      <w:pPr>
        <w:spacing w:line="276" w:lineRule="auto"/>
        <w:jc w:val="both"/>
        <w:rPr>
          <w:rFonts w:eastAsia="Times New Roman" w:cs="Times New Roman"/>
          <w:szCs w:val="24"/>
          <w:lang w:eastAsia="sl-SI"/>
        </w:rPr>
      </w:pPr>
      <w:r w:rsidRPr="007C2A52">
        <w:rPr>
          <w:rFonts w:eastAsia="Times New Roman" w:cs="Times New Roman"/>
          <w:szCs w:val="24"/>
          <w:lang w:eastAsia="sl-SI"/>
        </w:rPr>
        <w:t xml:space="preserve">Pomembno vlogo pri obsegu študentskih praks so igrale tudi osebne motivacije udeležencev. </w:t>
      </w:r>
      <w:r w:rsidR="005720C5" w:rsidRPr="007C2A52">
        <w:rPr>
          <w:rFonts w:eastAsia="Times New Roman" w:cs="Times New Roman"/>
          <w:szCs w:val="24"/>
          <w:lang w:eastAsia="sl-SI"/>
        </w:rPr>
        <w:t xml:space="preserve">Za večino </w:t>
      </w:r>
      <w:r w:rsidRPr="007C2A52">
        <w:rPr>
          <w:rFonts w:eastAsia="Times New Roman" w:cs="Times New Roman"/>
          <w:szCs w:val="24"/>
          <w:lang w:eastAsia="sl-SI"/>
        </w:rPr>
        <w:t>študentov</w:t>
      </w:r>
      <w:r w:rsidR="005720C5" w:rsidRPr="007C2A52">
        <w:rPr>
          <w:rFonts w:eastAsia="Times New Roman" w:cs="Times New Roman"/>
          <w:szCs w:val="24"/>
          <w:lang w:eastAsia="sl-SI"/>
        </w:rPr>
        <w:t xml:space="preserve"> je bila izbira </w:t>
      </w:r>
      <w:r w:rsidR="003B02DD" w:rsidRPr="007C2A52">
        <w:rPr>
          <w:rFonts w:eastAsia="Times New Roman" w:cs="Times New Roman"/>
          <w:szCs w:val="24"/>
          <w:lang w:eastAsia="sl-SI"/>
        </w:rPr>
        <w:t>destinacije za opravljanje prakse</w:t>
      </w:r>
      <w:r w:rsidR="005720C5" w:rsidRPr="007C2A52">
        <w:rPr>
          <w:rFonts w:eastAsia="Times New Roman" w:cs="Times New Roman"/>
          <w:szCs w:val="24"/>
          <w:lang w:eastAsia="sl-SI"/>
        </w:rPr>
        <w:t xml:space="preserve"> verjetno </w:t>
      </w:r>
      <w:r w:rsidR="003B02DD" w:rsidRPr="007C2A52">
        <w:rPr>
          <w:rFonts w:eastAsia="Times New Roman" w:cs="Times New Roman"/>
          <w:szCs w:val="24"/>
          <w:lang w:eastAsia="sl-SI"/>
        </w:rPr>
        <w:t>predvsem</w:t>
      </w:r>
      <w:r w:rsidRPr="007C2A52">
        <w:rPr>
          <w:rFonts w:eastAsia="Times New Roman" w:cs="Times New Roman"/>
          <w:szCs w:val="24"/>
          <w:lang w:eastAsia="sl-SI"/>
        </w:rPr>
        <w:t xml:space="preserve"> </w:t>
      </w:r>
      <w:r w:rsidR="005720C5" w:rsidRPr="007C2A52">
        <w:rPr>
          <w:rFonts w:eastAsia="Times New Roman" w:cs="Times New Roman"/>
          <w:szCs w:val="24"/>
          <w:lang w:eastAsia="sl-SI"/>
        </w:rPr>
        <w:t>stvar priložnosti in praktičnosti</w:t>
      </w:r>
      <w:r w:rsidR="002F12C3">
        <w:rPr>
          <w:rFonts w:eastAsia="Times New Roman" w:cs="Times New Roman"/>
          <w:szCs w:val="24"/>
          <w:lang w:eastAsia="sl-SI"/>
        </w:rPr>
        <w:t>, a</w:t>
      </w:r>
      <w:r w:rsidR="003B02DD" w:rsidRPr="007C2A52">
        <w:rPr>
          <w:rFonts w:eastAsia="Times New Roman" w:cs="Times New Roman"/>
          <w:szCs w:val="24"/>
          <w:lang w:eastAsia="sl-SI"/>
        </w:rPr>
        <w:t xml:space="preserve"> določene motivacije bi lahko bile tudi družbenopolitične narave, na kar opozarja anketa, ki so jo med </w:t>
      </w:r>
      <w:r w:rsidR="005D52DC" w:rsidRPr="007C2A52">
        <w:rPr>
          <w:rFonts w:eastAsia="Times New Roman" w:cs="Times New Roman"/>
          <w:szCs w:val="24"/>
          <w:lang w:eastAsia="sl-SI"/>
        </w:rPr>
        <w:t>poljski</w:t>
      </w:r>
      <w:r w:rsidR="005D52DC">
        <w:rPr>
          <w:rFonts w:eastAsia="Times New Roman" w:cs="Times New Roman"/>
          <w:szCs w:val="24"/>
          <w:lang w:eastAsia="sl-SI"/>
        </w:rPr>
        <w:t>mi</w:t>
      </w:r>
      <w:r w:rsidR="005D52DC" w:rsidRPr="007C2A52">
        <w:rPr>
          <w:rFonts w:eastAsia="Times New Roman" w:cs="Times New Roman"/>
          <w:szCs w:val="24"/>
          <w:lang w:eastAsia="sl-SI"/>
        </w:rPr>
        <w:t xml:space="preserve"> </w:t>
      </w:r>
      <w:r w:rsidR="003B02DD" w:rsidRPr="007C2A52">
        <w:rPr>
          <w:rFonts w:eastAsia="Times New Roman" w:cs="Times New Roman"/>
          <w:szCs w:val="24"/>
          <w:lang w:eastAsia="sl-SI"/>
        </w:rPr>
        <w:t>študenti izvedli leta 1958.</w:t>
      </w:r>
      <w:r w:rsidR="005720C5" w:rsidRPr="007C2A52">
        <w:rPr>
          <w:rFonts w:eastAsia="Times New Roman" w:cs="Times New Roman"/>
          <w:szCs w:val="24"/>
          <w:lang w:eastAsia="sl-SI"/>
        </w:rPr>
        <w:t xml:space="preserve"> </w:t>
      </w:r>
      <w:r w:rsidR="003B02DD" w:rsidRPr="007C2A52">
        <w:rPr>
          <w:rFonts w:eastAsia="Times New Roman" w:cs="Times New Roman"/>
          <w:szCs w:val="24"/>
          <w:lang w:eastAsia="sl-SI"/>
        </w:rPr>
        <w:t>Pri vprašanju,</w:t>
      </w:r>
      <w:r w:rsidR="005720C5" w:rsidRPr="007C2A52">
        <w:rPr>
          <w:rFonts w:eastAsia="Times New Roman" w:cs="Times New Roman"/>
          <w:szCs w:val="24"/>
          <w:lang w:eastAsia="sl-SI"/>
        </w:rPr>
        <w:t xml:space="preserve"> v kateri državi bi najraje živeli glede na družbeni sistem, </w:t>
      </w:r>
      <w:r w:rsidR="003B02DD" w:rsidRPr="007C2A52">
        <w:rPr>
          <w:rFonts w:eastAsia="Times New Roman" w:cs="Times New Roman"/>
          <w:szCs w:val="24"/>
          <w:lang w:eastAsia="sl-SI"/>
        </w:rPr>
        <w:t xml:space="preserve">so </w:t>
      </w:r>
      <w:r w:rsidR="005720C5" w:rsidRPr="007C2A52">
        <w:rPr>
          <w:rFonts w:eastAsia="Times New Roman" w:cs="Times New Roman"/>
          <w:szCs w:val="24"/>
          <w:lang w:eastAsia="sl-SI"/>
        </w:rPr>
        <w:t>Jugoslavij</w:t>
      </w:r>
      <w:r w:rsidR="003B02DD" w:rsidRPr="007C2A52">
        <w:rPr>
          <w:rFonts w:eastAsia="Times New Roman" w:cs="Times New Roman"/>
          <w:szCs w:val="24"/>
          <w:lang w:eastAsia="sl-SI"/>
        </w:rPr>
        <w:t>o</w:t>
      </w:r>
      <w:r w:rsidR="005720C5" w:rsidRPr="007C2A52">
        <w:rPr>
          <w:rFonts w:eastAsia="Times New Roman" w:cs="Times New Roman"/>
          <w:szCs w:val="24"/>
          <w:lang w:eastAsia="sl-SI"/>
        </w:rPr>
        <w:t xml:space="preserve"> </w:t>
      </w:r>
      <w:r w:rsidR="003B02DD" w:rsidRPr="007C2A52">
        <w:rPr>
          <w:rFonts w:eastAsia="Times New Roman" w:cs="Times New Roman"/>
          <w:szCs w:val="24"/>
          <w:lang w:eastAsia="sl-SI"/>
        </w:rPr>
        <w:t>postavili na</w:t>
      </w:r>
      <w:r w:rsidR="005720C5" w:rsidRPr="007C2A52">
        <w:rPr>
          <w:rFonts w:eastAsia="Times New Roman" w:cs="Times New Roman"/>
          <w:szCs w:val="24"/>
          <w:lang w:eastAsia="sl-SI"/>
        </w:rPr>
        <w:t xml:space="preserve"> prvo mesto, sledili sta ji Poljska in Švedska. Nekateri poljski študenti so </w:t>
      </w:r>
      <w:r w:rsidRPr="007C2A52">
        <w:rPr>
          <w:rFonts w:eastAsia="Times New Roman" w:cs="Times New Roman"/>
          <w:szCs w:val="24"/>
          <w:lang w:eastAsia="sl-SI"/>
        </w:rPr>
        <w:t xml:space="preserve">prakso </w:t>
      </w:r>
      <w:r w:rsidR="00D0741D" w:rsidRPr="007C2A52">
        <w:rPr>
          <w:rFonts w:eastAsia="Times New Roman" w:cs="Times New Roman"/>
          <w:szCs w:val="24"/>
          <w:lang w:eastAsia="sl-SI"/>
        </w:rPr>
        <w:t xml:space="preserve">torej </w:t>
      </w:r>
      <w:r w:rsidR="003B02DD" w:rsidRPr="007C2A52">
        <w:rPr>
          <w:rFonts w:eastAsia="Times New Roman" w:cs="Times New Roman"/>
          <w:szCs w:val="24"/>
          <w:lang w:eastAsia="sl-SI"/>
        </w:rPr>
        <w:t>najverjetneje dojemali</w:t>
      </w:r>
      <w:r w:rsidRPr="007C2A52">
        <w:rPr>
          <w:rFonts w:eastAsia="Times New Roman" w:cs="Times New Roman"/>
          <w:szCs w:val="24"/>
          <w:lang w:eastAsia="sl-SI"/>
        </w:rPr>
        <w:t xml:space="preserve"> kot priložnost, da za nekaj mesecev okusijo življenje v </w:t>
      </w:r>
      <w:r w:rsidR="005720C5" w:rsidRPr="007C2A52">
        <w:rPr>
          <w:rFonts w:eastAsia="Times New Roman" w:cs="Times New Roman"/>
          <w:szCs w:val="24"/>
          <w:lang w:eastAsia="sl-SI"/>
        </w:rPr>
        <w:t>jugoslovanskem socialističnem eksperimentu.</w:t>
      </w:r>
    </w:p>
    <w:p w14:paraId="08FBBEFF" w14:textId="63DA48AA" w:rsidR="000C6FE6" w:rsidRPr="007C2A52" w:rsidRDefault="000C6FE6" w:rsidP="001D0AF5">
      <w:pPr>
        <w:pStyle w:val="Navadensplet"/>
        <w:spacing w:before="0" w:beforeAutospacing="0" w:after="0" w:afterAutospacing="0" w:line="276" w:lineRule="auto"/>
        <w:jc w:val="both"/>
      </w:pPr>
      <w:r w:rsidRPr="007C2A52">
        <w:t xml:space="preserve">Jugoslovanski študenti </w:t>
      </w:r>
      <w:r w:rsidR="00CD2A8E">
        <w:t>pa</w:t>
      </w:r>
      <w:r w:rsidR="00CD2A8E" w:rsidRPr="007C2A52">
        <w:t xml:space="preserve"> </w:t>
      </w:r>
      <w:r w:rsidRPr="007C2A52">
        <w:t xml:space="preserve">so bili </w:t>
      </w:r>
      <w:r w:rsidR="00BA006E">
        <w:t>po</w:t>
      </w:r>
      <w:r w:rsidR="00BA006E" w:rsidRPr="007C2A52">
        <w:t xml:space="preserve"> drugi strani</w:t>
      </w:r>
      <w:r w:rsidR="00BA006E">
        <w:t xml:space="preserve"> </w:t>
      </w:r>
      <w:r w:rsidRPr="007C2A52">
        <w:t>fascinirani nad poljsko kulturo, študentskimi klubi, v okviru katerih so delovala številna eksperi</w:t>
      </w:r>
      <w:r w:rsidR="003B02DD" w:rsidRPr="007C2A52">
        <w:t xml:space="preserve">mentalna gledališča in kabareti, </w:t>
      </w:r>
      <w:r w:rsidRPr="007C2A52">
        <w:t xml:space="preserve">ter poljsko zgodovino, polno tradicije bojev za svobodo. Na to kaže zapis Tonija Tršarja, </w:t>
      </w:r>
      <w:r w:rsidR="00E270BD">
        <w:t>ki je postal znan</w:t>
      </w:r>
      <w:r w:rsidRPr="007C2A52">
        <w:t xml:space="preserve"> </w:t>
      </w:r>
      <w:r w:rsidR="00E270BD" w:rsidRPr="007C2A52">
        <w:t>slovensk</w:t>
      </w:r>
      <w:r w:rsidR="00E270BD">
        <w:t>i</w:t>
      </w:r>
      <w:r w:rsidR="00E270BD" w:rsidRPr="007C2A52">
        <w:t xml:space="preserve"> </w:t>
      </w:r>
      <w:r w:rsidRPr="007C2A52">
        <w:t xml:space="preserve">novinar in </w:t>
      </w:r>
      <w:r w:rsidR="00E270BD" w:rsidRPr="007C2A52">
        <w:t>filmsk</w:t>
      </w:r>
      <w:r w:rsidR="00E270BD">
        <w:t>i</w:t>
      </w:r>
      <w:r w:rsidR="00E270BD" w:rsidRPr="007C2A52">
        <w:t xml:space="preserve"> </w:t>
      </w:r>
      <w:r w:rsidRPr="007C2A52">
        <w:t>publicist</w:t>
      </w:r>
      <w:r w:rsidR="00E270BD">
        <w:t>.</w:t>
      </w:r>
      <w:r w:rsidRPr="007C2A52">
        <w:t xml:space="preserve"> </w:t>
      </w:r>
      <w:r w:rsidR="00E270BD">
        <w:t>Ta</w:t>
      </w:r>
      <w:r w:rsidR="00E270BD" w:rsidRPr="007C2A52">
        <w:t xml:space="preserve"> </w:t>
      </w:r>
      <w:r w:rsidRPr="007C2A52">
        <w:t xml:space="preserve">je ob odhodu na Poljsko leta 1958 svoja pričakovanja izrazil z naslednjimi besedami: </w:t>
      </w:r>
    </w:p>
    <w:p w14:paraId="3CDAEBFE" w14:textId="77777777" w:rsidR="000C6FE6" w:rsidRPr="007C2A52" w:rsidRDefault="000C6FE6" w:rsidP="001D0AF5">
      <w:pPr>
        <w:pStyle w:val="Navadensplet"/>
        <w:spacing w:before="0" w:beforeAutospacing="0" w:after="0" w:afterAutospacing="0" w:line="276" w:lineRule="auto"/>
        <w:jc w:val="both"/>
      </w:pPr>
    </w:p>
    <w:p w14:paraId="359C4152" w14:textId="77777777" w:rsidR="000C6FE6" w:rsidRPr="007C2A52" w:rsidRDefault="000C6FE6" w:rsidP="001D0AF5">
      <w:pPr>
        <w:spacing w:line="276" w:lineRule="auto"/>
        <w:ind w:left="567" w:right="567"/>
        <w:jc w:val="both"/>
        <w:rPr>
          <w:sz w:val="22"/>
        </w:rPr>
      </w:pPr>
      <w:r w:rsidRPr="007C2A52">
        <w:rPr>
          <w:sz w:val="22"/>
        </w:rPr>
        <w:lastRenderedPageBreak/>
        <w:t>»Poljski oktober, dogodki okoli njega in odmev, ki ga je imel v svetu – heroizem varšavskih upornikov 1944. leta – 63 strašnih dni, polnih groze in muk v labirintu varšavskih kanalov – 63 dni boja brez iskrice upanja na rešitev – skoro do tal porušena Varšava in Visla ... Visla – simbol svobode. Vse to mi je približalo Poljake že doma, čimbolj pa sem se bližal Varšavi, več je bilo misli. Le kaj bom videl sedaj?«</w:t>
      </w:r>
    </w:p>
    <w:p w14:paraId="4682BCA8" w14:textId="77777777" w:rsidR="000C6FE6" w:rsidRPr="007C2A52" w:rsidRDefault="000C6FE6" w:rsidP="001D0AF5">
      <w:pPr>
        <w:spacing w:line="276" w:lineRule="auto"/>
        <w:ind w:left="567" w:right="567"/>
        <w:jc w:val="both"/>
        <w:rPr>
          <w:sz w:val="22"/>
        </w:rPr>
      </w:pPr>
    </w:p>
    <w:p w14:paraId="208C5904" w14:textId="7092CFBB" w:rsidR="000C6FE6" w:rsidRPr="007C2A52" w:rsidRDefault="000C6FE6" w:rsidP="001D0AF5">
      <w:pPr>
        <w:spacing w:line="276" w:lineRule="auto"/>
        <w:ind w:left="567" w:right="567"/>
        <w:jc w:val="both"/>
        <w:rPr>
          <w:sz w:val="22"/>
        </w:rPr>
      </w:pPr>
      <w:r w:rsidRPr="007C2A52">
        <w:rPr>
          <w:sz w:val="22"/>
        </w:rPr>
        <w:t>— Toni Tršar, »Dežela kontrastov«</w:t>
      </w:r>
      <w:r w:rsidR="002B1D4E">
        <w:rPr>
          <w:sz w:val="22"/>
        </w:rPr>
        <w:t>,</w:t>
      </w:r>
      <w:r w:rsidRPr="007C2A52">
        <w:rPr>
          <w:sz w:val="22"/>
        </w:rPr>
        <w:t xml:space="preserve"> </w:t>
      </w:r>
      <w:r w:rsidRPr="007C2A52">
        <w:rPr>
          <w:i/>
          <w:sz w:val="22"/>
        </w:rPr>
        <w:t>Tribuna</w:t>
      </w:r>
      <w:r w:rsidRPr="007C2A52">
        <w:rPr>
          <w:sz w:val="22"/>
        </w:rPr>
        <w:t>, št. 11</w:t>
      </w:r>
      <w:r w:rsidR="002B1D4E">
        <w:rPr>
          <w:sz w:val="22"/>
        </w:rPr>
        <w:t>‒</w:t>
      </w:r>
      <w:r w:rsidRPr="007C2A52">
        <w:rPr>
          <w:sz w:val="22"/>
        </w:rPr>
        <w:t>12, 1958, str. 13.</w:t>
      </w:r>
    </w:p>
    <w:p w14:paraId="433FBC14" w14:textId="77777777" w:rsidR="00DB3C40" w:rsidRPr="007C2A52" w:rsidRDefault="00DB3C40" w:rsidP="001D0AF5">
      <w:pPr>
        <w:spacing w:line="276" w:lineRule="auto"/>
        <w:jc w:val="both"/>
        <w:rPr>
          <w:rFonts w:eastAsia="Times New Roman" w:cs="Times New Roman"/>
          <w:szCs w:val="24"/>
          <w:lang w:eastAsia="sl-SI"/>
        </w:rPr>
      </w:pPr>
    </w:p>
    <w:p w14:paraId="7F1F2BFF" w14:textId="44DE1D84" w:rsidR="00DB3C40" w:rsidRPr="007C2A52" w:rsidRDefault="00DB3C40" w:rsidP="001D0AF5">
      <w:pPr>
        <w:spacing w:line="276" w:lineRule="auto"/>
        <w:jc w:val="both"/>
      </w:pPr>
      <w:r w:rsidRPr="007C2A52">
        <w:t xml:space="preserve">Poljsko-jugoslovanske študentske izmenjave v petdesetih in šestdesetih letih so se izkazale kot </w:t>
      </w:r>
      <w:r w:rsidR="003B02DD" w:rsidRPr="007C2A52">
        <w:t>trden</w:t>
      </w:r>
      <w:r w:rsidRPr="007C2A52">
        <w:t xml:space="preserve"> most med državama ne glede na politične in ideološke pretrese tistega časa. Po vnovični ohladitvi odnosov med Jugoslavijo in vzhodnim blokom leta 1958 se njihovo število namreč ni zmanjšalo, temveč je zlagoma raslo še naprej. Tako so pomembno prispevale </w:t>
      </w:r>
      <w:r w:rsidR="009E1EC5">
        <w:t>k</w:t>
      </w:r>
      <w:r w:rsidR="009E1EC5" w:rsidRPr="007C2A52">
        <w:t xml:space="preserve"> </w:t>
      </w:r>
      <w:r w:rsidRPr="007C2A52">
        <w:t>neprekinjenem</w:t>
      </w:r>
      <w:r w:rsidR="009E1EC5">
        <w:t>u</w:t>
      </w:r>
      <w:r w:rsidRPr="007C2A52">
        <w:t xml:space="preserve"> pretoku znanja, idej in praks med Poljsko in Jugoslavijo ter pripomogle k vzpostavitvi trajnejših prijateljskih vezi med narodi obeh držav.</w:t>
      </w:r>
    </w:p>
    <w:p w14:paraId="69E7C295" w14:textId="77777777" w:rsidR="00C82BC8" w:rsidRDefault="00C82BC8" w:rsidP="001D0AF5">
      <w:pPr>
        <w:spacing w:line="276" w:lineRule="auto"/>
        <w:jc w:val="both"/>
      </w:pPr>
    </w:p>
    <w:p w14:paraId="5F04B202" w14:textId="57811859" w:rsidR="003D5574" w:rsidRDefault="003D5574" w:rsidP="001D0AF5">
      <w:pPr>
        <w:spacing w:line="276" w:lineRule="auto"/>
        <w:jc w:val="both"/>
      </w:pPr>
      <w:r>
        <w:t>***</w:t>
      </w:r>
    </w:p>
    <w:p w14:paraId="0E8FE746" w14:textId="77777777" w:rsidR="003D5574" w:rsidRDefault="003D5574" w:rsidP="001D0AF5">
      <w:pPr>
        <w:spacing w:line="276" w:lineRule="auto"/>
        <w:jc w:val="both"/>
      </w:pPr>
    </w:p>
    <w:p w14:paraId="522DED90" w14:textId="0B717BB8" w:rsidR="003D5574" w:rsidRPr="003D5574" w:rsidRDefault="003D5574" w:rsidP="001D0AF5">
      <w:pPr>
        <w:spacing w:line="276" w:lineRule="auto"/>
        <w:jc w:val="both"/>
        <w:rPr>
          <w:b/>
        </w:rPr>
      </w:pPr>
      <w:r w:rsidRPr="003D5574">
        <w:rPr>
          <w:b/>
        </w:rPr>
        <w:t>Slike podnapisi</w:t>
      </w:r>
    </w:p>
    <w:p w14:paraId="46FF8A4C" w14:textId="77777777" w:rsidR="003D5574" w:rsidRDefault="003D5574" w:rsidP="001D0AF5">
      <w:pPr>
        <w:spacing w:line="276" w:lineRule="auto"/>
        <w:jc w:val="both"/>
      </w:pPr>
    </w:p>
    <w:p w14:paraId="6BE3D4E7" w14:textId="77777777" w:rsidR="003D5574" w:rsidRDefault="003D5574" w:rsidP="003D5574">
      <w:r>
        <w:t xml:space="preserve">Slika 1: Maria Woron in Anna Kisielewska, študentki južnoslovanskih jezikov iz Krakova na študijski izmenjavi na Univerzi v Novem Sadu </w:t>
      </w:r>
    </w:p>
    <w:p w14:paraId="1E6B7FE1" w14:textId="77777777" w:rsidR="003D5574" w:rsidRDefault="003D5574" w:rsidP="003D5574">
      <w:r w:rsidRPr="009B5255">
        <w:rPr>
          <w:i/>
        </w:rPr>
        <w:t>Index</w:t>
      </w:r>
      <w:r>
        <w:t>, 19. 2. 1962, str. 5</w:t>
      </w:r>
    </w:p>
    <w:p w14:paraId="1D15AC30" w14:textId="77777777" w:rsidR="003D5574" w:rsidRDefault="003D5574" w:rsidP="003D5574"/>
    <w:p w14:paraId="637B71EC" w14:textId="77777777" w:rsidR="003D5574" w:rsidRDefault="003D5574" w:rsidP="003D5574">
      <w:r>
        <w:t>Slika 2: Poljski študenti v Ljubljani pred grobnico herojev</w:t>
      </w:r>
    </w:p>
    <w:p w14:paraId="11CE4553" w14:textId="77777777" w:rsidR="003D5574" w:rsidRDefault="003D5574" w:rsidP="003D5574">
      <w:r w:rsidRPr="003C5A31">
        <w:rPr>
          <w:i/>
        </w:rPr>
        <w:t>Tribuna</w:t>
      </w:r>
      <w:r>
        <w:t>, 23. 10. 1956, str. 1</w:t>
      </w:r>
    </w:p>
    <w:p w14:paraId="31464BC8" w14:textId="77777777" w:rsidR="003D5574" w:rsidRDefault="003D5574" w:rsidP="003D5574"/>
    <w:p w14:paraId="70D60E32" w14:textId="77777777" w:rsidR="003D5574" w:rsidRDefault="003D5574" w:rsidP="003D5574">
      <w:r>
        <w:t xml:space="preserve">Slika 3: Živahno je bilo tudi sodelovanje med poljskim in jugoslovanskim študentskim tiskom. Na sliki uredniki časopisa </w:t>
      </w:r>
      <w:r w:rsidRPr="003C5A31">
        <w:rPr>
          <w:i/>
        </w:rPr>
        <w:t>Student</w:t>
      </w:r>
      <w:r>
        <w:t xml:space="preserve"> Univerze v Beogradu na obisku pri uredništvu revije </w:t>
      </w:r>
      <w:r w:rsidRPr="003C5A31">
        <w:rPr>
          <w:i/>
        </w:rPr>
        <w:t>Uwaga</w:t>
      </w:r>
      <w:r>
        <w:t xml:space="preserve"> v Gdańsku </w:t>
      </w:r>
      <w:bookmarkStart w:id="0" w:name="_GoBack"/>
      <w:bookmarkEnd w:id="0"/>
    </w:p>
    <w:p w14:paraId="5EEB8C7F" w14:textId="77777777" w:rsidR="003D5574" w:rsidRDefault="003D5574" w:rsidP="003D5574">
      <w:r w:rsidRPr="003C5A31">
        <w:rPr>
          <w:i/>
        </w:rPr>
        <w:t>Uwaga</w:t>
      </w:r>
      <w:r>
        <w:t>, 25. 1. 1958, str. 1</w:t>
      </w:r>
    </w:p>
    <w:p w14:paraId="0D79D98E" w14:textId="77777777" w:rsidR="003D5574" w:rsidRDefault="003D5574" w:rsidP="003D5574"/>
    <w:p w14:paraId="169BC1E7" w14:textId="77777777" w:rsidR="003D5574" w:rsidRDefault="003D5574" w:rsidP="003D5574">
      <w:r>
        <w:t>***</w:t>
      </w:r>
    </w:p>
    <w:p w14:paraId="706A7FED" w14:textId="77777777" w:rsidR="003D5574" w:rsidRDefault="003D5574" w:rsidP="003D5574"/>
    <w:p w14:paraId="40BA8C1A" w14:textId="77777777" w:rsidR="003D5574" w:rsidRDefault="003D5574" w:rsidP="003D5574">
      <w:r>
        <w:t>Če je prva slika preslabe kvalitete, naj se jo nadomesti z naslednjo:</w:t>
      </w:r>
    </w:p>
    <w:p w14:paraId="4F9D9597" w14:textId="77777777" w:rsidR="003D5574" w:rsidRDefault="003D5574" w:rsidP="003D5574">
      <w:r>
        <w:t>Slika 4: Skupina poljskih študentov na desetdnevnem obisku v Beogradu in Novem Sadu</w:t>
      </w:r>
    </w:p>
    <w:p w14:paraId="6B809B05" w14:textId="77777777" w:rsidR="003D5574" w:rsidRDefault="003D5574" w:rsidP="003D5574">
      <w:r w:rsidRPr="009B5255">
        <w:rPr>
          <w:i/>
        </w:rPr>
        <w:t>Student</w:t>
      </w:r>
      <w:r>
        <w:t>, 8. 4. 1958, str. 2</w:t>
      </w:r>
    </w:p>
    <w:p w14:paraId="3FC7EE80" w14:textId="77777777" w:rsidR="003D5574" w:rsidRDefault="003D5574" w:rsidP="003D5574"/>
    <w:p w14:paraId="74157CB0" w14:textId="77777777" w:rsidR="003D5574" w:rsidRDefault="003D5574" w:rsidP="003D5574"/>
    <w:p w14:paraId="775D641F" w14:textId="77777777" w:rsidR="003D5574" w:rsidRDefault="003D5574" w:rsidP="003D5574"/>
    <w:p w14:paraId="54D6E096" w14:textId="77777777" w:rsidR="003D5574" w:rsidRDefault="003D5574" w:rsidP="003D5574"/>
    <w:p w14:paraId="54696F68" w14:textId="77777777" w:rsidR="003D5574" w:rsidRPr="007C2A52" w:rsidRDefault="003D5574" w:rsidP="001D0AF5">
      <w:pPr>
        <w:spacing w:line="276" w:lineRule="auto"/>
        <w:jc w:val="both"/>
      </w:pPr>
    </w:p>
    <w:sectPr w:rsidR="003D5574" w:rsidRPr="007C2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EFDC4" w14:textId="77777777" w:rsidR="00A76961" w:rsidRDefault="00A76961" w:rsidP="000C6FE6">
      <w:pPr>
        <w:spacing w:line="240" w:lineRule="auto"/>
      </w:pPr>
      <w:r>
        <w:separator/>
      </w:r>
    </w:p>
  </w:endnote>
  <w:endnote w:type="continuationSeparator" w:id="0">
    <w:p w14:paraId="070E2BBD" w14:textId="77777777" w:rsidR="00A76961" w:rsidRDefault="00A76961" w:rsidP="000C6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33C74" w14:textId="77777777" w:rsidR="00A76961" w:rsidRDefault="00A76961" w:rsidP="000C6FE6">
      <w:pPr>
        <w:spacing w:line="240" w:lineRule="auto"/>
      </w:pPr>
      <w:r>
        <w:separator/>
      </w:r>
    </w:p>
  </w:footnote>
  <w:footnote w:type="continuationSeparator" w:id="0">
    <w:p w14:paraId="663515FA" w14:textId="77777777" w:rsidR="00A76961" w:rsidRDefault="00A76961" w:rsidP="000C6F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41FB4"/>
    <w:multiLevelType w:val="hybridMultilevel"/>
    <w:tmpl w:val="5980EE14"/>
    <w:lvl w:ilvl="0" w:tplc="64EAC4EE">
      <w:start w:val="40"/>
      <w:numFmt w:val="bullet"/>
      <w:lvlText w:val="-"/>
      <w:lvlJc w:val="left"/>
      <w:pPr>
        <w:ind w:left="720" w:hanging="360"/>
      </w:pPr>
      <w:rPr>
        <w:rFonts w:ascii="Times New Roman" w:eastAsia="Times New Roman" w:hAnsi="Times New Roman" w:cs="Times New Roman" w:hint="default"/>
        <w:sz w:val="2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9F856E6"/>
    <w:multiLevelType w:val="hybridMultilevel"/>
    <w:tmpl w:val="FB9AC5CE"/>
    <w:lvl w:ilvl="0" w:tplc="D1CE835C">
      <w:start w:val="4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C5"/>
    <w:rsid w:val="000262C4"/>
    <w:rsid w:val="0005593A"/>
    <w:rsid w:val="000C6FE6"/>
    <w:rsid w:val="000F2DD2"/>
    <w:rsid w:val="00101BA3"/>
    <w:rsid w:val="00127B9D"/>
    <w:rsid w:val="001438AC"/>
    <w:rsid w:val="00143ACE"/>
    <w:rsid w:val="001C61F9"/>
    <w:rsid w:val="001D0AF5"/>
    <w:rsid w:val="002B1D4E"/>
    <w:rsid w:val="002F12C3"/>
    <w:rsid w:val="003153BD"/>
    <w:rsid w:val="003948C4"/>
    <w:rsid w:val="003B02DD"/>
    <w:rsid w:val="003D5574"/>
    <w:rsid w:val="004B1206"/>
    <w:rsid w:val="004B766E"/>
    <w:rsid w:val="00517AD2"/>
    <w:rsid w:val="00571492"/>
    <w:rsid w:val="005720C5"/>
    <w:rsid w:val="005C6096"/>
    <w:rsid w:val="005D52DC"/>
    <w:rsid w:val="005D7B2D"/>
    <w:rsid w:val="006074F2"/>
    <w:rsid w:val="0072350E"/>
    <w:rsid w:val="007835C9"/>
    <w:rsid w:val="007C2A52"/>
    <w:rsid w:val="0080414F"/>
    <w:rsid w:val="00805337"/>
    <w:rsid w:val="00932E00"/>
    <w:rsid w:val="00994DB3"/>
    <w:rsid w:val="009E1EC5"/>
    <w:rsid w:val="00A76961"/>
    <w:rsid w:val="00A86CE6"/>
    <w:rsid w:val="00AB6F7F"/>
    <w:rsid w:val="00AF1E9F"/>
    <w:rsid w:val="00B65620"/>
    <w:rsid w:val="00BA006E"/>
    <w:rsid w:val="00C82BC8"/>
    <w:rsid w:val="00C977AB"/>
    <w:rsid w:val="00CD2A8E"/>
    <w:rsid w:val="00D0096C"/>
    <w:rsid w:val="00D0741D"/>
    <w:rsid w:val="00D63A11"/>
    <w:rsid w:val="00D84E18"/>
    <w:rsid w:val="00DB00B0"/>
    <w:rsid w:val="00DB3C40"/>
    <w:rsid w:val="00DE6A44"/>
    <w:rsid w:val="00DF068B"/>
    <w:rsid w:val="00DF1738"/>
    <w:rsid w:val="00E270BD"/>
    <w:rsid w:val="00EC2C32"/>
    <w:rsid w:val="00F51B2D"/>
    <w:rsid w:val="00FA20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64E9"/>
  <w15:chartTrackingRefBased/>
  <w15:docId w15:val="{F0842AB9-9E3C-48D7-8626-CB7D7052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sl-SI"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720C5"/>
    <w:pPr>
      <w:spacing w:before="100" w:beforeAutospacing="1" w:after="100" w:afterAutospacing="1" w:line="240" w:lineRule="auto"/>
    </w:pPr>
    <w:rPr>
      <w:rFonts w:eastAsia="Times New Roman" w:cs="Times New Roman"/>
      <w:szCs w:val="24"/>
      <w:lang w:eastAsia="sl-SI"/>
    </w:rPr>
  </w:style>
  <w:style w:type="paragraph" w:styleId="Sprotnaopomba-besedilo">
    <w:name w:val="footnote text"/>
    <w:basedOn w:val="Navaden"/>
    <w:link w:val="Sprotnaopomba-besediloZnak"/>
    <w:uiPriority w:val="99"/>
    <w:unhideWhenUsed/>
    <w:rsid w:val="000C6FE6"/>
    <w:pPr>
      <w:spacing w:line="240" w:lineRule="auto"/>
    </w:pPr>
    <w:rPr>
      <w:rFonts w:eastAsia="Calibri" w:cs="Times New Roman"/>
    </w:rPr>
  </w:style>
  <w:style w:type="character" w:customStyle="1" w:styleId="Sprotnaopomba-besediloZnak">
    <w:name w:val="Sprotna opomba - besedilo Znak"/>
    <w:basedOn w:val="Privzetapisavaodstavka"/>
    <w:link w:val="Sprotnaopomba-besedilo"/>
    <w:uiPriority w:val="99"/>
    <w:rsid w:val="000C6FE6"/>
    <w:rPr>
      <w:rFonts w:eastAsia="Calibri" w:cs="Times New Roman"/>
    </w:rPr>
  </w:style>
  <w:style w:type="character" w:styleId="Sprotnaopomba-sklic">
    <w:name w:val="footnote reference"/>
    <w:basedOn w:val="Privzetapisavaodstavka"/>
    <w:uiPriority w:val="99"/>
    <w:unhideWhenUsed/>
    <w:qFormat/>
    <w:rsid w:val="000C6FE6"/>
    <w:rPr>
      <w:rFonts w:ascii="Times New Roman" w:hAnsi="Times New Roman"/>
      <w:sz w:val="20"/>
      <w:vertAlign w:val="superscript"/>
    </w:rPr>
  </w:style>
  <w:style w:type="paragraph" w:styleId="Odstavekseznama">
    <w:name w:val="List Paragraph"/>
    <w:basedOn w:val="Navaden"/>
    <w:uiPriority w:val="34"/>
    <w:qFormat/>
    <w:rsid w:val="000C6FE6"/>
    <w:pPr>
      <w:ind w:left="720"/>
      <w:contextualSpacing/>
    </w:pPr>
  </w:style>
  <w:style w:type="table" w:styleId="Tabelamrea">
    <w:name w:val="Table Grid"/>
    <w:basedOn w:val="Navadnatabela"/>
    <w:uiPriority w:val="39"/>
    <w:rsid w:val="00D074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ija">
    <w:name w:val="Revision"/>
    <w:hidden/>
    <w:uiPriority w:val="99"/>
    <w:semiHidden/>
    <w:rsid w:val="00C977AB"/>
    <w:pPr>
      <w:spacing w:line="240" w:lineRule="auto"/>
    </w:pPr>
  </w:style>
  <w:style w:type="paragraph" w:styleId="Besedilooblaka">
    <w:name w:val="Balloon Text"/>
    <w:basedOn w:val="Navaden"/>
    <w:link w:val="BesedilooblakaZnak"/>
    <w:uiPriority w:val="99"/>
    <w:semiHidden/>
    <w:unhideWhenUsed/>
    <w:rsid w:val="001D0AF5"/>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D0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30634">
      <w:bodyDiv w:val="1"/>
      <w:marLeft w:val="0"/>
      <w:marRight w:val="0"/>
      <w:marTop w:val="0"/>
      <w:marBottom w:val="0"/>
      <w:divBdr>
        <w:top w:val="none" w:sz="0" w:space="0" w:color="auto"/>
        <w:left w:val="none" w:sz="0" w:space="0" w:color="auto"/>
        <w:bottom w:val="none" w:sz="0" w:space="0" w:color="auto"/>
        <w:right w:val="none" w:sz="0" w:space="0" w:color="auto"/>
      </w:divBdr>
    </w:div>
    <w:div w:id="643509550">
      <w:bodyDiv w:val="1"/>
      <w:marLeft w:val="0"/>
      <w:marRight w:val="0"/>
      <w:marTop w:val="0"/>
      <w:marBottom w:val="0"/>
      <w:divBdr>
        <w:top w:val="none" w:sz="0" w:space="0" w:color="auto"/>
        <w:left w:val="none" w:sz="0" w:space="0" w:color="auto"/>
        <w:bottom w:val="none" w:sz="0" w:space="0" w:color="auto"/>
        <w:right w:val="none" w:sz="0" w:space="0" w:color="auto"/>
      </w:divBdr>
    </w:div>
    <w:div w:id="659121615">
      <w:bodyDiv w:val="1"/>
      <w:marLeft w:val="0"/>
      <w:marRight w:val="0"/>
      <w:marTop w:val="0"/>
      <w:marBottom w:val="0"/>
      <w:divBdr>
        <w:top w:val="none" w:sz="0" w:space="0" w:color="auto"/>
        <w:left w:val="none" w:sz="0" w:space="0" w:color="auto"/>
        <w:bottom w:val="none" w:sz="0" w:space="0" w:color="auto"/>
        <w:right w:val="none" w:sz="0" w:space="0" w:color="auto"/>
      </w:divBdr>
    </w:div>
    <w:div w:id="1767531862">
      <w:bodyDiv w:val="1"/>
      <w:marLeft w:val="0"/>
      <w:marRight w:val="0"/>
      <w:marTop w:val="0"/>
      <w:marBottom w:val="0"/>
      <w:divBdr>
        <w:top w:val="none" w:sz="0" w:space="0" w:color="auto"/>
        <w:left w:val="none" w:sz="0" w:space="0" w:color="auto"/>
        <w:bottom w:val="none" w:sz="0" w:space="0" w:color="auto"/>
        <w:right w:val="none" w:sz="0" w:space="0" w:color="auto"/>
      </w:divBdr>
    </w:div>
    <w:div w:id="183429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4422-4031-4B56-BF23-B61C197E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1165</Words>
  <Characters>6645</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21</cp:revision>
  <dcterms:created xsi:type="dcterms:W3CDTF">2025-03-19T11:11:00Z</dcterms:created>
  <dcterms:modified xsi:type="dcterms:W3CDTF">2025-03-19T15:45:00Z</dcterms:modified>
</cp:coreProperties>
</file>