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Kolofon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Jan Bernot in Neja Blaj Hribar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Učbeniki za osnovne in nižje srednje šole med letoma 1774 in 1918: komentirana bibliografija s spremno študijo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before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Lektura: Polonca Kekec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i w:val="1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a0a0a"/>
          <w:sz w:val="24"/>
          <w:szCs w:val="24"/>
          <w:rtl w:val="0"/>
        </w:rPr>
        <w:t xml:space="preserve">Recenzenta: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a0a0a"/>
          <w:sz w:val="24"/>
          <w:szCs w:val="24"/>
          <w:rtl w:val="0"/>
        </w:rPr>
        <w:t xml:space="preserve">dr. Matej Hriberšek</w:t>
        <w:br w:type="textWrapping"/>
      </w: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dr. Irena Selišnik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a0a0a"/>
          <w:sz w:val="24"/>
          <w:szCs w:val="24"/>
          <w:rtl w:val="0"/>
        </w:rPr>
        <w:t xml:space="preserve">Kodiranje TEI in postavitev na splet:</w:t>
        <w:br w:type="textWrapping"/>
      </w: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Mihael Ojsteršek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Projekt je nastal v okviru raziskovalnega projekta:  </w:t>
      </w: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J6-2573 (A) </w:t>
      </w: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Šole in imperialne, nacionalne in transnacionalne identifikacije: Habsburška monarhija, Jugoslavija in Slovenija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Projekt je financirala Javna agencija za znanstvenoraziskovalno in inovacijsko dejavnost Republike Slovenije.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Štetje besed: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Inštitut za novejšo zgodovino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240" w:line="384.00000000000006" w:lineRule="auto"/>
        <w:rPr>
          <w:rFonts w:ascii="Roboto" w:cs="Roboto" w:eastAsia="Roboto" w:hAnsi="Roboto"/>
          <w:color w:val="0a0a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a0a0a"/>
          <w:sz w:val="24"/>
          <w:szCs w:val="24"/>
          <w:rtl w:val="0"/>
        </w:rPr>
        <w:t xml:space="preserve">Ljubljana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