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8E35" w14:textId="0FF9FBA9" w:rsidR="00C10531" w:rsidRDefault="00C10531" w:rsidP="00F116DF">
      <w:pPr>
        <w:spacing w:line="276" w:lineRule="auto"/>
        <w:jc w:val="both"/>
        <w:rPr>
          <w:rFonts w:ascii="Garamond" w:hAnsi="Garamond"/>
          <w:sz w:val="20"/>
          <w:szCs w:val="20"/>
        </w:rPr>
      </w:pPr>
      <w:r>
        <w:rPr>
          <w:noProof/>
        </w:rPr>
        <w:drawing>
          <wp:anchor distT="0" distB="0" distL="114300" distR="114300" simplePos="0" relativeHeight="251658240" behindDoc="0" locked="0" layoutInCell="1" allowOverlap="1" wp14:anchorId="0AA60DF6" wp14:editId="043838B9">
            <wp:simplePos x="0" y="0"/>
            <wp:positionH relativeFrom="margin">
              <wp:align>center</wp:align>
            </wp:positionH>
            <wp:positionV relativeFrom="paragraph">
              <wp:posOffset>3175</wp:posOffset>
            </wp:positionV>
            <wp:extent cx="704850" cy="705859"/>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ZZDS.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850" cy="705859"/>
                    </a:xfrm>
                    <a:prstGeom prst="rect">
                      <a:avLst/>
                    </a:prstGeom>
                  </pic:spPr>
                </pic:pic>
              </a:graphicData>
            </a:graphic>
          </wp:anchor>
        </w:drawing>
      </w:r>
    </w:p>
    <w:p w14:paraId="5B853FB4" w14:textId="3ADCA90E" w:rsidR="00C10531" w:rsidRDefault="00C10531" w:rsidP="00F116DF">
      <w:pPr>
        <w:spacing w:line="276" w:lineRule="auto"/>
        <w:jc w:val="both"/>
        <w:rPr>
          <w:rFonts w:ascii="Garamond" w:hAnsi="Garamond"/>
          <w:sz w:val="20"/>
          <w:szCs w:val="20"/>
        </w:rPr>
      </w:pPr>
    </w:p>
    <w:p w14:paraId="0B4B5D92" w14:textId="77777777" w:rsidR="00C10531" w:rsidRDefault="00C10531" w:rsidP="00F116DF">
      <w:pPr>
        <w:spacing w:line="276" w:lineRule="auto"/>
        <w:jc w:val="both"/>
        <w:rPr>
          <w:rFonts w:ascii="Garamond" w:hAnsi="Garamond"/>
          <w:sz w:val="20"/>
          <w:szCs w:val="20"/>
        </w:rPr>
      </w:pPr>
    </w:p>
    <w:p w14:paraId="7F7A2BBB" w14:textId="6859D921" w:rsidR="00C10531" w:rsidRDefault="00C10531" w:rsidP="00F116DF">
      <w:pPr>
        <w:spacing w:line="276" w:lineRule="auto"/>
        <w:jc w:val="both"/>
        <w:rPr>
          <w:rFonts w:ascii="Garamond" w:hAnsi="Garamond"/>
          <w:sz w:val="20"/>
          <w:szCs w:val="20"/>
        </w:rPr>
      </w:pPr>
    </w:p>
    <w:p w14:paraId="6D4DADAE" w14:textId="61B7D7AB" w:rsidR="006637CD" w:rsidRPr="00C10531" w:rsidRDefault="002F06E7" w:rsidP="00F116DF">
      <w:pPr>
        <w:spacing w:line="276" w:lineRule="auto"/>
        <w:jc w:val="both"/>
        <w:rPr>
          <w:rFonts w:ascii="Garamond" w:hAnsi="Garamond"/>
          <w:sz w:val="22"/>
          <w:szCs w:val="22"/>
        </w:rPr>
      </w:pPr>
      <w:r w:rsidRPr="00C10531">
        <w:rPr>
          <w:rFonts w:ascii="Garamond" w:hAnsi="Garamond"/>
          <w:sz w:val="22"/>
          <w:szCs w:val="22"/>
        </w:rPr>
        <w:t>Zaslužnemu profesorju dr. Dušanu Nečaku Zveza zgodovinskih društev Slovenije zaradi izkazanih raziskovalnih dosežkov na področju sodobne zgodovine, njenemu utemeljevanju</w:t>
      </w:r>
      <w:r w:rsidR="000C6D81" w:rsidRPr="00C10531">
        <w:rPr>
          <w:rFonts w:ascii="Garamond" w:hAnsi="Garamond"/>
          <w:sz w:val="22"/>
          <w:szCs w:val="22"/>
        </w:rPr>
        <w:t xml:space="preserve"> na pedagoškem in strokovnem področju ter</w:t>
      </w:r>
      <w:r w:rsidRPr="00C10531">
        <w:rPr>
          <w:rFonts w:ascii="Garamond" w:hAnsi="Garamond"/>
          <w:sz w:val="22"/>
          <w:szCs w:val="22"/>
        </w:rPr>
        <w:t xml:space="preserve"> razširjanju</w:t>
      </w:r>
      <w:r w:rsidR="00C10531" w:rsidRPr="00C10531">
        <w:rPr>
          <w:rFonts w:ascii="Garamond" w:hAnsi="Garamond"/>
          <w:sz w:val="22"/>
          <w:szCs w:val="22"/>
        </w:rPr>
        <w:t xml:space="preserve"> njene integritete in popularnosti</w:t>
      </w:r>
      <w:r w:rsidRPr="00C10531">
        <w:rPr>
          <w:rFonts w:ascii="Garamond" w:hAnsi="Garamond"/>
          <w:sz w:val="22"/>
          <w:szCs w:val="22"/>
        </w:rPr>
        <w:t xml:space="preserve"> med strokovno in splošno javnostjo podeljuje častno članstvo.</w:t>
      </w:r>
    </w:p>
    <w:p w14:paraId="4A26198A" w14:textId="49E9233F" w:rsidR="000C6D81" w:rsidRPr="00C10531" w:rsidRDefault="000C6D81" w:rsidP="00F116DF">
      <w:pPr>
        <w:spacing w:line="276" w:lineRule="auto"/>
        <w:jc w:val="both"/>
        <w:rPr>
          <w:rFonts w:ascii="Garamond" w:hAnsi="Garamond"/>
          <w:sz w:val="22"/>
          <w:szCs w:val="22"/>
        </w:rPr>
      </w:pPr>
      <w:r w:rsidRPr="00C10531">
        <w:rPr>
          <w:rFonts w:ascii="Garamond" w:hAnsi="Garamond"/>
          <w:sz w:val="22"/>
          <w:szCs w:val="22"/>
        </w:rPr>
        <w:t xml:space="preserve">Prof. dr. Nečak je eden izmed najbolj uglednih imen današnjega slovenskega in regionalnega zgodovinopisja oz. zgodovinopisja na področju nekdanje Jugoslavije. Ugled si je pridobil skozi svoje sistematično, natančno in vedno zanimivo znanstveno delo, ki se dotika mnogih problemskih sklopov. </w:t>
      </w:r>
      <w:r w:rsidR="00F116DF" w:rsidRPr="00C10531">
        <w:rPr>
          <w:rFonts w:ascii="Garamond" w:hAnsi="Garamond"/>
          <w:sz w:val="22"/>
          <w:szCs w:val="22"/>
        </w:rPr>
        <w:t>Eden izmed najpomembnejših sklopov je posvetil raziskovanju</w:t>
      </w:r>
      <w:r w:rsidRPr="00C10531">
        <w:rPr>
          <w:rFonts w:ascii="Garamond" w:hAnsi="Garamond"/>
          <w:sz w:val="22"/>
          <w:szCs w:val="22"/>
        </w:rPr>
        <w:t xml:space="preserve"> narodnostnih in manjšinskih vprašanj, kjer je največ pozornosti posvetil zgodovini koroških Slovencev. Med najbolj vidnimi deli s tega problemskega področja sta monografiji </w:t>
      </w:r>
      <w:r w:rsidRPr="00C10531">
        <w:rPr>
          <w:rFonts w:ascii="Garamond" w:hAnsi="Garamond"/>
          <w:i/>
          <w:iCs/>
          <w:sz w:val="22"/>
          <w:szCs w:val="22"/>
        </w:rPr>
        <w:t>Volitve na Koroškem</w:t>
      </w:r>
      <w:r w:rsidRPr="00C10531">
        <w:rPr>
          <w:rFonts w:ascii="Garamond" w:hAnsi="Garamond"/>
          <w:sz w:val="22"/>
          <w:szCs w:val="22"/>
        </w:rPr>
        <w:t xml:space="preserve"> </w:t>
      </w:r>
      <w:r w:rsidRPr="00C10531">
        <w:rPr>
          <w:rFonts w:ascii="Garamond" w:hAnsi="Garamond"/>
          <w:i/>
          <w:iCs/>
          <w:sz w:val="22"/>
          <w:szCs w:val="22"/>
        </w:rPr>
        <w:t>po drugi svetovni vojni</w:t>
      </w:r>
      <w:r w:rsidRPr="00C10531">
        <w:rPr>
          <w:rFonts w:ascii="Garamond" w:hAnsi="Garamond"/>
          <w:sz w:val="22"/>
          <w:szCs w:val="22"/>
        </w:rPr>
        <w:t xml:space="preserve"> in </w:t>
      </w:r>
      <w:r w:rsidRPr="00C10531">
        <w:rPr>
          <w:rFonts w:ascii="Garamond" w:hAnsi="Garamond"/>
          <w:i/>
          <w:iCs/>
          <w:sz w:val="22"/>
          <w:szCs w:val="22"/>
        </w:rPr>
        <w:t>Koroški Slovenci v drugi avstrijski republiki (1945–1976)</w:t>
      </w:r>
      <w:r w:rsidRPr="00C10531">
        <w:rPr>
          <w:rFonts w:ascii="Garamond" w:hAnsi="Garamond"/>
          <w:sz w:val="22"/>
          <w:szCs w:val="22"/>
        </w:rPr>
        <w:t xml:space="preserve">. Obe deli sta bili nagrajeni z najvišjimi državnimi odlikovanji. Njegovi pristopi so bili v </w:t>
      </w:r>
      <w:r w:rsidR="00F116DF" w:rsidRPr="00C10531">
        <w:rPr>
          <w:rFonts w:ascii="Garamond" w:hAnsi="Garamond"/>
          <w:sz w:val="22"/>
          <w:szCs w:val="22"/>
        </w:rPr>
        <w:t>takratnem</w:t>
      </w:r>
      <w:r w:rsidRPr="00C10531">
        <w:rPr>
          <w:rFonts w:ascii="Garamond" w:hAnsi="Garamond"/>
          <w:sz w:val="22"/>
          <w:szCs w:val="22"/>
        </w:rPr>
        <w:t xml:space="preserve"> času inovativni, saj so problematiko postavljali v širši kontekst in jo razširil na probleme asimilacije, politizacije </w:t>
      </w:r>
      <w:proofErr w:type="spellStart"/>
      <w:r w:rsidRPr="00C10531">
        <w:rPr>
          <w:rFonts w:ascii="Garamond" w:hAnsi="Garamond"/>
          <w:sz w:val="22"/>
          <w:szCs w:val="22"/>
        </w:rPr>
        <w:t>narodnomanjšinjske</w:t>
      </w:r>
      <w:proofErr w:type="spellEnd"/>
      <w:r w:rsidRPr="00C10531">
        <w:rPr>
          <w:rFonts w:ascii="Garamond" w:hAnsi="Garamond"/>
          <w:sz w:val="22"/>
          <w:szCs w:val="22"/>
        </w:rPr>
        <w:t xml:space="preserve"> terminologije, kategorizacije manjšinskih skupnosti in renesanse </w:t>
      </w:r>
      <w:proofErr w:type="spellStart"/>
      <w:r w:rsidRPr="00C10531">
        <w:rPr>
          <w:rFonts w:ascii="Garamond" w:hAnsi="Garamond"/>
          <w:sz w:val="22"/>
          <w:szCs w:val="22"/>
        </w:rPr>
        <w:t>narodnomanjšinjskih</w:t>
      </w:r>
      <w:proofErr w:type="spellEnd"/>
      <w:r w:rsidRPr="00C10531">
        <w:rPr>
          <w:rFonts w:ascii="Garamond" w:hAnsi="Garamond"/>
          <w:sz w:val="22"/>
          <w:szCs w:val="22"/>
        </w:rPr>
        <w:t xml:space="preserve"> gibanj v Evropi, in druge. V drugem </w:t>
      </w:r>
      <w:r w:rsidR="00F116DF" w:rsidRPr="00C10531">
        <w:rPr>
          <w:rFonts w:ascii="Garamond" w:hAnsi="Garamond"/>
          <w:sz w:val="22"/>
          <w:szCs w:val="22"/>
        </w:rPr>
        <w:t xml:space="preserve">večjem </w:t>
      </w:r>
      <w:r w:rsidRPr="00C10531">
        <w:rPr>
          <w:rFonts w:ascii="Garamond" w:hAnsi="Garamond"/>
          <w:sz w:val="22"/>
          <w:szCs w:val="22"/>
        </w:rPr>
        <w:t xml:space="preserve">raziskovalnem sklopu se je posvečal bilateralnim odnosom Slovenije in Jugoslavije z nemško govorečimi državami, zlasti z Avstrijo in Nemčijo, pri čemer se je posebej posvečal diplomatskemu arhivskemu gradivu. Eno izmed njegovih najbolj odmevnih del je bilo </w:t>
      </w:r>
      <w:r w:rsidRPr="00C10531">
        <w:rPr>
          <w:rFonts w:ascii="Garamond" w:hAnsi="Garamond"/>
          <w:i/>
          <w:iCs/>
          <w:sz w:val="22"/>
          <w:szCs w:val="22"/>
        </w:rPr>
        <w:t>Avstrijska legija II</w:t>
      </w:r>
      <w:r w:rsidRPr="00C10531">
        <w:rPr>
          <w:rFonts w:ascii="Garamond" w:hAnsi="Garamond"/>
          <w:sz w:val="22"/>
          <w:szCs w:val="22"/>
        </w:rPr>
        <w:t xml:space="preserve"> iz leta 1995, ki prikazuje dotlej popolnoma neobdelano problematiko usode </w:t>
      </w:r>
      <w:r w:rsidR="00CB3340" w:rsidRPr="00C10531">
        <w:rPr>
          <w:rFonts w:ascii="Garamond" w:hAnsi="Garamond"/>
          <w:sz w:val="22"/>
          <w:szCs w:val="22"/>
        </w:rPr>
        <w:t xml:space="preserve">nacističnih beguncev po neuspelem puču leta 1934 v Avstriji, ki so pribežali v Jugoslavijo. Tudi to delo je dobilo državno nagrado za vrhunske dosežke. </w:t>
      </w:r>
      <w:r w:rsidR="00F116DF" w:rsidRPr="00C10531">
        <w:rPr>
          <w:rFonts w:ascii="Garamond" w:hAnsi="Garamond"/>
          <w:sz w:val="22"/>
          <w:szCs w:val="22"/>
        </w:rPr>
        <w:t>Jugoslovansko</w:t>
      </w:r>
      <w:r w:rsidR="00CB3340" w:rsidRPr="00C10531">
        <w:rPr>
          <w:rFonts w:ascii="Garamond" w:hAnsi="Garamond"/>
          <w:sz w:val="22"/>
          <w:szCs w:val="22"/>
        </w:rPr>
        <w:t xml:space="preserve">-nemške odnose pa je opisal v dveh izstopajočih knjigah: </w:t>
      </w:r>
      <w:proofErr w:type="spellStart"/>
      <w:r w:rsidR="00CB3340" w:rsidRPr="00C10531">
        <w:rPr>
          <w:rFonts w:ascii="Garamond" w:hAnsi="Garamond"/>
          <w:i/>
          <w:iCs/>
          <w:sz w:val="22"/>
          <w:szCs w:val="22"/>
        </w:rPr>
        <w:t>Hallsteinova</w:t>
      </w:r>
      <w:proofErr w:type="spellEnd"/>
      <w:r w:rsidR="00CB3340" w:rsidRPr="00C10531">
        <w:rPr>
          <w:rFonts w:ascii="Garamond" w:hAnsi="Garamond"/>
          <w:i/>
          <w:iCs/>
          <w:sz w:val="22"/>
          <w:szCs w:val="22"/>
        </w:rPr>
        <w:t xml:space="preserve"> doktrina</w:t>
      </w:r>
      <w:r w:rsidR="00CB3340" w:rsidRPr="00C10531">
        <w:rPr>
          <w:rFonts w:ascii="Garamond" w:hAnsi="Garamond"/>
          <w:sz w:val="22"/>
          <w:szCs w:val="22"/>
        </w:rPr>
        <w:t xml:space="preserve"> ter </w:t>
      </w:r>
      <w:r w:rsidR="00CB3340" w:rsidRPr="00C10531">
        <w:rPr>
          <w:rFonts w:ascii="Garamond" w:hAnsi="Garamond"/>
          <w:i/>
          <w:iCs/>
          <w:sz w:val="22"/>
          <w:szCs w:val="22"/>
        </w:rPr>
        <w:t>»</w:t>
      </w:r>
      <w:proofErr w:type="spellStart"/>
      <w:r w:rsidR="00F116DF" w:rsidRPr="00C10531">
        <w:rPr>
          <w:rFonts w:ascii="Garamond" w:hAnsi="Garamond"/>
          <w:i/>
          <w:iCs/>
          <w:sz w:val="22"/>
          <w:szCs w:val="22"/>
        </w:rPr>
        <w:t>O</w:t>
      </w:r>
      <w:r w:rsidR="00CB3340" w:rsidRPr="00C10531">
        <w:rPr>
          <w:rFonts w:ascii="Garamond" w:hAnsi="Garamond"/>
          <w:i/>
          <w:iCs/>
          <w:sz w:val="22"/>
          <w:szCs w:val="22"/>
        </w:rPr>
        <w:t>stpolitik</w:t>
      </w:r>
      <w:proofErr w:type="spellEnd"/>
      <w:r w:rsidR="00CB3340" w:rsidRPr="00C10531">
        <w:rPr>
          <w:rFonts w:ascii="Garamond" w:hAnsi="Garamond"/>
          <w:i/>
          <w:iCs/>
          <w:sz w:val="22"/>
          <w:szCs w:val="22"/>
        </w:rPr>
        <w:t xml:space="preserve">« </w:t>
      </w:r>
      <w:proofErr w:type="spellStart"/>
      <w:r w:rsidR="00CB3340" w:rsidRPr="00C10531">
        <w:rPr>
          <w:rFonts w:ascii="Garamond" w:hAnsi="Garamond"/>
          <w:i/>
          <w:iCs/>
          <w:sz w:val="22"/>
          <w:szCs w:val="22"/>
        </w:rPr>
        <w:t>Willyja</w:t>
      </w:r>
      <w:proofErr w:type="spellEnd"/>
      <w:r w:rsidR="00CB3340" w:rsidRPr="00C10531">
        <w:rPr>
          <w:rFonts w:ascii="Garamond" w:hAnsi="Garamond"/>
          <w:i/>
          <w:iCs/>
          <w:sz w:val="22"/>
          <w:szCs w:val="22"/>
        </w:rPr>
        <w:t xml:space="preserve"> Brandta in Jugoslavija (1963–1969)</w:t>
      </w:r>
      <w:r w:rsidR="00CB3340" w:rsidRPr="00C10531">
        <w:rPr>
          <w:rFonts w:ascii="Garamond" w:hAnsi="Garamond"/>
          <w:sz w:val="22"/>
          <w:szCs w:val="22"/>
        </w:rPr>
        <w:t>.</w:t>
      </w:r>
    </w:p>
    <w:p w14:paraId="3751BF83" w14:textId="12DB21E9" w:rsidR="00CB3340" w:rsidRPr="00C10531" w:rsidRDefault="00CB3340" w:rsidP="00F116DF">
      <w:pPr>
        <w:spacing w:line="276" w:lineRule="auto"/>
        <w:jc w:val="both"/>
        <w:rPr>
          <w:rFonts w:ascii="Garamond" w:hAnsi="Garamond"/>
          <w:sz w:val="22"/>
          <w:szCs w:val="22"/>
        </w:rPr>
      </w:pPr>
      <w:r w:rsidRPr="00C10531">
        <w:rPr>
          <w:rFonts w:ascii="Garamond" w:hAnsi="Garamond"/>
          <w:sz w:val="22"/>
          <w:szCs w:val="22"/>
        </w:rPr>
        <w:t xml:space="preserve">Sicer se je profesor loteval še številnih drugih tem, kot je zahodna slovenske meja in </w:t>
      </w:r>
      <w:proofErr w:type="spellStart"/>
      <w:r w:rsidRPr="00C10531">
        <w:rPr>
          <w:rFonts w:ascii="Garamond" w:hAnsi="Garamond"/>
          <w:sz w:val="22"/>
          <w:szCs w:val="22"/>
        </w:rPr>
        <w:t>t.i</w:t>
      </w:r>
      <w:proofErr w:type="spellEnd"/>
      <w:r w:rsidRPr="00C10531">
        <w:rPr>
          <w:rFonts w:ascii="Garamond" w:hAnsi="Garamond"/>
          <w:sz w:val="22"/>
          <w:szCs w:val="22"/>
        </w:rPr>
        <w:t xml:space="preserve">. tržaško vprašanje, lokalne teme iz slovenske in jugoslovanske zgodovine ter občutljive teme, ki se jih drugi </w:t>
      </w:r>
      <w:r w:rsidR="00F116DF" w:rsidRPr="00C10531">
        <w:rPr>
          <w:rFonts w:ascii="Garamond" w:hAnsi="Garamond"/>
          <w:sz w:val="22"/>
          <w:szCs w:val="22"/>
        </w:rPr>
        <w:t>niso preučevali</w:t>
      </w:r>
      <w:r w:rsidRPr="00C10531">
        <w:rPr>
          <w:rFonts w:ascii="Garamond" w:hAnsi="Garamond"/>
          <w:sz w:val="22"/>
          <w:szCs w:val="22"/>
        </w:rPr>
        <w:t xml:space="preserve">. Ena izmed takih tem so bili Dachauski procesi, kjer je kot pobudnik interdisciplinarnega projekta vodil objavo raziskovalnega poročila na tisoč straneh ter tako omogočil rehabilitacijo obsojenih. </w:t>
      </w:r>
    </w:p>
    <w:p w14:paraId="30CF8F30" w14:textId="3774113C" w:rsidR="00CB3340" w:rsidRPr="00C10531" w:rsidRDefault="00F116DF" w:rsidP="00F116DF">
      <w:pPr>
        <w:spacing w:line="276" w:lineRule="auto"/>
        <w:jc w:val="both"/>
        <w:rPr>
          <w:rFonts w:ascii="Garamond" w:hAnsi="Garamond"/>
          <w:sz w:val="22"/>
          <w:szCs w:val="22"/>
        </w:rPr>
      </w:pPr>
      <w:r w:rsidRPr="00C10531">
        <w:rPr>
          <w:rFonts w:ascii="Garamond" w:hAnsi="Garamond"/>
          <w:sz w:val="22"/>
          <w:szCs w:val="22"/>
        </w:rPr>
        <w:t>Celotna b</w:t>
      </w:r>
      <w:r w:rsidR="00CB3340" w:rsidRPr="00C10531">
        <w:rPr>
          <w:rFonts w:ascii="Garamond" w:hAnsi="Garamond"/>
          <w:sz w:val="22"/>
          <w:szCs w:val="22"/>
        </w:rPr>
        <w:t xml:space="preserve">ibliografija prof. dr. Nečaka šteje preko 1100 zabeleženih enot, od tega 83 izvirnih in preglednih znanstvenih člankov, 48 poglavij v znanstvenih monografijah in 19 znanstvenih </w:t>
      </w:r>
      <w:r w:rsidRPr="00C10531">
        <w:rPr>
          <w:rFonts w:ascii="Garamond" w:hAnsi="Garamond"/>
          <w:sz w:val="22"/>
          <w:szCs w:val="22"/>
        </w:rPr>
        <w:t>monografij</w:t>
      </w:r>
      <w:r w:rsidR="00CB3340" w:rsidRPr="00C10531">
        <w:rPr>
          <w:rFonts w:ascii="Garamond" w:hAnsi="Garamond"/>
          <w:sz w:val="22"/>
          <w:szCs w:val="22"/>
        </w:rPr>
        <w:t xml:space="preserve">. To število bo v kratkem dopolnila okrogla, </w:t>
      </w:r>
      <w:r w:rsidRPr="00C10531">
        <w:rPr>
          <w:rFonts w:ascii="Garamond" w:hAnsi="Garamond"/>
          <w:sz w:val="22"/>
          <w:szCs w:val="22"/>
        </w:rPr>
        <w:t xml:space="preserve">že </w:t>
      </w:r>
      <w:r w:rsidR="00CB3340" w:rsidRPr="00C10531">
        <w:rPr>
          <w:rFonts w:ascii="Garamond" w:hAnsi="Garamond"/>
          <w:sz w:val="22"/>
          <w:szCs w:val="22"/>
        </w:rPr>
        <w:t>20</w:t>
      </w:r>
      <w:r w:rsidRPr="00C10531">
        <w:rPr>
          <w:rFonts w:ascii="Garamond" w:hAnsi="Garamond"/>
          <w:sz w:val="22"/>
          <w:szCs w:val="22"/>
        </w:rPr>
        <w:t xml:space="preserve"> znanstvena</w:t>
      </w:r>
      <w:r w:rsidR="00CB3340" w:rsidRPr="00C10531">
        <w:rPr>
          <w:rFonts w:ascii="Garamond" w:hAnsi="Garamond"/>
          <w:sz w:val="22"/>
          <w:szCs w:val="22"/>
        </w:rPr>
        <w:t xml:space="preserve"> </w:t>
      </w:r>
      <w:r w:rsidRPr="00C10531">
        <w:rPr>
          <w:rFonts w:ascii="Garamond" w:hAnsi="Garamond"/>
          <w:sz w:val="22"/>
          <w:szCs w:val="22"/>
        </w:rPr>
        <w:t>monografija</w:t>
      </w:r>
      <w:r w:rsidR="00CB3340" w:rsidRPr="00C10531">
        <w:rPr>
          <w:rFonts w:ascii="Garamond" w:hAnsi="Garamond"/>
          <w:sz w:val="22"/>
          <w:szCs w:val="22"/>
        </w:rPr>
        <w:t xml:space="preserve"> – še ena v vrsti posvečen</w:t>
      </w:r>
      <w:r w:rsidRPr="00C10531">
        <w:rPr>
          <w:rFonts w:ascii="Garamond" w:hAnsi="Garamond"/>
          <w:sz w:val="22"/>
          <w:szCs w:val="22"/>
        </w:rPr>
        <w:t>ih</w:t>
      </w:r>
      <w:r w:rsidR="00CB3340" w:rsidRPr="00C10531">
        <w:rPr>
          <w:rFonts w:ascii="Garamond" w:hAnsi="Garamond"/>
          <w:sz w:val="22"/>
          <w:szCs w:val="22"/>
        </w:rPr>
        <w:t xml:space="preserve"> jugoslovansko-nemškim diplomatskim odnosom. </w:t>
      </w:r>
    </w:p>
    <w:p w14:paraId="62921DD6" w14:textId="2C26BA27" w:rsidR="00CB3340" w:rsidRPr="00C10531" w:rsidRDefault="00CB3340" w:rsidP="00F116DF">
      <w:pPr>
        <w:spacing w:line="276" w:lineRule="auto"/>
        <w:jc w:val="both"/>
        <w:rPr>
          <w:rFonts w:ascii="Garamond" w:hAnsi="Garamond"/>
          <w:sz w:val="22"/>
          <w:szCs w:val="22"/>
        </w:rPr>
      </w:pPr>
      <w:r w:rsidRPr="00C10531">
        <w:rPr>
          <w:rFonts w:ascii="Garamond" w:hAnsi="Garamond"/>
          <w:sz w:val="22"/>
          <w:szCs w:val="22"/>
        </w:rPr>
        <w:t xml:space="preserve">Poleg raziskovalne dejavnosti je prof. dr. Nečak šele </w:t>
      </w:r>
      <w:r w:rsidR="00A50E90" w:rsidRPr="00C10531">
        <w:rPr>
          <w:rFonts w:ascii="Garamond" w:hAnsi="Garamond"/>
          <w:sz w:val="22"/>
          <w:szCs w:val="22"/>
        </w:rPr>
        <w:t xml:space="preserve">kot </w:t>
      </w:r>
      <w:r w:rsidRPr="00C10531">
        <w:rPr>
          <w:rFonts w:ascii="Garamond" w:hAnsi="Garamond"/>
          <w:sz w:val="22"/>
          <w:szCs w:val="22"/>
        </w:rPr>
        <w:t xml:space="preserve">drugi predavatelj sodobne zgodovine v Sloveniji, v mnogih pogledih utemeljil sodobno zgodovino kot premet zgodovinopisnega preučevanja ter »uzakonil« postulate njenega preučevanja. Vzgojil je praktično vse današnje predavatelje sodobne zgodovine v Sloveniji, bodisi kot profesor, bodisi kot diplomski ali doktorski mentor. Kot tak je pomemben člen </w:t>
      </w:r>
      <w:proofErr w:type="spellStart"/>
      <w:r w:rsidRPr="00C10531">
        <w:rPr>
          <w:rFonts w:ascii="Garamond" w:hAnsi="Garamond"/>
          <w:sz w:val="22"/>
          <w:szCs w:val="22"/>
        </w:rPr>
        <w:t>t.i</w:t>
      </w:r>
      <w:proofErr w:type="spellEnd"/>
      <w:r w:rsidRPr="00C10531">
        <w:rPr>
          <w:rFonts w:ascii="Garamond" w:hAnsi="Garamond"/>
          <w:sz w:val="22"/>
          <w:szCs w:val="22"/>
        </w:rPr>
        <w:t xml:space="preserve">. Ljubljanske zgodovinarske šole. </w:t>
      </w:r>
    </w:p>
    <w:p w14:paraId="575D6949" w14:textId="7B2FA479" w:rsidR="00CB3340" w:rsidRPr="00C10531" w:rsidRDefault="00CB3340" w:rsidP="00F116DF">
      <w:pPr>
        <w:spacing w:line="276" w:lineRule="auto"/>
        <w:jc w:val="both"/>
        <w:rPr>
          <w:rFonts w:ascii="Garamond" w:hAnsi="Garamond"/>
          <w:sz w:val="22"/>
          <w:szCs w:val="22"/>
        </w:rPr>
      </w:pPr>
      <w:r w:rsidRPr="00C10531">
        <w:rPr>
          <w:rFonts w:ascii="Garamond" w:hAnsi="Garamond"/>
          <w:sz w:val="22"/>
          <w:szCs w:val="22"/>
        </w:rPr>
        <w:t xml:space="preserve">Svoje raziskovalno in pedagoško znanje je vedno znova prenašal v aktualno dogajanje. Bil je </w:t>
      </w:r>
      <w:r w:rsidR="00F116DF" w:rsidRPr="00C10531">
        <w:rPr>
          <w:rFonts w:ascii="Garamond" w:hAnsi="Garamond"/>
          <w:sz w:val="22"/>
          <w:szCs w:val="22"/>
        </w:rPr>
        <w:t xml:space="preserve">predsednik Slovensko-avstrijske komisije zgodovinarjev ter pobudnik in spiritus agens ustanovitve Slovenskega znanstvenega inštituta na Dunaju. </w:t>
      </w:r>
      <w:r w:rsidR="00C10531" w:rsidRPr="00C10531">
        <w:rPr>
          <w:rFonts w:ascii="Garamond" w:hAnsi="Garamond"/>
          <w:sz w:val="22"/>
          <w:szCs w:val="22"/>
        </w:rPr>
        <w:t>Bil pa je tudi dvakratni podpredsednik Zveze zgodovinskih društev Slovenije.</w:t>
      </w:r>
    </w:p>
    <w:p w14:paraId="4BF9498B" w14:textId="5C67483C" w:rsidR="002F06E7" w:rsidRPr="00C10531" w:rsidRDefault="00A50E90" w:rsidP="00F116DF">
      <w:pPr>
        <w:spacing w:line="276" w:lineRule="auto"/>
        <w:jc w:val="both"/>
        <w:rPr>
          <w:rFonts w:ascii="Garamond" w:hAnsi="Garamond"/>
          <w:sz w:val="22"/>
          <w:szCs w:val="22"/>
        </w:rPr>
      </w:pPr>
      <w:r w:rsidRPr="00C10531">
        <w:rPr>
          <w:rFonts w:ascii="Garamond" w:hAnsi="Garamond"/>
          <w:sz w:val="22"/>
          <w:szCs w:val="22"/>
        </w:rPr>
        <w:t>Z</w:t>
      </w:r>
      <w:r w:rsidR="00F116DF" w:rsidRPr="00C10531">
        <w:rPr>
          <w:rFonts w:ascii="Garamond" w:hAnsi="Garamond"/>
          <w:sz w:val="22"/>
          <w:szCs w:val="22"/>
        </w:rPr>
        <w:t>a</w:t>
      </w:r>
      <w:r w:rsidRPr="00C10531">
        <w:rPr>
          <w:rFonts w:ascii="Garamond" w:hAnsi="Garamond"/>
          <w:sz w:val="22"/>
          <w:szCs w:val="22"/>
        </w:rPr>
        <w:t xml:space="preserve"> vse navedene in nenavedene</w:t>
      </w:r>
      <w:r w:rsidR="00F116DF" w:rsidRPr="00C10531">
        <w:rPr>
          <w:rFonts w:ascii="Garamond" w:hAnsi="Garamond"/>
          <w:sz w:val="22"/>
          <w:szCs w:val="22"/>
        </w:rPr>
        <w:t xml:space="preserve"> dosežke na področju znanosti in </w:t>
      </w:r>
      <w:r w:rsidRPr="00C10531">
        <w:rPr>
          <w:rFonts w:ascii="Garamond" w:hAnsi="Garamond"/>
          <w:sz w:val="22"/>
          <w:szCs w:val="22"/>
        </w:rPr>
        <w:t>utemeljevanja</w:t>
      </w:r>
      <w:r w:rsidR="00F116DF" w:rsidRPr="00C10531">
        <w:rPr>
          <w:rFonts w:ascii="Garamond" w:hAnsi="Garamond"/>
          <w:sz w:val="22"/>
          <w:szCs w:val="22"/>
        </w:rPr>
        <w:t xml:space="preserve"> zgodovinske znanosti </w:t>
      </w:r>
      <w:r w:rsidRPr="00C10531">
        <w:rPr>
          <w:rFonts w:ascii="Garamond" w:hAnsi="Garamond"/>
          <w:sz w:val="22"/>
          <w:szCs w:val="22"/>
        </w:rPr>
        <w:t>podeljujemo</w:t>
      </w:r>
      <w:r w:rsidR="00F116DF" w:rsidRPr="00C10531">
        <w:rPr>
          <w:rFonts w:ascii="Garamond" w:hAnsi="Garamond"/>
          <w:sz w:val="22"/>
          <w:szCs w:val="22"/>
        </w:rPr>
        <w:t xml:space="preserve"> </w:t>
      </w:r>
      <w:r w:rsidRPr="00C10531">
        <w:rPr>
          <w:rFonts w:ascii="Garamond" w:hAnsi="Garamond"/>
          <w:sz w:val="22"/>
          <w:szCs w:val="22"/>
        </w:rPr>
        <w:t>stanovsko priznanje častnega članstva v Zvezi zgodovinskih društev Slovenije. Čestitamo</w:t>
      </w:r>
      <w:r w:rsidR="00F116DF" w:rsidRPr="00C10531">
        <w:rPr>
          <w:rFonts w:ascii="Garamond" w:hAnsi="Garamond"/>
          <w:sz w:val="22"/>
          <w:szCs w:val="22"/>
        </w:rPr>
        <w:t>!</w:t>
      </w:r>
    </w:p>
    <w:sectPr w:rsidR="002F06E7" w:rsidRPr="00C10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E8"/>
    <w:rsid w:val="0000079E"/>
    <w:rsid w:val="0001305F"/>
    <w:rsid w:val="000C6D81"/>
    <w:rsid w:val="0027623E"/>
    <w:rsid w:val="00277606"/>
    <w:rsid w:val="002F06E7"/>
    <w:rsid w:val="003D35E8"/>
    <w:rsid w:val="006637CD"/>
    <w:rsid w:val="00A50E90"/>
    <w:rsid w:val="00C10531"/>
    <w:rsid w:val="00C12920"/>
    <w:rsid w:val="00CB3340"/>
    <w:rsid w:val="00EA343C"/>
    <w:rsid w:val="00F116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1D42"/>
  <w15:docId w15:val="{58F0F99E-6B7A-42F2-B161-6CACAB2F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3D35E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3141</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Kornelija</dc:creator>
  <cp:keywords/>
  <dc:description/>
  <cp:lastModifiedBy>Uporabnik</cp:lastModifiedBy>
  <cp:revision>2</cp:revision>
  <dcterms:created xsi:type="dcterms:W3CDTF">2023-04-21T11:27:00Z</dcterms:created>
  <dcterms:modified xsi:type="dcterms:W3CDTF">2023-04-21T11:27:00Z</dcterms:modified>
</cp:coreProperties>
</file>