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df" ContentType="application/pdf"/>
  <Override PartName="/word/media/rId48.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Risikobasierte Portfoliooptimierung mit GARCH-Modellen</w:t>
      </w:r>
    </w:p>
    <w:bookmarkStart w:id="9" w:name="einleitung"/>
    <w:p>
      <w:pPr>
        <w:pStyle w:val="Heading1"/>
      </w:pPr>
      <w:r>
        <w:t xml:space="preserve">Einleitung</w:t>
      </w:r>
    </w:p>
    <w:bookmarkEnd w:id="9"/>
    <w:bookmarkStart w:id="14" w:name="sec:daten"/>
    <w:p>
      <w:pPr>
        <w:pStyle w:val="Heading1"/>
      </w:pPr>
      <w:r>
        <w:t xml:space="preserve">Daten</w:t>
      </w:r>
    </w:p>
    <w:bookmarkStart w:id="11" w:name="sektorindizes"/>
    <w:p>
      <w:pPr>
        <w:pStyle w:val="Heading2"/>
      </w:pPr>
      <w:r>
        <w:t xml:space="preserve">Sektorindizes</w:t>
      </w:r>
    </w:p>
    <w:bookmarkStart w:id="10" w:name="tab:daten_deskriptiv"/>
    <w:p>
      <w:pPr>
        <w:pStyle w:val="TableCaption"/>
      </w:pPr>
      <w:r>
        <w:t xml:space="preserve">Deskriptive Statistik der TRBC-Sektorrenditen</w:t>
      </w:r>
    </w:p>
    <w:tbl>
      <w:tblPr>
        <w:tblStyle w:val="Table"/>
        <w:tblW w:type="auto" w:w="0"/>
        <w:tblLook w:firstRow="1" w:lastRow="0" w:firstColumn="0" w:lastColumn="0" w:noHBand="0" w:noVBand="0" w:val="0020"/>
        <w:tblCaption w:val="Deskriptive Statistik der TRBC-Sektorrenditen"/>
      </w:tblPr>
      <w:tblGrid>
        <w:gridCol w:w="1512"/>
        <w:gridCol w:w="1512"/>
        <w:gridCol w:w="1512"/>
        <w:gridCol w:w="1512"/>
        <w:gridCol w:w="1512"/>
        <w:gridCol w:w="1512"/>
      </w:tblGrid>
      <w:tr>
        <w:trPr>
          <w:tblHeader w:val="on"/>
        </w:trPr>
        <w:tc>
          <w:tcPr/>
          <w:p>
            <w:pPr>
              <w:pStyle w:val="Compact"/>
              <w:jc w:val="left"/>
            </w:pPr>
            <w:r>
              <w:t xml:space="preserve">Kennzahl</w:t>
            </w:r>
          </w:p>
        </w:tc>
        <w:tc>
          <w:tcPr/>
          <w:p>
            <w:pPr>
              <w:pStyle w:val="Compact"/>
              <w:jc w:val="right"/>
            </w:pPr>
            <w:r>
              <w:t xml:space="preserve">Min.</w:t>
            </w:r>
          </w:p>
        </w:tc>
        <w:tc>
          <w:tcPr/>
          <w:p>
            <w:pPr>
              <w:pStyle w:val="Compact"/>
              <w:jc w:val="right"/>
            </w:pPr>
            <w:r>
              <w:t xml:space="preserve">25 %</w:t>
            </w:r>
          </w:p>
        </w:tc>
        <w:tc>
          <w:tcPr/>
          <w:p>
            <w:pPr>
              <w:pStyle w:val="Compact"/>
              <w:jc w:val="right"/>
            </w:pPr>
            <w:r>
              <w:t xml:space="preserve">Median</w:t>
            </w:r>
          </w:p>
        </w:tc>
        <w:tc>
          <w:tcPr/>
          <w:p>
            <w:pPr>
              <w:pStyle w:val="Compact"/>
              <w:jc w:val="right"/>
            </w:pPr>
            <w:r>
              <w:t xml:space="preserve">75 %</w:t>
            </w:r>
          </w:p>
        </w:tc>
        <w:tc>
          <w:tcPr/>
          <w:p>
            <w:pPr>
              <w:pStyle w:val="Compact"/>
              <w:jc w:val="right"/>
            </w:pPr>
            <w:r>
              <w:t xml:space="preserve">Max.</w:t>
            </w:r>
          </w:p>
        </w:tc>
      </w:tr>
      <w:tr>
        <w:tc>
          <w:tcPr/>
          <w:p>
            <w:pPr>
              <w:pStyle w:val="Compact"/>
              <w:jc w:val="left"/>
            </w:pPr>
            <w:r>
              <w:t xml:space="preserve">Beobachtungen</w:t>
            </w:r>
          </w:p>
        </w:tc>
        <w:tc>
          <w:tcPr/>
          <w:p>
            <w:pPr>
              <w:pStyle w:val="Compact"/>
              <w:jc w:val="right"/>
            </w:pPr>
            <w:r>
              <w:t xml:space="preserve">1351</w:t>
            </w:r>
          </w:p>
        </w:tc>
        <w:tc>
          <w:tcPr/>
          <w:p>
            <w:pPr>
              <w:pStyle w:val="Compact"/>
              <w:jc w:val="right"/>
            </w:pPr>
            <w:r>
              <w:t xml:space="preserve">1877</w:t>
            </w:r>
          </w:p>
        </w:tc>
        <w:tc>
          <w:tcPr/>
          <w:p>
            <w:pPr>
              <w:pStyle w:val="Compact"/>
              <w:jc w:val="right"/>
            </w:pPr>
            <w:r>
              <w:t xml:space="preserve">7087</w:t>
            </w:r>
          </w:p>
        </w:tc>
        <w:tc>
          <w:tcPr/>
          <w:p>
            <w:pPr>
              <w:pStyle w:val="Compact"/>
              <w:jc w:val="right"/>
            </w:pPr>
            <w:r>
              <w:t xml:space="preserve">7087</w:t>
            </w:r>
          </w:p>
        </w:tc>
        <w:tc>
          <w:tcPr/>
          <w:p>
            <w:pPr>
              <w:pStyle w:val="Compact"/>
              <w:jc w:val="right"/>
            </w:pPr>
            <w:r>
              <w:t xml:space="preserve">7087</w:t>
            </w:r>
          </w:p>
        </w:tc>
      </w:tr>
      <w:tr>
        <w:tc>
          <w:tcPr/>
          <w:p>
            <w:pPr>
              <w:pStyle w:val="Compact"/>
              <w:jc w:val="left"/>
            </w:pPr>
            <w:r>
              <w:t xml:space="preserve">Rendite p.a. (%)</w:t>
            </w:r>
          </w:p>
        </w:tc>
        <w:tc>
          <w:tcPr/>
          <w:p>
            <w:pPr>
              <w:pStyle w:val="Compact"/>
              <w:jc w:val="right"/>
            </w:pPr>
            <w:r>
              <w:t xml:space="preserve">-5,34</w:t>
            </w:r>
          </w:p>
        </w:tc>
        <w:tc>
          <w:tcPr/>
          <w:p>
            <w:pPr>
              <w:pStyle w:val="Compact"/>
              <w:jc w:val="right"/>
            </w:pPr>
            <w:r>
              <w:t xml:space="preserve">4,70</w:t>
            </w:r>
          </w:p>
        </w:tc>
        <w:tc>
          <w:tcPr/>
          <w:p>
            <w:pPr>
              <w:pStyle w:val="Compact"/>
              <w:jc w:val="right"/>
            </w:pPr>
            <w:r>
              <w:t xml:space="preserve">6,02</w:t>
            </w:r>
          </w:p>
        </w:tc>
        <w:tc>
          <w:tcPr/>
          <w:p>
            <w:pPr>
              <w:pStyle w:val="Compact"/>
              <w:jc w:val="right"/>
            </w:pPr>
            <w:r>
              <w:t xml:space="preserve">8,97</w:t>
            </w:r>
          </w:p>
        </w:tc>
        <w:tc>
          <w:tcPr/>
          <w:p>
            <w:pPr>
              <w:pStyle w:val="Compact"/>
              <w:jc w:val="right"/>
            </w:pPr>
            <w:r>
              <w:t xml:space="preserve">20,27</w:t>
            </w:r>
          </w:p>
        </w:tc>
      </w:tr>
      <w:tr>
        <w:tc>
          <w:tcPr/>
          <w:p>
            <w:pPr>
              <w:pStyle w:val="Compact"/>
              <w:jc w:val="left"/>
            </w:pPr>
            <w:r>
              <w:t xml:space="preserve">Volatilität p.a. (%)</w:t>
            </w:r>
          </w:p>
        </w:tc>
        <w:tc>
          <w:tcPr/>
          <w:p>
            <w:pPr>
              <w:pStyle w:val="Compact"/>
              <w:jc w:val="right"/>
            </w:pPr>
            <w:r>
              <w:t xml:space="preserve">15,06</w:t>
            </w:r>
          </w:p>
        </w:tc>
        <w:tc>
          <w:tcPr/>
          <w:p>
            <w:pPr>
              <w:pStyle w:val="Compact"/>
              <w:jc w:val="right"/>
            </w:pPr>
            <w:r>
              <w:t xml:space="preserve">19,73</w:t>
            </w:r>
          </w:p>
        </w:tc>
        <w:tc>
          <w:tcPr/>
          <w:p>
            <w:pPr>
              <w:pStyle w:val="Compact"/>
              <w:jc w:val="right"/>
            </w:pPr>
            <w:r>
              <w:t xml:space="preserve">22,41</w:t>
            </w:r>
          </w:p>
        </w:tc>
        <w:tc>
          <w:tcPr/>
          <w:p>
            <w:pPr>
              <w:pStyle w:val="Compact"/>
              <w:jc w:val="right"/>
            </w:pPr>
            <w:r>
              <w:t xml:space="preserve">26,32</w:t>
            </w:r>
          </w:p>
        </w:tc>
        <w:tc>
          <w:tcPr/>
          <w:p>
            <w:pPr>
              <w:pStyle w:val="Compact"/>
              <w:jc w:val="right"/>
            </w:pPr>
            <w:r>
              <w:t xml:space="preserve">49,20</w:t>
            </w:r>
          </w:p>
        </w:tc>
      </w:tr>
    </w:tbl>
    <w:bookmarkEnd w:id="10"/>
    <w:p>
      <w:pPr>
        <w:pStyle w:val="BlockText"/>
      </w:pPr>
      <w:r>
        <w:t xml:space="preserve">Tägliche logarithmierte Renditen von 27 TRBC-Sektorindizes, 02.04.1999 bis 09.06.2026; durchschnittliche paarweise Korrelation 0,562.</w:t>
      </w:r>
    </w:p>
    <w:bookmarkEnd w:id="11"/>
    <w:bookmarkStart w:id="12" w:name="risikofreier-zins"/>
    <w:p>
      <w:pPr>
        <w:pStyle w:val="Heading2"/>
      </w:pPr>
      <w:r>
        <w:t xml:space="preserve">Risikofreier Zins</w:t>
      </w:r>
    </w:p>
    <w:bookmarkEnd w:id="12"/>
    <w:bookmarkStart w:id="13" w:name="synthetische-datensätze"/>
    <w:p>
      <w:pPr>
        <w:pStyle w:val="Heading2"/>
      </w:pPr>
      <w:r>
        <w:t xml:space="preserve">Synthetische Datensätze</w:t>
      </w:r>
    </w:p>
    <w:bookmarkEnd w:id="13"/>
    <w:bookmarkEnd w:id="14"/>
    <w:bookmarkStart w:id="29" w:name="sec:methodik"/>
    <w:p>
      <w:pPr>
        <w:pStyle w:val="Heading1"/>
      </w:pPr>
      <w:r>
        <w:t xml:space="preserve">Methodik</w:t>
      </w:r>
    </w:p>
    <w:bookmarkStart w:id="15" w:name="subsec:rollfenster"/>
    <w:p>
      <w:pPr>
        <w:pStyle w:val="Heading2"/>
      </w:pPr>
      <w:r>
        <w:t xml:space="preserve">Rolling Window</w:t>
      </w:r>
    </w:p>
    <w:bookmarkEnd w:id="15"/>
    <w:bookmarkStart w:id="19" w:name="subsec:kovarianz"/>
    <w:p>
      <w:pPr>
        <w:pStyle w:val="Heading2"/>
      </w:pPr>
      <w:r>
        <w:t xml:space="preserve">Kovarianzschätzer</w:t>
      </w:r>
    </w:p>
    <w:bookmarkStart w:id="16" w:name="historische-kovarianzmatrix"/>
    <w:p>
      <w:pPr>
        <w:pStyle w:val="Heading4"/>
      </w:pPr>
      <w:r>
        <w:t xml:space="preserve">Historische Kovarianzmatrix:</w:t>
      </w:r>
    </w:p>
    <w:bookmarkEnd w:id="16"/>
    <w:bookmarkStart w:id="17" w:name="X17ff21e1a5b48ed47e984bf33060bf13a46fa5e"/>
    <w:p>
      <w:pPr>
        <w:pStyle w:val="Heading4"/>
      </w:pPr>
      <w:r>
        <w:t xml:space="preserve">Generalized Autoregressive Conditional Heteroskedasticity (GARCH):</w:t>
      </w:r>
    </w:p>
    <w:bookmarkEnd w:id="17"/>
    <w:bookmarkStart w:id="18" w:name="X7d5f0b1873ab8d689fd81d680a0589de13ee572"/>
    <w:p>
      <w:pPr>
        <w:pStyle w:val="Heading4"/>
      </w:pPr>
      <w:r>
        <w:t xml:space="preserve">Dynamic Conditional Correlation (DCC-GARCH):</w:t>
      </w:r>
    </w:p>
    <w:bookmarkEnd w:id="18"/>
    <w:bookmarkEnd w:id="19"/>
    <w:bookmarkStart w:id="24" w:name="subsec:portfolios"/>
    <w:p>
      <w:pPr>
        <w:pStyle w:val="Heading2"/>
      </w:pPr>
      <w:r>
        <w:t xml:space="preserve">Portfoliomodelle</w:t>
      </w:r>
    </w:p>
    <w:bookmarkStart w:id="20" w:name="minimum-varianz-portfolio-mvp"/>
    <w:p>
      <w:pPr>
        <w:pStyle w:val="Heading4"/>
      </w:pPr>
      <w:r>
        <w:t xml:space="preserve">Minimum-Varianz-Portfolio (MVP)</w:t>
      </w:r>
    </w:p>
    <w:bookmarkEnd w:id="20"/>
    <w:bookmarkStart w:id="21" w:name="equal-risk-contribution-erc"/>
    <w:p>
      <w:pPr>
        <w:pStyle w:val="Heading4"/>
      </w:pPr>
      <w:r>
        <w:t xml:space="preserve">Equal Risk Contribution (ERC)</w:t>
      </w:r>
    </w:p>
    <w:bookmarkEnd w:id="21"/>
    <w:bookmarkStart w:id="22" w:name="hierarchical-risk-parity-hrp"/>
    <w:p>
      <w:pPr>
        <w:pStyle w:val="Heading4"/>
      </w:pPr>
      <w:r>
        <w:t xml:space="preserve">Hierarchical Risk Parity (HRP)</w:t>
      </w:r>
    </w:p>
    <w:bookmarkEnd w:id="22"/>
    <w:bookmarkStart w:id="23" w:name="benchmark"/>
    <w:p>
      <w:pPr>
        <w:pStyle w:val="Heading4"/>
      </w:pPr>
      <w:r>
        <w:t xml:space="preserve">Benchmark</w:t>
      </w:r>
    </w:p>
    <w:bookmarkEnd w:id="23"/>
    <w:bookmarkEnd w:id="24"/>
    <w:bookmarkStart w:id="28" w:name="subsec:kriterien"/>
    <w:p>
      <w:pPr>
        <w:pStyle w:val="Heading2"/>
      </w:pPr>
      <w:r>
        <w:t xml:space="preserve">Bewertungskriterien</w:t>
      </w:r>
    </w:p>
    <w:p>
      <w:pPr>
        <w:pStyle w:val="FirstParagraph"/>
      </w:pPr>
      <w:r>
        <w:t xml:space="preserve">Die Bewertung trennt zwischen der Prognosequalität der Kovarianzmatrix und der ökonomischen Performance der daraus abgeleiteten Portfolios.</w:t>
      </w:r>
    </w:p>
    <w:bookmarkStart w:id="25" w:name="statistische-verlustmaße"/>
    <w:p>
      <w:pPr>
        <w:pStyle w:val="Heading4"/>
      </w:pPr>
      <w:r>
        <w:t xml:space="preserve">Statistische Verlustmaße</w:t>
      </w:r>
    </w:p>
    <w:p>
      <w:pPr>
        <w:pStyle w:val="FirstParagraph"/>
      </w:pPr>
      <w:r>
        <w:t xml:space="preserve">Die Prognosequalität wird über zwei Verlustmaße gemessen, den multivariaten Quasi-Likelihood-Verlust (QLIKE), oder auch Stein-Loss genannt</w:t>
      </w:r>
      <w:r>
        <w:t xml:space="preserve"> </w:t>
      </w:r>
      <w:r>
        <w:t xml:space="preserve">(Laurent et al. 2013)</w:t>
      </w:r>
      <w:r>
        <w:t xml:space="preserve">, und den Mean Squared Error (MSE) der Kovarianzmatrix.</w:t>
      </w:r>
      <w:r>
        <w:t xml:space="preserve"> </w:t>
      </w:r>
      <w:r>
        <w:t xml:space="preserve">Da die wahre bedingte Kovarianzmatrix der Testperiode nicht beobachtbar ist, wird die Prognose bei beiden gegen denselben realisierten Proxy gemessen.</w:t>
      </w:r>
    </w:p>
    <w:p>
      <w:pPr>
        <w:pStyle w:val="BodyText"/>
      </w:pPr>
      <m:oMathPara>
        <m:oMathParaPr>
          <m:jc m:val="center"/>
        </m:oMathParaPr>
        <m:oMath>
          <m:eqArr>
            <m:e>
              <m:r>
                <m:t>S</m:t>
              </m:r>
              <m:r>
                <m:t>&amp;</m:t>
              </m:r>
              <m:r>
                <m:rPr>
                  <m:sty m:val="p"/>
                </m:rPr>
                <m:t>=</m:t>
              </m:r>
              <m:f>
                <m:fPr>
                  <m:type m:val="bar"/>
                </m:fPr>
                <m:num>
                  <m:r>
                    <m:t>1</m:t>
                  </m:r>
                </m:num>
                <m:den>
                  <m:r>
                    <m:t>h</m:t>
                  </m:r>
                </m:den>
              </m:f>
              <m:nary>
                <m:naryPr>
                  <m:chr m:val="∑"/>
                  <m:limLoc m:val="undOvr"/>
                  <m:subHide m:val="off"/>
                  <m:supHide m:val="off"/>
                </m:naryPr>
                <m:sub>
                  <m:r>
                    <m:t>t</m:t>
                  </m:r>
                  <m:r>
                    <m:rPr>
                      <m:sty m:val="p"/>
                    </m:rPr>
                    <m:t>=</m:t>
                  </m:r>
                  <m:r>
                    <m:t>1</m:t>
                  </m:r>
                </m:sub>
                <m:sup>
                  <m:r>
                    <m:t>h</m:t>
                  </m:r>
                </m:sup>
                <m:e>
                  <m:sSub>
                    <m:e>
                      <m:r>
                        <m:t>r</m:t>
                      </m:r>
                    </m:e>
                    <m:sub>
                      <m:r>
                        <m:t>t</m:t>
                      </m:r>
                    </m:sub>
                  </m:sSub>
                </m:e>
              </m:nary>
              <m:r>
                <m:t> </m:t>
              </m:r>
              <m:sSubSup>
                <m:e>
                  <m:r>
                    <m:t>r</m:t>
                  </m:r>
                </m:e>
                <m:sub>
                  <m:r>
                    <m:t>t</m:t>
                  </m:r>
                </m:sub>
                <m:sup>
                  <m:r>
                    <m:rPr>
                      <m:sty m:val="p"/>
                    </m:rPr>
                    <m:t>′</m:t>
                  </m:r>
                </m:sup>
              </m:sSubSup>
            </m:e>
            <m:e>
              <m:r>
                <m:rPr>
                  <m:sty m:val="p"/>
                </m:rPr>
                <m:t>Q</m:t>
              </m:r>
              <m:r>
                <m:rPr>
                  <m:sty m:val="p"/>
                </m:rPr>
                <m:t>L</m:t>
              </m:r>
              <m:r>
                <m:rPr>
                  <m:sty m:val="p"/>
                </m:rPr>
                <m:t>I</m:t>
              </m:r>
              <m:r>
                <m:rPr>
                  <m:sty m:val="p"/>
                </m:rPr>
                <m:t>K</m:t>
              </m:r>
              <m:r>
                <m:rPr>
                  <m:sty m:val="p"/>
                </m:rPr>
                <m:t>E</m:t>
              </m:r>
              <m:r>
                <m:rPr>
                  <m:sty m:val="p"/>
                </m:rPr>
                <m:t>(</m:t>
              </m:r>
              <m:r>
                <m:rPr>
                  <m:sty m:val="p"/>
                </m:rPr>
                <m:t>Σ</m:t>
              </m:r>
              <m:r>
                <m:rPr>
                  <m:sty m:val="p"/>
                </m:rPr>
                <m:t>,</m:t>
              </m:r>
              <m:r>
                <m:t>S</m:t>
              </m:r>
              <m:r>
                <m:rPr>
                  <m:sty m:val="p"/>
                </m:rPr>
                <m:t>)</m:t>
              </m:r>
              <m:r>
                <m:t>&amp;</m:t>
              </m:r>
              <m:r>
                <m:rPr>
                  <m:sty m:val="p"/>
                </m:rPr>
                <m:t>=</m:t>
              </m:r>
              <m:r>
                <m:rPr>
                  <m:sty m:val="p"/>
                </m:rPr>
                <m:t>ln</m:t>
              </m:r>
              <m:r>
                <m:rPr>
                  <m:sty m:val="p"/>
                </m:rPr>
                <m:t>|</m:t>
              </m:r>
              <m:r>
                <m:rPr>
                  <m:sty m:val="p"/>
                </m:rPr>
                <m:t>Σ</m:t>
              </m:r>
              <m:r>
                <m:rPr>
                  <m:sty m:val="p"/>
                </m:rPr>
                <m:t>|</m:t>
              </m:r>
              <m:r>
                <m:rPr>
                  <m:sty m:val="p"/>
                </m:rPr>
                <m:t>+</m:t>
              </m:r>
              <m:r>
                <m:rPr>
                  <m:sty m:val="p"/>
                </m:rPr>
                <m:t>tr</m:t>
              </m:r>
              <m:r>
                <m:rPr>
                  <m:sty m:val="p"/>
                </m:rPr>
                <m:t>(</m:t>
              </m:r>
              <m:sSup>
                <m:e>
                  <m:r>
                    <m:rPr>
                      <m:sty m:val="p"/>
                    </m:rPr>
                    <m:t>Σ</m:t>
                  </m:r>
                </m:e>
                <m:sup>
                  <m:r>
                    <m:rPr>
                      <m:sty m:val="p"/>
                    </m:rPr>
                    <m:t>−</m:t>
                  </m:r>
                  <m:r>
                    <m:t>1</m:t>
                  </m:r>
                </m:sup>
              </m:sSup>
              <m:r>
                <m:t>S</m:t>
              </m:r>
              <m:r>
                <m:rPr>
                  <m:sty m:val="p"/>
                </m:rPr>
                <m:t>)</m:t>
              </m:r>
            </m:e>
            <m:e>
              <m:r>
                <m:rPr>
                  <m:sty m:val="p"/>
                </m:rPr>
                <m:t>M</m:t>
              </m:r>
              <m:r>
                <m:rPr>
                  <m:sty m:val="p"/>
                </m:rPr>
                <m:t>S</m:t>
              </m:r>
              <m:r>
                <m:rPr>
                  <m:sty m:val="p"/>
                </m:rPr>
                <m:t>E</m:t>
              </m:r>
              <m:r>
                <m:rPr>
                  <m:sty m:val="p"/>
                </m:rPr>
                <m:t>(</m:t>
              </m:r>
              <m:r>
                <m:rPr>
                  <m:sty m:val="p"/>
                </m:rPr>
                <m:t>Σ</m:t>
              </m:r>
              <m:r>
                <m:rPr>
                  <m:sty m:val="p"/>
                </m:rPr>
                <m:t>,</m:t>
              </m:r>
              <m:r>
                <m:t>S</m:t>
              </m:r>
              <m:r>
                <m:rPr>
                  <m:sty m:val="p"/>
                </m:rPr>
                <m:t>)</m:t>
              </m:r>
              <m:r>
                <m:t>&amp;</m:t>
              </m:r>
              <m:r>
                <m:rPr>
                  <m:sty m:val="p"/>
                </m:rPr>
                <m:t>=</m:t>
              </m:r>
              <m:f>
                <m:fPr>
                  <m:type m:val="bar"/>
                </m:fPr>
                <m:num>
                  <m:r>
                    <m:t>1</m:t>
                  </m:r>
                </m:num>
                <m:den>
                  <m:sSup>
                    <m:e>
                      <m:r>
                        <m:t>N</m:t>
                      </m:r>
                    </m:e>
                    <m:sup>
                      <m:r>
                        <m:t>2</m:t>
                      </m:r>
                    </m:sup>
                  </m:sSup>
                </m:den>
              </m:f>
              <m:nary>
                <m:naryPr>
                  <m:chr m:val="∑"/>
                  <m:limLoc m:val="undOvr"/>
                  <m:subHide m:val="off"/>
                  <m:supHide m:val="on"/>
                </m:naryPr>
                <m:sub>
                  <m:r>
                    <m:t>i</m:t>
                  </m:r>
                  <m:r>
                    <m:rPr>
                      <m:sty m:val="p"/>
                    </m:rPr>
                    <m:t>,</m:t>
                  </m:r>
                  <m:r>
                    <m:t>j</m:t>
                  </m:r>
                </m:sub>
                <m:sup>
                  <m:r>
                    <m:t>​</m:t>
                  </m:r>
                </m:sup>
                <m:e>
                  <m:sSup>
                    <m:e>
                      <m:d>
                        <m:dPr>
                          <m:begChr m:val="("/>
                          <m:sepChr m:val=""/>
                          <m:endChr m:val=")"/>
                          <m:grow/>
                        </m:dPr>
                        <m:e>
                          <m:sSub>
                            <m:e>
                              <m:r>
                                <m:rPr>
                                  <m:sty m:val="p"/>
                                </m:rPr>
                                <m:t>Σ</m:t>
                              </m:r>
                            </m:e>
                            <m:sub>
                              <m:r>
                                <m:t>i</m:t>
                              </m:r>
                              <m:r>
                                <m:t>j</m:t>
                              </m:r>
                            </m:sub>
                          </m:sSub>
                          <m:r>
                            <m:rPr>
                              <m:sty m:val="p"/>
                            </m:rPr>
                            <m:t>−</m:t>
                          </m:r>
                          <m:sSub>
                            <m:e>
                              <m:r>
                                <m:t>S</m:t>
                              </m:r>
                            </m:e>
                            <m:sub>
                              <m:r>
                                <m:t>i</m:t>
                              </m:r>
                              <m:r>
                                <m:t>j</m:t>
                              </m:r>
                            </m:sub>
                          </m:sSub>
                        </m:e>
                      </m:d>
                    </m:e>
                    <m:sup>
                      <m:r>
                        <m:t>2</m:t>
                      </m:r>
                    </m:sup>
                  </m:sSup>
                </m:e>
              </m:nary>
            </m:e>
          </m:eqArr>
        </m:oMath>
      </m:oMathPara>
    </w:p>
    <w:p>
      <w:pPr>
        <w:pStyle w:val="FirstParagraph"/>
      </w:pPr>
      <w:r>
        <w:t xml:space="preserve">Dabei ist</w:t>
      </w:r>
      <w:r>
        <w:t xml:space="preserve"> </w:t>
      </w:r>
      <m:oMath>
        <m:r>
          <m:rPr>
            <m:sty m:val="p"/>
          </m:rPr>
          <m:t>Σ</m:t>
        </m:r>
      </m:oMath>
      <w:r>
        <w:t xml:space="preserve"> </w:t>
      </w:r>
      <w:r>
        <w:t xml:space="preserve">die prognostizierte und</w:t>
      </w:r>
      <w:r>
        <w:t xml:space="preserve"> </w:t>
      </w:r>
      <m:oMath>
        <m:r>
          <m:t>S</m:t>
        </m:r>
      </m:oMath>
      <w:r>
        <w:t xml:space="preserve"> </w:t>
      </w:r>
      <w:r>
        <w:t xml:space="preserve">die realisierte Kovarianzmatrix,</w:t>
      </w:r>
      <w:r>
        <w:t xml:space="preserve"> </w:t>
      </w:r>
      <m:oMath>
        <m:sSub>
          <m:e>
            <m:r>
              <m:t>r</m:t>
            </m:r>
          </m:e>
          <m:sub>
            <m:r>
              <m:t>t</m:t>
            </m:r>
          </m:sub>
        </m:sSub>
      </m:oMath>
      <w:r>
        <w:t xml:space="preserve"> </w:t>
      </w:r>
      <w:r>
        <w:t xml:space="preserve">der Vektor der logarithmierten Tagesrenditen und</w:t>
      </w:r>
      <w:r>
        <w:t xml:space="preserve"> </w:t>
      </w:r>
      <m:oMath>
        <m:r>
          <m:t>N</m:t>
        </m:r>
      </m:oMath>
      <w:r>
        <w:t xml:space="preserve"> </w:t>
      </w:r>
      <w:r>
        <w:t xml:space="preserve">die Anzahl der zur Verfügung stehenden Sektorindizes im jeweiligen Zeitfenster.</w:t>
      </w:r>
      <w:r>
        <w:t xml:space="preserve"> </w:t>
      </w:r>
      <w:r>
        <w:t xml:space="preserve">Beide Verluste werden je Rebalancierungsfenster berechnet und anschließend über die Fenster gemittelt, wobei niedrigere Werte eine bessere Prognose bedeuten.</w:t>
      </w:r>
    </w:p>
    <w:p>
      <w:pPr>
        <w:pStyle w:val="BodyText"/>
      </w:pPr>
      <w:r>
        <w:t xml:space="preserve">Die beiden Maße unterscheiden sich darin, wie sie Fehler in beide Richtungen gewichten.</w:t>
      </w:r>
      <w:r>
        <w:t xml:space="preserve"> </w:t>
      </w:r>
      <w:r>
        <w:t xml:space="preserve">Der QLIKE-Verlust aus Gleichung 2 bestraft eine Unterschätzung des Risikos stärker als eine Überschätzung, während der MSE aus Gleichung 3 Über- und Unterschätzungen gleichgewichtet.</w:t>
      </w:r>
      <w:r>
        <w:t xml:space="preserve"> </w:t>
      </w:r>
      <w:r>
        <w:t xml:space="preserve">Aus ökonomischer Sicht wiegt eine Unterschätzung des Risikos schwerer als eine Überschätzung, weshalb die Asymmetrie des QLIKE-Verlusts hier erwünscht ist.</w:t>
      </w:r>
    </w:p>
    <w:p>
      <w:pPr>
        <w:pStyle w:val="BodyText"/>
      </w:pPr>
      <w:r>
        <w:t xml:space="preserve">Diese beiden Maße werden verwendet, da sie sich in anderen Studien als robust gegenüber verrauschten Proxys erwiesen haben.</w:t>
      </w:r>
      <w:r>
        <w:t xml:space="preserve"> </w:t>
      </w:r>
      <w:r>
        <w:t xml:space="preserve">Dies ist insbesondere relevant, da der Proxy für</w:t>
      </w:r>
      <w:r>
        <w:t xml:space="preserve"> </w:t>
      </w:r>
      <m:oMath>
        <m:r>
          <m:t>h</m:t>
        </m:r>
        <m:r>
          <m:rPr>
            <m:sty m:val="p"/>
          </m:rPr>
          <m:t>=</m:t>
        </m:r>
        <m:r>
          <m:t>1</m:t>
        </m:r>
      </m:oMath>
      <w:r>
        <w:t xml:space="preserve"> </w:t>
      </w:r>
      <w:r>
        <w:t xml:space="preserve">allein aus dem äußeren Produkt eines einzigen Renditevektors besteht und somit stark verrauscht ist.</w:t>
      </w:r>
      <w:r>
        <w:t xml:space="preserve"> </w:t>
      </w:r>
      <w:r>
        <w:t xml:space="preserve">So konnten</w:t>
      </w:r>
      <w:r>
        <w:t xml:space="preserve"> </w:t>
      </w:r>
      <w:r>
        <w:t xml:space="preserve">Patton (2011)</w:t>
      </w:r>
      <w:r>
        <w:t xml:space="preserve"> </w:t>
      </w:r>
      <w:r>
        <w:t xml:space="preserve">und</w:t>
      </w:r>
      <w:r>
        <w:t xml:space="preserve"> </w:t>
      </w:r>
      <w:r>
        <w:t xml:space="preserve">Laurent et al. (2013)</w:t>
      </w:r>
      <w:r>
        <w:t xml:space="preserve"> </w:t>
      </w:r>
      <w:r>
        <w:t xml:space="preserve">zeigen, dass beide Metriken Kovarianzmatrizen unabhängig von der Genauigkeit des Proxys robust ordnen.</w:t>
      </w:r>
      <w:r>
        <w:t xml:space="preserve"> </w:t>
      </w:r>
      <w:r>
        <w:t xml:space="preserve">Folglich ist der absolute Wert der Metriken zwar nur eingeschränkt interpretierbar, jedoch ist die Rangfolge robust, weshalb Qualitätsunterschiede zwischen den Schätzern erkannt werden können.</w:t>
      </w:r>
      <w:r>
        <w:t xml:space="preserve"> </w:t>
      </w:r>
      <w:r>
        <w:t xml:space="preserve">Da zusätzlich die Länge des Trainingsfensters die Zahl der investierbaren Anlagen und damit die Dimension der Kovarianzmatrix beeinflusst, sind Vergleiche zwischen den unterschiedlichen Trainingsfenstern ebenfalls mit Vorsicht zu interpretieren.</w:t>
      </w:r>
      <w:r>
        <w:t xml:space="preserve"> </w:t>
      </w:r>
      <w:r>
        <w:t xml:space="preserve">Aussagekräftig ist daher in erster Linie die Differenz zwischen den Schätzern innerhalb einer Spezifikation.</w:t>
      </w:r>
    </w:p>
    <w:p>
      <w:pPr>
        <w:pStyle w:val="BodyText"/>
      </w:pPr>
      <w:r>
        <w:t xml:space="preserve">Da der QLIKE-Verlust ökonomisch besser motiviert ist, wird dieser als primäre Vergleichsmetrik verwendet, während der MSE als weitere Metrik zur Überprüfung der Robustheit dient.</w:t>
      </w:r>
    </w:p>
    <w:bookmarkEnd w:id="25"/>
    <w:bookmarkStart w:id="26" w:name="ökonomische-kennzahlen"/>
    <w:p>
      <w:pPr>
        <w:pStyle w:val="Heading4"/>
      </w:pPr>
      <w:r>
        <w:t xml:space="preserve">Ökonomische Kennzahlen</w:t>
      </w:r>
    </w:p>
    <w:p>
      <w:pPr>
        <w:pStyle w:val="FirstParagraph"/>
      </w:pPr>
      <w:r>
        <w:t xml:space="preserve">Als ökonomische Kennzahlen werden die annualisierte Rendite, die realisierte Volatilität, die Sharpe Ratio und der Turnover berichtet.</w:t>
      </w:r>
      <w:r>
        <w:t xml:space="preserve"> </w:t>
      </w:r>
      <w:r>
        <w:t xml:space="preserve">Die folgenden Kennzahlen beruhen auf der Tagesrendite der verschiedenen Portfolios</w:t>
      </w:r>
      <w:r>
        <w:t xml:space="preserve"> </w:t>
      </w:r>
      <m:oMath>
        <m:sSub>
          <m:e>
            <m:r>
              <m:t>r</m:t>
            </m:r>
          </m:e>
          <m:sub>
            <m:r>
              <m:t>p</m:t>
            </m:r>
            <m:r>
              <m:rPr>
                <m:sty m:val="p"/>
              </m:rPr>
              <m:t>,</m:t>
            </m:r>
            <m:r>
              <m:t>t</m:t>
            </m:r>
          </m:sub>
        </m:sSub>
      </m:oMath>
      <w:r>
        <w:t xml:space="preserve">.</w:t>
      </w:r>
    </w:p>
    <w:p>
      <w:pPr>
        <w:pStyle w:val="BodyText"/>
      </w:pPr>
      <m:oMathPara>
        <m:oMathParaPr>
          <m:jc m:val="center"/>
        </m:oMathParaPr>
        <m:oMath>
          <m:eqArr>
            <m:e>
              <m:sSub>
                <m:e>
                  <m:r>
                    <m:t>R</m:t>
                  </m:r>
                </m:e>
                <m:sub>
                  <m:r>
                    <m:rPr>
                      <m:sty m:val="p"/>
                    </m:rPr>
                    <m:t>a</m:t>
                  </m:r>
                  <m:r>
                    <m:rPr>
                      <m:sty m:val="p"/>
                    </m:rPr>
                    <m:t>n</m:t>
                  </m:r>
                  <m:r>
                    <m:rPr>
                      <m:sty m:val="p"/>
                    </m:rPr>
                    <m:t>n</m:t>
                  </m:r>
                </m:sub>
              </m:sSub>
              <m:r>
                <m:t>&amp;</m:t>
              </m:r>
              <m:r>
                <m:rPr>
                  <m:sty m:val="p"/>
                </m:rPr>
                <m:t>=</m:t>
              </m:r>
              <m:sSup>
                <m:e>
                  <m:d>
                    <m:dPr>
                      <m:begChr m:val="("/>
                      <m:sepChr m:val=""/>
                      <m:endChr m:val=")"/>
                      <m:grow/>
                    </m:dPr>
                    <m:e>
                      <m:nary>
                        <m:naryPr>
                          <m:chr m:val="∏"/>
                          <m:limLoc m:val="undOvr"/>
                          <m:subHide m:val="off"/>
                          <m:supHide m:val="off"/>
                        </m:naryPr>
                        <m:sub>
                          <m:r>
                            <m:t>t</m:t>
                          </m:r>
                          <m:r>
                            <m:rPr>
                              <m:sty m:val="p"/>
                            </m:rPr>
                            <m:t>=</m:t>
                          </m:r>
                          <m:r>
                            <m:t>1</m:t>
                          </m:r>
                        </m:sub>
                        <m:sup>
                          <m:r>
                            <m:t>n</m:t>
                          </m:r>
                        </m:sup>
                        <m:e>
                          <m:d>
                            <m:dPr>
                              <m:begChr m:val="("/>
                              <m:sepChr m:val=""/>
                              <m:endChr m:val=")"/>
                              <m:grow/>
                            </m:dPr>
                            <m:e>
                              <m:r>
                                <m:t>1</m:t>
                              </m:r>
                              <m:r>
                                <m:rPr>
                                  <m:sty m:val="p"/>
                                </m:rPr>
                                <m:t>+</m:t>
                              </m:r>
                              <m:sSub>
                                <m:e>
                                  <m:r>
                                    <m:t>r</m:t>
                                  </m:r>
                                </m:e>
                                <m:sub>
                                  <m:r>
                                    <m:t>p</m:t>
                                  </m:r>
                                  <m:r>
                                    <m:rPr>
                                      <m:sty m:val="p"/>
                                    </m:rPr>
                                    <m:t>,</m:t>
                                  </m:r>
                                  <m:r>
                                    <m:t>t</m:t>
                                  </m:r>
                                </m:sub>
                              </m:sSub>
                            </m:e>
                          </m:d>
                        </m:e>
                      </m:nary>
                    </m:e>
                  </m:d>
                </m:e>
                <m:sup>
                  <m:f>
                    <m:fPr>
                      <m:type m:val="bar"/>
                    </m:fPr>
                    <m:num>
                      <m:r>
                        <m:t>252</m:t>
                      </m:r>
                    </m:num>
                    <m:den>
                      <m:r>
                        <m:t>n</m:t>
                      </m:r>
                    </m:den>
                  </m:f>
                </m:sup>
              </m:sSup>
              <m:r>
                <m:rPr>
                  <m:sty m:val="p"/>
                </m:rPr>
                <m:t>−</m:t>
              </m:r>
              <m:r>
                <m:t>1</m:t>
              </m:r>
            </m:e>
            <m:e>
              <m:sSub>
                <m:e>
                  <m:r>
                    <m:t>σ</m:t>
                  </m:r>
                </m:e>
                <m:sub>
                  <m:r>
                    <m:rPr>
                      <m:sty m:val="p"/>
                    </m:rPr>
                    <m:t>a</m:t>
                  </m:r>
                  <m:r>
                    <m:rPr>
                      <m:sty m:val="p"/>
                    </m:rPr>
                    <m:t>n</m:t>
                  </m:r>
                  <m:r>
                    <m:rPr>
                      <m:sty m:val="p"/>
                    </m:rPr>
                    <m:t>n</m:t>
                  </m:r>
                </m:sub>
              </m:sSub>
              <m:r>
                <m:t>&amp;</m:t>
              </m:r>
              <m:r>
                <m:rPr>
                  <m:sty m:val="p"/>
                </m:rPr>
                <m:t>=</m:t>
              </m:r>
              <m:rad>
                <m:radPr>
                  <m:degHide m:val="on"/>
                </m:radPr>
                <m:deg/>
                <m:e>
                  <m:r>
                    <m:t>252</m:t>
                  </m:r>
                </m:e>
              </m:rad>
              <m:r>
                <m:t> </m:t>
              </m:r>
              <m:r>
                <m:rPr>
                  <m:sty m:val="p"/>
                </m:rPr>
                <m:t>sd</m:t>
              </m:r>
              <m:d>
                <m:dPr>
                  <m:begChr m:val="("/>
                  <m:sepChr m:val=""/>
                  <m:endChr m:val=")"/>
                  <m:grow/>
                </m:dPr>
                <m:e>
                  <m:sSub>
                    <m:e>
                      <m:r>
                        <m:t>r</m:t>
                      </m:r>
                    </m:e>
                    <m:sub>
                      <m:r>
                        <m:t>p</m:t>
                      </m:r>
                      <m:r>
                        <m:rPr>
                          <m:sty m:val="p"/>
                        </m:rPr>
                        <m:t>,</m:t>
                      </m:r>
                      <m:r>
                        <m:t>t</m:t>
                      </m:r>
                    </m:sub>
                  </m:sSub>
                </m:e>
              </m:d>
            </m:e>
            <m:e>
              <m:r>
                <m:rPr>
                  <m:nor/>
                  <m:sty m:val="p"/>
                </m:rPr>
                <m:t>Sharpe Ratio</m:t>
              </m:r>
              <m:r>
                <m:t>&amp;</m:t>
              </m:r>
              <m:r>
                <m:rPr>
                  <m:sty m:val="p"/>
                </m:rPr>
                <m:t>=</m:t>
              </m:r>
              <m:f>
                <m:fPr>
                  <m:type m:val="bar"/>
                </m:fPr>
                <m:num>
                  <m:r>
                    <m:t>252</m:t>
                  </m:r>
                  <m:r>
                    <m:t> </m:t>
                  </m:r>
                  <m:bar>
                    <m:barPr>
                      <m:pos m:val="top"/>
                    </m:barPr>
                    <m:e>
                      <m:d>
                        <m:dPr>
                          <m:begChr m:val="("/>
                          <m:sepChr m:val=""/>
                          <m:endChr m:val=")"/>
                          <m:grow/>
                        </m:dPr>
                        <m:e>
                          <m:sSub>
                            <m:e>
                              <m:r>
                                <m:t>r</m:t>
                              </m:r>
                            </m:e>
                            <m:sub>
                              <m:r>
                                <m:t>p</m:t>
                              </m:r>
                              <m:r>
                                <m:rPr>
                                  <m:sty m:val="p"/>
                                </m:rPr>
                                <m:t>,</m:t>
                              </m:r>
                              <m:r>
                                <m:t>t</m:t>
                              </m:r>
                            </m:sub>
                          </m:sSub>
                          <m:r>
                            <m:rPr>
                              <m:sty m:val="p"/>
                            </m:rPr>
                            <m:t>−</m:t>
                          </m:r>
                          <m:sSub>
                            <m:e>
                              <m:r>
                                <m:t>r</m:t>
                              </m:r>
                            </m:e>
                            <m:sub>
                              <m:r>
                                <m:t>f</m:t>
                              </m:r>
                              <m:r>
                                <m:rPr>
                                  <m:sty m:val="p"/>
                                </m:rPr>
                                <m:t>,</m:t>
                              </m:r>
                              <m:r>
                                <m:t>t</m:t>
                              </m:r>
                            </m:sub>
                          </m:sSub>
                        </m:e>
                      </m:d>
                    </m:e>
                  </m:bar>
                </m:num>
                <m:den>
                  <m:rad>
                    <m:radPr>
                      <m:degHide m:val="on"/>
                    </m:radPr>
                    <m:deg/>
                    <m:e>
                      <m:r>
                        <m:t>252</m:t>
                      </m:r>
                    </m:e>
                  </m:rad>
                  <m:r>
                    <m:t> </m:t>
                  </m:r>
                  <m:r>
                    <m:rPr>
                      <m:sty m:val="p"/>
                    </m:rPr>
                    <m:t>sd</m:t>
                  </m:r>
                  <m:d>
                    <m:dPr>
                      <m:begChr m:val="("/>
                      <m:sepChr m:val=""/>
                      <m:endChr m:val=")"/>
                      <m:grow/>
                    </m:dPr>
                    <m:e>
                      <m:sSub>
                        <m:e>
                          <m:r>
                            <m:t>r</m:t>
                          </m:r>
                        </m:e>
                        <m:sub>
                          <m:r>
                            <m:t>p</m:t>
                          </m:r>
                          <m:r>
                            <m:rPr>
                              <m:sty m:val="p"/>
                            </m:rPr>
                            <m:t>,</m:t>
                          </m:r>
                          <m:r>
                            <m:t>t</m:t>
                          </m:r>
                        </m:sub>
                      </m:sSub>
                      <m:r>
                        <m:rPr>
                          <m:sty m:val="p"/>
                        </m:rPr>
                        <m:t>−</m:t>
                      </m:r>
                      <m:sSub>
                        <m:e>
                          <m:r>
                            <m:t>r</m:t>
                          </m:r>
                        </m:e>
                        <m:sub>
                          <m:r>
                            <m:t>f</m:t>
                          </m:r>
                          <m:r>
                            <m:rPr>
                              <m:sty m:val="p"/>
                            </m:rPr>
                            <m:t>,</m:t>
                          </m:r>
                          <m:r>
                            <m:t>t</m:t>
                          </m:r>
                        </m:sub>
                      </m:sSub>
                    </m:e>
                  </m:d>
                </m:den>
              </m:f>
            </m:e>
          </m:eqArr>
        </m:oMath>
      </m:oMathPara>
    </w:p>
    <w:p>
      <w:pPr>
        <w:pStyle w:val="FirstParagraph"/>
      </w:pPr>
      <w:r>
        <w:t xml:space="preserve">Die annualisierte Rendite aus Gleichung 4 ist die geometrische Wachstumsrate über die</w:t>
      </w:r>
      <w:r>
        <w:t xml:space="preserve"> </w:t>
      </w:r>
      <m:oMath>
        <m:r>
          <m:t>n</m:t>
        </m:r>
      </m:oMath>
      <w:r>
        <w:t xml:space="preserve"> </w:t>
      </w:r>
      <w:r>
        <w:t xml:space="preserve">Handelstage des Bewertungszeitraums, während die realisierte Volatilität als annualisierte Standardabweichung derselben Reihe berechnet wird.</w:t>
      </w:r>
      <w:r>
        <w:t xml:space="preserve"> </w:t>
      </w:r>
      <w:r>
        <w:t xml:space="preserve">Bei der Sharpe Ratio beruhen Zähler und Nenner auf der Überschussrendite gegenüber der Fed Funds Rate.</w:t>
      </w:r>
    </w:p>
    <w:p>
      <w:pPr>
        <w:pStyle w:val="BodyText"/>
      </w:pPr>
      <w:r>
        <w:t xml:space="preserve">Neben diesen Metriken wird auch der Turnover beachtet, der angibt, welcher Anteil des Portfolios je Rebalancierung umgeschichtet wird.</w:t>
      </w:r>
    </w:p>
    <w:p>
      <w:pPr>
        <w:pStyle w:val="BodyText"/>
      </w:pPr>
      <m:oMathPara>
        <m:oMathParaPr>
          <m:jc m:val="center"/>
        </m:oMathParaPr>
        <m:oMath>
          <m:sSub>
            <m:e>
              <m:r>
                <m:rPr>
                  <m:sty m:val="p"/>
                </m:rPr>
                <m:t>T</m:t>
              </m:r>
              <m:r>
                <m:rPr>
                  <m:sty m:val="p"/>
                </m:rPr>
                <m:t>u</m:t>
              </m:r>
              <m:r>
                <m:rPr>
                  <m:sty m:val="p"/>
                </m:rPr>
                <m:t>r</m:t>
              </m:r>
              <m:r>
                <m:rPr>
                  <m:sty m:val="p"/>
                </m:rPr>
                <m:t>n</m:t>
              </m:r>
              <m:r>
                <m:rPr>
                  <m:sty m:val="p"/>
                </m:rPr>
                <m:t>o</m:t>
              </m:r>
              <m:r>
                <m:rPr>
                  <m:sty m:val="p"/>
                </m:rPr>
                <m:t>v</m:t>
              </m:r>
              <m:r>
                <m:rPr>
                  <m:sty m:val="p"/>
                </m:rPr>
                <m:t>e</m:t>
              </m:r>
              <m:r>
                <m:rPr>
                  <m:sty m:val="p"/>
                </m:rPr>
                <m:t>r</m:t>
              </m:r>
            </m:e>
            <m:sub>
              <m:r>
                <m:t>k</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Sup>
                    <m:e>
                      <m:r>
                        <m:t>w</m:t>
                      </m:r>
                    </m:e>
                    <m:sub>
                      <m:r>
                        <m:t>i</m:t>
                      </m:r>
                      <m:r>
                        <m:rPr>
                          <m:sty m:val="p"/>
                        </m:rPr>
                        <m:t>,</m:t>
                      </m:r>
                      <m:r>
                        <m:t>k</m:t>
                      </m:r>
                    </m:sub>
                    <m:sup>
                      <m:r>
                        <m:rPr>
                          <m:sty m:val="p"/>
                        </m:rPr>
                        <m:t>Z</m:t>
                      </m:r>
                      <m:r>
                        <m:rPr>
                          <m:sty m:val="p"/>
                        </m:rPr>
                        <m:t>i</m:t>
                      </m:r>
                      <m:r>
                        <m:rPr>
                          <m:sty m:val="p"/>
                        </m:rPr>
                        <m:t>e</m:t>
                      </m:r>
                      <m:r>
                        <m:rPr>
                          <m:sty m:val="p"/>
                        </m:rPr>
                        <m:t>l</m:t>
                      </m:r>
                    </m:sup>
                  </m:sSubSup>
                  <m:r>
                    <m:rPr>
                      <m:sty m:val="p"/>
                    </m:rPr>
                    <m:t>−</m:t>
                  </m:r>
                  <m:sSubSup>
                    <m:e>
                      <m:r>
                        <m:t>w</m:t>
                      </m:r>
                    </m:e>
                    <m:sub>
                      <m:r>
                        <m:t>i</m:t>
                      </m:r>
                      <m:r>
                        <m:rPr>
                          <m:sty m:val="p"/>
                        </m:rPr>
                        <m:t>,</m:t>
                      </m:r>
                      <m:r>
                        <m:t>k</m:t>
                      </m:r>
                      <m:r>
                        <m:rPr>
                          <m:sty m:val="p"/>
                        </m:rPr>
                        <m:t>−</m:t>
                      </m:r>
                      <m:r>
                        <m:t>1</m:t>
                      </m:r>
                    </m:sub>
                    <m:sup>
                      <m:r>
                        <m:rPr>
                          <m:sty m:val="p"/>
                        </m:rPr>
                        <m:t>E</m:t>
                      </m:r>
                      <m:r>
                        <m:rPr>
                          <m:sty m:val="p"/>
                        </m:rPr>
                        <m:t>n</m:t>
                      </m:r>
                      <m:r>
                        <m:rPr>
                          <m:sty m:val="p"/>
                        </m:rPr>
                        <m:t>d</m:t>
                      </m:r>
                      <m:r>
                        <m:rPr>
                          <m:sty m:val="p"/>
                        </m:rPr>
                        <m:t>e</m:t>
                      </m:r>
                    </m:sup>
                  </m:sSubSup>
                </m:e>
              </m:d>
            </m:e>
          </m:nary>
        </m:oMath>
      </m:oMathPara>
    </w:p>
    <w:p>
      <w:pPr>
        <w:pStyle w:val="FirstParagraph"/>
      </w:pPr>
      <w:r>
        <w:t xml:space="preserve">Dabei sind</w:t>
      </w:r>
      <w:r>
        <w:t xml:space="preserve"> </w:t>
      </w:r>
      <m:oMath>
        <m:sSubSup>
          <m:e>
            <m:r>
              <m:t>w</m:t>
            </m:r>
          </m:e>
          <m:sub>
            <m:r>
              <m:t>i</m:t>
            </m:r>
            <m:r>
              <m:rPr>
                <m:sty m:val="p"/>
              </m:rPr>
              <m:t>,</m:t>
            </m:r>
            <m:r>
              <m:t>k</m:t>
            </m:r>
          </m:sub>
          <m:sup>
            <m:r>
              <m:rPr>
                <m:sty m:val="p"/>
              </m:rPr>
              <m:t>Z</m:t>
            </m:r>
            <m:r>
              <m:rPr>
                <m:sty m:val="p"/>
              </m:rPr>
              <m:t>i</m:t>
            </m:r>
            <m:r>
              <m:rPr>
                <m:sty m:val="p"/>
              </m:rPr>
              <m:t>e</m:t>
            </m:r>
            <m:r>
              <m:rPr>
                <m:sty m:val="p"/>
              </m:rPr>
              <m:t>l</m:t>
            </m:r>
          </m:sup>
        </m:sSubSup>
      </m:oMath>
      <w:r>
        <w:t xml:space="preserve"> </w:t>
      </w:r>
      <w:r>
        <w:t xml:space="preserve">die neuen Zielgewichte der Rebalancierung</w:t>
      </w:r>
      <w:r>
        <w:t xml:space="preserve"> </w:t>
      </w:r>
      <m:oMath>
        <m:r>
          <m:t>k</m:t>
        </m:r>
      </m:oMath>
      <w:r>
        <w:t xml:space="preserve"> </w:t>
      </w:r>
      <w:r>
        <w:t xml:space="preserve">und</w:t>
      </w:r>
      <w:r>
        <w:t xml:space="preserve"> </w:t>
      </w:r>
      <m:oMath>
        <m:sSubSup>
          <m:e>
            <m:r>
              <m:t>w</m:t>
            </m:r>
          </m:e>
          <m:sub>
            <m:r>
              <m:t>i</m:t>
            </m:r>
            <m:r>
              <m:rPr>
                <m:sty m:val="p"/>
              </m:rPr>
              <m:t>,</m:t>
            </m:r>
            <m:r>
              <m:t>k</m:t>
            </m:r>
            <m:r>
              <m:rPr>
                <m:sty m:val="p"/>
              </m:rPr>
              <m:t>−</m:t>
            </m:r>
            <m:r>
              <m:t>1</m:t>
            </m:r>
          </m:sub>
          <m:sup>
            <m:r>
              <m:rPr>
                <m:sty m:val="p"/>
              </m:rPr>
              <m:t>E</m:t>
            </m:r>
            <m:r>
              <m:rPr>
                <m:sty m:val="p"/>
              </m:rPr>
              <m:t>n</m:t>
            </m:r>
            <m:r>
              <m:rPr>
                <m:sty m:val="p"/>
              </m:rPr>
              <m:t>d</m:t>
            </m:r>
            <m:r>
              <m:rPr>
                <m:sty m:val="p"/>
              </m:rPr>
              <m:t>e</m:t>
            </m:r>
          </m:sup>
        </m:sSubSup>
      </m:oMath>
      <w:r>
        <w:t xml:space="preserve"> </w:t>
      </w:r>
      <w:r>
        <w:t xml:space="preserve">die über die vorangegangene Halteperiode gedrifteten Endgewichte.</w:t>
      </w:r>
      <w:r>
        <w:t xml:space="preserve"> </w:t>
      </w:r>
      <w:r>
        <w:t xml:space="preserve">Der Turnover dient dabei als Proxy für Transaktionskosten und zugleich als Indiz für die Robustheit der Optimierungsverfahren.</w:t>
      </w:r>
      <w:r>
        <w:t xml:space="preserve"> </w:t>
      </w:r>
      <w:r>
        <w:t xml:space="preserve">In dieser Studie werden die Transaktionskosten bei der Rebalancierung zwar nicht direkt berücksichtigt, jedoch werden die Auswirkungen kurz bei den Ergebnissen und in</w:t>
      </w:r>
      <w:r>
        <w:t xml:space="preserve"> </w:t>
      </w:r>
      <w:hyperlink w:anchor="sec:anhang_kosten">
        <w:r>
          <w:rPr>
            <w:rStyle w:val="Hyperlink"/>
          </w:rPr>
          <w:t xml:space="preserve">Anhang </w:t>
        </w:r>
        <w:hyperlink w:anchor="sec:anhang_kosten">
          <w:r>
            <w:rPr>
              <w:rStyle w:val="Hyperlink"/>
            </w:rPr>
            <w:t xml:space="preserve">9</w:t>
          </w:r>
        </w:hyperlink>
      </w:hyperlink>
      <w:r>
        <w:t xml:space="preserve"> </w:t>
      </w:r>
      <w:r>
        <w:t xml:space="preserve">dargestellt.</w:t>
      </w:r>
    </w:p>
    <w:bookmarkEnd w:id="26"/>
    <w:bookmarkStart w:id="27" w:name="signifikanztests"/>
    <w:p>
      <w:pPr>
        <w:pStyle w:val="Heading4"/>
      </w:pPr>
      <w:r>
        <w:t xml:space="preserve">Signifikanztests</w:t>
      </w:r>
    </w:p>
    <w:p>
      <w:pPr>
        <w:pStyle w:val="FirstParagraph"/>
      </w:pPr>
      <w:r>
        <w:t xml:space="preserve">Signifikanzaussagen beruhen auf zwei Tests.</w:t>
      </w:r>
      <w:r>
        <w:t xml:space="preserve"> </w:t>
      </w:r>
      <w:r>
        <w:t xml:space="preserve">Unterschiede in der Prognosegüte werden mit dem Diebold-Mariano-Test (DM-Test) auf die Verlustdifferenzen geprüft</w:t>
      </w:r>
      <w:r>
        <w:t xml:space="preserve"> </w:t>
      </w:r>
      <w:r>
        <w:t xml:space="preserve">(Diebold and Mariano 1995; West 1996)</w:t>
      </w:r>
      <w:r>
        <w:t xml:space="preserve">, deren Langfristvarianz autokorrelationsrobust geschätzt wird.</w:t>
      </w:r>
      <w:r>
        <w:t xml:space="preserve"> </w:t>
      </w:r>
      <w:r>
        <w:t xml:space="preserve">Für Unterschiede in den Sharpe Ratios dient der Test von</w:t>
      </w:r>
      <w:r>
        <w:t xml:space="preserve"> </w:t>
      </w:r>
      <w:r>
        <w:t xml:space="preserve">Jobson and Korkie (1981)</w:t>
      </w:r>
      <w:r>
        <w:t xml:space="preserve"> </w:t>
      </w:r>
      <w:r>
        <w:t xml:space="preserve">in der Korrektur von</w:t>
      </w:r>
      <w:r>
        <w:t xml:space="preserve"> </w:t>
      </w:r>
      <w:r>
        <w:t xml:space="preserve">Memmel (2003)</w:t>
      </w:r>
      <w:r>
        <w:t xml:space="preserve">, der die Korrelation der beiden Renditereihen berücksichtigt.</w:t>
      </w:r>
      <w:r>
        <w:t xml:space="preserve"> </w:t>
      </w:r>
      <w:r>
        <w:t xml:space="preserve">Damit wird für beide Bewertungsebenen getrennt geprüft, ob die beobachteten Unterschiede zwischen den Schätz- und Optimierungsverfahren über zufällige Schwankungen hinausgehen.</w:t>
      </w:r>
    </w:p>
    <w:bookmarkEnd w:id="27"/>
    <w:bookmarkEnd w:id="28"/>
    <w:bookmarkEnd w:id="29"/>
    <w:bookmarkStart w:id="43" w:name="sec:ergebnisse"/>
    <w:p>
      <w:pPr>
        <w:pStyle w:val="Heading1"/>
      </w:pPr>
      <w:r>
        <w:t xml:space="preserve">Ergebnisse</w:t>
      </w:r>
    </w:p>
    <w:p>
      <w:pPr>
        <w:pStyle w:val="FirstParagraph"/>
      </w:pPr>
      <w:r>
        <w:t xml:space="preserve">Zunächst wird geprüft, ob die GARCH-basierten Schätzer die Kovarianzmatrix besser prognostizieren, bevor untersucht wird, ob sich ein solcher Vorteil auch in der Portfolioperformance niederschlägt.</w:t>
      </w:r>
      <w:r>
        <w:t xml:space="preserve"> </w:t>
      </w:r>
      <w:r>
        <w:t xml:space="preserve">Diese Reihenfolge folgt dem Einwand von</w:t>
      </w:r>
      <w:r>
        <w:t xml:space="preserve"> </w:t>
      </w:r>
      <w:r>
        <w:t xml:space="preserve">Engle and Colacito (2006)</w:t>
      </w:r>
      <w:r>
        <w:t xml:space="preserve">, wonach die Sharpe Ratio von den realisierten Renditen dominiert wird, auf die die Kovarianzmatrix nur mittelbar wirkt, was sich ebenso auf andere renditebasierte Kennzahlen übertragen lässt.</w:t>
      </w:r>
      <w:r>
        <w:t xml:space="preserve"> </w:t>
      </w:r>
      <w:r>
        <w:t xml:space="preserve">Anschließend wird die Stabilität beider Befunde über Trainingsfenster und Prognosehorizonte betrachtet, während der Einfluss des Bewertungszeitraums und der Teilperioden im</w:t>
      </w:r>
      <w:r>
        <w:t xml:space="preserve"> </w:t>
      </w:r>
      <w:hyperlink w:anchor="sec:anhang_strukturbruch">
        <w:r>
          <w:rPr>
            <w:rStyle w:val="Hyperlink"/>
          </w:rPr>
          <w:t xml:space="preserve">Anhang </w:t>
        </w:r>
        <w:hyperlink w:anchor="sec:anhang_strukturbruch">
          <w:r>
            <w:rPr>
              <w:rStyle w:val="Hyperlink"/>
            </w:rPr>
            <w:t xml:space="preserve">8</w:t>
          </w:r>
        </w:hyperlink>
      </w:hyperlink>
      <w:r>
        <w:t xml:space="preserve"> </w:t>
      </w:r>
      <w:r>
        <w:t xml:space="preserve">behandelt wird.</w:t>
      </w:r>
    </w:p>
    <w:bookmarkStart w:id="33" w:name="sec:statistisch"/>
    <w:p>
      <w:pPr>
        <w:pStyle w:val="Heading2"/>
      </w:pPr>
      <w:r>
        <w:t xml:space="preserve">Statistische Prognosequalität</w:t>
      </w:r>
    </w:p>
    <w:p>
      <w:pPr>
        <w:pStyle w:val="FirstParagraph"/>
      </w:pPr>
      <w:r>
        <w:t xml:space="preserve">Im Basisfall (vier Jahre Training, ein Tag Prognosehorizont) ordnet sich die Prognosegüte unter beiden Verlustmaßen nach der Modellkomplexität, wie</w:t>
      </w:r>
      <w:r>
        <w:t xml:space="preserve"> </w:t>
      </w:r>
      <w:hyperlink w:anchor="tab:statistik_basis">
        <w:r>
          <w:rPr>
            <w:rStyle w:val="Hyperlink"/>
          </w:rPr>
          <w:t xml:space="preserve">Tabelle </w:t>
        </w:r>
        <w:hyperlink w:anchor="tab:statistik_basis">
          <w:r>
            <w:rPr>
              <w:rStyle w:val="Hyperlink"/>
            </w:rPr>
            <w:t xml:space="preserve">2</w:t>
          </w:r>
        </w:hyperlink>
      </w:hyperlink>
      <w:r>
        <w:t xml:space="preserve"> </w:t>
      </w:r>
      <w:r>
        <w:t xml:space="preserve">zeigt.</w:t>
      </w:r>
      <w:r>
        <w:t xml:space="preserve"> </w:t>
      </w:r>
      <w:r>
        <w:t xml:space="preserve">Die historische Matrix schneidet am schlechtesten ab, während der GARCH-Schätzer sie deutlich verbessert und DCC-GARCH nochmals einen kleinen Zusatzgewinn liefert.</w:t>
      </w:r>
      <w:r>
        <w:t xml:space="preserve"> </w:t>
      </w:r>
      <w:r>
        <w:t xml:space="preserve">QLIKE und MSE stimmen hierbei in dieser Reihenfolge überein.</w:t>
      </w:r>
    </w:p>
    <w:bookmarkStart w:id="30" w:name="tab:statistik_basis"/>
    <w:p>
      <w:pPr>
        <w:pStyle w:val="TableCaption"/>
      </w:pPr>
      <w:r>
        <w:t xml:space="preserve">Prognosequalität der Kovarianzschätzer im Basisfall</w:t>
      </w:r>
    </w:p>
    <w:tbl>
      <w:tblPr>
        <w:tblStyle w:val="Table"/>
        <w:tblW w:type="auto" w:w="0"/>
        <w:tblLook w:firstRow="1" w:lastRow="0" w:firstColumn="0" w:lastColumn="0" w:noHBand="0" w:noVBand="0" w:val="0020"/>
        <w:tblCaption w:val="Prognosequalität der Kovarianzschätzer im Basisfall"/>
      </w:tblPr>
      <w:tblGrid>
        <w:gridCol w:w="3024"/>
        <w:gridCol w:w="3024"/>
        <w:gridCol w:w="3024"/>
      </w:tblGrid>
      <w:tr>
        <w:trPr>
          <w:tblHeader w:val="on"/>
        </w:trPr>
        <w:tc>
          <w:tcPr/>
          <w:p>
            <w:pPr>
              <w:pStyle w:val="Compact"/>
              <w:jc w:val="left"/>
            </w:pPr>
            <w:r>
              <w:t xml:space="preserve">Kovarianzschätzer</w:t>
            </w:r>
          </w:p>
        </w:tc>
        <w:tc>
          <w:tcPr/>
          <w:p>
            <w:pPr>
              <w:pStyle w:val="Compact"/>
              <w:jc w:val="right"/>
            </w:pPr>
            <w:r>
              <w:t xml:space="preserve">QLIKE</w:t>
            </w:r>
          </w:p>
        </w:tc>
        <w:tc>
          <w:tcPr/>
          <w:p>
            <w:pPr>
              <w:pStyle w:val="Compact"/>
              <w:jc w:val="right"/>
            </w:pPr>
            <w:r>
              <w:t xml:space="preserve">MSE (</w:t>
            </w:r>
            <m:oMath>
              <m:r>
                <m:rPr>
                  <m:sty m:val="p"/>
                </m:rPr>
                <m:t>×</m:t>
              </m:r>
              <m:sSup>
                <m:e>
                  <m:r>
                    <m:t>10</m:t>
                  </m:r>
                </m:e>
                <m:sup>
                  <m:r>
                    <m:rPr>
                      <m:sty m:val="p"/>
                    </m:rPr>
                    <m:t>−</m:t>
                  </m:r>
                  <m:r>
                    <m:t>7</m:t>
                  </m:r>
                </m:sup>
              </m:sSup>
            </m:oMath>
            <w:r>
              <w:t xml:space="preserve">)</w:t>
            </w:r>
          </w:p>
        </w:tc>
      </w:tr>
      <w:tr>
        <w:tc>
          <w:tcPr/>
          <w:p>
            <w:pPr>
              <w:pStyle w:val="Compact"/>
              <w:jc w:val="left"/>
            </w:pPr>
            <w:r>
              <w:t xml:space="preserve">Historisch</w:t>
            </w:r>
          </w:p>
        </w:tc>
        <w:tc>
          <w:tcPr/>
          <w:p>
            <w:pPr>
              <w:pStyle w:val="Compact"/>
              <w:jc w:val="right"/>
            </w:pPr>
            <w:r>
              <w:t xml:space="preserve">-152,81</w:t>
            </w:r>
          </w:p>
        </w:tc>
        <w:tc>
          <w:tcPr/>
          <w:p>
            <w:pPr>
              <w:pStyle w:val="Compact"/>
              <w:jc w:val="right"/>
            </w:pPr>
            <w:r>
              <w:t xml:space="preserve">4,28</w:t>
            </w:r>
          </w:p>
        </w:tc>
      </w:tr>
      <w:tr>
        <w:tc>
          <w:tcPr/>
          <w:p>
            <w:pPr>
              <w:pStyle w:val="Compact"/>
              <w:jc w:val="left"/>
            </w:pPr>
            <w:r>
              <w:t xml:space="preserve">GARCH</w:t>
            </w:r>
          </w:p>
        </w:tc>
        <w:tc>
          <w:tcPr/>
          <w:p>
            <w:pPr>
              <w:pStyle w:val="Compact"/>
              <w:jc w:val="right"/>
            </w:pPr>
            <w:r>
              <w:t xml:space="preserve">-155,37</w:t>
            </w:r>
          </w:p>
        </w:tc>
        <w:tc>
          <w:tcPr/>
          <w:p>
            <w:pPr>
              <w:pStyle w:val="Compact"/>
              <w:jc w:val="right"/>
            </w:pPr>
            <w:r>
              <w:t xml:space="preserve">3,52</w:t>
            </w:r>
          </w:p>
        </w:tc>
      </w:tr>
      <w:tr>
        <w:tc>
          <w:tcPr/>
          <w:p>
            <w:pPr>
              <w:pStyle w:val="Compact"/>
              <w:jc w:val="left"/>
            </w:pPr>
            <w:r>
              <w:t xml:space="preserve">DCC-GARCH</w:t>
            </w:r>
          </w:p>
        </w:tc>
        <w:tc>
          <w:tcPr/>
          <w:p>
            <w:pPr>
              <w:pStyle w:val="Compact"/>
              <w:jc w:val="right"/>
            </w:pPr>
            <w:r>
              <w:t xml:space="preserve">-156,12</w:t>
            </w:r>
          </w:p>
        </w:tc>
        <w:tc>
          <w:tcPr/>
          <w:p>
            <w:pPr>
              <w:pStyle w:val="Compact"/>
              <w:jc w:val="right"/>
            </w:pPr>
            <w:r>
              <w:t xml:space="preserve">3,44</w:t>
            </w:r>
          </w:p>
        </w:tc>
      </w:tr>
    </w:tbl>
    <w:bookmarkEnd w:id="30"/>
    <w:p>
      <w:pPr>
        <w:pStyle w:val="BlockText"/>
      </w:pPr>
      <w:r>
        <w:t xml:space="preserve">TRBC, Training 1008 Handelstage, Prognosehorizont 1 Tag, bewertet über die volle Historie vom 12.02.2003 bis 09.06.2026; niedrigere Werte bedeuten eine bessere Prognose. QLIKE gemittelt über 6013 Termine, an denen alle drei Schätzer definiert sind (die historische Matrix ist an einzelnen Terminen singulär); MSE über alle 6079 Termine, an denen dieser Ausfall nicht auftritt.</w:t>
      </w:r>
    </w:p>
    <w:p>
      <w:pPr>
        <w:pStyle w:val="FirstParagraph"/>
      </w:pPr>
      <w:r>
        <w:t xml:space="preserve">Wie scharf die beiden Verlustmaße trennen, unterscheidet sich allerdings erheblich.</w:t>
      </w:r>
      <w:r>
        <w:t xml:space="preserve"> </w:t>
      </w:r>
      <w:r>
        <w:t xml:space="preserve">Der DM-Test in</w:t>
      </w:r>
      <w:r>
        <w:t xml:space="preserve"> </w:t>
      </w:r>
      <w:hyperlink w:anchor="tab:dmw">
        <w:r>
          <w:rPr>
            <w:rStyle w:val="Hyperlink"/>
          </w:rPr>
          <w:t xml:space="preserve">Tabelle </w:t>
        </w:r>
        <w:hyperlink w:anchor="tab:dmw">
          <w:r>
            <w:rPr>
              <w:rStyle w:val="Hyperlink"/>
            </w:rPr>
            <w:t xml:space="preserve">3</w:t>
          </w:r>
        </w:hyperlink>
      </w:hyperlink>
      <w:r>
        <w:t xml:space="preserve"> </w:t>
      </w:r>
      <w:r>
        <w:t xml:space="preserve">verwirft die Nullhypothese gleicher erwarteter Verluste unter QLIKE in allen drei paarweisen Vergleichen auf dem 1-%-Niveau, wobei dies trotz der insgesamt geringen Differenz auch für den Vergleich von DCC-GARCH und GARCH gilt.</w:t>
      </w:r>
      <w:r>
        <w:t xml:space="preserve"> </w:t>
      </w:r>
      <w:r>
        <w:t xml:space="preserve">Der Grund hierfür liegt darin, dass beide Schätzer dieselben Varianzprognosen verwenden, wodurch die Verlustdifferenz kaum streut und fast ausschließlich aus dem Korrelationsbeitrag stammt.</w:t>
      </w:r>
      <w:r>
        <w:t xml:space="preserve"> </w:t>
      </w:r>
      <w:r>
        <w:t xml:space="preserve">Unter dem MSE sind die Abstände zur historischen Matrix hingegen nur auf dem 5-%-Niveau signifikant, während der Unterschied zwischen DCC und GARCH nicht mehr von null zu trennen ist.</w:t>
      </w:r>
      <w:r>
        <w:t xml:space="preserve"> </w:t>
      </w:r>
      <w:r>
        <w:t xml:space="preserve">Belastbar ist somit, dass beide dynamischen Schätzer die historische Matrix unter dem primären QLIKE-Kriterium hochsignifikant schlagen und auch der Zusatznutzen der dynamischen Korrelation dort nachweisbar ist, während der MSE nur die gröbere Rangfolge bestätigt.</w:t>
      </w:r>
    </w:p>
    <w:bookmarkStart w:id="31" w:name="tab:dmw"/>
    <w:p>
      <w:pPr>
        <w:pStyle w:val="TableCaption"/>
      </w:pPr>
      <w:r>
        <w:t xml:space="preserve">Diebold-Mariano-Tests auf die Verlustdifferenzen (Basisfall)</w:t>
      </w:r>
    </w:p>
    <w:tbl>
      <w:tblPr>
        <w:tblStyle w:val="Table"/>
        <w:tblW w:type="auto" w:w="0"/>
        <w:tblLook w:firstRow="1" w:lastRow="0" w:firstColumn="0" w:lastColumn="0" w:noHBand="0" w:noVBand="0" w:val="0020"/>
        <w:tblCaption w:val="Diebold-Mariano-Tests auf die Verlustdifferenzen (Basisfall)"/>
      </w:tblPr>
      <w:tblGrid>
        <w:gridCol w:w="1512"/>
        <w:gridCol w:w="1512"/>
        <w:gridCol w:w="1512"/>
        <w:gridCol w:w="1512"/>
        <w:gridCol w:w="1512"/>
        <w:gridCol w:w="1512"/>
      </w:tblGrid>
      <w:tr>
        <w:trPr>
          <w:tblHeader w:val="on"/>
        </w:trPr>
        <w:tc>
          <w:tcPr/>
          <w:p>
            <w:pPr>
              <w:pStyle w:val="Compact"/>
              <w:jc w:val="left"/>
            </w:pPr>
            <w:r>
              <w:t xml:space="preserve">Vergleich</w:t>
            </w:r>
          </w:p>
        </w:tc>
        <w:tc>
          <w:tcPr/>
          <w:p>
            <w:pPr>
              <w:pStyle w:val="Compact"/>
              <w:jc w:val="right"/>
            </w:pPr>
            <m:oMath>
              <m:r>
                <m:rPr>
                  <m:sty m:val="p"/>
                </m:rPr>
                <m:t>⌀</m:t>
              </m:r>
              <m:r>
                <m:t> </m:t>
              </m:r>
              <m:r>
                <m:rPr>
                  <m:sty m:val="p"/>
                </m:rPr>
                <m:t>Δ</m:t>
              </m:r>
            </m:oMath>
            <w:r>
              <w:t xml:space="preserve"> </w:t>
            </w:r>
            <w:r>
              <w:t xml:space="preserve">Verlust</w:t>
            </w:r>
          </w:p>
        </w:tc>
        <w:tc>
          <w:tcPr/>
          <w:p>
            <w:pPr>
              <w:pStyle w:val="Compact"/>
              <w:jc w:val="right"/>
            </w:pPr>
            <m:oMath>
              <m:r>
                <m:t>t</m:t>
              </m:r>
            </m:oMath>
            <w:r>
              <w:t xml:space="preserve">-Statistik</w:t>
            </w:r>
          </w:p>
        </w:tc>
        <w:tc>
          <w:tcPr>
            <w:gridSpan w:val="2"/>
          </w:tcPr>
          <w:p>
            <w:pPr>
              <w:pStyle w:val="Compact"/>
              <w:jc w:val="center"/>
            </w:pPr>
            <m:oMath>
              <m:r>
                <m:t>p</m:t>
              </m:r>
            </m:oMath>
            <w:r>
              <w:t xml:space="preserve">-Wert</w:t>
            </w:r>
          </w:p>
        </w:tc>
        <w:tc>
          <w:tcPr/>
          <w:p>
            <w:pPr>
              <w:pStyle w:val="Compact"/>
              <w:jc w:val="right"/>
            </w:pPr>
            <w:r>
              <w:t xml:space="preserve">Termine</w:t>
            </w:r>
          </w:p>
        </w:tc>
      </w:tr>
      <w:tr>
        <w:tc>
          <w:tcPr>
            <w:gridSpan w:val="6"/>
          </w:tcPr>
          <w:p>
            <w:pPr>
              <w:pStyle w:val="Compact"/>
              <w:jc w:val="left"/>
            </w:pPr>
            <w:r>
              <w:rPr>
                <w:i/>
                <w:iCs/>
              </w:rPr>
              <w:t xml:space="preserve">QLIKE</w:t>
            </w:r>
          </w:p>
        </w:tc>
      </w:tr>
      <w:tr>
        <w:tc>
          <w:tcPr/>
          <w:p>
            <w:pPr>
              <w:pStyle w:val="Compact"/>
              <w:jc w:val="left"/>
            </w:pPr>
            <w:r>
              <w:t xml:space="preserve">GARCH vs. Historisch</w:t>
            </w:r>
          </w:p>
        </w:tc>
        <w:tc>
          <w:tcPr/>
          <w:p>
            <w:pPr>
              <w:pStyle w:val="Compact"/>
              <w:jc w:val="right"/>
            </w:pPr>
            <w:r>
              <w:t xml:space="preserve">-2,563</w:t>
            </w:r>
          </w:p>
        </w:tc>
        <w:tc>
          <w:tcPr/>
          <w:p>
            <w:pPr>
              <w:pStyle w:val="Compact"/>
              <w:jc w:val="right"/>
            </w:pPr>
            <w:r>
              <w:t xml:space="preserve">-4,18</w:t>
            </w:r>
          </w:p>
        </w:tc>
        <w:tc>
          <w:tcPr/>
          <w:p>
            <w:pPr>
              <w:pStyle w:val="Compact"/>
              <w:jc w:val="right"/>
            </w:pPr>
            <m:oMath>
              <m:r>
                <m:rPr>
                  <m:sty m:val="p"/>
                </m:rPr>
                <m:t>&lt;</m:t>
              </m:r>
            </m:oMath>
            <w:r>
              <w:t xml:space="preserve">0,001</w:t>
            </w:r>
          </w:p>
        </w:tc>
        <w:tc>
          <w:tcPr/>
          <w:p>
            <w:pPr>
              <w:pStyle w:val="Compact"/>
              <w:jc w:val="left"/>
            </w:pPr>
            <w:r>
              <w:rPr>
                <w:vertAlign w:val="superscript"/>
              </w:rPr>
              <w:t xml:space="preserve">***</w:t>
            </w:r>
          </w:p>
        </w:tc>
        <w:tc>
          <w:tcPr/>
          <w:p>
            <w:pPr>
              <w:pStyle w:val="Compact"/>
              <w:jc w:val="right"/>
            </w:pPr>
            <w:r>
              <w:t xml:space="preserve">6013</w:t>
            </w:r>
          </w:p>
        </w:tc>
      </w:tr>
      <w:tr>
        <w:tc>
          <w:tcPr/>
          <w:p>
            <w:pPr>
              <w:pStyle w:val="Compact"/>
              <w:jc w:val="left"/>
            </w:pPr>
            <w:r>
              <w:t xml:space="preserve">DCC-GARCH vs. Historisch</w:t>
            </w:r>
          </w:p>
        </w:tc>
        <w:tc>
          <w:tcPr/>
          <w:p>
            <w:pPr>
              <w:pStyle w:val="Compact"/>
              <w:jc w:val="right"/>
            </w:pPr>
            <w:r>
              <w:t xml:space="preserve">-3,308</w:t>
            </w:r>
          </w:p>
        </w:tc>
        <w:tc>
          <w:tcPr/>
          <w:p>
            <w:pPr>
              <w:pStyle w:val="Compact"/>
              <w:jc w:val="right"/>
            </w:pPr>
            <w:r>
              <w:t xml:space="preserve">-5,28</w:t>
            </w:r>
          </w:p>
        </w:tc>
        <w:tc>
          <w:tcPr/>
          <w:p>
            <w:pPr>
              <w:pStyle w:val="Compact"/>
              <w:jc w:val="right"/>
            </w:pPr>
            <m:oMath>
              <m:r>
                <m:rPr>
                  <m:sty m:val="p"/>
                </m:rPr>
                <m:t>&lt;</m:t>
              </m:r>
            </m:oMath>
            <w:r>
              <w:t xml:space="preserve">0,001</w:t>
            </w:r>
          </w:p>
        </w:tc>
        <w:tc>
          <w:tcPr/>
          <w:p>
            <w:pPr>
              <w:pStyle w:val="Compact"/>
              <w:jc w:val="left"/>
            </w:pPr>
            <w:r>
              <w:rPr>
                <w:vertAlign w:val="superscript"/>
              </w:rPr>
              <w:t xml:space="preserve">***</w:t>
            </w:r>
          </w:p>
        </w:tc>
        <w:tc>
          <w:tcPr/>
          <w:p>
            <w:pPr>
              <w:pStyle w:val="Compact"/>
              <w:jc w:val="right"/>
            </w:pPr>
            <w:r>
              <w:t xml:space="preserve">6013</w:t>
            </w:r>
          </w:p>
        </w:tc>
      </w:tr>
      <w:tr>
        <w:tc>
          <w:tcPr/>
          <w:p>
            <w:pPr>
              <w:pStyle w:val="Compact"/>
              <w:jc w:val="left"/>
            </w:pPr>
            <w:r>
              <w:t xml:space="preserve">DCC-GARCH vs. GARCH</w:t>
            </w:r>
          </w:p>
        </w:tc>
        <w:tc>
          <w:tcPr/>
          <w:p>
            <w:pPr>
              <w:pStyle w:val="Compact"/>
              <w:jc w:val="right"/>
            </w:pPr>
            <w:r>
              <w:t xml:space="preserve">-0,744</w:t>
            </w:r>
          </w:p>
        </w:tc>
        <w:tc>
          <w:tcPr/>
          <w:p>
            <w:pPr>
              <w:pStyle w:val="Compact"/>
              <w:jc w:val="right"/>
            </w:pPr>
            <w:r>
              <w:t xml:space="preserve">-13,86</w:t>
            </w:r>
          </w:p>
        </w:tc>
        <w:tc>
          <w:tcPr/>
          <w:p>
            <w:pPr>
              <w:pStyle w:val="Compact"/>
              <w:jc w:val="right"/>
            </w:pPr>
            <m:oMath>
              <m:r>
                <m:rPr>
                  <m:sty m:val="p"/>
                </m:rPr>
                <m:t>&lt;</m:t>
              </m:r>
            </m:oMath>
            <w:r>
              <w:t xml:space="preserve">0,001</w:t>
            </w:r>
          </w:p>
        </w:tc>
        <w:tc>
          <w:tcPr/>
          <w:p>
            <w:pPr>
              <w:pStyle w:val="Compact"/>
              <w:jc w:val="left"/>
            </w:pPr>
            <w:r>
              <w:rPr>
                <w:vertAlign w:val="superscript"/>
              </w:rPr>
              <w:t xml:space="preserve">***</w:t>
            </w:r>
          </w:p>
        </w:tc>
        <w:tc>
          <w:tcPr/>
          <w:p>
            <w:pPr>
              <w:pStyle w:val="Compact"/>
              <w:jc w:val="right"/>
            </w:pPr>
            <w:r>
              <w:t xml:space="preserve">6079</w:t>
            </w:r>
          </w:p>
        </w:tc>
      </w:tr>
      <w:tr>
        <w:tc>
          <w:tcPr>
            <w:gridSpan w:val="6"/>
          </w:tcPr>
          <w:p>
            <w:pPr>
              <w:pStyle w:val="Compact"/>
              <w:jc w:val="left"/>
            </w:pPr>
            <w:r>
              <w:rPr>
                <w:i/>
                <w:iCs/>
              </w:rPr>
              <w:t xml:space="preserve">MSE (</w:t>
            </w:r>
            <m:oMath>
              <m:r>
                <m:rPr>
                  <m:sty m:val="p"/>
                </m:rPr>
                <m:t>×</m:t>
              </m:r>
              <m:sSup>
                <m:e>
                  <m:r>
                    <m:t>10</m:t>
                  </m:r>
                </m:e>
                <m:sup>
                  <m:r>
                    <m:rPr>
                      <m:sty m:val="p"/>
                    </m:rPr>
                    <m:t>−</m:t>
                  </m:r>
                  <m:r>
                    <m:t>7</m:t>
                  </m:r>
                </m:sup>
              </m:sSup>
            </m:oMath>
            <w:r>
              <w:rPr>
                <w:i/>
                <w:iCs/>
              </w:rPr>
              <w:t xml:space="preserve">)</w:t>
            </w:r>
          </w:p>
        </w:tc>
      </w:tr>
      <w:tr>
        <w:tc>
          <w:tcPr/>
          <w:p>
            <w:pPr>
              <w:pStyle w:val="Compact"/>
              <w:jc w:val="left"/>
            </w:pPr>
            <w:r>
              <w:t xml:space="preserve">GARCH vs. Historisch</w:t>
            </w:r>
          </w:p>
        </w:tc>
        <w:tc>
          <w:tcPr/>
          <w:p>
            <w:pPr>
              <w:pStyle w:val="Compact"/>
              <w:jc w:val="right"/>
            </w:pPr>
            <w:r>
              <w:t xml:space="preserve">-0,764</w:t>
            </w:r>
          </w:p>
        </w:tc>
        <w:tc>
          <w:tcPr/>
          <w:p>
            <w:pPr>
              <w:pStyle w:val="Compact"/>
              <w:jc w:val="right"/>
            </w:pPr>
            <w:r>
              <w:t xml:space="preserve">-2,23</w:t>
            </w:r>
          </w:p>
        </w:tc>
        <w:tc>
          <w:tcPr/>
          <w:p>
            <w:pPr>
              <w:pStyle w:val="Compact"/>
              <w:jc w:val="right"/>
            </w:pPr>
            <w:r>
              <w:t xml:space="preserve">0,026</w:t>
            </w:r>
          </w:p>
        </w:tc>
        <w:tc>
          <w:tcPr/>
          <w:p>
            <w:pPr>
              <w:pStyle w:val="Compact"/>
              <w:jc w:val="left"/>
            </w:pPr>
            <w:r>
              <w:rPr>
                <w:vertAlign w:val="superscript"/>
              </w:rPr>
              <w:t xml:space="preserve">**</w:t>
            </w:r>
          </w:p>
        </w:tc>
        <w:tc>
          <w:tcPr/>
          <w:p>
            <w:pPr>
              <w:pStyle w:val="Compact"/>
              <w:jc w:val="right"/>
            </w:pPr>
            <w:r>
              <w:t xml:space="preserve">6079</w:t>
            </w:r>
          </w:p>
        </w:tc>
      </w:tr>
      <w:tr>
        <w:tc>
          <w:tcPr/>
          <w:p>
            <w:pPr>
              <w:pStyle w:val="Compact"/>
              <w:jc w:val="left"/>
            </w:pPr>
            <w:r>
              <w:t xml:space="preserve">DCC-GARCH vs. Historisch</w:t>
            </w:r>
          </w:p>
        </w:tc>
        <w:tc>
          <w:tcPr/>
          <w:p>
            <w:pPr>
              <w:pStyle w:val="Compact"/>
              <w:jc w:val="right"/>
            </w:pPr>
            <w:r>
              <w:t xml:space="preserve">-0,846</w:t>
            </w:r>
          </w:p>
        </w:tc>
        <w:tc>
          <w:tcPr/>
          <w:p>
            <w:pPr>
              <w:pStyle w:val="Compact"/>
              <w:jc w:val="right"/>
            </w:pPr>
            <w:r>
              <w:t xml:space="preserve">-2,11</w:t>
            </w:r>
          </w:p>
        </w:tc>
        <w:tc>
          <w:tcPr/>
          <w:p>
            <w:pPr>
              <w:pStyle w:val="Compact"/>
              <w:jc w:val="right"/>
            </w:pPr>
            <w:r>
              <w:t xml:space="preserve">0,035</w:t>
            </w:r>
          </w:p>
        </w:tc>
        <w:tc>
          <w:tcPr/>
          <w:p>
            <w:pPr>
              <w:pStyle w:val="Compact"/>
              <w:jc w:val="left"/>
            </w:pPr>
            <w:r>
              <w:rPr>
                <w:vertAlign w:val="superscript"/>
              </w:rPr>
              <w:t xml:space="preserve">**</w:t>
            </w:r>
          </w:p>
        </w:tc>
        <w:tc>
          <w:tcPr/>
          <w:p>
            <w:pPr>
              <w:pStyle w:val="Compact"/>
              <w:jc w:val="right"/>
            </w:pPr>
            <w:r>
              <w:t xml:space="preserve">6079</w:t>
            </w:r>
          </w:p>
        </w:tc>
      </w:tr>
      <w:tr>
        <w:tc>
          <w:tcPr/>
          <w:p>
            <w:pPr>
              <w:pStyle w:val="Compact"/>
              <w:jc w:val="left"/>
            </w:pPr>
            <w:r>
              <w:t xml:space="preserve">DCC-GARCH vs. GARCH</w:t>
            </w:r>
          </w:p>
        </w:tc>
        <w:tc>
          <w:tcPr/>
          <w:p>
            <w:pPr>
              <w:pStyle w:val="Compact"/>
              <w:jc w:val="right"/>
            </w:pPr>
            <w:r>
              <w:t xml:space="preserve">-0,082</w:t>
            </w:r>
          </w:p>
        </w:tc>
        <w:tc>
          <w:tcPr/>
          <w:p>
            <w:pPr>
              <w:pStyle w:val="Compact"/>
              <w:jc w:val="right"/>
            </w:pPr>
            <w:r>
              <w:t xml:space="preserve">-1,26</w:t>
            </w:r>
          </w:p>
        </w:tc>
        <w:tc>
          <w:tcPr/>
          <w:p>
            <w:pPr>
              <w:pStyle w:val="Compact"/>
              <w:jc w:val="right"/>
            </w:pPr>
            <w:r>
              <w:t xml:space="preserve">0,207</w:t>
            </w:r>
          </w:p>
        </w:tc>
        <w:tc>
          <w:tcPr/>
          <w:p>
            <w:pPr>
              <w:pStyle w:val="Compact"/>
            </w:pPr>
          </w:p>
        </w:tc>
        <w:tc>
          <w:tcPr/>
          <w:p>
            <w:pPr>
              <w:pStyle w:val="Compact"/>
              <w:jc w:val="right"/>
            </w:pPr>
            <w:r>
              <w:t xml:space="preserve">6079</w:t>
            </w:r>
          </w:p>
        </w:tc>
      </w:tr>
    </w:tbl>
    <w:bookmarkEnd w:id="31"/>
    <w:p>
      <w:pPr>
        <w:pStyle w:val="BlockText"/>
      </w:pPr>
      <w:r>
        <w:t xml:space="preserve">Basisfall, bewertet über die volle Historie vom 12.02.2003 bis 09.06.2026. Negative Differenzen bedeuten, dass der erstgenannte Schätzer besser prognostiziert;</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w:t>
      </w:r>
      <w:r>
        <w:t xml:space="preserve">= 1-, 5-, 10-%-Niveau.</w:t>
      </w:r>
    </w:p>
    <w:p>
      <w:pPr>
        <w:pStyle w:val="FirstParagraph"/>
      </w:pPr>
      <w:r>
        <w:t xml:space="preserve">Über das gesamte Untersuchungsdesign hinweg ist der statistische Vorsprung nahezu vollständig, da DCC-GARCH unter dem primären QLIKE-Kriterium in 37 von 40 Kombinationen und unter dem MSE in sämtlichen 40 besser prognostiziert als die historische Matrix (siehe</w:t>
      </w:r>
      <w:r>
        <w:t xml:space="preserve"> </w:t>
      </w:r>
      <w:hyperlink w:anchor="tab:bestzaehlung">
        <w:r>
          <w:rPr>
            <w:rStyle w:val="Hyperlink"/>
          </w:rPr>
          <w:t xml:space="preserve">Tabelle </w:t>
        </w:r>
        <w:hyperlink w:anchor="tab:bestzaehlung">
          <w:r>
            <w:rPr>
              <w:rStyle w:val="Hyperlink"/>
            </w:rPr>
            <w:t xml:space="preserve">11</w:t>
          </w:r>
        </w:hyperlink>
      </w:hyperlink>
      <w:r>
        <w:t xml:space="preserve"> </w:t>
      </w:r>
      <w:r>
        <w:t xml:space="preserve">im Anhang).</w:t>
      </w:r>
      <w:r>
        <w:t xml:space="preserve"> </w:t>
      </w:r>
      <w:r>
        <w:t xml:space="preserve">Da alle Läufe für diesen Vergleich denselben Bewertungszeitraum ab 2010 nutzen und sich ihre Trainingsfenster stark überlappen, ist diese Auszählung als Robustheit über Spezifikationen hinweg und nicht als 40 voneinander unabhängige Bestätigungen zu verstehen.</w:t>
      </w:r>
      <w:r>
        <w:t xml:space="preserve"> </w:t>
      </w:r>
      <w:r>
        <w:t xml:space="preserve">Wie stark der Vorsprung ausfällt, hängt jedoch von der Spezifikation ab, wie</w:t>
      </w:r>
      <w:r>
        <w:t xml:space="preserve"> </w:t>
      </w:r>
      <w:hyperlink w:anchor="tab:qlike_grid">
        <w:r>
          <w:rPr>
            <w:rStyle w:val="Hyperlink"/>
          </w:rPr>
          <w:t xml:space="preserve">Tabelle </w:t>
        </w:r>
        <w:hyperlink w:anchor="tab:qlike_grid">
          <w:r>
            <w:rPr>
              <w:rStyle w:val="Hyperlink"/>
            </w:rPr>
            <w:t xml:space="preserve">4</w:t>
          </w:r>
        </w:hyperlink>
      </w:hyperlink>
      <w:r>
        <w:t xml:space="preserve"> </w:t>
      </w:r>
      <w:r>
        <w:t xml:space="preserve">zeigt.</w:t>
      </w:r>
      <w:r>
        <w:t xml:space="preserve"> </w:t>
      </w:r>
      <w:r>
        <w:t xml:space="preserve">Mit der Länge des Trainingsfensters nimmt er bis etwa fünf Jahren zu und stabilisiert sich danach, wobei bei einjährigem Training unter QLIKE kein Vorteil vorliegt und der GARCH-Schätzer sogar schlechter abschneidet als die historische Matrix.</w:t>
      </w:r>
      <w:r>
        <w:t xml:space="preserve"> </w:t>
      </w:r>
      <w:r>
        <w:t xml:space="preserve">Eine mögliche Erklärung hierfür ist, dass die dynamischen Modelle insgesamt mehr Parameter schätzen müssen und deshalb bei einer geringen Datenbasis schlechter abschneiden, obwohl ihre Annahmen näher an der Realität liegen.</w:t>
      </w:r>
      <w:r>
        <w:t xml:space="preserve"> </w:t>
      </w:r>
      <w:r>
        <w:t xml:space="preserve">Beim MSE ist die Ordnung nach Modellkomplexität dagegen über alle dargestellten Trainingsfenster und Prognosehorizonte hinweg vorzufinden.</w:t>
      </w:r>
    </w:p>
    <w:p>
      <w:pPr>
        <w:pStyle w:val="BodyText"/>
      </w:pPr>
      <w:r>
        <w:t xml:space="preserve">Über den Prognosehorizont bleibt der Vorsprung unter QLIKE dagegen nahezu konstant, während er unter dem MSE relativ zum Verlustniveau sogar zunimmt.</w:t>
      </w:r>
      <w:r>
        <w:t xml:space="preserve"> </w:t>
      </w:r>
      <w:r>
        <w:t xml:space="preserve">Wie jedoch im</w:t>
      </w:r>
      <w:r>
        <w:t xml:space="preserve"> </w:t>
      </w:r>
      <w:hyperlink w:anchor="subsec:kriterien">
        <w:r>
          <w:rPr>
            <w:rStyle w:val="Hyperlink"/>
          </w:rPr>
          <w:t xml:space="preserve">Abschnitt zu den Bewertungskriterien</w:t>
        </w:r>
      </w:hyperlink>
      <w:r>
        <w:t xml:space="preserve"> </w:t>
      </w:r>
      <w:r>
        <w:t xml:space="preserve">dargelegt, verändert sich mit der Fensterlänge wegen der später beginnenden Zeitreihen auch die Zahl der investierbaren Sektoren, weshalb die Entwicklung über die Trainingsfenster nur mit Vorsicht interpretiert werden sollte.</w:t>
      </w:r>
    </w:p>
    <w:bookmarkStart w:id="32" w:name="tab:qlike_grid"/>
    <w:p>
      <w:pPr>
        <w:pStyle w:val="TableCaption"/>
      </w:pPr>
      <w:r>
        <w:t xml:space="preserve">Prognosequalität über Trainingsfenster und Prognosehorizonte (TRBC)</w:t>
      </w:r>
    </w:p>
    <w:tbl>
      <w:tblPr>
        <w:tblStyle w:val="Table"/>
        <w:tblW w:type="auto" w:w="0"/>
        <w:tblLook w:firstRow="0" w:lastRow="0" w:firstColumn="0" w:lastColumn="0" w:noHBand="0" w:noVBand="0" w:val="0000"/>
        <w:tblCaption w:val="Prognosequalität über Trainingsfenster und Prognosehorizonte (TRBC)"/>
      </w:tblPr>
      <w:tblGrid>
        <w:gridCol w:w="1296"/>
        <w:gridCol w:w="1296"/>
        <w:gridCol w:w="1296"/>
        <w:gridCol w:w="1296"/>
        <w:gridCol w:w="1296"/>
        <w:gridCol w:w="1296"/>
        <w:gridCol w:w="1296"/>
      </w:tblGrid>
      <w:tr>
        <w:tc>
          <w:tcPr/>
          <w:p>
            <w:pPr>
              <w:pStyle w:val="Compact"/>
            </w:pPr>
          </w:p>
        </w:tc>
        <w:tc>
          <w:tcPr>
            <w:gridSpan w:val="3"/>
          </w:tcPr>
          <w:p>
            <w:pPr>
              <w:pStyle w:val="Compact"/>
              <w:jc w:val="center"/>
            </w:pPr>
            <w:r>
              <w:t xml:space="preserve">QLIKE</w:t>
            </w:r>
          </w:p>
        </w:tc>
        <w:tc>
          <w:tcPr>
            <w:gridSpan w:val="3"/>
          </w:tcPr>
          <w:p>
            <w:pPr>
              <w:pStyle w:val="Compact"/>
              <w:jc w:val="center"/>
            </w:pPr>
            <w:r>
              <w:t xml:space="preserve">MSE (</w:t>
            </w:r>
            <m:oMath>
              <m:r>
                <m:rPr>
                  <m:sty m:val="p"/>
                </m:rPr>
                <m:t>×</m:t>
              </m:r>
              <m:sSup>
                <m:e>
                  <m:r>
                    <m:t>10</m:t>
                  </m:r>
                </m:e>
                <m:sup>
                  <m:r>
                    <m:rPr>
                      <m:sty m:val="p"/>
                    </m:rPr>
                    <m:t>−</m:t>
                  </m:r>
                  <m:r>
                    <m:t>7</m:t>
                  </m:r>
                </m:sup>
              </m:sSup>
            </m:oMath>
            <w:r>
              <w:t xml:space="preserve">)</w:t>
            </w:r>
          </w:p>
        </w:tc>
      </w:tr>
      <w:tr>
        <w:tc>
          <w:tcPr/>
          <w:p>
            <w:pPr>
              <w:pStyle w:val="Compact"/>
              <w:jc w:val="left"/>
            </w:pPr>
            <w:r>
              <w:t xml:space="preserve">Spezifikation</w:t>
            </w:r>
          </w:p>
        </w:tc>
        <w:tc>
          <w:tcPr/>
          <w:p>
            <w:pPr>
              <w:pStyle w:val="Compact"/>
              <w:jc w:val="right"/>
            </w:pPr>
            <w:r>
              <w:t xml:space="preserve">Historisch</w:t>
            </w:r>
          </w:p>
        </w:tc>
        <w:tc>
          <w:tcPr/>
          <w:p>
            <w:pPr>
              <w:pStyle w:val="Compact"/>
              <w:jc w:val="right"/>
            </w:pPr>
            <w:r>
              <w:t xml:space="preserve">GARCH</w:t>
            </w:r>
          </w:p>
        </w:tc>
        <w:tc>
          <w:tcPr/>
          <w:p>
            <w:pPr>
              <w:pStyle w:val="Compact"/>
              <w:jc w:val="right"/>
            </w:pPr>
            <w:r>
              <w:t xml:space="preserve">DCC-GARCH</w:t>
            </w:r>
          </w:p>
        </w:tc>
        <w:tc>
          <w:tcPr/>
          <w:p>
            <w:pPr>
              <w:pStyle w:val="Compact"/>
              <w:jc w:val="right"/>
            </w:pPr>
            <w:r>
              <w:t xml:space="preserve">Historisch</w:t>
            </w:r>
          </w:p>
        </w:tc>
        <w:tc>
          <w:tcPr/>
          <w:p>
            <w:pPr>
              <w:pStyle w:val="Compact"/>
              <w:jc w:val="right"/>
            </w:pPr>
            <w:r>
              <w:t xml:space="preserve">GARCH</w:t>
            </w:r>
          </w:p>
        </w:tc>
        <w:tc>
          <w:tcPr/>
          <w:p>
            <w:pPr>
              <w:pStyle w:val="Compact"/>
              <w:jc w:val="right"/>
            </w:pPr>
            <w:r>
              <w:t xml:space="preserve">DCC-GARCH</w:t>
            </w:r>
          </w:p>
        </w:tc>
      </w:tr>
      <w:tr>
        <w:tc>
          <w:tcPr/>
          <w:p>
            <w:pPr>
              <w:pStyle w:val="Compact"/>
              <w:jc w:val="left"/>
            </w:pPr>
            <w:r>
              <w:t xml:space="preserve">252</w:t>
            </w:r>
          </w:p>
        </w:tc>
        <w:tc>
          <w:tcPr/>
          <w:p>
            <w:pPr>
              <w:pStyle w:val="Compact"/>
              <w:jc w:val="right"/>
            </w:pPr>
            <w:r>
              <w:t xml:space="preserve">-176,1</w:t>
            </w:r>
          </w:p>
        </w:tc>
        <w:tc>
          <w:tcPr/>
          <w:p>
            <w:pPr>
              <w:pStyle w:val="Compact"/>
              <w:jc w:val="right"/>
            </w:pPr>
            <w:r>
              <w:t xml:space="preserve">-175,9</w:t>
            </w:r>
          </w:p>
        </w:tc>
        <w:tc>
          <w:tcPr/>
          <w:p>
            <w:pPr>
              <w:pStyle w:val="Compact"/>
              <w:jc w:val="right"/>
            </w:pPr>
            <w:r>
              <w:t xml:space="preserve">-176,1</w:t>
            </w:r>
          </w:p>
        </w:tc>
        <w:tc>
          <w:tcPr/>
          <w:p>
            <w:pPr>
              <w:pStyle w:val="Compact"/>
              <w:jc w:val="right"/>
            </w:pPr>
            <w:r>
              <w:t xml:space="preserve">2,99</w:t>
            </w:r>
          </w:p>
        </w:tc>
        <w:tc>
          <w:tcPr/>
          <w:p>
            <w:pPr>
              <w:pStyle w:val="Compact"/>
              <w:jc w:val="right"/>
            </w:pPr>
            <w:r>
              <w:t xml:space="preserve">2,48</w:t>
            </w:r>
          </w:p>
        </w:tc>
        <w:tc>
          <w:tcPr/>
          <w:p>
            <w:pPr>
              <w:pStyle w:val="Compact"/>
              <w:jc w:val="right"/>
            </w:pPr>
            <w:r>
              <w:t xml:space="preserve">2,47</w:t>
            </w:r>
          </w:p>
        </w:tc>
      </w:tr>
      <w:tr>
        <w:tc>
          <w:tcPr/>
          <w:p>
            <w:pPr>
              <w:pStyle w:val="Compact"/>
              <w:jc w:val="left"/>
            </w:pPr>
            <w:r>
              <w:t xml:space="preserve">504</w:t>
            </w:r>
          </w:p>
        </w:tc>
        <w:tc>
          <w:tcPr/>
          <w:p>
            <w:pPr>
              <w:pStyle w:val="Compact"/>
              <w:jc w:val="right"/>
            </w:pPr>
            <w:r>
              <w:t xml:space="preserve">-171,0</w:t>
            </w:r>
          </w:p>
        </w:tc>
        <w:tc>
          <w:tcPr/>
          <w:p>
            <w:pPr>
              <w:pStyle w:val="Compact"/>
              <w:jc w:val="right"/>
            </w:pPr>
            <w:r>
              <w:t xml:space="preserve">-171,4</w:t>
            </w:r>
          </w:p>
        </w:tc>
        <w:tc>
          <w:tcPr/>
          <w:p>
            <w:pPr>
              <w:pStyle w:val="Compact"/>
              <w:jc w:val="right"/>
            </w:pPr>
            <w:r>
              <w:t xml:space="preserve">-171,8</w:t>
            </w:r>
          </w:p>
        </w:tc>
        <w:tc>
          <w:tcPr/>
          <w:p>
            <w:pPr>
              <w:pStyle w:val="Compact"/>
              <w:jc w:val="right"/>
            </w:pPr>
            <w:r>
              <w:t xml:space="preserve">3,42</w:t>
            </w:r>
          </w:p>
        </w:tc>
        <w:tc>
          <w:tcPr/>
          <w:p>
            <w:pPr>
              <w:pStyle w:val="Compact"/>
              <w:jc w:val="right"/>
            </w:pPr>
            <w:r>
              <w:t xml:space="preserve">2,81</w:t>
            </w:r>
          </w:p>
        </w:tc>
        <w:tc>
          <w:tcPr/>
          <w:p>
            <w:pPr>
              <w:pStyle w:val="Compact"/>
              <w:jc w:val="right"/>
            </w:pPr>
            <w:r>
              <w:t xml:space="preserve">2,74</w:t>
            </w:r>
          </w:p>
        </w:tc>
      </w:tr>
      <w:tr>
        <w:tc>
          <w:tcPr/>
          <w:p>
            <w:pPr>
              <w:pStyle w:val="Compact"/>
              <w:jc w:val="left"/>
            </w:pPr>
            <w:r>
              <w:t xml:space="preserve">756</w:t>
            </w:r>
          </w:p>
        </w:tc>
        <w:tc>
          <w:tcPr/>
          <w:p>
            <w:pPr>
              <w:pStyle w:val="Compact"/>
              <w:jc w:val="right"/>
            </w:pPr>
            <w:r>
              <w:t xml:space="preserve">-165,2</w:t>
            </w:r>
          </w:p>
        </w:tc>
        <w:tc>
          <w:tcPr/>
          <w:p>
            <w:pPr>
              <w:pStyle w:val="Compact"/>
              <w:jc w:val="right"/>
            </w:pPr>
            <w:r>
              <w:t xml:space="preserve">-166,1</w:t>
            </w:r>
          </w:p>
        </w:tc>
        <w:tc>
          <w:tcPr/>
          <w:p>
            <w:pPr>
              <w:pStyle w:val="Compact"/>
              <w:jc w:val="right"/>
            </w:pPr>
            <w:r>
              <w:t xml:space="preserve">-166,8</w:t>
            </w:r>
          </w:p>
        </w:tc>
        <w:tc>
          <w:tcPr/>
          <w:p>
            <w:pPr>
              <w:pStyle w:val="Compact"/>
              <w:jc w:val="right"/>
            </w:pPr>
            <w:r>
              <w:t xml:space="preserve">3,41</w:t>
            </w:r>
          </w:p>
        </w:tc>
        <w:tc>
          <w:tcPr/>
          <w:p>
            <w:pPr>
              <w:pStyle w:val="Compact"/>
              <w:jc w:val="right"/>
            </w:pPr>
            <w:r>
              <w:t xml:space="preserve">2,84</w:t>
            </w:r>
          </w:p>
        </w:tc>
        <w:tc>
          <w:tcPr/>
          <w:p>
            <w:pPr>
              <w:pStyle w:val="Compact"/>
              <w:jc w:val="right"/>
            </w:pPr>
            <w:r>
              <w:t xml:space="preserve">2,75</w:t>
            </w:r>
          </w:p>
        </w:tc>
      </w:tr>
      <w:tr>
        <w:tc>
          <w:tcPr/>
          <w:p>
            <w:pPr>
              <w:pStyle w:val="Compact"/>
              <w:jc w:val="left"/>
            </w:pPr>
            <w:r>
              <w:t xml:space="preserve">1008</w:t>
            </w:r>
          </w:p>
        </w:tc>
        <w:tc>
          <w:tcPr/>
          <w:p>
            <w:pPr>
              <w:pStyle w:val="Compact"/>
              <w:jc w:val="right"/>
            </w:pPr>
            <w:r>
              <w:t xml:space="preserve">-159,7</w:t>
            </w:r>
          </w:p>
        </w:tc>
        <w:tc>
          <w:tcPr/>
          <w:p>
            <w:pPr>
              <w:pStyle w:val="Compact"/>
              <w:jc w:val="right"/>
            </w:pPr>
            <w:r>
              <w:t xml:space="preserve">-161,1</w:t>
            </w:r>
          </w:p>
        </w:tc>
        <w:tc>
          <w:tcPr/>
          <w:p>
            <w:pPr>
              <w:pStyle w:val="Compact"/>
              <w:jc w:val="right"/>
            </w:pPr>
            <w:r>
              <w:t xml:space="preserve">-161,9</w:t>
            </w:r>
          </w:p>
        </w:tc>
        <w:tc>
          <w:tcPr/>
          <w:p>
            <w:pPr>
              <w:pStyle w:val="Compact"/>
              <w:jc w:val="right"/>
            </w:pPr>
            <w:r>
              <w:t xml:space="preserve">3,43</w:t>
            </w:r>
          </w:p>
        </w:tc>
        <w:tc>
          <w:tcPr/>
          <w:p>
            <w:pPr>
              <w:pStyle w:val="Compact"/>
              <w:jc w:val="right"/>
            </w:pPr>
            <w:r>
              <w:t xml:space="preserve">2,87</w:t>
            </w:r>
          </w:p>
        </w:tc>
        <w:tc>
          <w:tcPr/>
          <w:p>
            <w:pPr>
              <w:pStyle w:val="Compact"/>
              <w:jc w:val="right"/>
            </w:pPr>
            <w:r>
              <w:t xml:space="preserve">2,77</w:t>
            </w:r>
          </w:p>
        </w:tc>
      </w:tr>
      <w:tr>
        <w:tc>
          <w:tcPr/>
          <w:p>
            <w:pPr>
              <w:pStyle w:val="Compact"/>
              <w:jc w:val="left"/>
            </w:pPr>
            <w:r>
              <w:t xml:space="preserve">1260</w:t>
            </w:r>
          </w:p>
        </w:tc>
        <w:tc>
          <w:tcPr/>
          <w:p>
            <w:pPr>
              <w:pStyle w:val="Compact"/>
              <w:jc w:val="right"/>
            </w:pPr>
            <w:r>
              <w:t xml:space="preserve">-154,3</w:t>
            </w:r>
          </w:p>
        </w:tc>
        <w:tc>
          <w:tcPr/>
          <w:p>
            <w:pPr>
              <w:pStyle w:val="Compact"/>
              <w:jc w:val="right"/>
            </w:pPr>
            <w:r>
              <w:t xml:space="preserve">-156,1</w:t>
            </w:r>
          </w:p>
        </w:tc>
        <w:tc>
          <w:tcPr/>
          <w:p>
            <w:pPr>
              <w:pStyle w:val="Compact"/>
              <w:jc w:val="right"/>
            </w:pPr>
            <w:r>
              <w:t xml:space="preserve">-157,1</w:t>
            </w:r>
          </w:p>
        </w:tc>
        <w:tc>
          <w:tcPr/>
          <w:p>
            <w:pPr>
              <w:pStyle w:val="Compact"/>
              <w:jc w:val="right"/>
            </w:pPr>
            <w:r>
              <w:t xml:space="preserve">3,42</w:t>
            </w:r>
          </w:p>
        </w:tc>
        <w:tc>
          <w:tcPr/>
          <w:p>
            <w:pPr>
              <w:pStyle w:val="Compact"/>
              <w:jc w:val="right"/>
            </w:pPr>
            <w:r>
              <w:t xml:space="preserve">2,83</w:t>
            </w:r>
          </w:p>
        </w:tc>
        <w:tc>
          <w:tcPr/>
          <w:p>
            <w:pPr>
              <w:pStyle w:val="Compact"/>
              <w:jc w:val="right"/>
            </w:pPr>
            <w:r>
              <w:t xml:space="preserve">2,75</w:t>
            </w:r>
          </w:p>
        </w:tc>
      </w:tr>
      <w:tr>
        <w:tc>
          <w:tcPr/>
          <w:p>
            <w:pPr>
              <w:pStyle w:val="Compact"/>
              <w:jc w:val="left"/>
            </w:pPr>
            <w:r>
              <w:t xml:space="preserve">1512</w:t>
            </w:r>
          </w:p>
        </w:tc>
        <w:tc>
          <w:tcPr/>
          <w:p>
            <w:pPr>
              <w:pStyle w:val="Compact"/>
              <w:jc w:val="right"/>
            </w:pPr>
            <w:r>
              <w:t xml:space="preserve">-150,1</w:t>
            </w:r>
          </w:p>
        </w:tc>
        <w:tc>
          <w:tcPr/>
          <w:p>
            <w:pPr>
              <w:pStyle w:val="Compact"/>
              <w:jc w:val="right"/>
            </w:pPr>
            <w:r>
              <w:t xml:space="preserve">-151,8</w:t>
            </w:r>
          </w:p>
        </w:tc>
        <w:tc>
          <w:tcPr/>
          <w:p>
            <w:pPr>
              <w:pStyle w:val="Compact"/>
              <w:jc w:val="right"/>
            </w:pPr>
            <w:r>
              <w:t xml:space="preserve">-152,9</w:t>
            </w:r>
          </w:p>
        </w:tc>
        <w:tc>
          <w:tcPr/>
          <w:p>
            <w:pPr>
              <w:pStyle w:val="Compact"/>
              <w:jc w:val="right"/>
            </w:pPr>
            <w:r>
              <w:t xml:space="preserve">3,18</w:t>
            </w:r>
          </w:p>
        </w:tc>
        <w:tc>
          <w:tcPr/>
          <w:p>
            <w:pPr>
              <w:pStyle w:val="Compact"/>
              <w:jc w:val="right"/>
            </w:pPr>
            <w:r>
              <w:t xml:space="preserve">2,60</w:t>
            </w:r>
          </w:p>
        </w:tc>
        <w:tc>
          <w:tcPr/>
          <w:p>
            <w:pPr>
              <w:pStyle w:val="Compact"/>
              <w:jc w:val="right"/>
            </w:pPr>
            <w:r>
              <w:t xml:space="preserve">2,52</w:t>
            </w:r>
          </w:p>
        </w:tc>
      </w:tr>
      <w:tr>
        <w:tc>
          <w:tcPr/>
          <w:p>
            <w:pPr>
              <w:pStyle w:val="Compact"/>
              <w:jc w:val="left"/>
            </w:pPr>
            <w:r>
              <w:t xml:space="preserve">1764</w:t>
            </w:r>
          </w:p>
        </w:tc>
        <w:tc>
          <w:tcPr/>
          <w:p>
            <w:pPr>
              <w:pStyle w:val="Compact"/>
              <w:jc w:val="right"/>
            </w:pPr>
            <w:r>
              <w:t xml:space="preserve">-146,0</w:t>
            </w:r>
          </w:p>
        </w:tc>
        <w:tc>
          <w:tcPr/>
          <w:p>
            <w:pPr>
              <w:pStyle w:val="Compact"/>
              <w:jc w:val="right"/>
            </w:pPr>
            <w:r>
              <w:t xml:space="preserve">-147,7</w:t>
            </w:r>
          </w:p>
        </w:tc>
        <w:tc>
          <w:tcPr/>
          <w:p>
            <w:pPr>
              <w:pStyle w:val="Compact"/>
              <w:jc w:val="right"/>
            </w:pPr>
            <w:r>
              <w:t xml:space="preserve">-148,8</w:t>
            </w:r>
          </w:p>
        </w:tc>
        <w:tc>
          <w:tcPr/>
          <w:p>
            <w:pPr>
              <w:pStyle w:val="Compact"/>
              <w:jc w:val="right"/>
            </w:pPr>
            <w:r>
              <w:t xml:space="preserve">3,11</w:t>
            </w:r>
          </w:p>
        </w:tc>
        <w:tc>
          <w:tcPr/>
          <w:p>
            <w:pPr>
              <w:pStyle w:val="Compact"/>
              <w:jc w:val="right"/>
            </w:pPr>
            <w:r>
              <w:t xml:space="preserve">2,53</w:t>
            </w:r>
          </w:p>
        </w:tc>
        <w:tc>
          <w:tcPr/>
          <w:p>
            <w:pPr>
              <w:pStyle w:val="Compact"/>
              <w:jc w:val="right"/>
            </w:pPr>
            <w:r>
              <w:t xml:space="preserve">2,45</w:t>
            </w:r>
          </w:p>
        </w:tc>
      </w:tr>
      <w:tr>
        <w:tc>
          <w:tcPr/>
          <w:p>
            <w:pPr>
              <w:pStyle w:val="Compact"/>
              <w:jc w:val="left"/>
            </w:pPr>
            <w:r>
              <w:t xml:space="preserve">2016</w:t>
            </w:r>
          </w:p>
        </w:tc>
        <w:tc>
          <w:tcPr/>
          <w:p>
            <w:pPr>
              <w:pStyle w:val="Compact"/>
              <w:jc w:val="right"/>
            </w:pPr>
            <w:r>
              <w:t xml:space="preserve">-142,0</w:t>
            </w:r>
          </w:p>
        </w:tc>
        <w:tc>
          <w:tcPr/>
          <w:p>
            <w:pPr>
              <w:pStyle w:val="Compact"/>
              <w:jc w:val="right"/>
            </w:pPr>
            <w:r>
              <w:t xml:space="preserve">-143,8</w:t>
            </w:r>
          </w:p>
        </w:tc>
        <w:tc>
          <w:tcPr/>
          <w:p>
            <w:pPr>
              <w:pStyle w:val="Compact"/>
              <w:jc w:val="right"/>
            </w:pPr>
            <w:r>
              <w:t xml:space="preserve">-144,9</w:t>
            </w:r>
          </w:p>
        </w:tc>
        <w:tc>
          <w:tcPr/>
          <w:p>
            <w:pPr>
              <w:pStyle w:val="Compact"/>
              <w:jc w:val="right"/>
            </w:pPr>
            <w:r>
              <w:t xml:space="preserve">3,09</w:t>
            </w:r>
          </w:p>
        </w:tc>
        <w:tc>
          <w:tcPr/>
          <w:p>
            <w:pPr>
              <w:pStyle w:val="Compact"/>
              <w:jc w:val="right"/>
            </w:pPr>
            <w:r>
              <w:t xml:space="preserve">2,52</w:t>
            </w:r>
          </w:p>
        </w:tc>
        <w:tc>
          <w:tcPr/>
          <w:p>
            <w:pPr>
              <w:pStyle w:val="Compact"/>
              <w:jc w:val="right"/>
            </w:pPr>
            <w:r>
              <w:t xml:space="preserve">2,45</w:t>
            </w:r>
          </w:p>
        </w:tc>
      </w:tr>
      <w:tr>
        <w:tc>
          <w:tcPr/>
          <w:p>
            <w:pPr>
              <w:pStyle w:val="Compact"/>
              <w:jc w:val="left"/>
            </w:pPr>
            <w:r>
              <w:t xml:space="preserve">2268</w:t>
            </w:r>
          </w:p>
        </w:tc>
        <w:tc>
          <w:tcPr/>
          <w:p>
            <w:pPr>
              <w:pStyle w:val="Compact"/>
              <w:jc w:val="right"/>
            </w:pPr>
            <w:r>
              <w:t xml:space="preserve">-140,6</w:t>
            </w:r>
          </w:p>
        </w:tc>
        <w:tc>
          <w:tcPr/>
          <w:p>
            <w:pPr>
              <w:pStyle w:val="Compact"/>
              <w:jc w:val="right"/>
            </w:pPr>
            <w:r>
              <w:t xml:space="preserve">-142,5</w:t>
            </w:r>
          </w:p>
        </w:tc>
        <w:tc>
          <w:tcPr/>
          <w:p>
            <w:pPr>
              <w:pStyle w:val="Compact"/>
              <w:jc w:val="right"/>
            </w:pPr>
            <w:r>
              <w:t xml:space="preserve">-143,7</w:t>
            </w:r>
          </w:p>
        </w:tc>
        <w:tc>
          <w:tcPr/>
          <w:p>
            <w:pPr>
              <w:pStyle w:val="Compact"/>
              <w:jc w:val="right"/>
            </w:pPr>
            <w:r>
              <w:t xml:space="preserve">3,05</w:t>
            </w:r>
          </w:p>
        </w:tc>
        <w:tc>
          <w:tcPr/>
          <w:p>
            <w:pPr>
              <w:pStyle w:val="Compact"/>
              <w:jc w:val="right"/>
            </w:pPr>
            <w:r>
              <w:t xml:space="preserve">2,46</w:t>
            </w:r>
          </w:p>
        </w:tc>
        <w:tc>
          <w:tcPr/>
          <w:p>
            <w:pPr>
              <w:pStyle w:val="Compact"/>
              <w:jc w:val="right"/>
            </w:pPr>
            <w:r>
              <w:t xml:space="preserve">2,41</w:t>
            </w:r>
          </w:p>
        </w:tc>
      </w:tr>
      <w:tr>
        <w:tc>
          <w:tcPr/>
          <w:p>
            <w:pPr>
              <w:pStyle w:val="Compact"/>
              <w:jc w:val="left"/>
            </w:pPr>
            <w:r>
              <w:t xml:space="preserve">2520</w:t>
            </w:r>
          </w:p>
        </w:tc>
        <w:tc>
          <w:tcPr/>
          <w:p>
            <w:pPr>
              <w:pStyle w:val="Compact"/>
              <w:jc w:val="right"/>
            </w:pPr>
            <w:r>
              <w:t xml:space="preserve">-140,0</w:t>
            </w:r>
          </w:p>
        </w:tc>
        <w:tc>
          <w:tcPr/>
          <w:p>
            <w:pPr>
              <w:pStyle w:val="Compact"/>
              <w:jc w:val="right"/>
            </w:pPr>
            <w:r>
              <w:t xml:space="preserve">-142,0</w:t>
            </w:r>
          </w:p>
        </w:tc>
        <w:tc>
          <w:tcPr/>
          <w:p>
            <w:pPr>
              <w:pStyle w:val="Compact"/>
              <w:jc w:val="right"/>
            </w:pPr>
            <w:r>
              <w:t xml:space="preserve">-143,3</w:t>
            </w:r>
          </w:p>
        </w:tc>
        <w:tc>
          <w:tcPr/>
          <w:p>
            <w:pPr>
              <w:pStyle w:val="Compact"/>
              <w:jc w:val="right"/>
            </w:pPr>
            <w:r>
              <w:t xml:space="preserve">3,02</w:t>
            </w:r>
          </w:p>
        </w:tc>
        <w:tc>
          <w:tcPr/>
          <w:p>
            <w:pPr>
              <w:pStyle w:val="Compact"/>
              <w:jc w:val="right"/>
            </w:pPr>
            <w:r>
              <w:t xml:space="preserve">2,45</w:t>
            </w:r>
          </w:p>
        </w:tc>
        <w:tc>
          <w:tcPr/>
          <w:p>
            <w:pPr>
              <w:pStyle w:val="Compact"/>
              <w:jc w:val="right"/>
            </w:pPr>
            <w:r>
              <w:t xml:space="preserve">2,40</w:t>
            </w:r>
          </w:p>
        </w:tc>
      </w:tr>
      <w:tr>
        <w:tc>
          <w:tcPr/>
          <w:p>
            <w:pPr>
              <w:pStyle w:val="Compact"/>
              <w:jc w:val="left"/>
            </w:pPr>
            <m:oMath>
              <m:r>
                <m:t>h</m:t>
              </m:r>
              <m:r>
                <m:rPr>
                  <m:sty m:val="p"/>
                </m:rPr>
                <m:t>=</m:t>
              </m:r>
              <m:r>
                <m:t>1</m:t>
              </m:r>
            </m:oMath>
          </w:p>
        </w:tc>
        <w:tc>
          <w:tcPr/>
          <w:p>
            <w:pPr>
              <w:pStyle w:val="Compact"/>
              <w:jc w:val="right"/>
            </w:pPr>
            <w:r>
              <w:t xml:space="preserve">-159,7</w:t>
            </w:r>
          </w:p>
        </w:tc>
        <w:tc>
          <w:tcPr/>
          <w:p>
            <w:pPr>
              <w:pStyle w:val="Compact"/>
              <w:jc w:val="right"/>
            </w:pPr>
            <w:r>
              <w:t xml:space="preserve">-161,1</w:t>
            </w:r>
          </w:p>
        </w:tc>
        <w:tc>
          <w:tcPr/>
          <w:p>
            <w:pPr>
              <w:pStyle w:val="Compact"/>
              <w:jc w:val="right"/>
            </w:pPr>
            <w:r>
              <w:t xml:space="preserve">-161,9</w:t>
            </w:r>
          </w:p>
        </w:tc>
        <w:tc>
          <w:tcPr/>
          <w:p>
            <w:pPr>
              <w:pStyle w:val="Compact"/>
              <w:jc w:val="right"/>
            </w:pPr>
            <w:r>
              <w:t xml:space="preserve">3,43</w:t>
            </w:r>
          </w:p>
        </w:tc>
        <w:tc>
          <w:tcPr/>
          <w:p>
            <w:pPr>
              <w:pStyle w:val="Compact"/>
              <w:jc w:val="right"/>
            </w:pPr>
            <w:r>
              <w:t xml:space="preserve">2,87</w:t>
            </w:r>
          </w:p>
        </w:tc>
        <w:tc>
          <w:tcPr/>
          <w:p>
            <w:pPr>
              <w:pStyle w:val="Compact"/>
              <w:jc w:val="right"/>
            </w:pPr>
            <w:r>
              <w:t xml:space="preserve">2,77</w:t>
            </w:r>
          </w:p>
        </w:tc>
      </w:tr>
      <w:tr>
        <w:tc>
          <w:tcPr/>
          <w:p>
            <w:pPr>
              <w:pStyle w:val="Compact"/>
              <w:jc w:val="left"/>
            </w:pPr>
            <m:oMath>
              <m:r>
                <m:t>h</m:t>
              </m:r>
              <m:r>
                <m:rPr>
                  <m:sty m:val="p"/>
                </m:rPr>
                <m:t>=</m:t>
              </m:r>
              <m:r>
                <m:t>5</m:t>
              </m:r>
            </m:oMath>
          </w:p>
        </w:tc>
        <w:tc>
          <w:tcPr/>
          <w:p>
            <w:pPr>
              <w:pStyle w:val="Compact"/>
              <w:jc w:val="right"/>
            </w:pPr>
            <w:r>
              <w:t xml:space="preserve">-159,5</w:t>
            </w:r>
          </w:p>
        </w:tc>
        <w:tc>
          <w:tcPr/>
          <w:p>
            <w:pPr>
              <w:pStyle w:val="Compact"/>
              <w:jc w:val="right"/>
            </w:pPr>
            <w:r>
              <w:t xml:space="preserve">-160,9</w:t>
            </w:r>
          </w:p>
        </w:tc>
        <w:tc>
          <w:tcPr/>
          <w:p>
            <w:pPr>
              <w:pStyle w:val="Compact"/>
              <w:jc w:val="right"/>
            </w:pPr>
            <w:r>
              <w:t xml:space="preserve">-161,6</w:t>
            </w:r>
          </w:p>
        </w:tc>
        <w:tc>
          <w:tcPr/>
          <w:p>
            <w:pPr>
              <w:pStyle w:val="Compact"/>
              <w:jc w:val="right"/>
            </w:pPr>
            <w:r>
              <w:t xml:space="preserve">1,68</w:t>
            </w:r>
          </w:p>
        </w:tc>
        <w:tc>
          <w:tcPr/>
          <w:p>
            <w:pPr>
              <w:pStyle w:val="Compact"/>
              <w:jc w:val="right"/>
            </w:pPr>
            <w:r>
              <w:t xml:space="preserve">1,23</w:t>
            </w:r>
          </w:p>
        </w:tc>
        <w:tc>
          <w:tcPr/>
          <w:p>
            <w:pPr>
              <w:pStyle w:val="Compact"/>
              <w:jc w:val="right"/>
            </w:pPr>
            <w:r>
              <w:t xml:space="preserve">1,17</w:t>
            </w:r>
          </w:p>
        </w:tc>
      </w:tr>
      <w:tr>
        <w:tc>
          <w:tcPr/>
          <w:p>
            <w:pPr>
              <w:pStyle w:val="Compact"/>
              <w:jc w:val="left"/>
            </w:pPr>
            <m:oMath>
              <m:r>
                <m:t>h</m:t>
              </m:r>
              <m:r>
                <m:rPr>
                  <m:sty m:val="p"/>
                </m:rPr>
                <m:t>=</m:t>
              </m:r>
              <m:r>
                <m:t>10</m:t>
              </m:r>
            </m:oMath>
          </w:p>
        </w:tc>
        <w:tc>
          <w:tcPr/>
          <w:p>
            <w:pPr>
              <w:pStyle w:val="Compact"/>
              <w:jc w:val="right"/>
            </w:pPr>
            <w:r>
              <w:t xml:space="preserve">-159,3</w:t>
            </w:r>
          </w:p>
        </w:tc>
        <w:tc>
          <w:tcPr/>
          <w:p>
            <w:pPr>
              <w:pStyle w:val="Compact"/>
              <w:jc w:val="right"/>
            </w:pPr>
            <w:r>
              <w:t xml:space="preserve">-160,9</w:t>
            </w:r>
          </w:p>
        </w:tc>
        <w:tc>
          <w:tcPr/>
          <w:p>
            <w:pPr>
              <w:pStyle w:val="Compact"/>
              <w:jc w:val="right"/>
            </w:pPr>
            <w:r>
              <w:t xml:space="preserve">-161,5</w:t>
            </w:r>
          </w:p>
        </w:tc>
        <w:tc>
          <w:tcPr/>
          <w:p>
            <w:pPr>
              <w:pStyle w:val="Compact"/>
              <w:jc w:val="right"/>
            </w:pPr>
            <w:r>
              <w:t xml:space="preserve">1,32</w:t>
            </w:r>
          </w:p>
        </w:tc>
        <w:tc>
          <w:tcPr/>
          <w:p>
            <w:pPr>
              <w:pStyle w:val="Compact"/>
              <w:jc w:val="right"/>
            </w:pPr>
            <w:r>
              <w:t xml:space="preserve">0,95</w:t>
            </w:r>
          </w:p>
        </w:tc>
        <w:tc>
          <w:tcPr/>
          <w:p>
            <w:pPr>
              <w:pStyle w:val="Compact"/>
              <w:jc w:val="right"/>
            </w:pPr>
            <w:r>
              <w:t xml:space="preserve">0,90</w:t>
            </w:r>
          </w:p>
        </w:tc>
      </w:tr>
      <w:tr>
        <w:tc>
          <w:tcPr/>
          <w:p>
            <w:pPr>
              <w:pStyle w:val="Compact"/>
              <w:jc w:val="left"/>
            </w:pPr>
            <m:oMath>
              <m:r>
                <m:t>h</m:t>
              </m:r>
              <m:r>
                <m:rPr>
                  <m:sty m:val="p"/>
                </m:rPr>
                <m:t>=</m:t>
              </m:r>
              <m:r>
                <m:t>21</m:t>
              </m:r>
            </m:oMath>
          </w:p>
        </w:tc>
        <w:tc>
          <w:tcPr/>
          <w:p>
            <w:pPr>
              <w:pStyle w:val="Compact"/>
              <w:jc w:val="right"/>
            </w:pPr>
            <w:r>
              <w:t xml:space="preserve">-158,9</w:t>
            </w:r>
          </w:p>
        </w:tc>
        <w:tc>
          <w:tcPr/>
          <w:p>
            <w:pPr>
              <w:pStyle w:val="Compact"/>
              <w:jc w:val="right"/>
            </w:pPr>
            <w:r>
              <w:t xml:space="preserve">-160,2</w:t>
            </w:r>
          </w:p>
        </w:tc>
        <w:tc>
          <w:tcPr/>
          <w:p>
            <w:pPr>
              <w:pStyle w:val="Compact"/>
              <w:jc w:val="right"/>
            </w:pPr>
            <w:r>
              <w:t xml:space="preserve">-160,7</w:t>
            </w:r>
          </w:p>
        </w:tc>
        <w:tc>
          <w:tcPr/>
          <w:p>
            <w:pPr>
              <w:pStyle w:val="Compact"/>
              <w:jc w:val="right"/>
            </w:pPr>
            <w:r>
              <w:t xml:space="preserve">0,82</w:t>
            </w:r>
          </w:p>
        </w:tc>
        <w:tc>
          <w:tcPr/>
          <w:p>
            <w:pPr>
              <w:pStyle w:val="Compact"/>
              <w:jc w:val="right"/>
            </w:pPr>
            <w:r>
              <w:t xml:space="preserve">0,49</w:t>
            </w:r>
          </w:p>
        </w:tc>
        <w:tc>
          <w:tcPr/>
          <w:p>
            <w:pPr>
              <w:pStyle w:val="Compact"/>
              <w:jc w:val="right"/>
            </w:pPr>
            <w:r>
              <w:t xml:space="preserve">0,46</w:t>
            </w:r>
          </w:p>
        </w:tc>
      </w:tr>
    </w:tbl>
    <w:bookmarkEnd w:id="32"/>
    <w:p>
      <w:pPr>
        <w:pStyle w:val="BlockText"/>
      </w:pPr>
      <w:r>
        <w:t xml:space="preserve">Beide Blöcke bewertet ab 01.01.2010. Oberer Block: Trainingsfenster in Handelstagen bei</w:t>
      </w:r>
      <w:r>
        <w:t xml:space="preserve"> </w:t>
      </w:r>
      <m:oMath>
        <m:r>
          <m:t>h</m:t>
        </m:r>
        <m:r>
          <m:rPr>
            <m:sty m:val="p"/>
          </m:rPr>
          <m:t>=</m:t>
        </m:r>
        <m:r>
          <m:t>1</m:t>
        </m:r>
      </m:oMath>
      <w:r>
        <w:t xml:space="preserve">, unterer Block: Prognosehorizonte bei 1008 Tagen Training.</w:t>
      </w:r>
    </w:p>
    <w:p>
      <w:pPr>
        <w:pStyle w:val="FirstParagraph"/>
      </w:pPr>
      <w:r>
        <w:t xml:space="preserve">Neben der bereits genannten Dimensionsabhängigkeit des QLIKE ist im unteren Block zu beachten, dass der Proxy über</w:t>
      </w:r>
      <w:r>
        <w:t xml:space="preserve"> </w:t>
      </w:r>
      <m:oMath>
        <m:r>
          <m:t>h</m:t>
        </m:r>
      </m:oMath>
      <w:r>
        <w:t xml:space="preserve"> </w:t>
      </w:r>
      <w:r>
        <w:t xml:space="preserve">Tage mittelt und damit umso weniger streut, je länger der Horizont ist.</w:t>
      </w:r>
      <w:r>
        <w:t xml:space="preserve"> </w:t>
      </w:r>
      <w:r>
        <w:t xml:space="preserve">Das MSE-Niveau fällt deshalb über die Horizonte, ohne dass die Prognosen dort besser wären, während dies beim QLIKE-Verlust nicht zu beobachten ist.</w:t>
      </w:r>
      <w:r>
        <w:t xml:space="preserve"> </w:t>
      </w:r>
      <w:r>
        <w:t xml:space="preserve">Für die zweite Forschungsfrage fällt die statistische Antwort dennoch eindeutig aus, da beide dynamischen Modelle die Prognose der Kovarianzmatrix im Basisfall signifikant verbessern und DCC-GARCH die historische Schätzung unter QLIKE in nahezu allen und unter dem MSE in sämtlichen 40 Kombinationen schlägt.</w:t>
      </w:r>
    </w:p>
    <w:bookmarkEnd w:id="33"/>
    <w:bookmarkStart w:id="42" w:name="sec:oekonomisch"/>
    <w:p>
      <w:pPr>
        <w:pStyle w:val="Heading2"/>
      </w:pPr>
      <w:r>
        <w:t xml:space="preserve">Ökonomische Performance</w:t>
      </w:r>
    </w:p>
    <w:p>
      <w:pPr>
        <w:pStyle w:val="FirstParagraph"/>
      </w:pPr>
      <w:r>
        <w:t xml:space="preserve">Die ökonomische Auswertung führt zu einem differenzierteren Bild.</w:t>
      </w:r>
      <w:r>
        <w:t xml:space="preserve"> </w:t>
      </w:r>
      <w:r>
        <w:t xml:space="preserve">Für die erste Forschungsfrage zeigt</w:t>
      </w:r>
      <w:r>
        <w:t xml:space="preserve"> </w:t>
      </w:r>
      <w:hyperlink w:anchor="tab:oekonomie_basis">
        <w:r>
          <w:rPr>
            <w:rStyle w:val="Hyperlink"/>
          </w:rPr>
          <w:t xml:space="preserve">Tabelle </w:t>
        </w:r>
        <w:hyperlink w:anchor="tab:oekonomie_basis">
          <w:r>
            <w:rPr>
              <w:rStyle w:val="Hyperlink"/>
            </w:rPr>
            <w:t xml:space="preserve">5</w:t>
          </w:r>
        </w:hyperlink>
      </w:hyperlink>
      <w:r>
        <w:t xml:space="preserve"> </w:t>
      </w:r>
      <w:r>
        <w:t xml:space="preserve">zunächst, dass alle neun risikobasierten Kombinationen im Basisfall eine höhere Sharpe Ratio erreichen als das naive 1/N-Portfolio, bei ERC mit dynamischer Kovarianz allerdings nur um wenige Tausendstel.</w:t>
      </w:r>
      <w:r>
        <w:t xml:space="preserve"> </w:t>
      </w:r>
      <w:r>
        <w:t xml:space="preserve">Vorne liegt dabei das MVP, gefolgt von HRP und ERC.</w:t>
      </w:r>
      <w:r>
        <w:t xml:space="preserve"> </w:t>
      </w:r>
      <w:r>
        <w:t xml:space="preserve">Der Vorsprung entsteht vollständig auf der Risikoseite, da das 1/N-Portfolio zwar die höchste Rendite im Feld erzielt, diese aber mit der mit Abstand höchsten Volatilität erkauft.</w:t>
      </w:r>
    </w:p>
    <w:bookmarkStart w:id="34" w:name="tab:oekonomie_basis"/>
    <w:p>
      <w:pPr>
        <w:pStyle w:val="TableCaption"/>
      </w:pPr>
      <w:r>
        <w:t xml:space="preserve">Out-of-Sample-Performance im Basisfall</w:t>
      </w:r>
    </w:p>
    <w:tbl>
      <w:tblPr>
        <w:tblStyle w:val="Table"/>
        <w:tblW w:type="auto" w:w="0"/>
        <w:tblLook w:firstRow="1" w:lastRow="0" w:firstColumn="0" w:lastColumn="0" w:noHBand="0" w:noVBand="0" w:val="0020"/>
        <w:tblCaption w:val="Out-of-Sample-Performance im Basisfall"/>
      </w:tblPr>
      <w:tblGrid>
        <w:gridCol w:w="1296"/>
        <w:gridCol w:w="1296"/>
        <w:gridCol w:w="1296"/>
        <w:gridCol w:w="1296"/>
        <w:gridCol w:w="1296"/>
        <w:gridCol w:w="1296"/>
        <w:gridCol w:w="1296"/>
      </w:tblGrid>
      <w:tr>
        <w:trPr>
          <w:tblHeader w:val="on"/>
        </w:trPr>
        <w:tc>
          <w:tcPr/>
          <w:p>
            <w:pPr>
              <w:pStyle w:val="Compact"/>
              <w:jc w:val="left"/>
            </w:pPr>
            <w:r>
              <w:t xml:space="preserve">Modell</w:t>
            </w:r>
          </w:p>
        </w:tc>
        <w:tc>
          <w:tcPr/>
          <w:p>
            <w:pPr>
              <w:pStyle w:val="Compact"/>
              <w:jc w:val="left"/>
            </w:pPr>
            <w:r>
              <w:t xml:space="preserve">Kovarianz</w:t>
            </w:r>
          </w:p>
        </w:tc>
        <w:tc>
          <w:tcPr/>
          <w:p>
            <w:pPr>
              <w:pStyle w:val="Compact"/>
              <w:jc w:val="right"/>
            </w:pPr>
            <w:r>
              <w:t xml:space="preserve">Rendite (%)</w:t>
            </w:r>
          </w:p>
        </w:tc>
        <w:tc>
          <w:tcPr/>
          <w:p>
            <w:pPr>
              <w:pStyle w:val="Compact"/>
              <w:jc w:val="right"/>
            </w:pPr>
            <w:r>
              <w:t xml:space="preserve">Vola (%)</w:t>
            </w:r>
          </w:p>
        </w:tc>
        <w:tc>
          <w:tcPr/>
          <w:p>
            <w:pPr>
              <w:pStyle w:val="Compact"/>
              <w:jc w:val="right"/>
            </w:pPr>
            <w:r>
              <w:t xml:space="preserve">Sharpe</w:t>
            </w:r>
          </w:p>
        </w:tc>
        <w:tc>
          <w:tcPr/>
          <w:p>
            <w:pPr>
              <w:pStyle w:val="Compact"/>
              <w:jc w:val="right"/>
            </w:pPr>
            <w:r>
              <w:t xml:space="preserve">Turnover</w:t>
            </w:r>
          </w:p>
        </w:tc>
        <w:tc>
          <w:tcPr/>
          <w:p>
            <w:pPr>
              <w:pStyle w:val="Compact"/>
              <w:jc w:val="right"/>
            </w:pPr>
            <w:r>
              <w:t xml:space="preserve">Anlagen</w:t>
            </w:r>
            <w:r>
              <w:t xml:space="preserve"> </w:t>
            </w:r>
            <m:oMath>
              <m:r>
                <m:rPr>
                  <m:sty m:val="p"/>
                </m:rPr>
                <m:t>&gt;</m:t>
              </m:r>
              <m:r>
                <m:t>1</m:t>
              </m:r>
              <m:r>
                <m:t> </m:t>
              </m:r>
              <m:r>
                <m:rPr>
                  <m:sty m:val="p"/>
                </m:rPr>
                <m:t>%</m:t>
              </m:r>
            </m:oMath>
          </w:p>
        </w:tc>
      </w:tr>
      <w:tr>
        <w:tc>
          <w:tcPr/>
          <w:p>
            <w:pPr>
              <w:pStyle w:val="Compact"/>
              <w:jc w:val="left"/>
            </w:pPr>
            <w:r>
              <w:t xml:space="preserve">MVP</w:t>
            </w:r>
          </w:p>
        </w:tc>
        <w:tc>
          <w:tcPr/>
          <w:p>
            <w:pPr>
              <w:pStyle w:val="Compact"/>
              <w:jc w:val="left"/>
            </w:pPr>
            <w:r>
              <w:t xml:space="preserve">Historisch</w:t>
            </w:r>
          </w:p>
        </w:tc>
        <w:tc>
          <w:tcPr/>
          <w:p>
            <w:pPr>
              <w:pStyle w:val="Compact"/>
              <w:jc w:val="right"/>
            </w:pPr>
            <w:r>
              <w:t xml:space="preserve">9,03</w:t>
            </w:r>
          </w:p>
        </w:tc>
        <w:tc>
          <w:tcPr/>
          <w:p>
            <w:pPr>
              <w:pStyle w:val="Compact"/>
              <w:jc w:val="right"/>
            </w:pPr>
            <w:r>
              <w:t xml:space="preserve">13,82</w:t>
            </w:r>
          </w:p>
        </w:tc>
        <w:tc>
          <w:tcPr/>
          <w:p>
            <w:pPr>
              <w:pStyle w:val="Compact"/>
              <w:jc w:val="right"/>
            </w:pPr>
            <w:r>
              <w:t xml:space="preserve">0,567</w:t>
            </w:r>
          </w:p>
        </w:tc>
        <w:tc>
          <w:tcPr/>
          <w:p>
            <w:pPr>
              <w:pStyle w:val="Compact"/>
              <w:jc w:val="right"/>
            </w:pPr>
            <w:r>
              <w:t xml:space="preserve">0,008</w:t>
            </w:r>
          </w:p>
        </w:tc>
        <w:tc>
          <w:tcPr/>
          <w:p>
            <w:pPr>
              <w:pStyle w:val="Compact"/>
              <w:jc w:val="right"/>
            </w:pPr>
            <w:r>
              <w:t xml:space="preserve">4,6</w:t>
            </w:r>
          </w:p>
        </w:tc>
      </w:tr>
      <w:tr>
        <w:tc>
          <w:tcPr/>
          <w:p>
            <w:pPr>
              <w:pStyle w:val="Compact"/>
              <w:jc w:val="left"/>
            </w:pPr>
            <w:r>
              <w:t xml:space="preserve">MVP</w:t>
            </w:r>
          </w:p>
        </w:tc>
        <w:tc>
          <w:tcPr/>
          <w:p>
            <w:pPr>
              <w:pStyle w:val="Compact"/>
              <w:jc w:val="left"/>
            </w:pPr>
            <w:r>
              <w:t xml:space="preserve">GARCH</w:t>
            </w:r>
          </w:p>
        </w:tc>
        <w:tc>
          <w:tcPr/>
          <w:p>
            <w:pPr>
              <w:pStyle w:val="Compact"/>
              <w:jc w:val="right"/>
            </w:pPr>
            <w:r>
              <w:t xml:space="preserve">8,55</w:t>
            </w:r>
          </w:p>
        </w:tc>
        <w:tc>
          <w:tcPr/>
          <w:p>
            <w:pPr>
              <w:pStyle w:val="Compact"/>
              <w:jc w:val="right"/>
            </w:pPr>
            <w:r>
              <w:t xml:space="preserve">13,94</w:t>
            </w:r>
          </w:p>
        </w:tc>
        <w:tc>
          <w:tcPr/>
          <w:p>
            <w:pPr>
              <w:pStyle w:val="Compact"/>
              <w:jc w:val="right"/>
            </w:pPr>
            <w:r>
              <w:t xml:space="preserve">0,532</w:t>
            </w:r>
          </w:p>
        </w:tc>
        <w:tc>
          <w:tcPr/>
          <w:p>
            <w:pPr>
              <w:pStyle w:val="Compact"/>
              <w:jc w:val="right"/>
            </w:pPr>
            <w:r>
              <w:t xml:space="preserve">0,258</w:t>
            </w:r>
          </w:p>
        </w:tc>
        <w:tc>
          <w:tcPr/>
          <w:p>
            <w:pPr>
              <w:pStyle w:val="Compact"/>
              <w:jc w:val="right"/>
            </w:pPr>
            <w:r>
              <w:t xml:space="preserve">4,2</w:t>
            </w:r>
          </w:p>
        </w:tc>
      </w:tr>
      <w:tr>
        <w:tc>
          <w:tcPr/>
          <w:p>
            <w:pPr>
              <w:pStyle w:val="Compact"/>
              <w:jc w:val="left"/>
            </w:pPr>
            <w:r>
              <w:t xml:space="preserve">MVP</w:t>
            </w:r>
          </w:p>
        </w:tc>
        <w:tc>
          <w:tcPr/>
          <w:p>
            <w:pPr>
              <w:pStyle w:val="Compact"/>
              <w:jc w:val="left"/>
            </w:pPr>
            <w:r>
              <w:t xml:space="preserve">DCC-GARCH</w:t>
            </w:r>
          </w:p>
        </w:tc>
        <w:tc>
          <w:tcPr/>
          <w:p>
            <w:pPr>
              <w:pStyle w:val="Compact"/>
              <w:jc w:val="right"/>
            </w:pPr>
            <w:r>
              <w:t xml:space="preserve">8,65</w:t>
            </w:r>
          </w:p>
        </w:tc>
        <w:tc>
          <w:tcPr/>
          <w:p>
            <w:pPr>
              <w:pStyle w:val="Compact"/>
              <w:jc w:val="right"/>
            </w:pPr>
            <w:r>
              <w:t xml:space="preserve">13,81</w:t>
            </w:r>
          </w:p>
        </w:tc>
        <w:tc>
          <w:tcPr/>
          <w:p>
            <w:pPr>
              <w:pStyle w:val="Compact"/>
              <w:jc w:val="right"/>
            </w:pPr>
            <w:r>
              <w:t xml:space="preserve">0,543</w:t>
            </w:r>
          </w:p>
        </w:tc>
        <w:tc>
          <w:tcPr/>
          <w:p>
            <w:pPr>
              <w:pStyle w:val="Compact"/>
              <w:jc w:val="right"/>
            </w:pPr>
            <w:r>
              <w:t xml:space="preserve">0,255</w:t>
            </w:r>
          </w:p>
        </w:tc>
        <w:tc>
          <w:tcPr/>
          <w:p>
            <w:pPr>
              <w:pStyle w:val="Compact"/>
              <w:jc w:val="right"/>
            </w:pPr>
            <w:r>
              <w:t xml:space="preserve">4,9</w:t>
            </w:r>
          </w:p>
        </w:tc>
      </w:tr>
      <w:tr>
        <w:tc>
          <w:tcPr/>
          <w:p>
            <w:pPr>
              <w:pStyle w:val="Compact"/>
              <w:jc w:val="left"/>
            </w:pPr>
            <w:r>
              <w:t xml:space="preserve">HRP</w:t>
            </w:r>
          </w:p>
        </w:tc>
        <w:tc>
          <w:tcPr/>
          <w:p>
            <w:pPr>
              <w:pStyle w:val="Compact"/>
              <w:jc w:val="left"/>
            </w:pPr>
            <w:r>
              <w:t xml:space="preserve">Historisch</w:t>
            </w:r>
          </w:p>
        </w:tc>
        <w:tc>
          <w:tcPr/>
          <w:p>
            <w:pPr>
              <w:pStyle w:val="Compact"/>
              <w:jc w:val="right"/>
            </w:pPr>
            <w:r>
              <w:t xml:space="preserve">9,27</w:t>
            </w:r>
          </w:p>
        </w:tc>
        <w:tc>
          <w:tcPr/>
          <w:p>
            <w:pPr>
              <w:pStyle w:val="Compact"/>
              <w:jc w:val="right"/>
            </w:pPr>
            <w:r>
              <w:t xml:space="preserve">16,74</w:t>
            </w:r>
          </w:p>
        </w:tc>
        <w:tc>
          <w:tcPr/>
          <w:p>
            <w:pPr>
              <w:pStyle w:val="Compact"/>
              <w:jc w:val="right"/>
            </w:pPr>
            <w:r>
              <w:t xml:space="preserve">0,509</w:t>
            </w:r>
          </w:p>
        </w:tc>
        <w:tc>
          <w:tcPr/>
          <w:p>
            <w:pPr>
              <w:pStyle w:val="Compact"/>
              <w:jc w:val="right"/>
            </w:pPr>
            <w:r>
              <w:t xml:space="preserve">0,012</w:t>
            </w:r>
          </w:p>
        </w:tc>
        <w:tc>
          <w:tcPr/>
          <w:p>
            <w:pPr>
              <w:pStyle w:val="Compact"/>
              <w:jc w:val="right"/>
            </w:pPr>
            <w:r>
              <w:t xml:space="preserve">17,6</w:t>
            </w:r>
          </w:p>
        </w:tc>
      </w:tr>
      <w:tr>
        <w:tc>
          <w:tcPr/>
          <w:p>
            <w:pPr>
              <w:pStyle w:val="Compact"/>
              <w:jc w:val="left"/>
            </w:pPr>
            <w:r>
              <w:t xml:space="preserve">HRP</w:t>
            </w:r>
          </w:p>
        </w:tc>
        <w:tc>
          <w:tcPr/>
          <w:p>
            <w:pPr>
              <w:pStyle w:val="Compact"/>
              <w:jc w:val="left"/>
            </w:pPr>
            <w:r>
              <w:t xml:space="preserve">GARCH</w:t>
            </w:r>
          </w:p>
        </w:tc>
        <w:tc>
          <w:tcPr/>
          <w:p>
            <w:pPr>
              <w:pStyle w:val="Compact"/>
              <w:jc w:val="right"/>
            </w:pPr>
            <w:r>
              <w:t xml:space="preserve">8,96</w:t>
            </w:r>
          </w:p>
        </w:tc>
        <w:tc>
          <w:tcPr/>
          <w:p>
            <w:pPr>
              <w:pStyle w:val="Compact"/>
              <w:jc w:val="right"/>
            </w:pPr>
            <w:r>
              <w:t xml:space="preserve">16,21</w:t>
            </w:r>
          </w:p>
        </w:tc>
        <w:tc>
          <w:tcPr/>
          <w:p>
            <w:pPr>
              <w:pStyle w:val="Compact"/>
              <w:jc w:val="right"/>
            </w:pPr>
            <w:r>
              <w:t xml:space="preserve">0,502</w:t>
            </w:r>
          </w:p>
        </w:tc>
        <w:tc>
          <w:tcPr/>
          <w:p>
            <w:pPr>
              <w:pStyle w:val="Compact"/>
              <w:jc w:val="right"/>
            </w:pPr>
            <w:r>
              <w:t xml:space="preserve">0,072</w:t>
            </w:r>
          </w:p>
        </w:tc>
        <w:tc>
          <w:tcPr/>
          <w:p>
            <w:pPr>
              <w:pStyle w:val="Compact"/>
              <w:jc w:val="right"/>
            </w:pPr>
            <w:r>
              <w:t xml:space="preserve">17,4</w:t>
            </w:r>
          </w:p>
        </w:tc>
      </w:tr>
      <w:tr>
        <w:tc>
          <w:tcPr/>
          <w:p>
            <w:pPr>
              <w:pStyle w:val="Compact"/>
              <w:jc w:val="left"/>
            </w:pPr>
            <w:r>
              <w:t xml:space="preserve">HRP</w:t>
            </w:r>
          </w:p>
        </w:tc>
        <w:tc>
          <w:tcPr/>
          <w:p>
            <w:pPr>
              <w:pStyle w:val="Compact"/>
              <w:jc w:val="left"/>
            </w:pPr>
            <w:r>
              <w:t xml:space="preserve">DCC-GARCH</w:t>
            </w:r>
          </w:p>
        </w:tc>
        <w:tc>
          <w:tcPr/>
          <w:p>
            <w:pPr>
              <w:pStyle w:val="Compact"/>
              <w:jc w:val="right"/>
            </w:pPr>
            <w:r>
              <w:t xml:space="preserve">9,13</w:t>
            </w:r>
          </w:p>
        </w:tc>
        <w:tc>
          <w:tcPr/>
          <w:p>
            <w:pPr>
              <w:pStyle w:val="Compact"/>
              <w:jc w:val="right"/>
            </w:pPr>
            <w:r>
              <w:t xml:space="preserve">16,17</w:t>
            </w:r>
          </w:p>
        </w:tc>
        <w:tc>
          <w:tcPr/>
          <w:p>
            <w:pPr>
              <w:pStyle w:val="Compact"/>
              <w:jc w:val="right"/>
            </w:pPr>
            <w:r>
              <w:t xml:space="preserve">0,513</w:t>
            </w:r>
          </w:p>
        </w:tc>
        <w:tc>
          <w:tcPr/>
          <w:p>
            <w:pPr>
              <w:pStyle w:val="Compact"/>
              <w:jc w:val="right"/>
            </w:pPr>
            <w:r>
              <w:t xml:space="preserve">0,094</w:t>
            </w:r>
          </w:p>
        </w:tc>
        <w:tc>
          <w:tcPr/>
          <w:p>
            <w:pPr>
              <w:pStyle w:val="Compact"/>
              <w:jc w:val="right"/>
            </w:pPr>
            <w:r>
              <w:t xml:space="preserve">17,4</w:t>
            </w:r>
          </w:p>
        </w:tc>
      </w:tr>
      <w:tr>
        <w:tc>
          <w:tcPr/>
          <w:p>
            <w:pPr>
              <w:pStyle w:val="Compact"/>
              <w:jc w:val="left"/>
            </w:pPr>
            <w:r>
              <w:t xml:space="preserve">ERC</w:t>
            </w:r>
          </w:p>
        </w:tc>
        <w:tc>
          <w:tcPr/>
          <w:p>
            <w:pPr>
              <w:pStyle w:val="Compact"/>
              <w:jc w:val="left"/>
            </w:pPr>
            <w:r>
              <w:t xml:space="preserve">Historisch</w:t>
            </w:r>
          </w:p>
        </w:tc>
        <w:tc>
          <w:tcPr/>
          <w:p>
            <w:pPr>
              <w:pStyle w:val="Compact"/>
              <w:jc w:val="right"/>
            </w:pPr>
            <w:r>
              <w:t xml:space="preserve">9,46</w:t>
            </w:r>
          </w:p>
        </w:tc>
        <w:tc>
          <w:tcPr/>
          <w:p>
            <w:pPr>
              <w:pStyle w:val="Compact"/>
              <w:jc w:val="right"/>
            </w:pPr>
            <w:r>
              <w:t xml:space="preserve">17,67</w:t>
            </w:r>
          </w:p>
        </w:tc>
        <w:tc>
          <w:tcPr/>
          <w:p>
            <w:pPr>
              <w:pStyle w:val="Compact"/>
              <w:jc w:val="right"/>
            </w:pPr>
            <w:r>
              <w:t xml:space="preserve">0,501</w:t>
            </w:r>
          </w:p>
        </w:tc>
        <w:tc>
          <w:tcPr/>
          <w:p>
            <w:pPr>
              <w:pStyle w:val="Compact"/>
              <w:jc w:val="right"/>
            </w:pPr>
            <w:r>
              <w:t xml:space="preserve">0,006</w:t>
            </w:r>
          </w:p>
        </w:tc>
        <w:tc>
          <w:tcPr/>
          <w:p>
            <w:pPr>
              <w:pStyle w:val="Compact"/>
              <w:jc w:val="right"/>
            </w:pPr>
            <w:r>
              <w:t xml:space="preserve">17,8</w:t>
            </w:r>
          </w:p>
        </w:tc>
      </w:tr>
      <w:tr>
        <w:tc>
          <w:tcPr/>
          <w:p>
            <w:pPr>
              <w:pStyle w:val="Compact"/>
              <w:jc w:val="left"/>
            </w:pPr>
            <w:r>
              <w:t xml:space="preserve">ERC</w:t>
            </w:r>
          </w:p>
        </w:tc>
        <w:tc>
          <w:tcPr/>
          <w:p>
            <w:pPr>
              <w:pStyle w:val="Compact"/>
              <w:jc w:val="left"/>
            </w:pPr>
            <w:r>
              <w:t xml:space="preserve">GARCH</w:t>
            </w:r>
          </w:p>
        </w:tc>
        <w:tc>
          <w:tcPr/>
          <w:p>
            <w:pPr>
              <w:pStyle w:val="Compact"/>
              <w:jc w:val="right"/>
            </w:pPr>
            <w:r>
              <w:t xml:space="preserve">9,14</w:t>
            </w:r>
          </w:p>
        </w:tc>
        <w:tc>
          <w:tcPr/>
          <w:p>
            <w:pPr>
              <w:pStyle w:val="Compact"/>
              <w:jc w:val="right"/>
            </w:pPr>
            <w:r>
              <w:t xml:space="preserve">17,32</w:t>
            </w:r>
          </w:p>
        </w:tc>
        <w:tc>
          <w:tcPr/>
          <w:p>
            <w:pPr>
              <w:pStyle w:val="Compact"/>
              <w:jc w:val="right"/>
            </w:pPr>
            <w:r>
              <w:t xml:space="preserve">0,490</w:t>
            </w:r>
          </w:p>
        </w:tc>
        <w:tc>
          <w:tcPr/>
          <w:p>
            <w:pPr>
              <w:pStyle w:val="Compact"/>
              <w:jc w:val="right"/>
            </w:pPr>
            <w:r>
              <w:t xml:space="preserve">0,034</w:t>
            </w:r>
          </w:p>
        </w:tc>
        <w:tc>
          <w:tcPr/>
          <w:p>
            <w:pPr>
              <w:pStyle w:val="Compact"/>
              <w:jc w:val="right"/>
            </w:pPr>
            <w:r>
              <w:t xml:space="preserve">17,8</w:t>
            </w:r>
          </w:p>
        </w:tc>
      </w:tr>
      <w:tr>
        <w:tc>
          <w:tcPr/>
          <w:p>
            <w:pPr>
              <w:pStyle w:val="Compact"/>
              <w:jc w:val="left"/>
            </w:pPr>
            <w:r>
              <w:t xml:space="preserve">ERC</w:t>
            </w:r>
          </w:p>
        </w:tc>
        <w:tc>
          <w:tcPr/>
          <w:p>
            <w:pPr>
              <w:pStyle w:val="Compact"/>
              <w:jc w:val="left"/>
            </w:pPr>
            <w:r>
              <w:t xml:space="preserve">DCC-GARCH</w:t>
            </w:r>
          </w:p>
        </w:tc>
        <w:tc>
          <w:tcPr/>
          <w:p>
            <w:pPr>
              <w:pStyle w:val="Compact"/>
              <w:jc w:val="right"/>
            </w:pPr>
            <w:r>
              <w:t xml:space="preserve">9,13</w:t>
            </w:r>
          </w:p>
        </w:tc>
        <w:tc>
          <w:tcPr/>
          <w:p>
            <w:pPr>
              <w:pStyle w:val="Compact"/>
              <w:jc w:val="right"/>
            </w:pPr>
            <w:r>
              <w:t xml:space="preserve">17,31</w:t>
            </w:r>
          </w:p>
        </w:tc>
        <w:tc>
          <w:tcPr/>
          <w:p>
            <w:pPr>
              <w:pStyle w:val="Compact"/>
              <w:jc w:val="right"/>
            </w:pPr>
            <w:r>
              <w:t xml:space="preserve">0,490</w:t>
            </w:r>
          </w:p>
        </w:tc>
        <w:tc>
          <w:tcPr/>
          <w:p>
            <w:pPr>
              <w:pStyle w:val="Compact"/>
              <w:jc w:val="right"/>
            </w:pPr>
            <w:r>
              <w:t xml:space="preserve">0,034</w:t>
            </w:r>
          </w:p>
        </w:tc>
        <w:tc>
          <w:tcPr/>
          <w:p>
            <w:pPr>
              <w:pStyle w:val="Compact"/>
              <w:jc w:val="right"/>
            </w:pPr>
            <w:r>
              <w:t xml:space="preserve">17,8</w:t>
            </w:r>
          </w:p>
        </w:tc>
      </w:tr>
      <w:tr>
        <w:tc>
          <w:tcPr/>
          <w:p>
            <w:pPr>
              <w:pStyle w:val="Compact"/>
              <w:jc w:val="left"/>
            </w:pPr>
            <w:r>
              <w:t xml:space="preserve">1/N</w:t>
            </w:r>
          </w:p>
        </w:tc>
        <w:tc>
          <w:tcPr/>
          <w:p>
            <w:pPr>
              <w:pStyle w:val="Compact"/>
              <w:jc w:val="left"/>
            </w:pPr>
            <w:r>
              <w:t xml:space="preserve">–</w:t>
            </w:r>
          </w:p>
        </w:tc>
        <w:tc>
          <w:tcPr/>
          <w:p>
            <w:pPr>
              <w:pStyle w:val="Compact"/>
              <w:jc w:val="right"/>
            </w:pPr>
            <w:r>
              <w:t xml:space="preserve">9,58</w:t>
            </w:r>
          </w:p>
        </w:tc>
        <w:tc>
          <w:tcPr/>
          <w:p>
            <w:pPr>
              <w:pStyle w:val="Compact"/>
              <w:jc w:val="right"/>
            </w:pPr>
            <w:r>
              <w:t xml:space="preserve">18,79</w:t>
            </w:r>
          </w:p>
        </w:tc>
        <w:tc>
          <w:tcPr/>
          <w:p>
            <w:pPr>
              <w:pStyle w:val="Compact"/>
              <w:jc w:val="right"/>
            </w:pPr>
            <w:r>
              <w:t xml:space="preserve">0,488</w:t>
            </w:r>
          </w:p>
        </w:tc>
        <w:tc>
          <w:tcPr/>
          <w:p>
            <w:pPr>
              <w:pStyle w:val="Compact"/>
              <w:jc w:val="right"/>
            </w:pPr>
            <w:r>
              <w:t xml:space="preserve">0,006</w:t>
            </w:r>
          </w:p>
        </w:tc>
        <w:tc>
          <w:tcPr/>
          <w:p>
            <w:pPr>
              <w:pStyle w:val="Compact"/>
              <w:jc w:val="right"/>
            </w:pPr>
            <w:r>
              <w:t xml:space="preserve">17,8</w:t>
            </w:r>
          </w:p>
        </w:tc>
      </w:tr>
    </w:tbl>
    <w:bookmarkEnd w:id="34"/>
    <w:p>
      <w:pPr>
        <w:pStyle w:val="BlockText"/>
      </w:pPr>
      <w:r>
        <w:t xml:space="preserve">TRBC, Training 1008 Handelstage, Prognosehorizont 1 Tag, bewertet über die volle Historie vom 12.02.2003 bis 09.06.2026; Rendite, Volatilität und Sharpe Ratio annualisiert, Turnover ohne Kosten; Anlagen</w:t>
      </w:r>
      <w:r>
        <w:t xml:space="preserve"> </w:t>
      </w:r>
      <m:oMath>
        <m:r>
          <m:rPr>
            <m:sty m:val="p"/>
          </m:rPr>
          <m:t>&gt;</m:t>
        </m:r>
        <m:r>
          <m:t>1</m:t>
        </m:r>
        <m:r>
          <m:t> </m:t>
        </m:r>
        <m:r>
          <m:rPr>
            <m:sty m:val="p"/>
          </m:rPr>
          <m:t>%</m:t>
        </m:r>
      </m:oMath>
      <w:r>
        <w:t xml:space="preserve"> </w:t>
      </w:r>
      <w:r>
        <w:t xml:space="preserve">ist die durchschnittliche Zahl der Sektoren mit einem Gewicht von mehr als 1 % je Formationstermin.</w:t>
      </w:r>
    </w:p>
    <w:p>
      <w:pPr>
        <w:pStyle w:val="FirstParagraph"/>
      </w:pPr>
      <w:r>
        <w:t xml:space="preserve">Innerhalb der Portfoliomodelle kehrt sich die statistische Rangfolge im Basisfall weitgehend um, da bei MVP und ERC die historische Matrix vorne liegt und allein beim HRP der DCC-Schätzer marginal besser abschneidet.</w:t>
      </w:r>
      <w:r>
        <w:t xml:space="preserve"> </w:t>
      </w:r>
      <w:r>
        <w:t xml:space="preserve">Der GARCH-Schätzer bleibt dabei in allen drei Modellen hinter der historischen Matrix zurück.</w:t>
      </w:r>
      <w:r>
        <w:t xml:space="preserve"> </w:t>
      </w:r>
      <w:r>
        <w:t xml:space="preserve">Bei HRP und ERC senken die dynamischen Schätzer jedoch die realisierte Volatilität spürbar, während der DCC-Schätzer beim MVP auf einem ähnlichen Niveau wie der historische Schätzer liegt, wobei dieser Vorteil in der Sharpe Ratio durch die Einbindung der Rendite jeweils verschwindet.</w:t>
      </w:r>
      <w:r>
        <w:t xml:space="preserve"> </w:t>
      </w:r>
      <w:r>
        <w:t xml:space="preserve">Genau diese Größe schlagen</w:t>
      </w:r>
      <w:r>
        <w:t xml:space="preserve"> </w:t>
      </w:r>
      <w:r>
        <w:t xml:space="preserve">Engle and Colacito (2006)</w:t>
      </w:r>
      <w:r>
        <w:t xml:space="preserve"> </w:t>
      </w:r>
      <w:r>
        <w:t xml:space="preserve">für das Minimum-Varianz-Portfolio als ökonomisches Auswahlkriterium vor, da dessen realisierte Volatilität unmittelbar von der Kovarianzmatrix abhängt und nicht von den Renditen überlagert wird.</w:t>
      </w:r>
      <w:r>
        <w:t xml:space="preserve"> </w:t>
      </w:r>
      <w:r>
        <w:t xml:space="preserve">Diese Idee kann auch auf HRP und ERC übertragen werden, da deren Gewichte ebenfalls allein aus der Kovarianzmatrix stammen.</w:t>
      </w:r>
    </w:p>
    <w:p>
      <w:pPr>
        <w:pStyle w:val="BodyText"/>
      </w:pPr>
      <w:r>
        <w:t xml:space="preserve">Gleichzeitig fällt der mittlere Turnover des MVP mit der DCC- wie auch mit der GARCH-Kovarianz rund 32-mal so hoch aus wie mit der historischen, wodurch beide dynamischen Schätzer bei einer realen Umsetzung nochmals schlechter abschneiden würden.</w:t>
      </w:r>
      <w:r>
        <w:t xml:space="preserve"> </w:t>
      </w:r>
      <w:r>
        <w:t xml:space="preserve">Grund für den hohen Turnover ist, dass die beiden dynamischen Modelle deutlich schneller auf Änderungen in der Volatilität reagieren, wodurch auch die Gewichtsverteilung der Portfolios angepasst wird, während die träge Stichprobenkovarianz die Gewichte nahezu unverändert lässt.</w:t>
      </w:r>
      <w:r>
        <w:t xml:space="preserve"> </w:t>
      </w:r>
      <w:r>
        <w:t xml:space="preserve">Bei HRP und ERC fällt der Anstieg mit dem Faktor 5 bis 8 erheblich geringer aus, was auf die robustere Konstruktion der beiden Modelle zurückzuführen ist.</w:t>
      </w:r>
    </w:p>
    <w:p>
      <w:pPr>
        <w:pStyle w:val="BodyText"/>
      </w:pPr>
      <w:r>
        <w:t xml:space="preserve">Wie unterschiedlich die Verfahren das Kapital verteilen, zeigt die durchschnittliche Zahl der Sektoren mit einem Gewicht von mehr als 1 % in</w:t>
      </w:r>
      <w:r>
        <w:t xml:space="preserve"> </w:t>
      </w:r>
      <w:hyperlink w:anchor="tab:oekonomie_basis">
        <w:r>
          <w:rPr>
            <w:rStyle w:val="Hyperlink"/>
          </w:rPr>
          <w:t xml:space="preserve">Tabelle </w:t>
        </w:r>
        <w:hyperlink w:anchor="tab:oekonomie_basis">
          <w:r>
            <w:rPr>
              <w:rStyle w:val="Hyperlink"/>
            </w:rPr>
            <w:t xml:space="preserve">5</w:t>
          </w:r>
        </w:hyperlink>
      </w:hyperlink>
      <w:r>
        <w:t xml:space="preserve">. Das MVP konzentriert sich im Mittel auf nur vier bis fünf der rund 18 investierbaren Sektoren, während HRP und ERC nahezu alle Sektoren nennenswert gewichten. Diese deutlich breitere Streuung trägt letztlich zur höheren Robustheit von HRP und ERC bei.</w:t>
      </w:r>
    </w:p>
    <w:p>
      <w:pPr>
        <w:pStyle w:val="BodyText"/>
      </w:pPr>
      <w:r>
        <w:t xml:space="preserve">Statistisch abgesichert sind die Unterschiede in der Sharpe Ratio allerdings nicht, da</w:t>
      </w:r>
      <w:r>
        <w:t xml:space="preserve"> </w:t>
      </w:r>
      <w:hyperlink w:anchor="tab:jobson_korkie">
        <w:r>
          <w:rPr>
            <w:rStyle w:val="Hyperlink"/>
          </w:rPr>
          <w:t xml:space="preserve">Tabelle </w:t>
        </w:r>
        <w:hyperlink w:anchor="tab:jobson_korkie">
          <w:r>
            <w:rPr>
              <w:rStyle w:val="Hyperlink"/>
            </w:rPr>
            <w:t xml:space="preserve">6</w:t>
          </w:r>
        </w:hyperlink>
      </w:hyperlink>
      <w:r>
        <w:t xml:space="preserve"> </w:t>
      </w:r>
      <w:r>
        <w:t xml:space="preserve">für keinen der relevanten Vergleiche einen auch nur annähernd signifikanten</w:t>
      </w:r>
      <w:r>
        <w:t xml:space="preserve"> </w:t>
      </w:r>
      <m:oMath>
        <m:r>
          <m:t>p</m:t>
        </m:r>
      </m:oMath>
      <w:r>
        <w:t xml:space="preserve">-Wert ausweist.</w:t>
      </w:r>
      <w:r>
        <w:t xml:space="preserve"> </w:t>
      </w:r>
      <w:r>
        <w:t xml:space="preserve">Dies gilt sowohl zwischen den Kovarianzschätzern als auch gegenüber dem 1/N-Portfolio.</w:t>
      </w:r>
    </w:p>
    <w:bookmarkStart w:id="35" w:name="tab:jobson_korkie"/>
    <w:p>
      <w:pPr>
        <w:pStyle w:val="TableCaption"/>
      </w:pPr>
      <w:r>
        <w:t xml:space="preserve">Tests auf Unterschiede der Sharpe Ratios (Basisfall)</w:t>
      </w:r>
    </w:p>
    <w:tbl>
      <w:tblPr>
        <w:tblStyle w:val="Table"/>
        <w:tblW w:type="auto" w:w="0"/>
        <w:tblLook w:firstRow="1" w:lastRow="0" w:firstColumn="0" w:lastColumn="0" w:noHBand="0" w:noVBand="0" w:val="0020"/>
        <w:tblCaption w:val="Tests auf Unterschiede der Sharpe Ratios (Basisfall)"/>
      </w:tblPr>
      <w:tblGrid>
        <w:gridCol w:w="1814"/>
        <w:gridCol w:w="1814"/>
        <w:gridCol w:w="1814"/>
        <w:gridCol w:w="1814"/>
        <w:gridCol w:w="1814"/>
      </w:tblGrid>
      <w:tr>
        <w:trPr>
          <w:tblHeader w:val="on"/>
        </w:trPr>
        <w:tc>
          <w:tcPr/>
          <w:p>
            <w:pPr>
              <w:pStyle w:val="Compact"/>
              <w:jc w:val="left"/>
            </w:pPr>
            <w:r>
              <w:t xml:space="preserve">Vergleich</w:t>
            </w:r>
          </w:p>
        </w:tc>
        <w:tc>
          <w:tcPr/>
          <w:p>
            <w:pPr>
              <w:pStyle w:val="Compact"/>
              <w:jc w:val="right"/>
            </w:pPr>
            <m:oMath>
              <m:r>
                <m:rPr>
                  <m:sty m:val="p"/>
                </m:rPr>
                <m:t>Δ</m:t>
              </m:r>
            </m:oMath>
            <w:r>
              <w:t xml:space="preserve"> </w:t>
            </w:r>
            <w:r>
              <w:t xml:space="preserve">Sharpe</w:t>
            </w:r>
          </w:p>
        </w:tc>
        <w:tc>
          <w:tcPr/>
          <w:p>
            <w:pPr>
              <w:pStyle w:val="Compact"/>
              <w:jc w:val="right"/>
            </w:pPr>
            <m:oMath>
              <m:r>
                <m:t>z</m:t>
              </m:r>
            </m:oMath>
            <w:r>
              <w:t xml:space="preserve">-Statistik</w:t>
            </w:r>
          </w:p>
        </w:tc>
        <w:tc>
          <w:tcPr>
            <w:gridSpan w:val="2"/>
          </w:tcPr>
          <w:p>
            <w:pPr>
              <w:pStyle w:val="Compact"/>
              <w:jc w:val="center"/>
            </w:pPr>
            <m:oMath>
              <m:r>
                <m:t>p</m:t>
              </m:r>
            </m:oMath>
            <w:r>
              <w:t xml:space="preserve">-Wert</w:t>
            </w:r>
          </w:p>
        </w:tc>
      </w:tr>
      <w:tr>
        <w:tc>
          <w:tcPr/>
          <w:p>
            <w:pPr>
              <w:pStyle w:val="Compact"/>
              <w:jc w:val="left"/>
            </w:pPr>
            <w:r>
              <w:t xml:space="preserve">MVP Historisch vs. MVP GARCH</w:t>
            </w:r>
          </w:p>
        </w:tc>
        <w:tc>
          <w:tcPr/>
          <w:p>
            <w:pPr>
              <w:pStyle w:val="Compact"/>
              <w:jc w:val="right"/>
            </w:pPr>
            <w:r>
              <w:t xml:space="preserve">0,0352</w:t>
            </w:r>
          </w:p>
        </w:tc>
        <w:tc>
          <w:tcPr/>
          <w:p>
            <w:pPr>
              <w:pStyle w:val="Compact"/>
              <w:jc w:val="right"/>
            </w:pPr>
            <w:r>
              <w:t xml:space="preserve">0,55</w:t>
            </w:r>
          </w:p>
        </w:tc>
        <w:tc>
          <w:tcPr/>
          <w:p>
            <w:pPr>
              <w:pStyle w:val="Compact"/>
              <w:jc w:val="right"/>
            </w:pPr>
            <w:r>
              <w:t xml:space="preserve">0,584</w:t>
            </w:r>
          </w:p>
        </w:tc>
        <w:tc>
          <w:tcPr/>
          <w:p>
            <w:pPr>
              <w:pStyle w:val="Compact"/>
            </w:pPr>
          </w:p>
        </w:tc>
      </w:tr>
      <w:tr>
        <w:tc>
          <w:tcPr/>
          <w:p>
            <w:pPr>
              <w:pStyle w:val="Compact"/>
              <w:jc w:val="left"/>
            </w:pPr>
            <w:r>
              <w:t xml:space="preserve">MVP Historisch vs. MVP DCC-GARCH</w:t>
            </w:r>
          </w:p>
        </w:tc>
        <w:tc>
          <w:tcPr/>
          <w:p>
            <w:pPr>
              <w:pStyle w:val="Compact"/>
              <w:jc w:val="right"/>
            </w:pPr>
            <w:r>
              <w:t xml:space="preserve">0,0243</w:t>
            </w:r>
          </w:p>
        </w:tc>
        <w:tc>
          <w:tcPr/>
          <w:p>
            <w:pPr>
              <w:pStyle w:val="Compact"/>
              <w:jc w:val="right"/>
            </w:pPr>
            <w:r>
              <w:t xml:space="preserve">0,37</w:t>
            </w:r>
          </w:p>
        </w:tc>
        <w:tc>
          <w:tcPr/>
          <w:p>
            <w:pPr>
              <w:pStyle w:val="Compact"/>
              <w:jc w:val="right"/>
            </w:pPr>
            <w:r>
              <w:t xml:space="preserve">0,709</w:t>
            </w:r>
          </w:p>
        </w:tc>
        <w:tc>
          <w:tcPr/>
          <w:p>
            <w:pPr>
              <w:pStyle w:val="Compact"/>
            </w:pPr>
          </w:p>
        </w:tc>
      </w:tr>
      <w:tr>
        <w:tc>
          <w:tcPr/>
          <w:p>
            <w:pPr>
              <w:pStyle w:val="Compact"/>
              <w:jc w:val="left"/>
            </w:pPr>
            <w:r>
              <w:t xml:space="preserve">MVP GARCH vs. MVP DCC-GARCH</w:t>
            </w:r>
          </w:p>
        </w:tc>
        <w:tc>
          <w:tcPr/>
          <w:p>
            <w:pPr>
              <w:pStyle w:val="Compact"/>
              <w:jc w:val="right"/>
            </w:pPr>
            <w:r>
              <w:t xml:space="preserve">-0,0109</w:t>
            </w:r>
          </w:p>
        </w:tc>
        <w:tc>
          <w:tcPr/>
          <w:p>
            <w:pPr>
              <w:pStyle w:val="Compact"/>
              <w:jc w:val="right"/>
            </w:pPr>
            <w:r>
              <w:t xml:space="preserve">-0,78</w:t>
            </w:r>
          </w:p>
        </w:tc>
        <w:tc>
          <w:tcPr/>
          <w:p>
            <w:pPr>
              <w:pStyle w:val="Compact"/>
              <w:jc w:val="right"/>
            </w:pPr>
            <w:r>
              <w:t xml:space="preserve">0,435</w:t>
            </w:r>
          </w:p>
        </w:tc>
        <w:tc>
          <w:tcPr/>
          <w:p>
            <w:pPr>
              <w:pStyle w:val="Compact"/>
            </w:pPr>
          </w:p>
        </w:tc>
      </w:tr>
      <w:tr>
        <w:tc>
          <w:tcPr/>
          <w:p>
            <w:pPr>
              <w:pStyle w:val="Compact"/>
              <w:jc w:val="left"/>
            </w:pPr>
            <w:r>
              <w:t xml:space="preserve">HRP Historisch vs. HRP GARCH</w:t>
            </w:r>
          </w:p>
        </w:tc>
        <w:tc>
          <w:tcPr/>
          <w:p>
            <w:pPr>
              <w:pStyle w:val="Compact"/>
              <w:jc w:val="right"/>
            </w:pPr>
            <w:r>
              <w:t xml:space="preserve">0,0063</w:t>
            </w:r>
          </w:p>
        </w:tc>
        <w:tc>
          <w:tcPr/>
          <w:p>
            <w:pPr>
              <w:pStyle w:val="Compact"/>
              <w:jc w:val="right"/>
            </w:pPr>
            <w:r>
              <w:t xml:space="preserve">0,30</w:t>
            </w:r>
          </w:p>
        </w:tc>
        <w:tc>
          <w:tcPr/>
          <w:p>
            <w:pPr>
              <w:pStyle w:val="Compact"/>
              <w:jc w:val="right"/>
            </w:pPr>
            <w:r>
              <w:t xml:space="preserve">0,764</w:t>
            </w:r>
          </w:p>
        </w:tc>
        <w:tc>
          <w:tcPr/>
          <w:p>
            <w:pPr>
              <w:pStyle w:val="Compact"/>
            </w:pPr>
          </w:p>
        </w:tc>
      </w:tr>
      <w:tr>
        <w:tc>
          <w:tcPr/>
          <w:p>
            <w:pPr>
              <w:pStyle w:val="Compact"/>
              <w:jc w:val="left"/>
            </w:pPr>
            <w:r>
              <w:t xml:space="preserve">HRP Historisch vs. HRP DCC-GARCH</w:t>
            </w:r>
          </w:p>
        </w:tc>
        <w:tc>
          <w:tcPr/>
          <w:p>
            <w:pPr>
              <w:pStyle w:val="Compact"/>
              <w:jc w:val="right"/>
            </w:pPr>
            <w:r>
              <w:t xml:space="preserve">-0,0041</w:t>
            </w:r>
          </w:p>
        </w:tc>
        <w:tc>
          <w:tcPr/>
          <w:p>
            <w:pPr>
              <w:pStyle w:val="Compact"/>
              <w:jc w:val="right"/>
            </w:pPr>
            <w:r>
              <w:t xml:space="preserve">-0,18</w:t>
            </w:r>
          </w:p>
        </w:tc>
        <w:tc>
          <w:tcPr/>
          <w:p>
            <w:pPr>
              <w:pStyle w:val="Compact"/>
              <w:jc w:val="right"/>
            </w:pPr>
            <w:r>
              <w:t xml:space="preserve">0,859</w:t>
            </w:r>
          </w:p>
        </w:tc>
        <w:tc>
          <w:tcPr/>
          <w:p>
            <w:pPr>
              <w:pStyle w:val="Compact"/>
            </w:pPr>
          </w:p>
        </w:tc>
      </w:tr>
      <w:tr>
        <w:tc>
          <w:tcPr/>
          <w:p>
            <w:pPr>
              <w:pStyle w:val="Compact"/>
              <w:jc w:val="left"/>
            </w:pPr>
            <w:r>
              <w:t xml:space="preserve">HRP GARCH vs. HRP DCC-GARCH</w:t>
            </w:r>
          </w:p>
        </w:tc>
        <w:tc>
          <w:tcPr/>
          <w:p>
            <w:pPr>
              <w:pStyle w:val="Compact"/>
              <w:jc w:val="right"/>
            </w:pPr>
            <w:r>
              <w:t xml:space="preserve">-0,0104</w:t>
            </w:r>
          </w:p>
        </w:tc>
        <w:tc>
          <w:tcPr/>
          <w:p>
            <w:pPr>
              <w:pStyle w:val="Compact"/>
              <w:jc w:val="right"/>
            </w:pPr>
            <w:r>
              <w:t xml:space="preserve">-1,23</w:t>
            </w:r>
          </w:p>
        </w:tc>
        <w:tc>
          <w:tcPr/>
          <w:p>
            <w:pPr>
              <w:pStyle w:val="Compact"/>
              <w:jc w:val="right"/>
            </w:pPr>
            <w:r>
              <w:t xml:space="preserve">0,220</w:t>
            </w:r>
          </w:p>
        </w:tc>
        <w:tc>
          <w:tcPr/>
          <w:p>
            <w:pPr>
              <w:pStyle w:val="Compact"/>
            </w:pPr>
          </w:p>
        </w:tc>
      </w:tr>
      <w:tr>
        <w:tc>
          <w:tcPr/>
          <w:p>
            <w:pPr>
              <w:pStyle w:val="Compact"/>
              <w:jc w:val="left"/>
            </w:pPr>
            <w:r>
              <w:t xml:space="preserve">ERC Historisch vs. ERC GARCH</w:t>
            </w:r>
          </w:p>
        </w:tc>
        <w:tc>
          <w:tcPr/>
          <w:p>
            <w:pPr>
              <w:pStyle w:val="Compact"/>
              <w:jc w:val="right"/>
            </w:pPr>
            <w:r>
              <w:t xml:space="preserve">0,0105</w:t>
            </w:r>
          </w:p>
        </w:tc>
        <w:tc>
          <w:tcPr/>
          <w:p>
            <w:pPr>
              <w:pStyle w:val="Compact"/>
              <w:jc w:val="right"/>
            </w:pPr>
            <w:r>
              <w:t xml:space="preserve">0,95</w:t>
            </w:r>
          </w:p>
        </w:tc>
        <w:tc>
          <w:tcPr/>
          <w:p>
            <w:pPr>
              <w:pStyle w:val="Compact"/>
              <w:jc w:val="right"/>
            </w:pPr>
            <w:r>
              <w:t xml:space="preserve">0,342</w:t>
            </w:r>
          </w:p>
        </w:tc>
        <w:tc>
          <w:tcPr/>
          <w:p>
            <w:pPr>
              <w:pStyle w:val="Compact"/>
            </w:pPr>
          </w:p>
        </w:tc>
      </w:tr>
      <w:tr>
        <w:tc>
          <w:tcPr/>
          <w:p>
            <w:pPr>
              <w:pStyle w:val="Compact"/>
              <w:jc w:val="left"/>
            </w:pPr>
            <w:r>
              <w:t xml:space="preserve">ERC Historisch vs. ERC DCC-GARCH</w:t>
            </w:r>
          </w:p>
        </w:tc>
        <w:tc>
          <w:tcPr/>
          <w:p>
            <w:pPr>
              <w:pStyle w:val="Compact"/>
              <w:jc w:val="right"/>
            </w:pPr>
            <w:r>
              <w:t xml:space="preserve">0,0111</w:t>
            </w:r>
          </w:p>
        </w:tc>
        <w:tc>
          <w:tcPr/>
          <w:p>
            <w:pPr>
              <w:pStyle w:val="Compact"/>
              <w:jc w:val="right"/>
            </w:pPr>
            <w:r>
              <w:t xml:space="preserve">0,98</w:t>
            </w:r>
          </w:p>
        </w:tc>
        <w:tc>
          <w:tcPr/>
          <w:p>
            <w:pPr>
              <w:pStyle w:val="Compact"/>
              <w:jc w:val="right"/>
            </w:pPr>
            <w:r>
              <w:t xml:space="preserve">0,329</w:t>
            </w:r>
          </w:p>
        </w:tc>
        <w:tc>
          <w:tcPr/>
          <w:p>
            <w:pPr>
              <w:pStyle w:val="Compact"/>
            </w:pPr>
          </w:p>
        </w:tc>
      </w:tr>
      <w:tr>
        <w:tc>
          <w:tcPr/>
          <w:p>
            <w:pPr>
              <w:pStyle w:val="Compact"/>
              <w:jc w:val="left"/>
            </w:pPr>
            <w:r>
              <w:t xml:space="preserve">ERC GARCH vs. ERC DCC-GARCH</w:t>
            </w:r>
          </w:p>
        </w:tc>
        <w:tc>
          <w:tcPr/>
          <w:p>
            <w:pPr>
              <w:pStyle w:val="Compact"/>
              <w:jc w:val="right"/>
            </w:pPr>
            <w:r>
              <w:t xml:space="preserve">0,0006</w:t>
            </w:r>
          </w:p>
        </w:tc>
        <w:tc>
          <w:tcPr/>
          <w:p>
            <w:pPr>
              <w:pStyle w:val="Compact"/>
              <w:jc w:val="right"/>
            </w:pPr>
            <w:r>
              <w:t xml:space="preserve">0,27</w:t>
            </w:r>
          </w:p>
        </w:tc>
        <w:tc>
          <w:tcPr/>
          <w:p>
            <w:pPr>
              <w:pStyle w:val="Compact"/>
              <w:jc w:val="right"/>
            </w:pPr>
            <w:r>
              <w:t xml:space="preserve">0,784</w:t>
            </w:r>
          </w:p>
        </w:tc>
        <w:tc>
          <w:tcPr/>
          <w:p>
            <w:pPr>
              <w:pStyle w:val="Compact"/>
            </w:pPr>
          </w:p>
        </w:tc>
      </w:tr>
      <w:tr>
        <w:tc>
          <w:tcPr/>
          <w:p>
            <w:pPr>
              <w:pStyle w:val="Compact"/>
              <w:jc w:val="left"/>
            </w:pPr>
            <w:r>
              <w:t xml:space="preserve">MVP Historisch vs. 1/N</w:t>
            </w:r>
          </w:p>
        </w:tc>
        <w:tc>
          <w:tcPr/>
          <w:p>
            <w:pPr>
              <w:pStyle w:val="Compact"/>
              <w:jc w:val="right"/>
            </w:pPr>
            <w:r>
              <w:t xml:space="preserve">0,0797</w:t>
            </w:r>
          </w:p>
        </w:tc>
        <w:tc>
          <w:tcPr/>
          <w:p>
            <w:pPr>
              <w:pStyle w:val="Compact"/>
              <w:jc w:val="right"/>
            </w:pPr>
            <w:r>
              <w:t xml:space="preserve">0,69</w:t>
            </w:r>
          </w:p>
        </w:tc>
        <w:tc>
          <w:tcPr/>
          <w:p>
            <w:pPr>
              <w:pStyle w:val="Compact"/>
              <w:jc w:val="right"/>
            </w:pPr>
            <w:r>
              <w:t xml:space="preserve">0,487</w:t>
            </w:r>
          </w:p>
        </w:tc>
        <w:tc>
          <w:tcPr/>
          <w:p>
            <w:pPr>
              <w:pStyle w:val="Compact"/>
            </w:pPr>
          </w:p>
        </w:tc>
      </w:tr>
      <w:tr>
        <w:tc>
          <w:tcPr/>
          <w:p>
            <w:pPr>
              <w:pStyle w:val="Compact"/>
              <w:jc w:val="left"/>
            </w:pPr>
            <w:r>
              <w:t xml:space="preserve">MVP GARCH vs. 1/N</w:t>
            </w:r>
          </w:p>
        </w:tc>
        <w:tc>
          <w:tcPr/>
          <w:p>
            <w:pPr>
              <w:pStyle w:val="Compact"/>
              <w:jc w:val="right"/>
            </w:pPr>
            <w:r>
              <w:t xml:space="preserve">0,0445</w:t>
            </w:r>
          </w:p>
        </w:tc>
        <w:tc>
          <w:tcPr/>
          <w:p>
            <w:pPr>
              <w:pStyle w:val="Compact"/>
              <w:jc w:val="right"/>
            </w:pPr>
            <w:r>
              <w:t xml:space="preserve">0,41</w:t>
            </w:r>
          </w:p>
        </w:tc>
        <w:tc>
          <w:tcPr/>
          <w:p>
            <w:pPr>
              <w:pStyle w:val="Compact"/>
              <w:jc w:val="right"/>
            </w:pPr>
            <w:r>
              <w:t xml:space="preserve">0,681</w:t>
            </w:r>
          </w:p>
        </w:tc>
        <w:tc>
          <w:tcPr/>
          <w:p>
            <w:pPr>
              <w:pStyle w:val="Compact"/>
            </w:pPr>
          </w:p>
        </w:tc>
      </w:tr>
      <w:tr>
        <w:tc>
          <w:tcPr/>
          <w:p>
            <w:pPr>
              <w:pStyle w:val="Compact"/>
              <w:jc w:val="left"/>
            </w:pPr>
            <w:r>
              <w:t xml:space="preserve">MVP DCC-GARCH vs. 1/N</w:t>
            </w:r>
          </w:p>
        </w:tc>
        <w:tc>
          <w:tcPr/>
          <w:p>
            <w:pPr>
              <w:pStyle w:val="Compact"/>
              <w:jc w:val="right"/>
            </w:pPr>
            <w:r>
              <w:t xml:space="preserve">0,0554</w:t>
            </w:r>
          </w:p>
        </w:tc>
        <w:tc>
          <w:tcPr/>
          <w:p>
            <w:pPr>
              <w:pStyle w:val="Compact"/>
              <w:jc w:val="right"/>
            </w:pPr>
            <w:r>
              <w:t xml:space="preserve">0,51</w:t>
            </w:r>
          </w:p>
        </w:tc>
        <w:tc>
          <w:tcPr/>
          <w:p>
            <w:pPr>
              <w:pStyle w:val="Compact"/>
              <w:jc w:val="right"/>
            </w:pPr>
            <w:r>
              <w:t xml:space="preserve">0,611</w:t>
            </w:r>
          </w:p>
        </w:tc>
        <w:tc>
          <w:tcPr/>
          <w:p>
            <w:pPr>
              <w:pStyle w:val="Compact"/>
            </w:pPr>
          </w:p>
        </w:tc>
      </w:tr>
      <w:tr>
        <w:tc>
          <w:tcPr/>
          <w:p>
            <w:pPr>
              <w:pStyle w:val="Compact"/>
              <w:jc w:val="left"/>
            </w:pPr>
            <w:r>
              <w:t xml:space="preserve">HRP Historisch vs. 1/N</w:t>
            </w:r>
          </w:p>
        </w:tc>
        <w:tc>
          <w:tcPr/>
          <w:p>
            <w:pPr>
              <w:pStyle w:val="Compact"/>
              <w:jc w:val="right"/>
            </w:pPr>
            <w:r>
              <w:t xml:space="preserve">0,0210</w:t>
            </w:r>
          </w:p>
        </w:tc>
        <w:tc>
          <w:tcPr/>
          <w:p>
            <w:pPr>
              <w:pStyle w:val="Compact"/>
              <w:jc w:val="right"/>
            </w:pPr>
            <w:r>
              <w:t xml:space="preserve">0,66</w:t>
            </w:r>
          </w:p>
        </w:tc>
        <w:tc>
          <w:tcPr/>
          <w:p>
            <w:pPr>
              <w:pStyle w:val="Compact"/>
              <w:jc w:val="right"/>
            </w:pPr>
            <w:r>
              <w:t xml:space="preserve">0,509</w:t>
            </w:r>
          </w:p>
        </w:tc>
        <w:tc>
          <w:tcPr/>
          <w:p>
            <w:pPr>
              <w:pStyle w:val="Compact"/>
            </w:pPr>
          </w:p>
        </w:tc>
      </w:tr>
      <w:tr>
        <w:tc>
          <w:tcPr/>
          <w:p>
            <w:pPr>
              <w:pStyle w:val="Compact"/>
              <w:jc w:val="left"/>
            </w:pPr>
            <w:r>
              <w:t xml:space="preserve">HRP GARCH vs. 1/N</w:t>
            </w:r>
          </w:p>
        </w:tc>
        <w:tc>
          <w:tcPr/>
          <w:p>
            <w:pPr>
              <w:pStyle w:val="Compact"/>
              <w:jc w:val="right"/>
            </w:pPr>
            <w:r>
              <w:t xml:space="preserve">0,0147</w:t>
            </w:r>
          </w:p>
        </w:tc>
        <w:tc>
          <w:tcPr/>
          <w:p>
            <w:pPr>
              <w:pStyle w:val="Compact"/>
              <w:jc w:val="right"/>
            </w:pPr>
            <w:r>
              <w:t xml:space="preserve">0,37</w:t>
            </w:r>
          </w:p>
        </w:tc>
        <w:tc>
          <w:tcPr/>
          <w:p>
            <w:pPr>
              <w:pStyle w:val="Compact"/>
              <w:jc w:val="right"/>
            </w:pPr>
            <w:r>
              <w:t xml:space="preserve">0,711</w:t>
            </w:r>
          </w:p>
        </w:tc>
        <w:tc>
          <w:tcPr/>
          <w:p>
            <w:pPr>
              <w:pStyle w:val="Compact"/>
            </w:pPr>
          </w:p>
        </w:tc>
      </w:tr>
      <w:tr>
        <w:tc>
          <w:tcPr/>
          <w:p>
            <w:pPr>
              <w:pStyle w:val="Compact"/>
              <w:jc w:val="left"/>
            </w:pPr>
            <w:r>
              <w:t xml:space="preserve">HRP DCC-GARCH vs. 1/N</w:t>
            </w:r>
          </w:p>
        </w:tc>
        <w:tc>
          <w:tcPr/>
          <w:p>
            <w:pPr>
              <w:pStyle w:val="Compact"/>
              <w:jc w:val="right"/>
            </w:pPr>
            <w:r>
              <w:t xml:space="preserve">0,0251</w:t>
            </w:r>
          </w:p>
        </w:tc>
        <w:tc>
          <w:tcPr/>
          <w:p>
            <w:pPr>
              <w:pStyle w:val="Compact"/>
              <w:jc w:val="right"/>
            </w:pPr>
            <w:r>
              <w:t xml:space="preserve">0,61</w:t>
            </w:r>
          </w:p>
        </w:tc>
        <w:tc>
          <w:tcPr/>
          <w:p>
            <w:pPr>
              <w:pStyle w:val="Compact"/>
              <w:jc w:val="right"/>
            </w:pPr>
            <w:r>
              <w:t xml:space="preserve">0,541</w:t>
            </w:r>
          </w:p>
        </w:tc>
        <w:tc>
          <w:tcPr/>
          <w:p>
            <w:pPr>
              <w:pStyle w:val="Compact"/>
            </w:pPr>
          </w:p>
        </w:tc>
      </w:tr>
      <w:tr>
        <w:tc>
          <w:tcPr/>
          <w:p>
            <w:pPr>
              <w:pStyle w:val="Compact"/>
              <w:jc w:val="left"/>
            </w:pPr>
            <w:r>
              <w:t xml:space="preserve">ERC Historisch vs. 1/N</w:t>
            </w:r>
          </w:p>
        </w:tc>
        <w:tc>
          <w:tcPr/>
          <w:p>
            <w:pPr>
              <w:pStyle w:val="Compact"/>
              <w:jc w:val="right"/>
            </w:pPr>
            <w:r>
              <w:t xml:space="preserve">0,0132</w:t>
            </w:r>
          </w:p>
        </w:tc>
        <w:tc>
          <w:tcPr/>
          <w:p>
            <w:pPr>
              <w:pStyle w:val="Compact"/>
              <w:jc w:val="right"/>
            </w:pPr>
            <w:r>
              <w:t xml:space="preserve">0,85</w:t>
            </w:r>
          </w:p>
        </w:tc>
        <w:tc>
          <w:tcPr/>
          <w:p>
            <w:pPr>
              <w:pStyle w:val="Compact"/>
              <w:jc w:val="right"/>
            </w:pPr>
            <w:r>
              <w:t xml:space="preserve">0,395</w:t>
            </w:r>
          </w:p>
        </w:tc>
        <w:tc>
          <w:tcPr/>
          <w:p>
            <w:pPr>
              <w:pStyle w:val="Compact"/>
            </w:pPr>
          </w:p>
        </w:tc>
      </w:tr>
      <w:tr>
        <w:tc>
          <w:tcPr/>
          <w:p>
            <w:pPr>
              <w:pStyle w:val="Compact"/>
              <w:jc w:val="left"/>
            </w:pPr>
            <w:r>
              <w:t xml:space="preserve">ERC GARCH vs. 1/N</w:t>
            </w:r>
          </w:p>
        </w:tc>
        <w:tc>
          <w:tcPr/>
          <w:p>
            <w:pPr>
              <w:pStyle w:val="Compact"/>
              <w:jc w:val="right"/>
            </w:pPr>
            <w:r>
              <w:t xml:space="preserve">0,0027</w:t>
            </w:r>
          </w:p>
        </w:tc>
        <w:tc>
          <w:tcPr/>
          <w:p>
            <w:pPr>
              <w:pStyle w:val="Compact"/>
              <w:jc w:val="right"/>
            </w:pPr>
            <w:r>
              <w:t xml:space="preserve">0,13</w:t>
            </w:r>
          </w:p>
        </w:tc>
        <w:tc>
          <w:tcPr/>
          <w:p>
            <w:pPr>
              <w:pStyle w:val="Compact"/>
              <w:jc w:val="right"/>
            </w:pPr>
            <w:r>
              <w:t xml:space="preserve">0,898</w:t>
            </w:r>
          </w:p>
        </w:tc>
        <w:tc>
          <w:tcPr/>
          <w:p>
            <w:pPr>
              <w:pStyle w:val="Compact"/>
            </w:pPr>
          </w:p>
        </w:tc>
      </w:tr>
      <w:tr>
        <w:tc>
          <w:tcPr/>
          <w:p>
            <w:pPr>
              <w:pStyle w:val="Compact"/>
              <w:jc w:val="left"/>
            </w:pPr>
            <w:r>
              <w:t xml:space="preserve">ERC DCC-GARCH vs. 1/N</w:t>
            </w:r>
          </w:p>
        </w:tc>
        <w:tc>
          <w:tcPr/>
          <w:p>
            <w:pPr>
              <w:pStyle w:val="Compact"/>
              <w:jc w:val="right"/>
            </w:pPr>
            <w:r>
              <w:t xml:space="preserve">0,0021</w:t>
            </w:r>
          </w:p>
        </w:tc>
        <w:tc>
          <w:tcPr/>
          <w:p>
            <w:pPr>
              <w:pStyle w:val="Compact"/>
              <w:jc w:val="right"/>
            </w:pPr>
            <w:r>
              <w:t xml:space="preserve">0,10</w:t>
            </w:r>
          </w:p>
        </w:tc>
        <w:tc>
          <w:tcPr/>
          <w:p>
            <w:pPr>
              <w:pStyle w:val="Compact"/>
              <w:jc w:val="right"/>
            </w:pPr>
            <w:r>
              <w:t xml:space="preserve">0,923</w:t>
            </w:r>
          </w:p>
        </w:tc>
        <w:tc>
          <w:tcPr/>
          <w:p>
            <w:pPr>
              <w:pStyle w:val="Compact"/>
            </w:pPr>
          </w:p>
        </w:tc>
      </w:tr>
    </w:tbl>
    <w:bookmarkEnd w:id="35"/>
    <w:p>
      <w:pPr>
        <w:pStyle w:val="BlockText"/>
      </w:pPr>
      <w:r>
        <w:t xml:space="preserve">Basisfall, bewertet über die volle Historie vom 12.02.2003 bis 09.06.2026. Auf Überschussrenditen über die Fed Funds Rate;</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w:t>
      </w:r>
      <w:r>
        <w:t xml:space="preserve">= 1-, 5-, 10-%-Niveau.</w:t>
      </w:r>
    </w:p>
    <w:p>
      <w:pPr>
        <w:pStyle w:val="FirstParagraph"/>
      </w:pPr>
      <w:r>
        <w:t xml:space="preserve">Die Auswirkungen proportionaler Transaktionskosten sind in</w:t>
      </w:r>
      <w:r>
        <w:t xml:space="preserve"> </w:t>
      </w:r>
      <w:hyperlink w:anchor="tab:transaktionskosten">
        <w:r>
          <w:rPr>
            <w:rStyle w:val="Hyperlink"/>
          </w:rPr>
          <w:t xml:space="preserve">Tabelle </w:t>
        </w:r>
        <w:hyperlink w:anchor="tab:transaktionskosten">
          <w:r>
            <w:rPr>
              <w:rStyle w:val="Hyperlink"/>
            </w:rPr>
            <w:t xml:space="preserve">13</w:t>
          </w:r>
        </w:hyperlink>
      </w:hyperlink>
      <w:r>
        <w:t xml:space="preserve"> </w:t>
      </w:r>
      <w:r>
        <w:t xml:space="preserve">im</w:t>
      </w:r>
      <w:r>
        <w:t xml:space="preserve"> </w:t>
      </w:r>
      <w:hyperlink w:anchor="sec:anhang_kosten">
        <w:r>
          <w:rPr>
            <w:rStyle w:val="Hyperlink"/>
          </w:rPr>
          <w:t xml:space="preserve">Anhang </w:t>
        </w:r>
        <w:hyperlink w:anchor="sec:anhang_kosten">
          <w:r>
            <w:rPr>
              <w:rStyle w:val="Hyperlink"/>
            </w:rPr>
            <w:t xml:space="preserve">9</w:t>
          </w:r>
        </w:hyperlink>
      </w:hyperlink>
      <w:r>
        <w:t xml:space="preserve"> </w:t>
      </w:r>
      <w:r>
        <w:t xml:space="preserve">dargestellt.</w:t>
      </w:r>
      <w:r>
        <w:t xml:space="preserve"> </w:t>
      </w:r>
      <w:r>
        <w:t xml:space="preserve">Bereits bei 5 Basispunkten auf das umgeschlagene Volumen fällt die Sharpe Ratio des MVP mit DCC-Kovarianz von 0,543 auf 0,310 und liegt damit deutlich unter dem naiven Portfolio mit 0,484, während die historische Variante mit 0,560 nahezu unverändert bleibt.</w:t>
      </w:r>
      <w:r>
        <w:t xml:space="preserve"> </w:t>
      </w:r>
      <w:r>
        <w:t xml:space="preserve">Bei 20 Basispunkten werden beide dynamischen MVP-Varianten negativ.</w:t>
      </w:r>
    </w:p>
    <w:p>
      <w:pPr>
        <w:pStyle w:val="BodyText"/>
      </w:pPr>
      <w:hyperlink w:anchor="tab:bilanz">
        <w:r>
          <w:rPr>
            <w:rStyle w:val="Hyperlink"/>
          </w:rPr>
          <w:t xml:space="preserve">Tabelle </w:t>
        </w:r>
        <w:hyperlink w:anchor="tab:bilanz">
          <w:r>
            <w:rPr>
              <w:rStyle w:val="Hyperlink"/>
            </w:rPr>
            <w:t xml:space="preserve">7</w:t>
          </w:r>
        </w:hyperlink>
      </w:hyperlink>
      <w:r>
        <w:t xml:space="preserve"> </w:t>
      </w:r>
      <w:r>
        <w:t xml:space="preserve">fasst die Ergebnisse über alle 40 Kombinationen aus Trainingsfenster und Prognosehorizont zusammen, wobei je Portfoliomodell angegeben wird, wie oft das 1/N-Portfolio geschlagen wird und wie oft die dynamischen Schätzer die historische Matrix übertreffen.</w:t>
      </w:r>
      <w:r>
        <w:t xml:space="preserve"> </w:t>
      </w:r>
      <w:r>
        <w:t xml:space="preserve">Bewertungsmaßstab ist dabei die Sharpe Ratio, wobei der Befund je nach Portfoliomodell unterschiedlich ausfällt.</w:t>
      </w:r>
      <w:r>
        <w:t xml:space="preserve"> </w:t>
      </w:r>
      <w:r>
        <w:t xml:space="preserve">Zur ersten Forschungsfrage zeigt sich, dass HRP und ERC mit historischer Kovarianz das 1/N-Portfolio in rund 90 Prozent der Konstellationen schlagen, das MVP dagegen nur in einem Fünftel der Fälle.</w:t>
      </w:r>
      <w:r>
        <w:t xml:space="preserve"> </w:t>
      </w:r>
      <w:r>
        <w:t xml:space="preserve">Ausschlaggebend ist die bereits angelegte Anfälligkeit des MVP, dass Schätzfehler im Optimierungsprozess verstärkt werden, wodurch konzentrierte Portfolios entstehen.</w:t>
      </w:r>
      <w:r>
        <w:t xml:space="preserve"> </w:t>
      </w:r>
      <w:r>
        <w:t xml:space="preserve">Die im Basisfall beste Sharpe Ratio des MVP ist insofern nicht repräsentativ.</w:t>
      </w:r>
    </w:p>
    <w:p>
      <w:pPr>
        <w:pStyle w:val="BodyText"/>
      </w:pPr>
      <w:r>
        <w:t xml:space="preserve">Zur zweiten Forschungsfrage zeigt sich ein klares Muster entlang der Portfoliomodelle, da die dynamischen Schätzer die historische Matrix beim MVP in mehr als der Hälfte der Läufe schlagen, beim HRP nur vereinzelt und beim ERC in keinem einzigen.</w:t>
      </w:r>
      <w:r>
        <w:t xml:space="preserve"> </w:t>
      </w:r>
      <w:r>
        <w:t xml:space="preserve">Ökonomisch ist das gut erklärbar, weil das MVP als einziges Verfahren die Kovarianzmatrix vollständig einschließlich ihrer Inversen ausnutzt, während HRP lediglich die Clusterordnung und die Varianzen der Teilcluster verwendet und ERC die Risikobeiträge ausbalanciert.</w:t>
      </w:r>
      <w:r>
        <w:t xml:space="preserve"> </w:t>
      </w:r>
      <w:r>
        <w:t xml:space="preserve">Eine bessere Kovarianzprognose zahlt sich folglich dort aus, wo sie am intensivsten genutzt wird, und bleibt folgenlos, wo das Verfahren die Matrix nur grob verwendet.</w:t>
      </w:r>
      <w:r>
        <w:t xml:space="preserve"> </w:t>
      </w:r>
      <w:r>
        <w:t xml:space="preserve">Somit steht das ökonomische Ergebnis im Gegensatz zum statistischen Befund.</w:t>
      </w:r>
    </w:p>
    <w:bookmarkStart w:id="36" w:name="tab:bilanz"/>
    <w:p>
      <w:pPr>
        <w:pStyle w:val="TableCaption"/>
      </w:pPr>
      <w:r>
        <w:t xml:space="preserve">Ergebnisse über alle empirischen Läufe</w:t>
      </w:r>
    </w:p>
    <w:tbl>
      <w:tblPr>
        <w:tblStyle w:val="Table"/>
        <w:tblW w:type="auto" w:w="0"/>
        <w:tblLook w:firstRow="1" w:lastRow="0" w:firstColumn="0" w:lastColumn="0" w:noHBand="0" w:noVBand="0" w:val="0020"/>
        <w:tblCaption w:val="Ergebnisse über alle empirischen Läufe"/>
      </w:tblPr>
      <w:tblGrid>
        <w:gridCol w:w="2268"/>
        <w:gridCol w:w="2268"/>
        <w:gridCol w:w="2268"/>
        <w:gridCol w:w="2268"/>
      </w:tblGrid>
      <w:tr>
        <w:trPr>
          <w:tblHeader w:val="on"/>
        </w:trPr>
        <w:tc>
          <w:tcPr/>
          <w:p>
            <w:pPr>
              <w:pStyle w:val="Compact"/>
              <w:jc w:val="left"/>
            </w:pPr>
            <w:r>
              <w:t xml:space="preserve">Modell</w:t>
            </w:r>
          </w:p>
        </w:tc>
        <w:tc>
          <w:tcPr/>
          <w:p>
            <w:pPr>
              <w:pStyle w:val="Compact"/>
              <w:jc w:val="left"/>
            </w:pPr>
            <w:r>
              <w:t xml:space="preserve">Kovarianz</w:t>
            </w:r>
          </w:p>
        </w:tc>
        <w:tc>
          <w:tcPr/>
          <w:p>
            <w:pPr>
              <w:pStyle w:val="Compact"/>
              <w:jc w:val="right"/>
            </w:pPr>
            <w:r>
              <w:t xml:space="preserve">vs. 1/N</w:t>
            </w:r>
          </w:p>
        </w:tc>
        <w:tc>
          <w:tcPr/>
          <w:p>
            <w:pPr>
              <w:pStyle w:val="Compact"/>
              <w:jc w:val="right"/>
            </w:pPr>
            <w:r>
              <w:t xml:space="preserve">vs. historischer Matrix</w:t>
            </w:r>
          </w:p>
        </w:tc>
      </w:tr>
      <w:tr>
        <w:tc>
          <w:tcPr/>
          <w:p>
            <w:pPr>
              <w:pStyle w:val="Compact"/>
              <w:jc w:val="left"/>
            </w:pPr>
            <w:r>
              <w:t xml:space="preserve">MVP</w:t>
            </w:r>
          </w:p>
        </w:tc>
        <w:tc>
          <w:tcPr/>
          <w:p>
            <w:pPr>
              <w:pStyle w:val="Compact"/>
              <w:jc w:val="left"/>
            </w:pPr>
            <w:r>
              <w:t xml:space="preserve">Historisch</w:t>
            </w:r>
          </w:p>
        </w:tc>
        <w:tc>
          <w:tcPr/>
          <w:p>
            <w:pPr>
              <w:pStyle w:val="Compact"/>
              <w:jc w:val="right"/>
            </w:pPr>
            <w:r>
              <w:t xml:space="preserve">8/40</w:t>
            </w:r>
          </w:p>
        </w:tc>
        <w:tc>
          <w:tcPr/>
          <w:p>
            <w:pPr>
              <w:pStyle w:val="Compact"/>
              <w:jc w:val="right"/>
            </w:pPr>
            <w:r>
              <w:t xml:space="preserve">–</w:t>
            </w:r>
          </w:p>
        </w:tc>
      </w:tr>
      <w:tr>
        <w:tc>
          <w:tcPr/>
          <w:p>
            <w:pPr>
              <w:pStyle w:val="Compact"/>
              <w:jc w:val="left"/>
            </w:pPr>
            <w:r>
              <w:t xml:space="preserve">MVP</w:t>
            </w:r>
          </w:p>
        </w:tc>
        <w:tc>
          <w:tcPr/>
          <w:p>
            <w:pPr>
              <w:pStyle w:val="Compact"/>
              <w:jc w:val="left"/>
            </w:pPr>
            <w:r>
              <w:t xml:space="preserve">GARCH</w:t>
            </w:r>
          </w:p>
        </w:tc>
        <w:tc>
          <w:tcPr/>
          <w:p>
            <w:pPr>
              <w:pStyle w:val="Compact"/>
              <w:jc w:val="right"/>
            </w:pPr>
            <w:r>
              <w:t xml:space="preserve">15/40</w:t>
            </w:r>
          </w:p>
        </w:tc>
        <w:tc>
          <w:tcPr/>
          <w:p>
            <w:pPr>
              <w:pStyle w:val="Compact"/>
              <w:jc w:val="right"/>
            </w:pPr>
            <w:r>
              <w:t xml:space="preserve">22/40</w:t>
            </w:r>
          </w:p>
        </w:tc>
      </w:tr>
      <w:tr>
        <w:tc>
          <w:tcPr/>
          <w:p>
            <w:pPr>
              <w:pStyle w:val="Compact"/>
              <w:jc w:val="left"/>
            </w:pPr>
            <w:r>
              <w:t xml:space="preserve">MVP</w:t>
            </w:r>
          </w:p>
        </w:tc>
        <w:tc>
          <w:tcPr/>
          <w:p>
            <w:pPr>
              <w:pStyle w:val="Compact"/>
              <w:jc w:val="left"/>
            </w:pPr>
            <w:r>
              <w:t xml:space="preserve">DCC-GARCH</w:t>
            </w:r>
          </w:p>
        </w:tc>
        <w:tc>
          <w:tcPr/>
          <w:p>
            <w:pPr>
              <w:pStyle w:val="Compact"/>
              <w:jc w:val="right"/>
            </w:pPr>
            <w:r>
              <w:t xml:space="preserve">17/40</w:t>
            </w:r>
          </w:p>
        </w:tc>
        <w:tc>
          <w:tcPr/>
          <w:p>
            <w:pPr>
              <w:pStyle w:val="Compact"/>
              <w:jc w:val="right"/>
            </w:pPr>
            <w:r>
              <w:t xml:space="preserve">26/40</w:t>
            </w:r>
          </w:p>
        </w:tc>
      </w:tr>
      <w:tr>
        <w:tc>
          <w:tcPr/>
          <w:p>
            <w:pPr>
              <w:pStyle w:val="Compact"/>
              <w:jc w:val="left"/>
            </w:pPr>
            <w:r>
              <w:t xml:space="preserve">HRP</w:t>
            </w:r>
          </w:p>
        </w:tc>
        <w:tc>
          <w:tcPr/>
          <w:p>
            <w:pPr>
              <w:pStyle w:val="Compact"/>
              <w:jc w:val="left"/>
            </w:pPr>
            <w:r>
              <w:t xml:space="preserve">Historisch</w:t>
            </w:r>
          </w:p>
        </w:tc>
        <w:tc>
          <w:tcPr/>
          <w:p>
            <w:pPr>
              <w:pStyle w:val="Compact"/>
              <w:jc w:val="right"/>
            </w:pPr>
            <w:r>
              <w:t xml:space="preserve">35/40</w:t>
            </w:r>
          </w:p>
        </w:tc>
        <w:tc>
          <w:tcPr/>
          <w:p>
            <w:pPr>
              <w:pStyle w:val="Compact"/>
              <w:jc w:val="right"/>
            </w:pPr>
            <w:r>
              <w:t xml:space="preserve">–</w:t>
            </w:r>
          </w:p>
        </w:tc>
      </w:tr>
      <w:tr>
        <w:tc>
          <w:tcPr/>
          <w:p>
            <w:pPr>
              <w:pStyle w:val="Compact"/>
              <w:jc w:val="left"/>
            </w:pPr>
            <w:r>
              <w:t xml:space="preserve">HRP</w:t>
            </w:r>
          </w:p>
        </w:tc>
        <w:tc>
          <w:tcPr/>
          <w:p>
            <w:pPr>
              <w:pStyle w:val="Compact"/>
              <w:jc w:val="left"/>
            </w:pPr>
            <w:r>
              <w:t xml:space="preserve">GARCH</w:t>
            </w:r>
          </w:p>
        </w:tc>
        <w:tc>
          <w:tcPr/>
          <w:p>
            <w:pPr>
              <w:pStyle w:val="Compact"/>
              <w:jc w:val="right"/>
            </w:pPr>
            <w:r>
              <w:t xml:space="preserve">16/40</w:t>
            </w:r>
          </w:p>
        </w:tc>
        <w:tc>
          <w:tcPr/>
          <w:p>
            <w:pPr>
              <w:pStyle w:val="Compact"/>
              <w:jc w:val="right"/>
            </w:pPr>
            <w:r>
              <w:t xml:space="preserve">2/40</w:t>
            </w:r>
          </w:p>
        </w:tc>
      </w:tr>
      <w:tr>
        <w:tc>
          <w:tcPr/>
          <w:p>
            <w:pPr>
              <w:pStyle w:val="Compact"/>
              <w:jc w:val="left"/>
            </w:pPr>
            <w:r>
              <w:t xml:space="preserve">HRP</w:t>
            </w:r>
          </w:p>
        </w:tc>
        <w:tc>
          <w:tcPr/>
          <w:p>
            <w:pPr>
              <w:pStyle w:val="Compact"/>
              <w:jc w:val="left"/>
            </w:pPr>
            <w:r>
              <w:t xml:space="preserve">DCC-GARCH</w:t>
            </w:r>
          </w:p>
        </w:tc>
        <w:tc>
          <w:tcPr/>
          <w:p>
            <w:pPr>
              <w:pStyle w:val="Compact"/>
              <w:jc w:val="right"/>
            </w:pPr>
            <w:r>
              <w:t xml:space="preserve">19/40</w:t>
            </w:r>
          </w:p>
        </w:tc>
        <w:tc>
          <w:tcPr/>
          <w:p>
            <w:pPr>
              <w:pStyle w:val="Compact"/>
              <w:jc w:val="right"/>
            </w:pPr>
            <w:r>
              <w:t xml:space="preserve">3/40</w:t>
            </w:r>
          </w:p>
        </w:tc>
      </w:tr>
      <w:tr>
        <w:tc>
          <w:tcPr/>
          <w:p>
            <w:pPr>
              <w:pStyle w:val="Compact"/>
              <w:jc w:val="left"/>
            </w:pPr>
            <w:r>
              <w:t xml:space="preserve">ERC</w:t>
            </w:r>
          </w:p>
        </w:tc>
        <w:tc>
          <w:tcPr/>
          <w:p>
            <w:pPr>
              <w:pStyle w:val="Compact"/>
              <w:jc w:val="left"/>
            </w:pPr>
            <w:r>
              <w:t xml:space="preserve">Historisch</w:t>
            </w:r>
          </w:p>
        </w:tc>
        <w:tc>
          <w:tcPr/>
          <w:p>
            <w:pPr>
              <w:pStyle w:val="Compact"/>
              <w:jc w:val="right"/>
            </w:pPr>
            <w:r>
              <w:t xml:space="preserve">36/40</w:t>
            </w:r>
          </w:p>
        </w:tc>
        <w:tc>
          <w:tcPr/>
          <w:p>
            <w:pPr>
              <w:pStyle w:val="Compact"/>
              <w:jc w:val="right"/>
            </w:pPr>
            <w:r>
              <w:t xml:space="preserve">–</w:t>
            </w:r>
          </w:p>
        </w:tc>
      </w:tr>
      <w:tr>
        <w:tc>
          <w:tcPr/>
          <w:p>
            <w:pPr>
              <w:pStyle w:val="Compact"/>
              <w:jc w:val="left"/>
            </w:pPr>
            <w:r>
              <w:t xml:space="preserve">ERC</w:t>
            </w:r>
          </w:p>
        </w:tc>
        <w:tc>
          <w:tcPr/>
          <w:p>
            <w:pPr>
              <w:pStyle w:val="Compact"/>
              <w:jc w:val="left"/>
            </w:pPr>
            <w:r>
              <w:t xml:space="preserve">GARCH</w:t>
            </w:r>
          </w:p>
        </w:tc>
        <w:tc>
          <w:tcPr/>
          <w:p>
            <w:pPr>
              <w:pStyle w:val="Compact"/>
              <w:jc w:val="right"/>
            </w:pPr>
            <w:r>
              <w:t xml:space="preserve">17/40</w:t>
            </w:r>
          </w:p>
        </w:tc>
        <w:tc>
          <w:tcPr/>
          <w:p>
            <w:pPr>
              <w:pStyle w:val="Compact"/>
              <w:jc w:val="right"/>
            </w:pPr>
            <w:r>
              <w:t xml:space="preserve">0/40</w:t>
            </w:r>
          </w:p>
        </w:tc>
      </w:tr>
      <w:tr>
        <w:tc>
          <w:tcPr/>
          <w:p>
            <w:pPr>
              <w:pStyle w:val="Compact"/>
              <w:jc w:val="left"/>
            </w:pPr>
            <w:r>
              <w:t xml:space="preserve">ERC</w:t>
            </w:r>
          </w:p>
        </w:tc>
        <w:tc>
          <w:tcPr/>
          <w:p>
            <w:pPr>
              <w:pStyle w:val="Compact"/>
              <w:jc w:val="left"/>
            </w:pPr>
            <w:r>
              <w:t xml:space="preserve">DCC-GARCH</w:t>
            </w:r>
          </w:p>
        </w:tc>
        <w:tc>
          <w:tcPr/>
          <w:p>
            <w:pPr>
              <w:pStyle w:val="Compact"/>
              <w:jc w:val="right"/>
            </w:pPr>
            <w:r>
              <w:t xml:space="preserve">20/40</w:t>
            </w:r>
          </w:p>
        </w:tc>
        <w:tc>
          <w:tcPr/>
          <w:p>
            <w:pPr>
              <w:pStyle w:val="Compact"/>
              <w:jc w:val="right"/>
            </w:pPr>
            <w:r>
              <w:t xml:space="preserve">0/40</w:t>
            </w:r>
          </w:p>
        </w:tc>
      </w:tr>
    </w:tbl>
    <w:bookmarkEnd w:id="36"/>
    <w:p>
      <w:pPr>
        <w:pStyle w:val="BlockText"/>
      </w:pPr>
      <w:r>
        <w:t xml:space="preserve">Alle 40 Kombinationen aus Trainingsfenster und Prognosehorizont, bewertet ab 01.01.2010; ausgewiesen ist, wie oft die Sharpe Ratio höher ausfällt als beim jeweiligen Vergleichsmaßstab.</w:t>
      </w:r>
    </w:p>
    <w:p>
      <w:pPr>
        <w:pStyle w:val="FirstParagraph"/>
      </w:pPr>
      <w:r>
        <w:t xml:space="preserve">Auch über die Trainingsfenster hinweg bleibt dieses Muster erhalten (</w:t>
      </w:r>
      <w:hyperlink w:anchor="abb:sharpe_train">
        <w:r>
          <w:rPr>
            <w:rStyle w:val="Hyperlink"/>
          </w:rPr>
          <w:t xml:space="preserve">siehe Abb. </w:t>
        </w:r>
        <w:hyperlink w:anchor="abb:sharpe_train">
          <w:r>
            <w:rPr>
              <w:rStyle w:val="Hyperlink"/>
            </w:rPr>
            <w:t xml:space="preserve">1</w:t>
          </w:r>
        </w:hyperlink>
      </w:hyperlink>
      <w:r>
        <w:t xml:space="preserve">).</w:t>
      </w:r>
      <w:r>
        <w:t xml:space="preserve"> </w:t>
      </w:r>
      <w:r>
        <w:t xml:space="preserve">Beim MVP liegt DCC in allen zehn Fenstern über der historischen Matrix, bei HRP in einem und bei ERC in keinem.</w:t>
      </w:r>
      <w:r>
        <w:t xml:space="preserve"> </w:t>
      </w:r>
      <w:r>
        <w:t xml:space="preserve">Der GARCH-Schätzer folgt diesem Muster bei HRP und ERC, erreicht beim MVP mit sechs von zehn Fenstern aber einen deutlich schwächeren Vorsprung als DCC.</w:t>
      </w:r>
      <w:r>
        <w:t xml:space="preserve"> </w:t>
      </w:r>
      <w:r>
        <w:t xml:space="preserve">Dass DCC hier beim MVP vorne liegt, während im Basisfall die historische Matrix führt, ist kein Widerspruch, sondern ein Zeitraumeffekt, da diese Vergleiche auf dem gemeinsamen Zeitraum ab 2010 beruhen und das MVP mit dynamischer Kovarianz gerade in der Phase 2010–2019 vorne liegt (</w:t>
      </w:r>
      <w:hyperlink w:anchor="sec:anhang_strukturbruch">
        <w:r>
          <w:rPr>
            <w:rStyle w:val="Hyperlink"/>
          </w:rPr>
          <w:t xml:space="preserve">siehe Anhang </w:t>
        </w:r>
        <w:hyperlink w:anchor="sec:anhang_strukturbruch">
          <w:r>
            <w:rPr>
              <w:rStyle w:val="Hyperlink"/>
            </w:rPr>
            <w:t xml:space="preserve">8</w:t>
          </w:r>
        </w:hyperlink>
      </w:hyperlink>
      <w:r>
        <w:t xml:space="preserve">).</w:t>
      </w:r>
      <w:r>
        <w:t xml:space="preserve"> </w:t>
      </w:r>
      <w:r>
        <w:t xml:space="preserve">Die absoluten Unterschiede fallen dabei klein aus, weshalb angesichts der insignifikanten Tests auf Sharpe-Differenzen keine belastbare Rangfolge abgeleitet werden sollte.</w:t>
      </w:r>
    </w:p>
    <w:bookmarkStart w:id="40" w:name="abb:sharpe_train"/>
    <w:p>
      <w:pPr>
        <w:pStyle w:val="CaptionedFigure"/>
      </w:pPr>
      <w:r>
        <w:drawing>
          <wp:inline>
            <wp:extent cx="5753100" cy="2358030"/>
            <wp:effectExtent b="0" l="0" r="0" t="0"/>
            <wp:docPr descr="" title="" id="38" name="Picture"/>
            <a:graphic>
              <a:graphicData uri="http://schemas.openxmlformats.org/drawingml/2006/picture">
                <pic:pic>
                  <pic:nvPicPr>
                    <pic:cNvPr descr="Abbildungen/abb_sharpe_train.pdf" id="39" name="Picture"/>
                    <pic:cNvPicPr>
                      <a:picLocks noChangeArrowheads="1" noChangeAspect="1"/>
                    </pic:cNvPicPr>
                  </pic:nvPicPr>
                  <pic:blipFill>
                    <a:blip r:embed="rId37"/>
                    <a:stretch>
                      <a:fillRect/>
                    </a:stretch>
                  </pic:blipFill>
                  <pic:spPr bwMode="auto">
                    <a:xfrm>
                      <a:off x="0" y="0"/>
                      <a:ext cx="5753100" cy="2358030"/>
                    </a:xfrm>
                    <a:prstGeom prst="rect">
                      <a:avLst/>
                    </a:prstGeom>
                    <a:noFill/>
                    <a:ln w="9525">
                      <a:noFill/>
                      <a:headEnd/>
                      <a:tailEnd/>
                    </a:ln>
                  </pic:spPr>
                </pic:pic>
              </a:graphicData>
            </a:graphic>
          </wp:inline>
        </w:drawing>
      </w:r>
    </w:p>
    <w:p>
      <w:pPr>
        <w:pStyle w:val="ImageCaption"/>
      </w:pPr>
      <w:r>
        <w:t xml:space="preserve">Sharpe Ratio über die Trainingsfenster</w:t>
      </w:r>
    </w:p>
    <w:bookmarkEnd w:id="40"/>
    <w:p>
      <w:pPr>
        <w:pStyle w:val="BlockText"/>
      </w:pPr>
      <w:r>
        <w:t xml:space="preserve">TRBC, Prognosehorizont 1 Tag, Bewertung ab 01.01.2010 für alle Fenster.</w:t>
      </w:r>
    </w:p>
    <w:p>
      <w:pPr>
        <w:pStyle w:val="FirstParagraph"/>
      </w:pPr>
      <w:r>
        <w:t xml:space="preserve">Deutlicher ist der Befund über den Prognosehorizont in</w:t>
      </w:r>
      <w:r>
        <w:t xml:space="preserve"> </w:t>
      </w:r>
      <w:hyperlink w:anchor="tab:sharpe_horizont">
        <w:r>
          <w:rPr>
            <w:rStyle w:val="Hyperlink"/>
          </w:rPr>
          <w:t xml:space="preserve">Tabelle </w:t>
        </w:r>
        <w:hyperlink w:anchor="tab:sharpe_horizont">
          <w:r>
            <w:rPr>
              <w:rStyle w:val="Hyperlink"/>
            </w:rPr>
            <w:t xml:space="preserve">8</w:t>
          </w:r>
        </w:hyperlink>
      </w:hyperlink>
      <w:r>
        <w:t xml:space="preserve">.</w:t>
      </w:r>
      <w:r>
        <w:t xml:space="preserve"> </w:t>
      </w:r>
      <w:r>
        <w:t xml:space="preserve">Der tägliche Basisfall dient dabei vor allem dazu, den Effekt der Kovarianzdynamik ohne die Nebenwirkungen seltenerer Rebalancierung zu isolieren, jedoch werden in der Realität auch längere Rebalancierungszyklen relevant.</w:t>
      </w:r>
      <w:r>
        <w:t xml:space="preserve"> </w:t>
      </w:r>
      <w:r>
        <w:t xml:space="preserve">Wird seltener rebalanciert, bleibt die Sharpe Ratio der historischen Matrix beim MVP praktisch konstant, während sie für DCC und ebenso für GARCH bei den beiden längeren Horizonten deutlich fällt und der Turnover je Rebalancierung gleichzeitig auf mehr als das Doppelte steigt.</w:t>
      </w:r>
      <w:r>
        <w:t xml:space="preserve"> </w:t>
      </w:r>
      <w:r>
        <w:t xml:space="preserve">Der Verlauf ist dabei nicht monoton, da beide dynamischen Schätzer bei einem Horizont von fünf Tagen zunächst ihren höchsten Wert im gesamten Feld erreichen und erst danach zurückfallen.</w:t>
      </w:r>
      <w:r>
        <w:t xml:space="preserve"> </w:t>
      </w:r>
      <w:r>
        <w:t xml:space="preserve">Eine Erklärung hierfür ist, dass sich die historisch geschätzte Kovarianzmatrix nur langsam mit der Zeit verändert, weshalb ihre Prognose schon bei kurzen Vorhersagezeiträumen keine aktuelle Dynamik abbildet und über eine längere Halteperiode entsprechend wenig veraltet.</w:t>
      </w:r>
      <w:r>
        <w:t xml:space="preserve"> </w:t>
      </w:r>
      <w:r>
        <w:t xml:space="preserve">Die GARCH-Modelle hingegen reflektieren Abweichungen nahezu sofort, weshalb ihre Prognose zwar den Formationszeitpunkt genau trifft, über die Halteperiode hinweg aber schnell veraltet.</w:t>
      </w:r>
      <w:r>
        <w:t xml:space="preserve"> </w:t>
      </w:r>
      <w:r>
        <w:t xml:space="preserve">Das Maximum bei fünf Tagen deutet darauf hin, dass ein Teil der täglichen Umschichtungen auf Schätzrauschen und nicht auf verwertbare Dynamik reagiert, sodass dessen Wegfall die Performance zunächst verbessert, bevor das Veralten der Prognose überwiegt.</w:t>
      </w:r>
      <w:r>
        <w:t xml:space="preserve"> </w:t>
      </w:r>
      <w:r>
        <w:t xml:space="preserve">Erkennbar ist das auch am Turnover, da dessen hohes Niveau anzeigt, wie stark sich die Kovarianzmatrix der dynamischen Modelle über eine längere Halteperiode verändert.</w:t>
      </w:r>
      <w:r>
        <w:t xml:space="preserve"> </w:t>
      </w:r>
      <w:r>
        <w:t xml:space="preserve">Aufgrund der selteneren Rebalancierung fällt der über die gesamte Historie kumulierte Turnover trotz des höheren Werts je Rebalancierung jedoch geringer aus, womit auch die Kostenbelastung einer realen Umsetzung sinken würde.</w:t>
      </w:r>
      <w:r>
        <w:t xml:space="preserve"> </w:t>
      </w:r>
      <w:r>
        <w:t xml:space="preserve">Bei HRP und ERC bleiben die Sharpe Ratios hingegen weitestgehend stabil, was wiederum auf die Robustheit dieser Verfahren hindeutet.</w:t>
      </w:r>
    </w:p>
    <w:bookmarkStart w:id="41" w:name="tab:sharpe_horizont"/>
    <w:p>
      <w:pPr>
        <w:pStyle w:val="TableCaption"/>
      </w:pPr>
      <w:r>
        <w:t xml:space="preserve">Sharpe Ratios und Turnover über die Prognosehorizonte (TRBC, Training 1008 Tage)</w:t>
      </w:r>
    </w:p>
    <w:tbl>
      <w:tblPr>
        <w:tblStyle w:val="Table"/>
        <w:tblW w:type="auto" w:w="0"/>
        <w:tblLook w:firstRow="1" w:lastRow="0" w:firstColumn="0" w:lastColumn="0" w:noHBand="0" w:noVBand="0" w:val="0020"/>
        <w:tblCaption w:val="Sharpe Ratios und Turnover über die Prognosehorizonte (TRBC, Training 1008 Tage)"/>
      </w:tblPr>
      <w:tblGrid>
        <w:gridCol w:w="1296"/>
        <w:gridCol w:w="1296"/>
        <w:gridCol w:w="1296"/>
        <w:gridCol w:w="1296"/>
        <w:gridCol w:w="1296"/>
        <w:gridCol w:w="1296"/>
        <w:gridCol w:w="1296"/>
      </w:tblGrid>
      <w:tr>
        <w:trPr>
          <w:tblHeader w:val="on"/>
        </w:trPr>
        <w:tc>
          <w:tcPr/>
          <w:p>
            <w:pPr>
              <w:pStyle w:val="Compact"/>
              <w:jc w:val="right"/>
            </w:pPr>
            <m:oMath>
              <m:r>
                <m:t>h</m:t>
              </m:r>
            </m:oMath>
            <w:r>
              <w:t xml:space="preserve"> </w:t>
            </w:r>
            <w:r>
              <w:t xml:space="preserve">(Tage)</w:t>
            </w:r>
          </w:p>
        </w:tc>
        <w:tc>
          <w:tcPr/>
          <w:p>
            <w:pPr>
              <w:pStyle w:val="Compact"/>
              <w:jc w:val="right"/>
            </w:pPr>
            <w:r>
              <w:t xml:space="preserve">1/N</w:t>
            </w:r>
          </w:p>
        </w:tc>
        <w:tc>
          <w:tcPr/>
          <w:p>
            <w:pPr>
              <w:pStyle w:val="Compact"/>
              <w:jc w:val="left"/>
            </w:pPr>
            <w:r>
              <w:t xml:space="preserve">Kovarianz</w:t>
            </w:r>
          </w:p>
        </w:tc>
        <w:tc>
          <w:tcPr/>
          <w:p>
            <w:pPr>
              <w:pStyle w:val="Compact"/>
              <w:jc w:val="right"/>
            </w:pPr>
            <w:r>
              <w:t xml:space="preserve">MVP</w:t>
            </w:r>
          </w:p>
        </w:tc>
        <w:tc>
          <w:tcPr/>
          <w:p>
            <w:pPr>
              <w:pStyle w:val="Compact"/>
              <w:jc w:val="right"/>
            </w:pPr>
            <w:r>
              <w:t xml:space="preserve">HRP</w:t>
            </w:r>
          </w:p>
        </w:tc>
        <w:tc>
          <w:tcPr/>
          <w:p>
            <w:pPr>
              <w:pStyle w:val="Compact"/>
              <w:jc w:val="right"/>
            </w:pPr>
            <w:r>
              <w:t xml:space="preserve">ERC</w:t>
            </w:r>
          </w:p>
        </w:tc>
        <w:tc>
          <w:tcPr/>
          <w:p>
            <w:pPr>
              <w:pStyle w:val="Compact"/>
              <w:jc w:val="right"/>
            </w:pPr>
            <w:r>
              <w:t xml:space="preserve">Turnover MVP</w:t>
            </w:r>
          </w:p>
        </w:tc>
      </w:tr>
      <w:tr>
        <w:tc>
          <w:tcPr/>
          <w:p>
            <w:pPr>
              <w:pStyle w:val="Compact"/>
              <w:jc w:val="right"/>
            </w:pPr>
            <w:r>
              <w:t xml:space="preserve">1</w:t>
            </w:r>
          </w:p>
        </w:tc>
        <w:tc>
          <w:tcPr/>
          <w:p>
            <w:pPr>
              <w:pStyle w:val="Compact"/>
              <w:jc w:val="right"/>
            </w:pPr>
            <w:r>
              <w:t xml:space="preserve">0,594</w:t>
            </w:r>
          </w:p>
        </w:tc>
        <w:tc>
          <w:tcPr/>
          <w:p>
            <w:pPr>
              <w:pStyle w:val="Compact"/>
              <w:jc w:val="left"/>
            </w:pPr>
            <w:r>
              <w:t xml:space="preserve">Historisch</w:t>
            </w:r>
          </w:p>
        </w:tc>
        <w:tc>
          <w:tcPr/>
          <w:p>
            <w:pPr>
              <w:pStyle w:val="Compact"/>
              <w:jc w:val="right"/>
            </w:pPr>
            <w:r>
              <w:t xml:space="preserve">0,606</w:t>
            </w:r>
          </w:p>
        </w:tc>
        <w:tc>
          <w:tcPr/>
          <w:p>
            <w:pPr>
              <w:pStyle w:val="Compact"/>
              <w:jc w:val="right"/>
            </w:pPr>
            <w:r>
              <w:t xml:space="preserve">0,592</w:t>
            </w:r>
          </w:p>
        </w:tc>
        <w:tc>
          <w:tcPr/>
          <w:p>
            <w:pPr>
              <w:pStyle w:val="Compact"/>
              <w:jc w:val="right"/>
            </w:pPr>
            <w:r>
              <w:t xml:space="preserve">0,604</w:t>
            </w:r>
          </w:p>
        </w:tc>
        <w:tc>
          <w:tcPr/>
          <w:p>
            <w:pPr>
              <w:pStyle w:val="Compact"/>
              <w:jc w:val="right"/>
            </w:pPr>
            <w:r>
              <w:t xml:space="preserve">0,008</w:t>
            </w:r>
          </w:p>
        </w:tc>
      </w:tr>
      <w:tr>
        <w:tc>
          <w:tcPr/>
          <w:p>
            <w:pPr>
              <w:pStyle w:val="Compact"/>
            </w:pPr>
          </w:p>
        </w:tc>
        <w:tc>
          <w:tcPr/>
          <w:p>
            <w:pPr>
              <w:pStyle w:val="Compact"/>
            </w:pPr>
          </w:p>
        </w:tc>
        <w:tc>
          <w:tcPr/>
          <w:p>
            <w:pPr>
              <w:pStyle w:val="Compact"/>
              <w:jc w:val="left"/>
            </w:pPr>
            <w:r>
              <w:t xml:space="preserve">GARCH</w:t>
            </w:r>
          </w:p>
        </w:tc>
        <w:tc>
          <w:tcPr/>
          <w:p>
            <w:pPr>
              <w:pStyle w:val="Compact"/>
              <w:jc w:val="right"/>
            </w:pPr>
            <w:r>
              <w:t xml:space="preserve">0,599</w:t>
            </w:r>
          </w:p>
        </w:tc>
        <w:tc>
          <w:tcPr/>
          <w:p>
            <w:pPr>
              <w:pStyle w:val="Compact"/>
              <w:jc w:val="right"/>
            </w:pPr>
            <w:r>
              <w:t xml:space="preserve">0,592</w:t>
            </w:r>
          </w:p>
        </w:tc>
        <w:tc>
          <w:tcPr/>
          <w:p>
            <w:pPr>
              <w:pStyle w:val="Compact"/>
              <w:jc w:val="right"/>
            </w:pPr>
            <w:r>
              <w:t xml:space="preserve">0,591</w:t>
            </w:r>
          </w:p>
        </w:tc>
        <w:tc>
          <w:tcPr/>
          <w:p>
            <w:pPr>
              <w:pStyle w:val="Compact"/>
              <w:jc w:val="right"/>
            </w:pPr>
            <w:r>
              <w:t xml:space="preserve">0,258</w:t>
            </w:r>
          </w:p>
        </w:tc>
      </w:tr>
      <w:tr>
        <w:tc>
          <w:tcPr/>
          <w:p>
            <w:pPr>
              <w:pStyle w:val="Compact"/>
            </w:pPr>
          </w:p>
        </w:tc>
        <w:tc>
          <w:tcPr/>
          <w:p>
            <w:pPr>
              <w:pStyle w:val="Compact"/>
            </w:pPr>
          </w:p>
        </w:tc>
        <w:tc>
          <w:tcPr/>
          <w:p>
            <w:pPr>
              <w:pStyle w:val="Compact"/>
              <w:jc w:val="left"/>
            </w:pPr>
            <w:r>
              <w:t xml:space="preserve">DCC-GARCH</w:t>
            </w:r>
          </w:p>
        </w:tc>
        <w:tc>
          <w:tcPr/>
          <w:p>
            <w:pPr>
              <w:pStyle w:val="Compact"/>
              <w:jc w:val="right"/>
            </w:pPr>
            <w:r>
              <w:t xml:space="preserve">0,620</w:t>
            </w:r>
          </w:p>
        </w:tc>
        <w:tc>
          <w:tcPr/>
          <w:p>
            <w:pPr>
              <w:pStyle w:val="Compact"/>
              <w:jc w:val="right"/>
            </w:pPr>
            <w:r>
              <w:t xml:space="preserve">0,611</w:t>
            </w:r>
          </w:p>
        </w:tc>
        <w:tc>
          <w:tcPr/>
          <w:p>
            <w:pPr>
              <w:pStyle w:val="Compact"/>
              <w:jc w:val="right"/>
            </w:pPr>
            <w:r>
              <w:t xml:space="preserve">0,592</w:t>
            </w:r>
          </w:p>
        </w:tc>
        <w:tc>
          <w:tcPr/>
          <w:p>
            <w:pPr>
              <w:pStyle w:val="Compact"/>
              <w:jc w:val="right"/>
            </w:pPr>
            <w:r>
              <w:t xml:space="preserve">0,255</w:t>
            </w:r>
          </w:p>
        </w:tc>
      </w:tr>
      <w:tr>
        <w:tc>
          <w:tcPr/>
          <w:p>
            <w:pPr>
              <w:pStyle w:val="Compact"/>
              <w:jc w:val="right"/>
            </w:pPr>
            <w:r>
              <w:t xml:space="preserve">5</w:t>
            </w:r>
          </w:p>
        </w:tc>
        <w:tc>
          <w:tcPr/>
          <w:p>
            <w:pPr>
              <w:pStyle w:val="Compact"/>
              <w:jc w:val="right"/>
            </w:pPr>
            <w:r>
              <w:t xml:space="preserve">0,597</w:t>
            </w:r>
          </w:p>
        </w:tc>
        <w:tc>
          <w:tcPr/>
          <w:p>
            <w:pPr>
              <w:pStyle w:val="Compact"/>
              <w:jc w:val="left"/>
            </w:pPr>
            <w:r>
              <w:t xml:space="preserve">Historisch</w:t>
            </w:r>
          </w:p>
        </w:tc>
        <w:tc>
          <w:tcPr/>
          <w:p>
            <w:pPr>
              <w:pStyle w:val="Compact"/>
              <w:jc w:val="right"/>
            </w:pPr>
            <w:r>
              <w:t xml:space="preserve">0,597</w:t>
            </w:r>
          </w:p>
        </w:tc>
        <w:tc>
          <w:tcPr/>
          <w:p>
            <w:pPr>
              <w:pStyle w:val="Compact"/>
              <w:jc w:val="right"/>
            </w:pPr>
            <w:r>
              <w:t xml:space="preserve">0,588</w:t>
            </w:r>
          </w:p>
        </w:tc>
        <w:tc>
          <w:tcPr/>
          <w:p>
            <w:pPr>
              <w:pStyle w:val="Compact"/>
              <w:jc w:val="right"/>
            </w:pPr>
            <w:r>
              <w:t xml:space="preserve">0,605</w:t>
            </w:r>
          </w:p>
        </w:tc>
        <w:tc>
          <w:tcPr/>
          <w:p>
            <w:pPr>
              <w:pStyle w:val="Compact"/>
              <w:jc w:val="right"/>
            </w:pPr>
            <w:r>
              <w:t xml:space="preserve">0,021</w:t>
            </w:r>
          </w:p>
        </w:tc>
      </w:tr>
      <w:tr>
        <w:tc>
          <w:tcPr/>
          <w:p>
            <w:pPr>
              <w:pStyle w:val="Compact"/>
            </w:pPr>
          </w:p>
        </w:tc>
        <w:tc>
          <w:tcPr/>
          <w:p>
            <w:pPr>
              <w:pStyle w:val="Compact"/>
            </w:pPr>
          </w:p>
        </w:tc>
        <w:tc>
          <w:tcPr/>
          <w:p>
            <w:pPr>
              <w:pStyle w:val="Compact"/>
              <w:jc w:val="left"/>
            </w:pPr>
            <w:r>
              <w:t xml:space="preserve">GARCH</w:t>
            </w:r>
          </w:p>
        </w:tc>
        <w:tc>
          <w:tcPr/>
          <w:p>
            <w:pPr>
              <w:pStyle w:val="Compact"/>
              <w:jc w:val="right"/>
            </w:pPr>
            <w:r>
              <w:t xml:space="preserve">0,639</w:t>
            </w:r>
          </w:p>
        </w:tc>
        <w:tc>
          <w:tcPr/>
          <w:p>
            <w:pPr>
              <w:pStyle w:val="Compact"/>
              <w:jc w:val="right"/>
            </w:pPr>
            <w:r>
              <w:t xml:space="preserve">0,587</w:t>
            </w:r>
          </w:p>
        </w:tc>
        <w:tc>
          <w:tcPr/>
          <w:p>
            <w:pPr>
              <w:pStyle w:val="Compact"/>
              <w:jc w:val="right"/>
            </w:pPr>
            <w:r>
              <w:t xml:space="preserve">0,592</w:t>
            </w:r>
          </w:p>
        </w:tc>
        <w:tc>
          <w:tcPr/>
          <w:p>
            <w:pPr>
              <w:pStyle w:val="Compact"/>
              <w:jc w:val="right"/>
            </w:pPr>
            <w:r>
              <w:t xml:space="preserve">0,527</w:t>
            </w:r>
          </w:p>
        </w:tc>
      </w:tr>
      <w:tr>
        <w:tc>
          <w:tcPr/>
          <w:p>
            <w:pPr>
              <w:pStyle w:val="Compact"/>
            </w:pPr>
          </w:p>
        </w:tc>
        <w:tc>
          <w:tcPr/>
          <w:p>
            <w:pPr>
              <w:pStyle w:val="Compact"/>
            </w:pPr>
          </w:p>
        </w:tc>
        <w:tc>
          <w:tcPr/>
          <w:p>
            <w:pPr>
              <w:pStyle w:val="Compact"/>
              <w:jc w:val="left"/>
            </w:pPr>
            <w:r>
              <w:t xml:space="preserve">DCC-GARCH</w:t>
            </w:r>
          </w:p>
        </w:tc>
        <w:tc>
          <w:tcPr/>
          <w:p>
            <w:pPr>
              <w:pStyle w:val="Compact"/>
              <w:jc w:val="right"/>
            </w:pPr>
            <w:r>
              <w:t xml:space="preserve">0,654</w:t>
            </w:r>
          </w:p>
        </w:tc>
        <w:tc>
          <w:tcPr/>
          <w:p>
            <w:pPr>
              <w:pStyle w:val="Compact"/>
              <w:jc w:val="right"/>
            </w:pPr>
            <w:r>
              <w:t xml:space="preserve">0,596</w:t>
            </w:r>
          </w:p>
        </w:tc>
        <w:tc>
          <w:tcPr/>
          <w:p>
            <w:pPr>
              <w:pStyle w:val="Compact"/>
              <w:jc w:val="right"/>
            </w:pPr>
            <w:r>
              <w:t xml:space="preserve">0,594</w:t>
            </w:r>
          </w:p>
        </w:tc>
        <w:tc>
          <w:tcPr/>
          <w:p>
            <w:pPr>
              <w:pStyle w:val="Compact"/>
              <w:jc w:val="right"/>
            </w:pPr>
            <w:r>
              <w:t xml:space="preserve">0,522</w:t>
            </w:r>
          </w:p>
        </w:tc>
      </w:tr>
      <w:tr>
        <w:tc>
          <w:tcPr/>
          <w:p>
            <w:pPr>
              <w:pStyle w:val="Compact"/>
              <w:jc w:val="right"/>
            </w:pPr>
            <w:r>
              <w:t xml:space="preserve">10</w:t>
            </w:r>
          </w:p>
        </w:tc>
        <w:tc>
          <w:tcPr/>
          <w:p>
            <w:pPr>
              <w:pStyle w:val="Compact"/>
              <w:jc w:val="right"/>
            </w:pPr>
            <w:r>
              <w:t xml:space="preserve">0,601</w:t>
            </w:r>
          </w:p>
        </w:tc>
        <w:tc>
          <w:tcPr/>
          <w:p>
            <w:pPr>
              <w:pStyle w:val="Compact"/>
              <w:jc w:val="left"/>
            </w:pPr>
            <w:r>
              <w:t xml:space="preserve">Historisch</w:t>
            </w:r>
          </w:p>
        </w:tc>
        <w:tc>
          <w:tcPr/>
          <w:p>
            <w:pPr>
              <w:pStyle w:val="Compact"/>
              <w:jc w:val="right"/>
            </w:pPr>
            <w:r>
              <w:t xml:space="preserve">0,610</w:t>
            </w:r>
          </w:p>
        </w:tc>
        <w:tc>
          <w:tcPr/>
          <w:p>
            <w:pPr>
              <w:pStyle w:val="Compact"/>
              <w:jc w:val="right"/>
            </w:pPr>
            <w:r>
              <w:t xml:space="preserve">0,600</w:t>
            </w:r>
          </w:p>
        </w:tc>
        <w:tc>
          <w:tcPr/>
          <w:p>
            <w:pPr>
              <w:pStyle w:val="Compact"/>
              <w:jc w:val="right"/>
            </w:pPr>
            <w:r>
              <w:t xml:space="preserve">0,610</w:t>
            </w:r>
          </w:p>
        </w:tc>
        <w:tc>
          <w:tcPr/>
          <w:p>
            <w:pPr>
              <w:pStyle w:val="Compact"/>
              <w:jc w:val="right"/>
            </w:pPr>
            <w:r>
              <w:t xml:space="preserve">0,033</w:t>
            </w:r>
          </w:p>
        </w:tc>
      </w:tr>
      <w:tr>
        <w:tc>
          <w:tcPr/>
          <w:p>
            <w:pPr>
              <w:pStyle w:val="Compact"/>
            </w:pPr>
          </w:p>
        </w:tc>
        <w:tc>
          <w:tcPr/>
          <w:p>
            <w:pPr>
              <w:pStyle w:val="Compact"/>
            </w:pPr>
          </w:p>
        </w:tc>
        <w:tc>
          <w:tcPr/>
          <w:p>
            <w:pPr>
              <w:pStyle w:val="Compact"/>
              <w:jc w:val="left"/>
            </w:pPr>
            <w:r>
              <w:t xml:space="preserve">GARCH</w:t>
            </w:r>
          </w:p>
        </w:tc>
        <w:tc>
          <w:tcPr/>
          <w:p>
            <w:pPr>
              <w:pStyle w:val="Compact"/>
              <w:jc w:val="right"/>
            </w:pPr>
            <w:r>
              <w:t xml:space="preserve">0,524</w:t>
            </w:r>
          </w:p>
        </w:tc>
        <w:tc>
          <w:tcPr/>
          <w:p>
            <w:pPr>
              <w:pStyle w:val="Compact"/>
              <w:jc w:val="right"/>
            </w:pPr>
            <w:r>
              <w:t xml:space="preserve">0,578</w:t>
            </w:r>
          </w:p>
        </w:tc>
        <w:tc>
          <w:tcPr/>
          <w:p>
            <w:pPr>
              <w:pStyle w:val="Compact"/>
              <w:jc w:val="right"/>
            </w:pPr>
            <w:r>
              <w:t xml:space="preserve">0,589</w:t>
            </w:r>
          </w:p>
        </w:tc>
        <w:tc>
          <w:tcPr/>
          <w:p>
            <w:pPr>
              <w:pStyle w:val="Compact"/>
              <w:jc w:val="right"/>
            </w:pPr>
            <w:r>
              <w:t xml:space="preserve">0,603</w:t>
            </w:r>
          </w:p>
        </w:tc>
      </w:tr>
      <w:tr>
        <w:tc>
          <w:tcPr/>
          <w:p>
            <w:pPr>
              <w:pStyle w:val="Compact"/>
            </w:pPr>
          </w:p>
        </w:tc>
        <w:tc>
          <w:tcPr/>
          <w:p>
            <w:pPr>
              <w:pStyle w:val="Compact"/>
            </w:pPr>
          </w:p>
        </w:tc>
        <w:tc>
          <w:tcPr/>
          <w:p>
            <w:pPr>
              <w:pStyle w:val="Compact"/>
              <w:jc w:val="left"/>
            </w:pPr>
            <w:r>
              <w:t xml:space="preserve">DCC-GARCH</w:t>
            </w:r>
          </w:p>
        </w:tc>
        <w:tc>
          <w:tcPr/>
          <w:p>
            <w:pPr>
              <w:pStyle w:val="Compact"/>
              <w:jc w:val="right"/>
            </w:pPr>
            <w:r>
              <w:t xml:space="preserve">0,545</w:t>
            </w:r>
          </w:p>
        </w:tc>
        <w:tc>
          <w:tcPr/>
          <w:p>
            <w:pPr>
              <w:pStyle w:val="Compact"/>
              <w:jc w:val="right"/>
            </w:pPr>
            <w:r>
              <w:t xml:space="preserve">0,575</w:t>
            </w:r>
          </w:p>
        </w:tc>
        <w:tc>
          <w:tcPr/>
          <w:p>
            <w:pPr>
              <w:pStyle w:val="Compact"/>
              <w:jc w:val="right"/>
            </w:pPr>
            <w:r>
              <w:t xml:space="preserve">0,590</w:t>
            </w:r>
          </w:p>
        </w:tc>
        <w:tc>
          <w:tcPr/>
          <w:p>
            <w:pPr>
              <w:pStyle w:val="Compact"/>
              <w:jc w:val="right"/>
            </w:pPr>
            <w:r>
              <w:t xml:space="preserve">0,598</w:t>
            </w:r>
          </w:p>
        </w:tc>
      </w:tr>
      <w:tr>
        <w:tc>
          <w:tcPr/>
          <w:p>
            <w:pPr>
              <w:pStyle w:val="Compact"/>
              <w:jc w:val="right"/>
            </w:pPr>
            <w:r>
              <w:t xml:space="preserve">21</w:t>
            </w:r>
          </w:p>
        </w:tc>
        <w:tc>
          <w:tcPr/>
          <w:p>
            <w:pPr>
              <w:pStyle w:val="Compact"/>
              <w:jc w:val="right"/>
            </w:pPr>
            <w:r>
              <w:t xml:space="preserve">0,602</w:t>
            </w:r>
          </w:p>
        </w:tc>
        <w:tc>
          <w:tcPr/>
          <w:p>
            <w:pPr>
              <w:pStyle w:val="Compact"/>
              <w:jc w:val="left"/>
            </w:pPr>
            <w:r>
              <w:t xml:space="preserve">Historisch</w:t>
            </w:r>
          </w:p>
        </w:tc>
        <w:tc>
          <w:tcPr/>
          <w:p>
            <w:pPr>
              <w:pStyle w:val="Compact"/>
              <w:jc w:val="right"/>
            </w:pPr>
            <w:r>
              <w:t xml:space="preserve">0,615</w:t>
            </w:r>
          </w:p>
        </w:tc>
        <w:tc>
          <w:tcPr/>
          <w:p>
            <w:pPr>
              <w:pStyle w:val="Compact"/>
              <w:jc w:val="right"/>
            </w:pPr>
            <w:r>
              <w:t xml:space="preserve">0,605</w:t>
            </w:r>
          </w:p>
        </w:tc>
        <w:tc>
          <w:tcPr/>
          <w:p>
            <w:pPr>
              <w:pStyle w:val="Compact"/>
              <w:jc w:val="right"/>
            </w:pPr>
            <w:r>
              <w:t xml:space="preserve">0,612</w:t>
            </w:r>
          </w:p>
        </w:tc>
        <w:tc>
          <w:tcPr/>
          <w:p>
            <w:pPr>
              <w:pStyle w:val="Compact"/>
              <w:jc w:val="right"/>
            </w:pPr>
            <w:r>
              <w:t xml:space="preserve">0,058</w:t>
            </w:r>
          </w:p>
        </w:tc>
      </w:tr>
      <w:tr>
        <w:tc>
          <w:tcPr/>
          <w:p>
            <w:pPr>
              <w:pStyle w:val="Compact"/>
            </w:pPr>
          </w:p>
        </w:tc>
        <w:tc>
          <w:tcPr/>
          <w:p>
            <w:pPr>
              <w:pStyle w:val="Compact"/>
            </w:pPr>
          </w:p>
        </w:tc>
        <w:tc>
          <w:tcPr/>
          <w:p>
            <w:pPr>
              <w:pStyle w:val="Compact"/>
              <w:jc w:val="left"/>
            </w:pPr>
            <w:r>
              <w:t xml:space="preserve">GARCH</w:t>
            </w:r>
          </w:p>
        </w:tc>
        <w:tc>
          <w:tcPr/>
          <w:p>
            <w:pPr>
              <w:pStyle w:val="Compact"/>
              <w:jc w:val="right"/>
            </w:pPr>
            <w:r>
              <w:t xml:space="preserve">0,524</w:t>
            </w:r>
          </w:p>
        </w:tc>
        <w:tc>
          <w:tcPr/>
          <w:p>
            <w:pPr>
              <w:pStyle w:val="Compact"/>
              <w:jc w:val="right"/>
            </w:pPr>
            <w:r>
              <w:t xml:space="preserve">0,598</w:t>
            </w:r>
          </w:p>
        </w:tc>
        <w:tc>
          <w:tcPr/>
          <w:p>
            <w:pPr>
              <w:pStyle w:val="Compact"/>
              <w:jc w:val="right"/>
            </w:pPr>
            <w:r>
              <w:t xml:space="preserve">0,598</w:t>
            </w:r>
          </w:p>
        </w:tc>
        <w:tc>
          <w:tcPr/>
          <w:p>
            <w:pPr>
              <w:pStyle w:val="Compact"/>
              <w:jc w:val="right"/>
            </w:pPr>
            <w:r>
              <w:t xml:space="preserve">0,587</w:t>
            </w:r>
          </w:p>
        </w:tc>
      </w:tr>
      <w:tr>
        <w:tc>
          <w:tcPr/>
          <w:p>
            <w:pPr>
              <w:pStyle w:val="Compact"/>
            </w:pPr>
          </w:p>
        </w:tc>
        <w:tc>
          <w:tcPr/>
          <w:p>
            <w:pPr>
              <w:pStyle w:val="Compact"/>
            </w:pPr>
          </w:p>
        </w:tc>
        <w:tc>
          <w:tcPr/>
          <w:p>
            <w:pPr>
              <w:pStyle w:val="Compact"/>
              <w:jc w:val="left"/>
            </w:pPr>
            <w:r>
              <w:t xml:space="preserve">DCC-GARCH</w:t>
            </w:r>
          </w:p>
        </w:tc>
        <w:tc>
          <w:tcPr/>
          <w:p>
            <w:pPr>
              <w:pStyle w:val="Compact"/>
              <w:jc w:val="right"/>
            </w:pPr>
            <w:r>
              <w:t xml:space="preserve">0,532</w:t>
            </w:r>
          </w:p>
        </w:tc>
        <w:tc>
          <w:tcPr/>
          <w:p>
            <w:pPr>
              <w:pStyle w:val="Compact"/>
              <w:jc w:val="right"/>
            </w:pPr>
            <w:r>
              <w:t xml:space="preserve">0,595</w:t>
            </w:r>
          </w:p>
        </w:tc>
        <w:tc>
          <w:tcPr/>
          <w:p>
            <w:pPr>
              <w:pStyle w:val="Compact"/>
              <w:jc w:val="right"/>
            </w:pPr>
            <w:r>
              <w:t xml:space="preserve">0,600</w:t>
            </w:r>
          </w:p>
        </w:tc>
        <w:tc>
          <w:tcPr/>
          <w:p>
            <w:pPr>
              <w:pStyle w:val="Compact"/>
              <w:jc w:val="right"/>
            </w:pPr>
            <w:r>
              <w:t xml:space="preserve">0,587</w:t>
            </w:r>
          </w:p>
        </w:tc>
      </w:tr>
    </w:tbl>
    <w:bookmarkEnd w:id="41"/>
    <w:p>
      <w:pPr>
        <w:pStyle w:val="BlockText"/>
      </w:pPr>
      <w:r>
        <w:t xml:space="preserve">Annualisierte Sharpe Ratio, bewertet ab 01.01.2010; Turnover je Rebalancierung, also nicht auf gleiche Frequenz normiert.</w:t>
      </w:r>
    </w:p>
    <w:bookmarkEnd w:id="42"/>
    <w:bookmarkEnd w:id="43"/>
    <w:bookmarkStart w:id="44" w:name="sec:literatur"/>
    <w:p>
      <w:pPr>
        <w:pStyle w:val="Heading1"/>
      </w:pPr>
      <w:r>
        <w:t xml:space="preserve">Einordnung in die Literatur</w:t>
      </w:r>
    </w:p>
    <w:bookmarkEnd w:id="44"/>
    <w:bookmarkStart w:id="46" w:name="sec:limitationen"/>
    <w:p>
      <w:pPr>
        <w:pStyle w:val="Heading1"/>
      </w:pPr>
      <w:r>
        <w:t xml:space="preserve">Limitationen</w:t>
      </w:r>
    </w:p>
    <w:bookmarkStart w:id="45" w:name="sec:forschung"/>
    <w:p>
      <w:pPr>
        <w:pStyle w:val="Heading2"/>
      </w:pPr>
      <w:r>
        <w:t xml:space="preserve">Ausblick</w:t>
      </w:r>
    </w:p>
    <w:p>
      <w:pPr>
        <w:pStyle w:val="FirstParagraph"/>
      </w:pPr>
      <w:r>
        <w:t xml:space="preserve">Aus den Ergebnissen und den genannten Einschränkungen ergeben sich vier Ansatzpunkte für weitere Untersuchungen.</w:t>
      </w:r>
    </w:p>
    <w:p>
      <w:pPr>
        <w:pStyle w:val="BodyText"/>
      </w:pPr>
      <w:r>
        <w:t xml:space="preserve">Auf der Modellseite wird ausschließlich ein GARCH(1,1) geschätzt, obwohl dieses Modell im Vergleich zur Realität vereinfachte Annahmen trifft.</w:t>
      </w:r>
      <w:r>
        <w:t xml:space="preserve"> </w:t>
      </w:r>
      <w:r>
        <w:t xml:space="preserve">Beispielsweise zeigt sich in empirischen Untersuchungen, dass negative Schocks in der Regel einen stärkeren Einfluss auf die nachfolgende Volatilität haben als positive.</w:t>
      </w:r>
      <w:r>
        <w:t xml:space="preserve"> </w:t>
      </w:r>
      <w:r>
        <w:t xml:space="preserve">Anders als das einfache GARCH-Modell binden Modelle wie GJR-GARCH und EGARCH diese Asymmetrie ein und sind somit realitätsnäher, während sich über höhere Ordnungen oder ein GARCH-MIDAS zusätzlich längerfristige Komponenten der Volatilität erfassen lassen.</w:t>
      </w:r>
      <w:r>
        <w:t xml:space="preserve"> </w:t>
      </w:r>
      <w:r>
        <w:t xml:space="preserve">Da der ökonomische Nachteil der dynamischen Schätzer hier hauptsächlich aus dem Turnover und nicht aus der Prognosegüte stammt, wäre allerdings zu prüfen, ob eine realitätsnähere Varianzdynamik daran überhaupt etwas ändert.</w:t>
      </w:r>
    </w:p>
    <w:p>
      <w:pPr>
        <w:pStyle w:val="BodyText"/>
      </w:pPr>
      <w:r>
        <w:t xml:space="preserve">Auf der Allokationsseite ließe sich das Feld um modernere Verfahren wie Hierarchical Equal Risk Contribution</w:t>
      </w:r>
      <w:r>
        <w:t xml:space="preserve"> </w:t>
      </w:r>
      <w:r>
        <w:t xml:space="preserve">(Raffinot 2018)</w:t>
      </w:r>
      <w:r>
        <w:t xml:space="preserve"> </w:t>
      </w:r>
      <w:r>
        <w:t xml:space="preserve">oder Nested Clustered Optimization</w:t>
      </w:r>
      <w:r>
        <w:t xml:space="preserve"> </w:t>
      </w:r>
      <w:r>
        <w:t xml:space="preserve">(López de Prado 2019)</w:t>
      </w:r>
      <w:r>
        <w:t xml:space="preserve"> </w:t>
      </w:r>
      <w:r>
        <w:t xml:space="preserve">erweitern, die die hierarchische Struktur von HRP anders auswerten.</w:t>
      </w:r>
      <w:r>
        <w:t xml:space="preserve"> </w:t>
      </w:r>
      <w:r>
        <w:t xml:space="preserve">Beide nutzen die Kovarianzmatrix intensiver als HRP, ohne sie wie das MVP vollständig zu invertieren.</w:t>
      </w:r>
      <w:r>
        <w:t xml:space="preserve"> </w:t>
      </w:r>
      <w:r>
        <w:t xml:space="preserve">Da sich der Mehrwert einer besseren Prognose in dieser Arbeit genau danach richtet, wie intensiv ein Verfahren die Matrix nutzt, ließe sich an ihnen prüfen, ob der Zusammenhang auch auf den Stufen dazwischen gilt.</w:t>
      </w:r>
      <w:r>
        <w:t xml:space="preserve"> </w:t>
      </w:r>
      <w:r>
        <w:t xml:space="preserve">Offen bleibt zudem, ob eine bessere Kovarianzmatrix in Verfahren, die zusätzlich eine Renditeprognose verwenden, einen größeren Vorteil liefert, da die Matrix dort nicht nur das Risiko begrenzt, sondern auch die Gewichtung der erwarteten Renditen bestimmt.</w:t>
      </w:r>
    </w:p>
    <w:p>
      <w:pPr>
        <w:pStyle w:val="BodyText"/>
      </w:pPr>
      <w:r>
        <w:t xml:space="preserve">Der dritte Ansatzpunkt betrifft die Transaktionskosten, die hier weder im Backtest noch in der Optimierung berücksichtigt werden.</w:t>
      </w:r>
      <w:r>
        <w:t xml:space="preserve"> </w:t>
      </w:r>
      <w:r>
        <w:t xml:space="preserve">Ein kostenbewusster Optimierer würde den Turnover in die Zielfunktion aufnehmen und dadurch einen Teil der Belastung vermeiden, statt sie nur zu erleiden.</w:t>
      </w:r>
      <w:r>
        <w:t xml:space="preserve"> </w:t>
      </w:r>
      <w:r>
        <w:t xml:space="preserve">Ob die dynamischen Schätzer unter einer solchen Nebenbedingung weiterhin zurückfallen, ist offen und wäre für die praktische Bewertung der entscheidende Test.</w:t>
      </w:r>
    </w:p>
    <w:p>
      <w:pPr>
        <w:pStyle w:val="BodyText"/>
      </w:pPr>
      <w:r>
        <w:t xml:space="preserve">Schließlich sollten die Befunde an weiteren Datensätzen überprüft werden, etwa an Einzeltiteln, anderen Regionen oder Anlageklassen mit geringerer durchschnittlicher Korrelation.</w:t>
      </w:r>
      <w:r>
        <w:t xml:space="preserve"> </w:t>
      </w:r>
      <w:r>
        <w:t xml:space="preserve">Gerade die hohe paarweise Korrelation des hier verwendeten Universums begrenzt die Diversifikationsmöglichkeiten von vornherein und könnte den Spielraum für eine bessere Kovarianzprognose systematisch verengen.</w:t>
      </w:r>
    </w:p>
    <w:bookmarkEnd w:id="45"/>
    <w:bookmarkEnd w:id="46"/>
    <w:bookmarkStart w:id="47" w:name="sec:fazit"/>
    <w:p>
      <w:pPr>
        <w:pStyle w:val="Heading1"/>
      </w:pPr>
      <w:r>
        <w:t xml:space="preserve">Fazit</w:t>
      </w:r>
    </w:p>
    <w:p>
      <w:pPr>
        <w:pStyle w:val="FirstParagraph"/>
      </w:pPr>
      <w:r>
        <w:t xml:space="preserve">Die Arbeit hat zwei Fragen getrennt untersucht, nämlich ob risikobasierte Portfoliomodelle das naive 1/N-Portfolio schlagen und ob GARCH-basierte Kovarianzprognosen gegenüber der historischen Schätzung einen Mehrwert stiften.</w:t>
      </w:r>
    </w:p>
    <w:p>
      <w:pPr>
        <w:pStyle w:val="BodyText"/>
      </w:pPr>
      <w:r>
        <w:t xml:space="preserve">Zur ersten Frage hängt die Antwort stark vom gewählten Verfahren ab.</w:t>
      </w:r>
      <w:r>
        <w:t xml:space="preserve"> </w:t>
      </w:r>
      <w:r>
        <w:t xml:space="preserve">HRP und ERC mit historischer Kovarianz übertreffen das 1/N-Portfolio in rund neun von zehn untersuchten Konstellationen und erweisen sich als robust gegenüber Variationen von Trainings- und Prognosefenster.</w:t>
      </w:r>
      <w:r>
        <w:t xml:space="preserve"> </w:t>
      </w:r>
      <w:r>
        <w:t xml:space="preserve">Das Minimum-Varianz-Portfolio erzielt im Basisfall zwar die höchste Sharpe Ratio, schlägt 1/N über alle Läufe hinweg aber nur in einem Fünftel der Fälle und reagiert am empfindlichsten auf Schätzfehler.</w:t>
      </w:r>
      <w:r>
        <w:t xml:space="preserve"> </w:t>
      </w:r>
      <w:r>
        <w:t xml:space="preserve">Für die Praxis sprechen diese Ergebnisse damit eher für die robusteren Verfahren als für die Varianzminimierung, wobei einschränkend gilt, dass keiner der Vorsprünge gegenüber 1/N statistisch signifikant ist.</w:t>
      </w:r>
    </w:p>
    <w:p>
      <w:pPr>
        <w:pStyle w:val="BodyText"/>
      </w:pPr>
      <w:r>
        <w:t xml:space="preserve">Zur zweiten Frage entscheidet das angelegte Kriterium über die Antwort, worin zugleich der Hauptbefund liegt.</w:t>
      </w:r>
      <w:r>
        <w:t xml:space="preserve"> </w:t>
      </w:r>
      <w:r>
        <w:t xml:space="preserve">Statistisch ist das Ergebnis eindeutig, da DCC-GARCH die Kovarianzmatrix in allen 40 Läufen unter dem MSE und in nahezu allen unter dem QLIKE-Verlust besser prognostiziert als die historische Schätzung und die Abstände zur historischen Matrix im DM-Test signifikant sind.</w:t>
      </w:r>
      <w:r>
        <w:t xml:space="preserve"> </w:t>
      </w:r>
      <w:r>
        <w:t xml:space="preserve">Ökonomisch schlägt sich dieser Vorsprung jedoch nur dort nieder, wo die Kovarianzmatrix tatsächlich intensiv genutzt wird, also beim MVP und nicht bei HRP oder ERC.</w:t>
      </w:r>
      <w:r>
        <w:t xml:space="preserve"> </w:t>
      </w:r>
      <w:r>
        <w:t xml:space="preserve">Das ist konsistent mit der Konstruktion der Verfahren, da beide die Matrix nur grob nutzen und gerade deshalb robust, zugleich aber auch unempfindlich gegenüber ihrer Verbesserung sind.</w:t>
      </w:r>
      <w:r>
        <w:t xml:space="preserve"> </w:t>
      </w:r>
      <w:r>
        <w:t xml:space="preserve">Der Preis der Dynamik ist der Turnover, der beim MVP um den Faktor 32 höher liegt und den ohnehin geringen Vorsprung unter realen Handelskosten aufzehren würde.</w:t>
      </w:r>
    </w:p>
    <w:p>
      <w:pPr>
        <w:pStyle w:val="BodyText"/>
      </w:pPr>
      <w:r>
        <w:t xml:space="preserve">Der übergreifende Schluss lautet damit, dass eine bessere Risikoprognose nicht automatisch eine bessere Anlageentscheidung ist.</w:t>
      </w:r>
      <w:r>
        <w:t xml:space="preserve"> </w:t>
      </w:r>
      <w:r>
        <w:t xml:space="preserve">Die GARCH-Modelle leisten das, wofür sie konstruiert sind, und die synthetische Validierung zeigt, dass sie genau dann einen Mehrwert liefern, wenn der datengenerierende Prozess ihre Annahmen erfüllt.</w:t>
      </w:r>
      <w:r>
        <w:t xml:space="preserve"> </w:t>
      </w:r>
      <w:r>
        <w:t xml:space="preserve">Selbst dann ist dieser Mehrwert jedoch nicht garantiert.</w:t>
      </w:r>
      <w:r>
        <w:t xml:space="preserve"> </w:t>
      </w:r>
      <w:r>
        <w:t xml:space="preserve">Im DCC-Datensatz aus</w:t>
      </w:r>
      <w:r>
        <w:t xml:space="preserve"> </w:t>
      </w:r>
      <w:hyperlink w:anchor="sec:anhang_synth">
        <w:r>
          <w:rPr>
            <w:rStyle w:val="Hyperlink"/>
          </w:rPr>
          <w:t xml:space="preserve">Anhang </w:t>
        </w:r>
        <w:hyperlink w:anchor="sec:anhang_synth">
          <w:r>
            <w:rPr>
              <w:rStyle w:val="Hyperlink"/>
            </w:rPr>
            <w:t xml:space="preserve">10</w:t>
          </w:r>
        </w:hyperlink>
      </w:hyperlink>
      <w:r>
        <w:t xml:space="preserve"> </w:t>
      </w:r>
      <w:r>
        <w:t xml:space="preserve">liefert das korrekt spezifizierte DCC-Modell zwar in allen zehn Trainingsfenstern den besseren QLIKE-Verlust und die niedrigere realisierte Volatilität, unterliegt beim MVP-Sharpe aber in drei von zehn Fenstern dem falsch spezifizierten GARCH-Modell.</w:t>
      </w:r>
      <w:r>
        <w:t xml:space="preserve"> </w:t>
      </w:r>
      <w:r>
        <w:t xml:space="preserve">Prognosegüte und Anlageerfolg fallen somit bereits bei bekanntem datengenerierendem Prozess auseinander.</w:t>
      </w:r>
      <w:r>
        <w:t xml:space="preserve"> </w:t>
      </w:r>
      <w:r>
        <w:t xml:space="preserve">Auf realen Sektordaten ist die verwertbare Struktur jedoch zu schwach, um die Kosten der laufenden Umschichtung zu rechtfertigen.</w:t>
      </w:r>
      <w:r>
        <w:t xml:space="preserve"> </w:t>
      </w:r>
      <w:r>
        <w:t xml:space="preserve">Nicht die Prognosegüte ist folglich die bindende Restriktion, sondern der Handel, den ihre Nutzung auslöst.</w:t>
      </w:r>
    </w:p>
    <w:bookmarkEnd w:id="47"/>
    <w:bookmarkStart w:id="56" w:name="sec:anhang_strukturbruch"/>
    <w:p>
      <w:pPr>
        <w:pStyle w:val="Heading1"/>
      </w:pPr>
      <w:r>
        <w:t xml:space="preserve">Voller und gemeinsamer Bewertungszeitraum</w:t>
      </w:r>
    </w:p>
    <w:p>
      <w:pPr>
        <w:pStyle w:val="FirstParagraph"/>
      </w:pPr>
      <w:r>
        <w:t xml:space="preserve">Sämtliche im Ergebnisteil berichteten Vergleiche über Trainingsfenster hinweg wurden auf dem gemeinsamen Zeitraum ab 2010 gerechnet.</w:t>
      </w:r>
      <w:r>
        <w:t xml:space="preserve"> </w:t>
      </w:r>
      <w:r>
        <w:t xml:space="preserve">Dieser Anhang begründet, warum diese Einschränkung nötig ist, und zeigt, was ohne sie gemessen würde.</w:t>
      </w:r>
    </w:p>
    <w:p>
      <w:pPr>
        <w:pStyle w:val="BodyText"/>
      </w:pPr>
      <w:r>
        <w:t xml:space="preserve">Ohne die Einschränkung bewertet jedes Trainingsfenster einen anderen Zeitraum, da der Out-of-Sample-Beginn von März 2000 beim kürzesten auf November 2008 beim längsten Fenster wandert.</w:t>
      </w:r>
      <w:r>
        <w:t xml:space="preserve"> </w:t>
      </w:r>
      <w:r>
        <w:t xml:space="preserve">Der Lauf mit einem Jahr Training enthält damit das Platzen der Dotcom-Blase, während der Lauf mit zehn Jahren Training erst nach der Finanzkrise beginnt und nur die Erholung abdeckt, wodurch dessen Kennzahlen angehoben werden, ohne dass dies etwas über die Schätzqualität aussagt.</w:t>
      </w:r>
      <w:r>
        <w:t xml:space="preserve"> </w:t>
      </w:r>
      <w:r>
        <w:t xml:space="preserve">Wie stark der Effekt wiegt, zeigt</w:t>
      </w:r>
      <w:r>
        <w:t xml:space="preserve"> </w:t>
      </w:r>
      <w:hyperlink w:anchor="abb:sharpe_zeitraum">
        <w:r>
          <w:rPr>
            <w:rStyle w:val="Hyperlink"/>
          </w:rPr>
          <w:t xml:space="preserve">Abbildung </w:t>
        </w:r>
        <w:hyperlink w:anchor="abb:sharpe_zeitraum">
          <w:r>
            <w:rPr>
              <w:rStyle w:val="Hyperlink"/>
            </w:rPr>
            <w:t xml:space="preserve">2</w:t>
          </w:r>
        </w:hyperlink>
      </w:hyperlink>
      <w:r>
        <w:t xml:space="preserve">, in der die Sharpe Ratio über die Trainingsfenster einmal über die volle Historie und einmal über den gemeinsamen Zeitraum aufgetragen ist.</w:t>
      </w:r>
      <w:r>
        <w:t xml:space="preserve"> </w:t>
      </w:r>
      <w:r>
        <w:t xml:space="preserve">Der Sprung beim längsten Fenster tritt links auch beim 1/N-Portfolio auf, obwohl dieses überhaupt keine Schätzung vornimmt, und verschwindet rechts vollständig.</w:t>
      </w:r>
      <w:r>
        <w:t xml:space="preserve"> </w:t>
      </w:r>
      <w:r>
        <w:t xml:space="preserve">Es handelt sich somit um einen reinen Stichprobeneffekt.</w:t>
      </w:r>
    </w:p>
    <w:bookmarkStart w:id="51" w:name="abb:sharpe_zeitraum"/>
    <w:p>
      <w:pPr>
        <w:pStyle w:val="CaptionedFigure"/>
      </w:pPr>
      <w:r>
        <w:drawing>
          <wp:inline>
            <wp:extent cx="5753100" cy="2515424"/>
            <wp:effectExtent b="0" l="0" r="0" t="0"/>
            <wp:docPr descr="" title="" id="49" name="Picture"/>
            <a:graphic>
              <a:graphicData uri="http://schemas.openxmlformats.org/drawingml/2006/picture">
                <pic:pic>
                  <pic:nvPicPr>
                    <pic:cNvPr descr="Abbildungen/abb_sharpe_zeitraum.pdf" id="50" name="Picture"/>
                    <pic:cNvPicPr>
                      <a:picLocks noChangeArrowheads="1" noChangeAspect="1"/>
                    </pic:cNvPicPr>
                  </pic:nvPicPr>
                  <pic:blipFill>
                    <a:blip r:embed="rId48"/>
                    <a:stretch>
                      <a:fillRect/>
                    </a:stretch>
                  </pic:blipFill>
                  <pic:spPr bwMode="auto">
                    <a:xfrm>
                      <a:off x="0" y="0"/>
                      <a:ext cx="5753100" cy="2515424"/>
                    </a:xfrm>
                    <a:prstGeom prst="rect">
                      <a:avLst/>
                    </a:prstGeom>
                    <a:noFill/>
                    <a:ln w="9525">
                      <a:noFill/>
                      <a:headEnd/>
                      <a:tailEnd/>
                    </a:ln>
                  </pic:spPr>
                </pic:pic>
              </a:graphicData>
            </a:graphic>
          </wp:inline>
        </w:drawing>
      </w:r>
    </w:p>
    <w:p>
      <w:pPr>
        <w:pStyle w:val="ImageCaption"/>
      </w:pPr>
      <w:r>
        <w:t xml:space="preserve">Sharpe Ratio über die Trainingsfenster, voller und gemeinsamer Bewertungszeitraum</w:t>
      </w:r>
    </w:p>
    <w:bookmarkEnd w:id="51"/>
    <w:p>
      <w:pPr>
        <w:pStyle w:val="BlockText"/>
      </w:pPr>
      <w:r>
        <w:t xml:space="preserve">TRBC, Prognosehorizont 1 Tag, links die volle Historie des jeweiligen Fensters, rechts der für alle Fenster identische Zeitraum ab 01.01.2010.</w:t>
      </w:r>
    </w:p>
    <w:p>
      <w:pPr>
        <w:pStyle w:val="FirstParagraph"/>
      </w:pPr>
      <w:hyperlink w:anchor="tab:strukturbruch_qlike">
        <w:r>
          <w:rPr>
            <w:rStyle w:val="Hyperlink"/>
          </w:rPr>
          <w:t xml:space="preserve">Tabelle </w:t>
        </w:r>
        <w:hyperlink w:anchor="tab:strukturbruch_qlike">
          <w:r>
            <w:rPr>
              <w:rStyle w:val="Hyperlink"/>
            </w:rPr>
            <w:t xml:space="preserve">9</w:t>
          </w:r>
        </w:hyperlink>
      </w:hyperlink>
      <w:r>
        <w:t xml:space="preserve"> </w:t>
      </w:r>
      <w:r>
        <w:t xml:space="preserve">und</w:t>
      </w:r>
      <w:r>
        <w:t xml:space="preserve"> </w:t>
      </w:r>
      <w:hyperlink w:anchor="tab:strukturbruch_sharpe">
        <w:r>
          <w:rPr>
            <w:rStyle w:val="Hyperlink"/>
          </w:rPr>
          <w:t xml:space="preserve">Tabelle </w:t>
        </w:r>
        <w:hyperlink w:anchor="tab:strukturbruch_sharpe">
          <w:r>
            <w:rPr>
              <w:rStyle w:val="Hyperlink"/>
            </w:rPr>
            <w:t xml:space="preserve">10</w:t>
          </w:r>
        </w:hyperlink>
      </w:hyperlink>
      <w:r>
        <w:t xml:space="preserve"> </w:t>
      </w:r>
      <w:r>
        <w:t xml:space="preserve">stellen je Trainingsfenster die Kennzahlen über die volle Historie denen über den gemeinsamen Zeitraum ab 2010 gegenüber.</w:t>
      </w:r>
      <w:r>
        <w:t xml:space="preserve"> </w:t>
      </w:r>
      <w:r>
        <w:t xml:space="preserve">Die erste Tabelle weist neben der mittleren Größe des Anlageuniversums den QLIKE-Verlust der historischen Matrix und der beiden dynamischen Kovarianzschätzer aus, die zweite die Sharpe Ratio des MVP mit allen drei Kovarianzschätzern sowie die des 1/N-Portfolios.</w:t>
      </w:r>
      <w:r>
        <w:t xml:space="preserve"> </w:t>
      </w:r>
      <w:r>
        <w:t xml:space="preserve">Die 90-%-Verfügbarkeitsregel lässt die zuletzt hinzugekommenen Sektoren in langen Fenstern erst spät oder gar nicht zu, weshalb die Fensterlänge über die Dimension der Kovarianzmatrix auch das QLIKE-Niveau mitbestimmt.</w:t>
      </w:r>
    </w:p>
    <w:bookmarkStart w:id="52" w:name="tab:strukturbruch_qlike"/>
    <w:p>
      <w:pPr>
        <w:pStyle w:val="TableCaption"/>
      </w:pPr>
      <w:r>
        <w:t xml:space="preserve">QLIKE über vollen und gemeinsamen Bewertungszeitraum (TRBC,</w:t>
      </w:r>
      <w:r>
        <w:t xml:space="preserve"> </w:t>
      </w:r>
      <m:oMath>
        <m:r>
          <m:t>h</m:t>
        </m:r>
        <m:r>
          <m:rPr>
            <m:sty m:val="p"/>
          </m:rPr>
          <m:t>=</m:t>
        </m:r>
        <m:r>
          <m:t>1</m:t>
        </m:r>
      </m:oMath>
      <w:r>
        <w:t xml:space="preserve">)</w:t>
      </w:r>
    </w:p>
    <w:tbl>
      <w:tblPr>
        <w:tblStyle w:val="Table"/>
        <w:tblW w:type="auto" w:w="0"/>
        <w:tblLook w:firstRow="0" w:lastRow="0" w:firstColumn="0" w:lastColumn="0" w:noHBand="0" w:noVBand="0" w:val="0000"/>
        <w:tblCaption w:val="QLIKE über vollen und gemeinsamen Bewertungszeitraum (TRBC, h=1)"/>
      </w:tblPr>
      <w:tblGrid>
        <w:gridCol w:w="1134"/>
        <w:gridCol w:w="1134"/>
        <w:gridCol w:w="1134"/>
        <w:gridCol w:w="1134"/>
        <w:gridCol w:w="1134"/>
        <w:gridCol w:w="1134"/>
        <w:gridCol w:w="1134"/>
        <w:gridCol w:w="1134"/>
      </w:tblGrid>
      <w:tr>
        <w:tc>
          <w:tcPr/>
          <w:p>
            <w:pPr>
              <w:pStyle w:val="Compact"/>
              <w:jc w:val="right"/>
            </w:pPr>
            <w:r>
              <w:rPr>
                <w:sz w:val="16"/>
                <w:szCs w:val="16"/>
              </w:rPr>
              <w:t xml:space="preserve">Training</w:t>
            </w:r>
          </w:p>
        </w:tc>
        <w:tc>
          <w:tcPr/>
          <w:p>
            <w:pPr>
              <w:pStyle w:val="Compact"/>
              <w:jc w:val="right"/>
            </w:pPr>
            <m:oMath>
              <m:r>
                <m:rPr>
                  <m:sty m:val="p"/>
                </m:rPr>
                <m:t>⌀</m:t>
              </m:r>
              <m:r>
                <m:t> </m:t>
              </m:r>
              <m:r>
                <m:t>N</m:t>
              </m:r>
            </m:oMath>
          </w:p>
        </w:tc>
        <w:tc>
          <w:tcPr>
            <w:gridSpan w:val="2"/>
          </w:tcPr>
          <w:p>
            <w:pPr>
              <w:pStyle w:val="Compact"/>
              <w:jc w:val="center"/>
            </w:pPr>
            <w:r>
              <w:rPr>
                <w:sz w:val="16"/>
                <w:szCs w:val="16"/>
              </w:rPr>
              <w:t xml:space="preserve">Historisch</w:t>
            </w:r>
          </w:p>
        </w:tc>
        <w:tc>
          <w:tcPr>
            <w:gridSpan w:val="2"/>
          </w:tcPr>
          <w:p>
            <w:pPr>
              <w:pStyle w:val="Compact"/>
              <w:jc w:val="center"/>
            </w:pPr>
            <w:r>
              <w:rPr>
                <w:sz w:val="16"/>
                <w:szCs w:val="16"/>
              </w:rPr>
              <w:t xml:space="preserve">GARCH</w:t>
            </w:r>
          </w:p>
        </w:tc>
        <w:tc>
          <w:tcPr>
            <w:gridSpan w:val="2"/>
          </w:tcPr>
          <w:p>
            <w:pPr>
              <w:pStyle w:val="Compact"/>
              <w:jc w:val="center"/>
            </w:pPr>
            <w:r>
              <w:rPr>
                <w:sz w:val="16"/>
                <w:szCs w:val="16"/>
              </w:rPr>
              <w:t xml:space="preserve">DCC-GARCH</w:t>
            </w:r>
          </w:p>
        </w:tc>
      </w:tr>
      <w:tr>
        <w:tc>
          <w:tcPr/>
          <w:p>
            <w:pPr>
              <w:pStyle w:val="Compact"/>
            </w:pPr>
          </w:p>
        </w:tc>
        <w:tc>
          <w:tcPr/>
          <w:p>
            <w:pPr>
              <w:pStyle w:val="Compact"/>
            </w:pPr>
          </w:p>
        </w:tc>
        <w:tc>
          <w:tcPr/>
          <w:p>
            <w:pPr>
              <w:pStyle w:val="Compact"/>
              <w:jc w:val="right"/>
            </w:pPr>
            <w:r>
              <w:rPr>
                <w:sz w:val="16"/>
                <w:szCs w:val="16"/>
              </w:rPr>
              <w:t xml:space="preserve">voll</w:t>
            </w:r>
          </w:p>
        </w:tc>
        <w:tc>
          <w:tcPr/>
          <w:p>
            <w:pPr>
              <w:pStyle w:val="Compact"/>
              <w:jc w:val="right"/>
            </w:pPr>
            <w:r>
              <w:rPr>
                <w:sz w:val="16"/>
                <w:szCs w:val="16"/>
              </w:rPr>
              <w:t xml:space="preserve">gem.</w:t>
            </w:r>
          </w:p>
        </w:tc>
        <w:tc>
          <w:tcPr/>
          <w:p>
            <w:pPr>
              <w:pStyle w:val="Compact"/>
              <w:jc w:val="right"/>
            </w:pPr>
            <w:r>
              <w:rPr>
                <w:sz w:val="16"/>
                <w:szCs w:val="16"/>
              </w:rPr>
              <w:t xml:space="preserve">voll</w:t>
            </w:r>
          </w:p>
        </w:tc>
        <w:tc>
          <w:tcPr/>
          <w:p>
            <w:pPr>
              <w:pStyle w:val="Compact"/>
              <w:jc w:val="right"/>
            </w:pPr>
            <w:r>
              <w:rPr>
                <w:sz w:val="16"/>
                <w:szCs w:val="16"/>
              </w:rPr>
              <w:t xml:space="preserve">gem.</w:t>
            </w:r>
          </w:p>
        </w:tc>
        <w:tc>
          <w:tcPr/>
          <w:p>
            <w:pPr>
              <w:pStyle w:val="Compact"/>
              <w:jc w:val="right"/>
            </w:pPr>
            <w:r>
              <w:rPr>
                <w:sz w:val="16"/>
                <w:szCs w:val="16"/>
              </w:rPr>
              <w:t xml:space="preserve">voll</w:t>
            </w:r>
          </w:p>
        </w:tc>
        <w:tc>
          <w:tcPr/>
          <w:p>
            <w:pPr>
              <w:pStyle w:val="Compact"/>
              <w:jc w:val="right"/>
            </w:pPr>
            <w:r>
              <w:rPr>
                <w:sz w:val="16"/>
                <w:szCs w:val="16"/>
              </w:rPr>
              <w:t xml:space="preserve">gem.</w:t>
            </w:r>
          </w:p>
        </w:tc>
      </w:tr>
      <w:tr>
        <w:tc>
          <w:tcPr/>
          <w:p>
            <w:pPr>
              <w:pStyle w:val="Compact"/>
              <w:jc w:val="right"/>
            </w:pPr>
            <w:r>
              <w:rPr>
                <w:sz w:val="16"/>
                <w:szCs w:val="16"/>
              </w:rPr>
              <w:t xml:space="preserve">252</w:t>
            </w:r>
          </w:p>
        </w:tc>
        <w:tc>
          <w:tcPr/>
          <w:p>
            <w:pPr>
              <w:pStyle w:val="Compact"/>
              <w:jc w:val="right"/>
            </w:pPr>
            <w:r>
              <w:rPr>
                <w:sz w:val="16"/>
                <w:szCs w:val="16"/>
              </w:rPr>
              <w:t xml:space="preserve">20,3</w:t>
            </w:r>
          </w:p>
        </w:tc>
        <w:tc>
          <w:tcPr/>
          <w:p>
            <w:pPr>
              <w:pStyle w:val="Compact"/>
              <w:jc w:val="right"/>
            </w:pPr>
            <w:r>
              <w:rPr>
                <w:sz w:val="16"/>
                <w:szCs w:val="16"/>
              </w:rPr>
              <w:t xml:space="preserve">-161,5</w:t>
            </w:r>
          </w:p>
        </w:tc>
        <w:tc>
          <w:tcPr/>
          <w:p>
            <w:pPr>
              <w:pStyle w:val="Compact"/>
              <w:jc w:val="right"/>
            </w:pPr>
            <w:r>
              <w:rPr>
                <w:sz w:val="16"/>
                <w:szCs w:val="16"/>
              </w:rPr>
              <w:t xml:space="preserve">-176,1</w:t>
            </w:r>
          </w:p>
        </w:tc>
        <w:tc>
          <w:tcPr/>
          <w:p>
            <w:pPr>
              <w:pStyle w:val="Compact"/>
              <w:jc w:val="right"/>
            </w:pPr>
            <w:r>
              <w:rPr>
                <w:sz w:val="16"/>
                <w:szCs w:val="16"/>
              </w:rPr>
              <w:t xml:space="preserve">-161,8</w:t>
            </w:r>
          </w:p>
        </w:tc>
        <w:tc>
          <w:tcPr/>
          <w:p>
            <w:pPr>
              <w:pStyle w:val="Compact"/>
              <w:jc w:val="right"/>
            </w:pPr>
            <w:r>
              <w:rPr>
                <w:sz w:val="16"/>
                <w:szCs w:val="16"/>
              </w:rPr>
              <w:t xml:space="preserve">-175,9</w:t>
            </w:r>
          </w:p>
        </w:tc>
        <w:tc>
          <w:tcPr/>
          <w:p>
            <w:pPr>
              <w:pStyle w:val="Compact"/>
              <w:jc w:val="right"/>
            </w:pPr>
            <w:r>
              <w:rPr>
                <w:sz w:val="16"/>
                <w:szCs w:val="16"/>
              </w:rPr>
              <w:t xml:space="preserve">-162,0</w:t>
            </w:r>
          </w:p>
        </w:tc>
        <w:tc>
          <w:tcPr/>
          <w:p>
            <w:pPr>
              <w:pStyle w:val="Compact"/>
              <w:jc w:val="right"/>
            </w:pPr>
            <w:r>
              <w:rPr>
                <w:sz w:val="16"/>
                <w:szCs w:val="16"/>
              </w:rPr>
              <w:t xml:space="preserve">-176,1</w:t>
            </w:r>
          </w:p>
        </w:tc>
      </w:tr>
      <w:tr>
        <w:tc>
          <w:tcPr/>
          <w:p>
            <w:pPr>
              <w:pStyle w:val="Compact"/>
              <w:jc w:val="right"/>
            </w:pPr>
            <w:r>
              <w:rPr>
                <w:sz w:val="16"/>
                <w:szCs w:val="16"/>
              </w:rPr>
              <w:t xml:space="preserve">504</w:t>
            </w:r>
          </w:p>
        </w:tc>
        <w:tc>
          <w:tcPr/>
          <w:p>
            <w:pPr>
              <w:pStyle w:val="Compact"/>
              <w:jc w:val="right"/>
            </w:pPr>
            <w:r>
              <w:rPr>
                <w:sz w:val="16"/>
                <w:szCs w:val="16"/>
              </w:rPr>
              <w:t xml:space="preserve">19,7</w:t>
            </w:r>
          </w:p>
        </w:tc>
        <w:tc>
          <w:tcPr/>
          <w:p>
            <w:pPr>
              <w:pStyle w:val="Compact"/>
              <w:jc w:val="right"/>
            </w:pPr>
            <w:r>
              <w:rPr>
                <w:sz w:val="16"/>
                <w:szCs w:val="16"/>
              </w:rPr>
              <w:t xml:space="preserve">-159,2</w:t>
            </w:r>
          </w:p>
        </w:tc>
        <w:tc>
          <w:tcPr/>
          <w:p>
            <w:pPr>
              <w:pStyle w:val="Compact"/>
              <w:jc w:val="right"/>
            </w:pPr>
            <w:r>
              <w:rPr>
                <w:sz w:val="16"/>
                <w:szCs w:val="16"/>
              </w:rPr>
              <w:t xml:space="preserve">-171,0</w:t>
            </w:r>
          </w:p>
        </w:tc>
        <w:tc>
          <w:tcPr/>
          <w:p>
            <w:pPr>
              <w:pStyle w:val="Compact"/>
              <w:jc w:val="right"/>
            </w:pPr>
            <w:r>
              <w:rPr>
                <w:sz w:val="16"/>
                <w:szCs w:val="16"/>
              </w:rPr>
              <w:t xml:space="preserve">-160,4</w:t>
            </w:r>
          </w:p>
        </w:tc>
        <w:tc>
          <w:tcPr/>
          <w:p>
            <w:pPr>
              <w:pStyle w:val="Compact"/>
              <w:jc w:val="right"/>
            </w:pPr>
            <w:r>
              <w:rPr>
                <w:sz w:val="16"/>
                <w:szCs w:val="16"/>
              </w:rPr>
              <w:t xml:space="preserve">-171,4</w:t>
            </w:r>
          </w:p>
        </w:tc>
        <w:tc>
          <w:tcPr/>
          <w:p>
            <w:pPr>
              <w:pStyle w:val="Compact"/>
              <w:jc w:val="right"/>
            </w:pPr>
            <w:r>
              <w:rPr>
                <w:sz w:val="16"/>
                <w:szCs w:val="16"/>
              </w:rPr>
              <w:t xml:space="preserve">-160,8</w:t>
            </w:r>
          </w:p>
        </w:tc>
        <w:tc>
          <w:tcPr/>
          <w:p>
            <w:pPr>
              <w:pStyle w:val="Compact"/>
              <w:jc w:val="right"/>
            </w:pPr>
            <w:r>
              <w:rPr>
                <w:sz w:val="16"/>
                <w:szCs w:val="16"/>
              </w:rPr>
              <w:t xml:space="preserve">-171,8</w:t>
            </w:r>
          </w:p>
        </w:tc>
      </w:tr>
      <w:tr>
        <w:tc>
          <w:tcPr/>
          <w:p>
            <w:pPr>
              <w:pStyle w:val="Compact"/>
              <w:jc w:val="right"/>
            </w:pPr>
            <w:r>
              <w:rPr>
                <w:sz w:val="16"/>
                <w:szCs w:val="16"/>
              </w:rPr>
              <w:t xml:space="preserve">756</w:t>
            </w:r>
          </w:p>
        </w:tc>
        <w:tc>
          <w:tcPr/>
          <w:p>
            <w:pPr>
              <w:pStyle w:val="Compact"/>
              <w:jc w:val="right"/>
            </w:pPr>
            <w:r>
              <w:rPr>
                <w:sz w:val="16"/>
                <w:szCs w:val="16"/>
              </w:rPr>
              <w:t xml:space="preserve">19,1</w:t>
            </w:r>
          </w:p>
        </w:tc>
        <w:tc>
          <w:tcPr/>
          <w:p>
            <w:pPr>
              <w:pStyle w:val="Compact"/>
              <w:jc w:val="right"/>
            </w:pPr>
            <w:r>
              <w:rPr>
                <w:sz w:val="16"/>
                <w:szCs w:val="16"/>
              </w:rPr>
              <w:t xml:space="preserve">-156,0</w:t>
            </w:r>
          </w:p>
        </w:tc>
        <w:tc>
          <w:tcPr/>
          <w:p>
            <w:pPr>
              <w:pStyle w:val="Compact"/>
              <w:jc w:val="right"/>
            </w:pPr>
            <w:r>
              <w:rPr>
                <w:sz w:val="16"/>
                <w:szCs w:val="16"/>
              </w:rPr>
              <w:t xml:space="preserve">-165,2</w:t>
            </w:r>
          </w:p>
        </w:tc>
        <w:tc>
          <w:tcPr/>
          <w:p>
            <w:pPr>
              <w:pStyle w:val="Compact"/>
              <w:jc w:val="right"/>
            </w:pPr>
            <w:r>
              <w:rPr>
                <w:sz w:val="16"/>
                <w:szCs w:val="16"/>
              </w:rPr>
              <w:t xml:space="preserve">-157,9</w:t>
            </w:r>
          </w:p>
        </w:tc>
        <w:tc>
          <w:tcPr/>
          <w:p>
            <w:pPr>
              <w:pStyle w:val="Compact"/>
              <w:jc w:val="right"/>
            </w:pPr>
            <w:r>
              <w:rPr>
                <w:sz w:val="16"/>
                <w:szCs w:val="16"/>
              </w:rPr>
              <w:t xml:space="preserve">-166,1</w:t>
            </w:r>
          </w:p>
        </w:tc>
        <w:tc>
          <w:tcPr/>
          <w:p>
            <w:pPr>
              <w:pStyle w:val="Compact"/>
              <w:jc w:val="right"/>
            </w:pPr>
            <w:r>
              <w:rPr>
                <w:sz w:val="16"/>
                <w:szCs w:val="16"/>
              </w:rPr>
              <w:t xml:space="preserve">-158,4</w:t>
            </w:r>
          </w:p>
        </w:tc>
        <w:tc>
          <w:tcPr/>
          <w:p>
            <w:pPr>
              <w:pStyle w:val="Compact"/>
              <w:jc w:val="right"/>
            </w:pPr>
            <w:r>
              <w:rPr>
                <w:sz w:val="16"/>
                <w:szCs w:val="16"/>
              </w:rPr>
              <w:t xml:space="preserve">-166,8</w:t>
            </w:r>
          </w:p>
        </w:tc>
      </w:tr>
      <w:tr>
        <w:tc>
          <w:tcPr/>
          <w:p>
            <w:pPr>
              <w:pStyle w:val="Compact"/>
              <w:jc w:val="right"/>
            </w:pPr>
            <w:r>
              <w:rPr>
                <w:sz w:val="16"/>
                <w:szCs w:val="16"/>
              </w:rPr>
              <w:t xml:space="preserve">1008</w:t>
            </w:r>
          </w:p>
        </w:tc>
        <w:tc>
          <w:tcPr/>
          <w:p>
            <w:pPr>
              <w:pStyle w:val="Compact"/>
              <w:jc w:val="right"/>
            </w:pPr>
            <w:r>
              <w:rPr>
                <w:sz w:val="16"/>
                <w:szCs w:val="16"/>
              </w:rPr>
              <w:t xml:space="preserve">18,5</w:t>
            </w:r>
          </w:p>
        </w:tc>
        <w:tc>
          <w:tcPr/>
          <w:p>
            <w:pPr>
              <w:pStyle w:val="Compact"/>
              <w:jc w:val="right"/>
            </w:pPr>
            <w:r>
              <w:rPr>
                <w:sz w:val="16"/>
                <w:szCs w:val="16"/>
              </w:rPr>
              <w:t xml:space="preserve">-152,8</w:t>
            </w:r>
          </w:p>
        </w:tc>
        <w:tc>
          <w:tcPr/>
          <w:p>
            <w:pPr>
              <w:pStyle w:val="Compact"/>
              <w:jc w:val="right"/>
            </w:pPr>
            <w:r>
              <w:rPr>
                <w:sz w:val="16"/>
                <w:szCs w:val="16"/>
              </w:rPr>
              <w:t xml:space="preserve">-159,7</w:t>
            </w:r>
          </w:p>
        </w:tc>
        <w:tc>
          <w:tcPr/>
          <w:p>
            <w:pPr>
              <w:pStyle w:val="Compact"/>
              <w:jc w:val="right"/>
            </w:pPr>
            <w:r>
              <w:rPr>
                <w:sz w:val="16"/>
                <w:szCs w:val="16"/>
              </w:rPr>
              <w:t xml:space="preserve">-155,4</w:t>
            </w:r>
          </w:p>
        </w:tc>
        <w:tc>
          <w:tcPr/>
          <w:p>
            <w:pPr>
              <w:pStyle w:val="Compact"/>
              <w:jc w:val="right"/>
            </w:pPr>
            <w:r>
              <w:rPr>
                <w:sz w:val="16"/>
                <w:szCs w:val="16"/>
              </w:rPr>
              <w:t xml:space="preserve">-161,1</w:t>
            </w:r>
          </w:p>
        </w:tc>
        <w:tc>
          <w:tcPr/>
          <w:p>
            <w:pPr>
              <w:pStyle w:val="Compact"/>
              <w:jc w:val="right"/>
            </w:pPr>
            <w:r>
              <w:rPr>
                <w:sz w:val="16"/>
                <w:szCs w:val="16"/>
              </w:rPr>
              <w:t xml:space="preserve">-156,1</w:t>
            </w:r>
          </w:p>
        </w:tc>
        <w:tc>
          <w:tcPr/>
          <w:p>
            <w:pPr>
              <w:pStyle w:val="Compact"/>
              <w:jc w:val="right"/>
            </w:pPr>
            <w:r>
              <w:rPr>
                <w:sz w:val="16"/>
                <w:szCs w:val="16"/>
              </w:rPr>
              <w:t xml:space="preserve">-161,9</w:t>
            </w:r>
          </w:p>
        </w:tc>
      </w:tr>
      <w:tr>
        <w:tc>
          <w:tcPr/>
          <w:p>
            <w:pPr>
              <w:pStyle w:val="Compact"/>
              <w:jc w:val="right"/>
            </w:pPr>
            <w:r>
              <w:rPr>
                <w:sz w:val="16"/>
                <w:szCs w:val="16"/>
              </w:rPr>
              <w:t xml:space="preserve">1260</w:t>
            </w:r>
          </w:p>
        </w:tc>
        <w:tc>
          <w:tcPr/>
          <w:p>
            <w:pPr>
              <w:pStyle w:val="Compact"/>
              <w:jc w:val="right"/>
            </w:pPr>
            <w:r>
              <w:rPr>
                <w:sz w:val="16"/>
                <w:szCs w:val="16"/>
              </w:rPr>
              <w:t xml:space="preserve">17,9</w:t>
            </w:r>
          </w:p>
        </w:tc>
        <w:tc>
          <w:tcPr/>
          <w:p>
            <w:pPr>
              <w:pStyle w:val="Compact"/>
              <w:jc w:val="right"/>
            </w:pPr>
            <w:r>
              <w:rPr>
                <w:sz w:val="16"/>
                <w:szCs w:val="16"/>
              </w:rPr>
              <w:t xml:space="preserve">-149,1</w:t>
            </w:r>
          </w:p>
        </w:tc>
        <w:tc>
          <w:tcPr/>
          <w:p>
            <w:pPr>
              <w:pStyle w:val="Compact"/>
              <w:jc w:val="right"/>
            </w:pPr>
            <w:r>
              <w:rPr>
                <w:sz w:val="16"/>
                <w:szCs w:val="16"/>
              </w:rPr>
              <w:t xml:space="preserve">-154,3</w:t>
            </w:r>
          </w:p>
        </w:tc>
        <w:tc>
          <w:tcPr/>
          <w:p>
            <w:pPr>
              <w:pStyle w:val="Compact"/>
              <w:jc w:val="right"/>
            </w:pPr>
            <w:r>
              <w:rPr>
                <w:sz w:val="16"/>
                <w:szCs w:val="16"/>
              </w:rPr>
              <w:t xml:space="preserve">-152,2</w:t>
            </w:r>
          </w:p>
        </w:tc>
        <w:tc>
          <w:tcPr/>
          <w:p>
            <w:pPr>
              <w:pStyle w:val="Compact"/>
              <w:jc w:val="right"/>
            </w:pPr>
            <w:r>
              <w:rPr>
                <w:sz w:val="16"/>
                <w:szCs w:val="16"/>
              </w:rPr>
              <w:t xml:space="preserve">-156,1</w:t>
            </w:r>
          </w:p>
        </w:tc>
        <w:tc>
          <w:tcPr/>
          <w:p>
            <w:pPr>
              <w:pStyle w:val="Compact"/>
              <w:jc w:val="right"/>
            </w:pPr>
            <w:r>
              <w:rPr>
                <w:sz w:val="16"/>
                <w:szCs w:val="16"/>
              </w:rPr>
              <w:t xml:space="preserve">-153,1</w:t>
            </w:r>
          </w:p>
        </w:tc>
        <w:tc>
          <w:tcPr/>
          <w:p>
            <w:pPr>
              <w:pStyle w:val="Compact"/>
              <w:jc w:val="right"/>
            </w:pPr>
            <w:r>
              <w:rPr>
                <w:sz w:val="16"/>
                <w:szCs w:val="16"/>
              </w:rPr>
              <w:t xml:space="preserve">-157,1</w:t>
            </w:r>
          </w:p>
        </w:tc>
      </w:tr>
      <w:tr>
        <w:tc>
          <w:tcPr/>
          <w:p>
            <w:pPr>
              <w:pStyle w:val="Compact"/>
              <w:jc w:val="right"/>
            </w:pPr>
            <w:r>
              <w:rPr>
                <w:sz w:val="16"/>
                <w:szCs w:val="16"/>
              </w:rPr>
              <w:t xml:space="preserve">1512</w:t>
            </w:r>
          </w:p>
        </w:tc>
        <w:tc>
          <w:tcPr/>
          <w:p>
            <w:pPr>
              <w:pStyle w:val="Compact"/>
              <w:jc w:val="right"/>
            </w:pPr>
            <w:r>
              <w:rPr>
                <w:sz w:val="16"/>
                <w:szCs w:val="16"/>
              </w:rPr>
              <w:t xml:space="preserve">17,4</w:t>
            </w:r>
          </w:p>
        </w:tc>
        <w:tc>
          <w:tcPr/>
          <w:p>
            <w:pPr>
              <w:pStyle w:val="Compact"/>
              <w:jc w:val="right"/>
            </w:pPr>
            <w:r>
              <w:rPr>
                <w:sz w:val="16"/>
                <w:szCs w:val="16"/>
              </w:rPr>
              <w:t xml:space="preserve">-146,1</w:t>
            </w:r>
          </w:p>
        </w:tc>
        <w:tc>
          <w:tcPr/>
          <w:p>
            <w:pPr>
              <w:pStyle w:val="Compact"/>
              <w:jc w:val="right"/>
            </w:pPr>
            <w:r>
              <w:rPr>
                <w:sz w:val="16"/>
                <w:szCs w:val="16"/>
              </w:rPr>
              <w:t xml:space="preserve">-150,1</w:t>
            </w:r>
          </w:p>
        </w:tc>
        <w:tc>
          <w:tcPr/>
          <w:p>
            <w:pPr>
              <w:pStyle w:val="Compact"/>
              <w:jc w:val="right"/>
            </w:pPr>
            <w:r>
              <w:rPr>
                <w:sz w:val="16"/>
                <w:szCs w:val="16"/>
              </w:rPr>
              <w:t xml:space="preserve">-149,2</w:t>
            </w:r>
          </w:p>
        </w:tc>
        <w:tc>
          <w:tcPr/>
          <w:p>
            <w:pPr>
              <w:pStyle w:val="Compact"/>
              <w:jc w:val="right"/>
            </w:pPr>
            <w:r>
              <w:rPr>
                <w:sz w:val="16"/>
                <w:szCs w:val="16"/>
              </w:rPr>
              <w:t xml:space="preserve">-151,8</w:t>
            </w:r>
          </w:p>
        </w:tc>
        <w:tc>
          <w:tcPr/>
          <w:p>
            <w:pPr>
              <w:pStyle w:val="Compact"/>
              <w:jc w:val="right"/>
            </w:pPr>
            <w:r>
              <w:rPr>
                <w:sz w:val="16"/>
                <w:szCs w:val="16"/>
              </w:rPr>
              <w:t xml:space="preserve">-150,2</w:t>
            </w:r>
          </w:p>
        </w:tc>
        <w:tc>
          <w:tcPr/>
          <w:p>
            <w:pPr>
              <w:pStyle w:val="Compact"/>
              <w:jc w:val="right"/>
            </w:pPr>
            <w:r>
              <w:rPr>
                <w:sz w:val="16"/>
                <w:szCs w:val="16"/>
              </w:rPr>
              <w:t xml:space="preserve">-152,9</w:t>
            </w:r>
          </w:p>
        </w:tc>
      </w:tr>
      <w:tr>
        <w:tc>
          <w:tcPr/>
          <w:p>
            <w:pPr>
              <w:pStyle w:val="Compact"/>
              <w:jc w:val="right"/>
            </w:pPr>
            <w:r>
              <w:rPr>
                <w:sz w:val="16"/>
                <w:szCs w:val="16"/>
              </w:rPr>
              <w:t xml:space="preserve">1764</w:t>
            </w:r>
          </w:p>
        </w:tc>
        <w:tc>
          <w:tcPr/>
          <w:p>
            <w:pPr>
              <w:pStyle w:val="Compact"/>
              <w:jc w:val="right"/>
            </w:pPr>
            <w:r>
              <w:rPr>
                <w:sz w:val="16"/>
                <w:szCs w:val="16"/>
              </w:rPr>
              <w:t xml:space="preserve">16,9</w:t>
            </w:r>
          </w:p>
        </w:tc>
        <w:tc>
          <w:tcPr/>
          <w:p>
            <w:pPr>
              <w:pStyle w:val="Compact"/>
              <w:jc w:val="right"/>
            </w:pPr>
            <w:r>
              <w:rPr>
                <w:sz w:val="16"/>
                <w:szCs w:val="16"/>
              </w:rPr>
              <w:t xml:space="preserve">-143,0</w:t>
            </w:r>
          </w:p>
        </w:tc>
        <w:tc>
          <w:tcPr/>
          <w:p>
            <w:pPr>
              <w:pStyle w:val="Compact"/>
              <w:jc w:val="right"/>
            </w:pPr>
            <w:r>
              <w:rPr>
                <w:sz w:val="16"/>
                <w:szCs w:val="16"/>
              </w:rPr>
              <w:t xml:space="preserve">-146,0</w:t>
            </w:r>
          </w:p>
        </w:tc>
        <w:tc>
          <w:tcPr/>
          <w:p>
            <w:pPr>
              <w:pStyle w:val="Compact"/>
              <w:jc w:val="right"/>
            </w:pPr>
            <w:r>
              <w:rPr>
                <w:sz w:val="16"/>
                <w:szCs w:val="16"/>
              </w:rPr>
              <w:t xml:space="preserve">-145,9</w:t>
            </w:r>
          </w:p>
        </w:tc>
        <w:tc>
          <w:tcPr/>
          <w:p>
            <w:pPr>
              <w:pStyle w:val="Compact"/>
              <w:jc w:val="right"/>
            </w:pPr>
            <w:r>
              <w:rPr>
                <w:sz w:val="16"/>
                <w:szCs w:val="16"/>
              </w:rPr>
              <w:t xml:space="preserve">-147,7</w:t>
            </w:r>
          </w:p>
        </w:tc>
        <w:tc>
          <w:tcPr/>
          <w:p>
            <w:pPr>
              <w:pStyle w:val="Compact"/>
              <w:jc w:val="right"/>
            </w:pPr>
            <w:r>
              <w:rPr>
                <w:sz w:val="16"/>
                <w:szCs w:val="16"/>
              </w:rPr>
              <w:t xml:space="preserve">-147,0</w:t>
            </w:r>
          </w:p>
        </w:tc>
        <w:tc>
          <w:tcPr/>
          <w:p>
            <w:pPr>
              <w:pStyle w:val="Compact"/>
              <w:jc w:val="right"/>
            </w:pPr>
            <w:r>
              <w:rPr>
                <w:sz w:val="16"/>
                <w:szCs w:val="16"/>
              </w:rPr>
              <w:t xml:space="preserve">-148,8</w:t>
            </w:r>
          </w:p>
        </w:tc>
      </w:tr>
      <w:tr>
        <w:tc>
          <w:tcPr/>
          <w:p>
            <w:pPr>
              <w:pStyle w:val="Compact"/>
              <w:jc w:val="right"/>
            </w:pPr>
            <w:r>
              <w:rPr>
                <w:sz w:val="16"/>
                <w:szCs w:val="16"/>
              </w:rPr>
              <w:t xml:space="preserve">2016</w:t>
            </w:r>
          </w:p>
        </w:tc>
        <w:tc>
          <w:tcPr/>
          <w:p>
            <w:pPr>
              <w:pStyle w:val="Compact"/>
              <w:jc w:val="right"/>
            </w:pPr>
            <w:r>
              <w:rPr>
                <w:sz w:val="16"/>
                <w:szCs w:val="16"/>
              </w:rPr>
              <w:t xml:space="preserve">16,4</w:t>
            </w:r>
          </w:p>
        </w:tc>
        <w:tc>
          <w:tcPr/>
          <w:p>
            <w:pPr>
              <w:pStyle w:val="Compact"/>
              <w:jc w:val="right"/>
            </w:pPr>
            <w:r>
              <w:rPr>
                <w:sz w:val="16"/>
                <w:szCs w:val="16"/>
              </w:rPr>
              <w:t xml:space="preserve">-139,6</w:t>
            </w:r>
          </w:p>
        </w:tc>
        <w:tc>
          <w:tcPr/>
          <w:p>
            <w:pPr>
              <w:pStyle w:val="Compact"/>
              <w:jc w:val="right"/>
            </w:pPr>
            <w:r>
              <w:rPr>
                <w:sz w:val="16"/>
                <w:szCs w:val="16"/>
              </w:rPr>
              <w:t xml:space="preserve">-142,0</w:t>
            </w:r>
          </w:p>
        </w:tc>
        <w:tc>
          <w:tcPr/>
          <w:p>
            <w:pPr>
              <w:pStyle w:val="Compact"/>
              <w:jc w:val="right"/>
            </w:pPr>
            <w:r>
              <w:rPr>
                <w:sz w:val="16"/>
                <w:szCs w:val="16"/>
              </w:rPr>
              <w:t xml:space="preserve">-142,4</w:t>
            </w:r>
          </w:p>
        </w:tc>
        <w:tc>
          <w:tcPr/>
          <w:p>
            <w:pPr>
              <w:pStyle w:val="Compact"/>
              <w:jc w:val="right"/>
            </w:pPr>
            <w:r>
              <w:rPr>
                <w:sz w:val="16"/>
                <w:szCs w:val="16"/>
              </w:rPr>
              <w:t xml:space="preserve">-143,8</w:t>
            </w:r>
          </w:p>
        </w:tc>
        <w:tc>
          <w:tcPr/>
          <w:p>
            <w:pPr>
              <w:pStyle w:val="Compact"/>
              <w:jc w:val="right"/>
            </w:pPr>
            <w:r>
              <w:rPr>
                <w:sz w:val="16"/>
                <w:szCs w:val="16"/>
              </w:rPr>
              <w:t xml:space="preserve">-143,7</w:t>
            </w:r>
          </w:p>
        </w:tc>
        <w:tc>
          <w:tcPr/>
          <w:p>
            <w:pPr>
              <w:pStyle w:val="Compact"/>
              <w:jc w:val="right"/>
            </w:pPr>
            <w:r>
              <w:rPr>
                <w:sz w:val="16"/>
                <w:szCs w:val="16"/>
              </w:rPr>
              <w:t xml:space="preserve">-144,9</w:t>
            </w:r>
          </w:p>
        </w:tc>
      </w:tr>
      <w:tr>
        <w:tc>
          <w:tcPr/>
          <w:p>
            <w:pPr>
              <w:pStyle w:val="Compact"/>
              <w:jc w:val="right"/>
            </w:pPr>
            <w:r>
              <w:rPr>
                <w:sz w:val="16"/>
                <w:szCs w:val="16"/>
              </w:rPr>
              <w:t xml:space="preserve">2268</w:t>
            </w:r>
          </w:p>
        </w:tc>
        <w:tc>
          <w:tcPr/>
          <w:p>
            <w:pPr>
              <w:pStyle w:val="Compact"/>
              <w:jc w:val="right"/>
            </w:pPr>
            <w:r>
              <w:rPr>
                <w:sz w:val="16"/>
                <w:szCs w:val="16"/>
              </w:rPr>
              <w:t xml:space="preserve">16,2</w:t>
            </w:r>
          </w:p>
        </w:tc>
        <w:tc>
          <w:tcPr/>
          <w:p>
            <w:pPr>
              <w:pStyle w:val="Compact"/>
              <w:jc w:val="right"/>
            </w:pPr>
            <w:r>
              <w:rPr>
                <w:sz w:val="16"/>
                <w:szCs w:val="16"/>
              </w:rPr>
              <w:t xml:space="preserve">-138,3</w:t>
            </w:r>
          </w:p>
        </w:tc>
        <w:tc>
          <w:tcPr/>
          <w:p>
            <w:pPr>
              <w:pStyle w:val="Compact"/>
              <w:jc w:val="right"/>
            </w:pPr>
            <w:r>
              <w:rPr>
                <w:sz w:val="16"/>
                <w:szCs w:val="16"/>
              </w:rPr>
              <w:t xml:space="preserve">-140,6</w:t>
            </w:r>
          </w:p>
        </w:tc>
        <w:tc>
          <w:tcPr/>
          <w:p>
            <w:pPr>
              <w:pStyle w:val="Compact"/>
              <w:jc w:val="right"/>
            </w:pPr>
            <w:r>
              <w:rPr>
                <w:sz w:val="16"/>
                <w:szCs w:val="16"/>
              </w:rPr>
              <w:t xml:space="preserve">-141,0</w:t>
            </w:r>
          </w:p>
        </w:tc>
        <w:tc>
          <w:tcPr/>
          <w:p>
            <w:pPr>
              <w:pStyle w:val="Compact"/>
              <w:jc w:val="right"/>
            </w:pPr>
            <w:r>
              <w:rPr>
                <w:sz w:val="16"/>
                <w:szCs w:val="16"/>
              </w:rPr>
              <w:t xml:space="preserve">-142,5</w:t>
            </w:r>
          </w:p>
        </w:tc>
        <w:tc>
          <w:tcPr/>
          <w:p>
            <w:pPr>
              <w:pStyle w:val="Compact"/>
              <w:jc w:val="right"/>
            </w:pPr>
            <w:r>
              <w:rPr>
                <w:sz w:val="16"/>
                <w:szCs w:val="16"/>
              </w:rPr>
              <w:t xml:space="preserve">-142,3</w:t>
            </w:r>
          </w:p>
        </w:tc>
        <w:tc>
          <w:tcPr/>
          <w:p>
            <w:pPr>
              <w:pStyle w:val="Compact"/>
              <w:jc w:val="right"/>
            </w:pPr>
            <w:r>
              <w:rPr>
                <w:sz w:val="16"/>
                <w:szCs w:val="16"/>
              </w:rPr>
              <w:t xml:space="preserve">-143,7</w:t>
            </w:r>
          </w:p>
        </w:tc>
      </w:tr>
      <w:tr>
        <w:tc>
          <w:tcPr/>
          <w:p>
            <w:pPr>
              <w:pStyle w:val="Compact"/>
              <w:jc w:val="right"/>
            </w:pPr>
            <w:r>
              <w:rPr>
                <w:sz w:val="16"/>
                <w:szCs w:val="16"/>
              </w:rPr>
              <w:t xml:space="preserve">2520</w:t>
            </w:r>
          </w:p>
        </w:tc>
        <w:tc>
          <w:tcPr/>
          <w:p>
            <w:pPr>
              <w:pStyle w:val="Compact"/>
              <w:jc w:val="right"/>
            </w:pPr>
            <w:r>
              <w:rPr>
                <w:sz w:val="16"/>
                <w:szCs w:val="16"/>
              </w:rPr>
              <w:t xml:space="preserve">16,2</w:t>
            </w:r>
          </w:p>
        </w:tc>
        <w:tc>
          <w:tcPr/>
          <w:p>
            <w:pPr>
              <w:pStyle w:val="Compact"/>
              <w:jc w:val="right"/>
            </w:pPr>
            <w:r>
              <w:rPr>
                <w:sz w:val="16"/>
                <w:szCs w:val="16"/>
              </w:rPr>
              <w:t xml:space="preserve">-139,1</w:t>
            </w:r>
          </w:p>
        </w:tc>
        <w:tc>
          <w:tcPr/>
          <w:p>
            <w:pPr>
              <w:pStyle w:val="Compact"/>
              <w:jc w:val="right"/>
            </w:pPr>
            <w:r>
              <w:rPr>
                <w:sz w:val="16"/>
                <w:szCs w:val="16"/>
              </w:rPr>
              <w:t xml:space="preserve">-140,0</w:t>
            </w:r>
          </w:p>
        </w:tc>
        <w:tc>
          <w:tcPr/>
          <w:p>
            <w:pPr>
              <w:pStyle w:val="Compact"/>
              <w:jc w:val="right"/>
            </w:pPr>
            <w:r>
              <w:rPr>
                <w:sz w:val="16"/>
                <w:szCs w:val="16"/>
              </w:rPr>
              <w:t xml:space="preserve">-141,3</w:t>
            </w:r>
          </w:p>
        </w:tc>
        <w:tc>
          <w:tcPr/>
          <w:p>
            <w:pPr>
              <w:pStyle w:val="Compact"/>
              <w:jc w:val="right"/>
            </w:pPr>
            <w:r>
              <w:rPr>
                <w:sz w:val="16"/>
                <w:szCs w:val="16"/>
              </w:rPr>
              <w:t xml:space="preserve">-142,0</w:t>
            </w:r>
          </w:p>
        </w:tc>
        <w:tc>
          <w:tcPr/>
          <w:p>
            <w:pPr>
              <w:pStyle w:val="Compact"/>
              <w:jc w:val="right"/>
            </w:pPr>
            <w:r>
              <w:rPr>
                <w:sz w:val="16"/>
                <w:szCs w:val="16"/>
              </w:rPr>
              <w:t xml:space="preserve">-142,7</w:t>
            </w:r>
          </w:p>
        </w:tc>
        <w:tc>
          <w:tcPr/>
          <w:p>
            <w:pPr>
              <w:pStyle w:val="Compact"/>
              <w:jc w:val="right"/>
            </w:pPr>
            <w:r>
              <w:rPr>
                <w:sz w:val="16"/>
                <w:szCs w:val="16"/>
              </w:rPr>
              <w:t xml:space="preserve">-143,3</w:t>
            </w:r>
          </w:p>
        </w:tc>
      </w:tr>
    </w:tbl>
    <w:bookmarkEnd w:id="52"/>
    <w:p>
      <w:pPr>
        <w:pStyle w:val="BlockText"/>
      </w:pPr>
      <w:r>
        <w:rPr>
          <w:i/>
          <w:iCs/>
        </w:rPr>
        <w:t xml:space="preserve">voll</w:t>
      </w:r>
      <w:r>
        <w:t xml:space="preserve"> </w:t>
      </w:r>
      <w:r>
        <w:t xml:space="preserve">bezeichnet die volle Historie des jeweiligen Fensters,</w:t>
      </w:r>
      <w:r>
        <w:t xml:space="preserve"> </w:t>
      </w:r>
      <w:r>
        <w:rPr>
          <w:i/>
          <w:iCs/>
        </w:rPr>
        <w:t xml:space="preserve">gem.</w:t>
      </w:r>
      <w:r>
        <w:t xml:space="preserve"> </w:t>
      </w:r>
      <w:r>
        <w:t xml:space="preserve">den gemeinsamen Zeitraum ab 01.01.2010.</w:t>
      </w:r>
      <w:r>
        <w:t xml:space="preserve"> </w:t>
      </w:r>
      <m:oMath>
        <m:r>
          <m:rPr>
            <m:sty m:val="p"/>
          </m:rPr>
          <m:t>⌀</m:t>
        </m:r>
        <m:r>
          <m:t> </m:t>
        </m:r>
        <m:r>
          <m:t>N</m:t>
        </m:r>
      </m:oMath>
      <w:r>
        <w:t xml:space="preserve"> </w:t>
      </w:r>
      <w:r>
        <w:t xml:space="preserve">ist die mittlere Zahl investierbarer Sektoren im gemeinsamen Zeitraum.</w:t>
      </w:r>
    </w:p>
    <w:bookmarkStart w:id="53" w:name="tab:strukturbruch_sharpe"/>
    <w:p>
      <w:pPr>
        <w:pStyle w:val="TableCaption"/>
      </w:pPr>
      <w:r>
        <w:t xml:space="preserve">Sharpe Ratio über vollen und gemeinsamen Bewertungszeitraum (TRBC,</w:t>
      </w:r>
      <w:r>
        <w:t xml:space="preserve"> </w:t>
      </w:r>
      <m:oMath>
        <m:r>
          <m:t>h</m:t>
        </m:r>
        <m:r>
          <m:rPr>
            <m:sty m:val="p"/>
          </m:rPr>
          <m:t>=</m:t>
        </m:r>
        <m:r>
          <m:t>1</m:t>
        </m:r>
      </m:oMath>
      <w:r>
        <w:t xml:space="preserve">)</w:t>
      </w:r>
    </w:p>
    <w:tbl>
      <w:tblPr>
        <w:tblStyle w:val="Table"/>
        <w:tblW w:type="auto" w:w="0"/>
        <w:tblLook w:firstRow="0" w:lastRow="0" w:firstColumn="0" w:lastColumn="0" w:noHBand="0" w:noVBand="0" w:val="0000"/>
        <w:tblCaption w:val="Sharpe Ratio über vollen und gemeinsamen Bewertungszeitraum (TRBC, h=1)"/>
      </w:tblPr>
      <w:tblGrid>
        <w:gridCol w:w="1008"/>
        <w:gridCol w:w="1008"/>
        <w:gridCol w:w="1008"/>
        <w:gridCol w:w="1008"/>
        <w:gridCol w:w="1008"/>
        <w:gridCol w:w="1008"/>
        <w:gridCol w:w="1008"/>
        <w:gridCol w:w="1008"/>
        <w:gridCol w:w="1008"/>
      </w:tblGrid>
      <w:tr>
        <w:tc>
          <w:tcPr/>
          <w:p>
            <w:pPr>
              <w:pStyle w:val="Compact"/>
              <w:jc w:val="right"/>
            </w:pPr>
            <w:r>
              <w:rPr>
                <w:sz w:val="16"/>
                <w:szCs w:val="16"/>
              </w:rPr>
              <w:t xml:space="preserve">Training</w:t>
            </w:r>
          </w:p>
        </w:tc>
        <w:tc>
          <w:tcPr>
            <w:gridSpan w:val="2"/>
          </w:tcPr>
          <w:p>
            <w:pPr>
              <w:pStyle w:val="Compact"/>
              <w:jc w:val="center"/>
            </w:pPr>
            <w:r>
              <w:rPr>
                <w:sz w:val="16"/>
                <w:szCs w:val="16"/>
              </w:rPr>
              <w:t xml:space="preserve">MVP Historisch</w:t>
            </w:r>
          </w:p>
        </w:tc>
        <w:tc>
          <w:tcPr>
            <w:gridSpan w:val="2"/>
          </w:tcPr>
          <w:p>
            <w:pPr>
              <w:pStyle w:val="Compact"/>
              <w:jc w:val="center"/>
            </w:pPr>
            <w:r>
              <w:rPr>
                <w:sz w:val="16"/>
                <w:szCs w:val="16"/>
              </w:rPr>
              <w:t xml:space="preserve">MVP GARCH</w:t>
            </w:r>
          </w:p>
        </w:tc>
        <w:tc>
          <w:tcPr>
            <w:gridSpan w:val="2"/>
          </w:tcPr>
          <w:p>
            <w:pPr>
              <w:pStyle w:val="Compact"/>
              <w:jc w:val="center"/>
            </w:pPr>
            <w:r>
              <w:rPr>
                <w:sz w:val="16"/>
                <w:szCs w:val="16"/>
              </w:rPr>
              <w:t xml:space="preserve">MVP DCC-GARCH</w:t>
            </w:r>
          </w:p>
        </w:tc>
        <w:tc>
          <w:tcPr>
            <w:gridSpan w:val="2"/>
          </w:tcPr>
          <w:p>
            <w:pPr>
              <w:pStyle w:val="Compact"/>
              <w:jc w:val="center"/>
            </w:pPr>
            <w:r>
              <w:rPr>
                <w:sz w:val="16"/>
                <w:szCs w:val="16"/>
              </w:rPr>
              <w:t xml:space="preserve">1/N</w:t>
            </w:r>
          </w:p>
        </w:tc>
      </w:tr>
      <w:tr>
        <w:tc>
          <w:tcPr/>
          <w:p>
            <w:pPr>
              <w:pStyle w:val="Compact"/>
            </w:pPr>
          </w:p>
        </w:tc>
        <w:tc>
          <w:tcPr/>
          <w:p>
            <w:pPr>
              <w:pStyle w:val="Compact"/>
              <w:jc w:val="right"/>
            </w:pPr>
            <w:r>
              <w:rPr>
                <w:sz w:val="16"/>
                <w:szCs w:val="16"/>
              </w:rPr>
              <w:t xml:space="preserve">voll</w:t>
            </w:r>
          </w:p>
        </w:tc>
        <w:tc>
          <w:tcPr/>
          <w:p>
            <w:pPr>
              <w:pStyle w:val="Compact"/>
              <w:jc w:val="right"/>
            </w:pPr>
            <w:r>
              <w:rPr>
                <w:sz w:val="16"/>
                <w:szCs w:val="16"/>
              </w:rPr>
              <w:t xml:space="preserve">gem.</w:t>
            </w:r>
          </w:p>
        </w:tc>
        <w:tc>
          <w:tcPr/>
          <w:p>
            <w:pPr>
              <w:pStyle w:val="Compact"/>
              <w:jc w:val="right"/>
            </w:pPr>
            <w:r>
              <w:rPr>
                <w:sz w:val="16"/>
                <w:szCs w:val="16"/>
              </w:rPr>
              <w:t xml:space="preserve">voll</w:t>
            </w:r>
          </w:p>
        </w:tc>
        <w:tc>
          <w:tcPr/>
          <w:p>
            <w:pPr>
              <w:pStyle w:val="Compact"/>
              <w:jc w:val="right"/>
            </w:pPr>
            <w:r>
              <w:rPr>
                <w:sz w:val="16"/>
                <w:szCs w:val="16"/>
              </w:rPr>
              <w:t xml:space="preserve">gem.</w:t>
            </w:r>
          </w:p>
        </w:tc>
        <w:tc>
          <w:tcPr/>
          <w:p>
            <w:pPr>
              <w:pStyle w:val="Compact"/>
              <w:jc w:val="right"/>
            </w:pPr>
            <w:r>
              <w:rPr>
                <w:sz w:val="16"/>
                <w:szCs w:val="16"/>
              </w:rPr>
              <w:t xml:space="preserve">voll</w:t>
            </w:r>
          </w:p>
        </w:tc>
        <w:tc>
          <w:tcPr/>
          <w:p>
            <w:pPr>
              <w:pStyle w:val="Compact"/>
              <w:jc w:val="right"/>
            </w:pPr>
            <w:r>
              <w:rPr>
                <w:sz w:val="16"/>
                <w:szCs w:val="16"/>
              </w:rPr>
              <w:t xml:space="preserve">gem.</w:t>
            </w:r>
          </w:p>
        </w:tc>
        <w:tc>
          <w:tcPr/>
          <w:p>
            <w:pPr>
              <w:pStyle w:val="Compact"/>
              <w:jc w:val="right"/>
            </w:pPr>
            <w:r>
              <w:rPr>
                <w:sz w:val="16"/>
                <w:szCs w:val="16"/>
              </w:rPr>
              <w:t xml:space="preserve">voll</w:t>
            </w:r>
          </w:p>
        </w:tc>
        <w:tc>
          <w:tcPr/>
          <w:p>
            <w:pPr>
              <w:pStyle w:val="Compact"/>
              <w:jc w:val="right"/>
            </w:pPr>
            <w:r>
              <w:rPr>
                <w:sz w:val="16"/>
                <w:szCs w:val="16"/>
              </w:rPr>
              <w:t xml:space="preserve">gem.</w:t>
            </w:r>
          </w:p>
        </w:tc>
      </w:tr>
      <w:tr>
        <w:tc>
          <w:tcPr/>
          <w:p>
            <w:pPr>
              <w:pStyle w:val="Compact"/>
              <w:jc w:val="right"/>
            </w:pPr>
            <w:r>
              <w:rPr>
                <w:sz w:val="16"/>
                <w:szCs w:val="16"/>
              </w:rPr>
              <w:t xml:space="preserve">252</w:t>
            </w:r>
          </w:p>
        </w:tc>
        <w:tc>
          <w:tcPr/>
          <w:p>
            <w:pPr>
              <w:pStyle w:val="Compact"/>
              <w:jc w:val="right"/>
            </w:pPr>
            <w:r>
              <w:rPr>
                <w:sz w:val="16"/>
                <w:szCs w:val="16"/>
              </w:rPr>
              <w:t xml:space="preserve">0,419</w:t>
            </w:r>
          </w:p>
        </w:tc>
        <w:tc>
          <w:tcPr/>
          <w:p>
            <w:pPr>
              <w:pStyle w:val="Compact"/>
              <w:jc w:val="right"/>
            </w:pPr>
            <w:r>
              <w:rPr>
                <w:sz w:val="16"/>
                <w:szCs w:val="16"/>
              </w:rPr>
              <w:t xml:space="preserve">0,515</w:t>
            </w:r>
          </w:p>
        </w:tc>
        <w:tc>
          <w:tcPr/>
          <w:p>
            <w:pPr>
              <w:pStyle w:val="Compact"/>
              <w:jc w:val="right"/>
            </w:pPr>
            <w:r>
              <w:rPr>
                <w:sz w:val="16"/>
                <w:szCs w:val="16"/>
              </w:rPr>
              <w:t xml:space="preserve">0,377</w:t>
            </w:r>
          </w:p>
        </w:tc>
        <w:tc>
          <w:tcPr/>
          <w:p>
            <w:pPr>
              <w:pStyle w:val="Compact"/>
              <w:jc w:val="right"/>
            </w:pPr>
            <w:r>
              <w:rPr>
                <w:sz w:val="16"/>
                <w:szCs w:val="16"/>
              </w:rPr>
              <w:t xml:space="preserve">0,505</w:t>
            </w:r>
          </w:p>
        </w:tc>
        <w:tc>
          <w:tcPr/>
          <w:p>
            <w:pPr>
              <w:pStyle w:val="Compact"/>
              <w:jc w:val="right"/>
            </w:pPr>
            <w:r>
              <w:rPr>
                <w:sz w:val="16"/>
                <w:szCs w:val="16"/>
              </w:rPr>
              <w:t xml:space="preserve">0,384</w:t>
            </w:r>
          </w:p>
        </w:tc>
        <w:tc>
          <w:tcPr/>
          <w:p>
            <w:pPr>
              <w:pStyle w:val="Compact"/>
              <w:jc w:val="right"/>
            </w:pPr>
            <w:r>
              <w:rPr>
                <w:sz w:val="16"/>
                <w:szCs w:val="16"/>
              </w:rPr>
              <w:t xml:space="preserve">0,518</w:t>
            </w:r>
          </w:p>
        </w:tc>
        <w:tc>
          <w:tcPr/>
          <w:p>
            <w:pPr>
              <w:pStyle w:val="Compact"/>
              <w:jc w:val="right"/>
            </w:pPr>
            <w:r>
              <w:rPr>
                <w:sz w:val="16"/>
                <w:szCs w:val="16"/>
              </w:rPr>
              <w:t xml:space="preserve">0,400</w:t>
            </w:r>
          </w:p>
        </w:tc>
        <w:tc>
          <w:tcPr/>
          <w:p>
            <w:pPr>
              <w:pStyle w:val="Compact"/>
              <w:jc w:val="right"/>
            </w:pPr>
            <w:r>
              <w:rPr>
                <w:sz w:val="16"/>
                <w:szCs w:val="16"/>
              </w:rPr>
              <w:t xml:space="preserve">0,592</w:t>
            </w:r>
          </w:p>
        </w:tc>
      </w:tr>
      <w:tr>
        <w:tc>
          <w:tcPr/>
          <w:p>
            <w:pPr>
              <w:pStyle w:val="Compact"/>
              <w:jc w:val="right"/>
            </w:pPr>
            <w:r>
              <w:rPr>
                <w:sz w:val="16"/>
                <w:szCs w:val="16"/>
              </w:rPr>
              <w:t xml:space="preserve">504</w:t>
            </w:r>
          </w:p>
        </w:tc>
        <w:tc>
          <w:tcPr/>
          <w:p>
            <w:pPr>
              <w:pStyle w:val="Compact"/>
              <w:jc w:val="right"/>
            </w:pPr>
            <w:r>
              <w:rPr>
                <w:sz w:val="16"/>
                <w:szCs w:val="16"/>
              </w:rPr>
              <w:t xml:space="preserve">0,406</w:t>
            </w:r>
          </w:p>
        </w:tc>
        <w:tc>
          <w:tcPr/>
          <w:p>
            <w:pPr>
              <w:pStyle w:val="Compact"/>
              <w:jc w:val="right"/>
            </w:pPr>
            <w:r>
              <w:rPr>
                <w:sz w:val="16"/>
                <w:szCs w:val="16"/>
              </w:rPr>
              <w:t xml:space="preserve">0,495</w:t>
            </w:r>
          </w:p>
        </w:tc>
        <w:tc>
          <w:tcPr/>
          <w:p>
            <w:pPr>
              <w:pStyle w:val="Compact"/>
              <w:jc w:val="right"/>
            </w:pPr>
            <w:r>
              <w:rPr>
                <w:sz w:val="16"/>
                <w:szCs w:val="16"/>
              </w:rPr>
              <w:t xml:space="preserve">0,453</w:t>
            </w:r>
          </w:p>
        </w:tc>
        <w:tc>
          <w:tcPr/>
          <w:p>
            <w:pPr>
              <w:pStyle w:val="Compact"/>
              <w:jc w:val="right"/>
            </w:pPr>
            <w:r>
              <w:rPr>
                <w:sz w:val="16"/>
                <w:szCs w:val="16"/>
              </w:rPr>
              <w:t xml:space="preserve">0,627</w:t>
            </w:r>
          </w:p>
        </w:tc>
        <w:tc>
          <w:tcPr/>
          <w:p>
            <w:pPr>
              <w:pStyle w:val="Compact"/>
              <w:jc w:val="right"/>
            </w:pPr>
            <w:r>
              <w:rPr>
                <w:sz w:val="16"/>
                <w:szCs w:val="16"/>
              </w:rPr>
              <w:t xml:space="preserve">0,452</w:t>
            </w:r>
          </w:p>
        </w:tc>
        <w:tc>
          <w:tcPr/>
          <w:p>
            <w:pPr>
              <w:pStyle w:val="Compact"/>
              <w:jc w:val="right"/>
            </w:pPr>
            <w:r>
              <w:rPr>
                <w:sz w:val="16"/>
                <w:szCs w:val="16"/>
              </w:rPr>
              <w:t xml:space="preserve">0,633</w:t>
            </w:r>
          </w:p>
        </w:tc>
        <w:tc>
          <w:tcPr/>
          <w:p>
            <w:pPr>
              <w:pStyle w:val="Compact"/>
              <w:jc w:val="right"/>
            </w:pPr>
            <w:r>
              <w:rPr>
                <w:sz w:val="16"/>
                <w:szCs w:val="16"/>
              </w:rPr>
              <w:t xml:space="preserve">0,406</w:t>
            </w:r>
          </w:p>
        </w:tc>
        <w:tc>
          <w:tcPr/>
          <w:p>
            <w:pPr>
              <w:pStyle w:val="Compact"/>
              <w:jc w:val="right"/>
            </w:pPr>
            <w:r>
              <w:rPr>
                <w:sz w:val="16"/>
                <w:szCs w:val="16"/>
              </w:rPr>
              <w:t xml:space="preserve">0,601</w:t>
            </w:r>
          </w:p>
        </w:tc>
      </w:tr>
      <w:tr>
        <w:tc>
          <w:tcPr/>
          <w:p>
            <w:pPr>
              <w:pStyle w:val="Compact"/>
              <w:jc w:val="right"/>
            </w:pPr>
            <w:r>
              <w:rPr>
                <w:sz w:val="16"/>
                <w:szCs w:val="16"/>
              </w:rPr>
              <w:t xml:space="preserve">756</w:t>
            </w:r>
          </w:p>
        </w:tc>
        <w:tc>
          <w:tcPr/>
          <w:p>
            <w:pPr>
              <w:pStyle w:val="Compact"/>
              <w:jc w:val="right"/>
            </w:pPr>
            <w:r>
              <w:rPr>
                <w:sz w:val="16"/>
                <w:szCs w:val="16"/>
              </w:rPr>
              <w:t xml:space="preserve">0,432</w:t>
            </w:r>
          </w:p>
        </w:tc>
        <w:tc>
          <w:tcPr/>
          <w:p>
            <w:pPr>
              <w:pStyle w:val="Compact"/>
              <w:jc w:val="right"/>
            </w:pPr>
            <w:r>
              <w:rPr>
                <w:sz w:val="16"/>
                <w:szCs w:val="16"/>
              </w:rPr>
              <w:t xml:space="preserve">0,525</w:t>
            </w:r>
          </w:p>
        </w:tc>
        <w:tc>
          <w:tcPr/>
          <w:p>
            <w:pPr>
              <w:pStyle w:val="Compact"/>
              <w:jc w:val="right"/>
            </w:pPr>
            <w:r>
              <w:rPr>
                <w:sz w:val="16"/>
                <w:szCs w:val="16"/>
              </w:rPr>
              <w:t xml:space="preserve">0,427</w:t>
            </w:r>
          </w:p>
        </w:tc>
        <w:tc>
          <w:tcPr/>
          <w:p>
            <w:pPr>
              <w:pStyle w:val="Compact"/>
              <w:jc w:val="right"/>
            </w:pPr>
            <w:r>
              <w:rPr>
                <w:sz w:val="16"/>
                <w:szCs w:val="16"/>
              </w:rPr>
              <w:t xml:space="preserve">0,561</w:t>
            </w:r>
          </w:p>
        </w:tc>
        <w:tc>
          <w:tcPr/>
          <w:p>
            <w:pPr>
              <w:pStyle w:val="Compact"/>
              <w:jc w:val="right"/>
            </w:pPr>
            <w:r>
              <w:rPr>
                <w:sz w:val="16"/>
                <w:szCs w:val="16"/>
              </w:rPr>
              <w:t xml:space="preserve">0,425</w:t>
            </w:r>
          </w:p>
        </w:tc>
        <w:tc>
          <w:tcPr/>
          <w:p>
            <w:pPr>
              <w:pStyle w:val="Compact"/>
              <w:jc w:val="right"/>
            </w:pPr>
            <w:r>
              <w:rPr>
                <w:sz w:val="16"/>
                <w:szCs w:val="16"/>
              </w:rPr>
              <w:t xml:space="preserve">0,564</w:t>
            </w:r>
          </w:p>
        </w:tc>
        <w:tc>
          <w:tcPr/>
          <w:p>
            <w:pPr>
              <w:pStyle w:val="Compact"/>
              <w:jc w:val="right"/>
            </w:pPr>
            <w:r>
              <w:rPr>
                <w:sz w:val="16"/>
                <w:szCs w:val="16"/>
              </w:rPr>
              <w:t xml:space="preserve">0,422</w:t>
            </w:r>
          </w:p>
        </w:tc>
        <w:tc>
          <w:tcPr/>
          <w:p>
            <w:pPr>
              <w:pStyle w:val="Compact"/>
              <w:jc w:val="right"/>
            </w:pPr>
            <w:r>
              <w:rPr>
                <w:sz w:val="16"/>
                <w:szCs w:val="16"/>
              </w:rPr>
              <w:t xml:space="preserve">0,593</w:t>
            </w:r>
          </w:p>
        </w:tc>
      </w:tr>
      <w:tr>
        <w:tc>
          <w:tcPr/>
          <w:p>
            <w:pPr>
              <w:pStyle w:val="Compact"/>
              <w:jc w:val="right"/>
            </w:pPr>
            <w:r>
              <w:rPr>
                <w:sz w:val="16"/>
                <w:szCs w:val="16"/>
              </w:rPr>
              <w:t xml:space="preserve">1008</w:t>
            </w:r>
          </w:p>
        </w:tc>
        <w:tc>
          <w:tcPr/>
          <w:p>
            <w:pPr>
              <w:pStyle w:val="Compact"/>
              <w:jc w:val="right"/>
            </w:pPr>
            <w:r>
              <w:rPr>
                <w:sz w:val="16"/>
                <w:szCs w:val="16"/>
              </w:rPr>
              <w:t xml:space="preserve">0,567</w:t>
            </w:r>
          </w:p>
        </w:tc>
        <w:tc>
          <w:tcPr/>
          <w:p>
            <w:pPr>
              <w:pStyle w:val="Compact"/>
              <w:jc w:val="right"/>
            </w:pPr>
            <w:r>
              <w:rPr>
                <w:sz w:val="16"/>
                <w:szCs w:val="16"/>
              </w:rPr>
              <w:t xml:space="preserve">0,606</w:t>
            </w:r>
          </w:p>
        </w:tc>
        <w:tc>
          <w:tcPr/>
          <w:p>
            <w:pPr>
              <w:pStyle w:val="Compact"/>
              <w:jc w:val="right"/>
            </w:pPr>
            <w:r>
              <w:rPr>
                <w:sz w:val="16"/>
                <w:szCs w:val="16"/>
              </w:rPr>
              <w:t xml:space="preserve">0,532</w:t>
            </w:r>
          </w:p>
        </w:tc>
        <w:tc>
          <w:tcPr/>
          <w:p>
            <w:pPr>
              <w:pStyle w:val="Compact"/>
              <w:jc w:val="right"/>
            </w:pPr>
            <w:r>
              <w:rPr>
                <w:sz w:val="16"/>
                <w:szCs w:val="16"/>
              </w:rPr>
              <w:t xml:space="preserve">0,599</w:t>
            </w:r>
          </w:p>
        </w:tc>
        <w:tc>
          <w:tcPr/>
          <w:p>
            <w:pPr>
              <w:pStyle w:val="Compact"/>
              <w:jc w:val="right"/>
            </w:pPr>
            <w:r>
              <w:rPr>
                <w:sz w:val="16"/>
                <w:szCs w:val="16"/>
              </w:rPr>
              <w:t xml:space="preserve">0,543</w:t>
            </w:r>
          </w:p>
        </w:tc>
        <w:tc>
          <w:tcPr/>
          <w:p>
            <w:pPr>
              <w:pStyle w:val="Compact"/>
              <w:jc w:val="right"/>
            </w:pPr>
            <w:r>
              <w:rPr>
                <w:sz w:val="16"/>
                <w:szCs w:val="16"/>
              </w:rPr>
              <w:t xml:space="preserve">0,620</w:t>
            </w:r>
          </w:p>
        </w:tc>
        <w:tc>
          <w:tcPr/>
          <w:p>
            <w:pPr>
              <w:pStyle w:val="Compact"/>
              <w:jc w:val="right"/>
            </w:pPr>
            <w:r>
              <w:rPr>
                <w:sz w:val="16"/>
                <w:szCs w:val="16"/>
              </w:rPr>
              <w:t xml:space="preserve">0,488</w:t>
            </w:r>
          </w:p>
        </w:tc>
        <w:tc>
          <w:tcPr/>
          <w:p>
            <w:pPr>
              <w:pStyle w:val="Compact"/>
              <w:jc w:val="right"/>
            </w:pPr>
            <w:r>
              <w:rPr>
                <w:sz w:val="16"/>
                <w:szCs w:val="16"/>
              </w:rPr>
              <w:t xml:space="preserve">0,594</w:t>
            </w:r>
          </w:p>
        </w:tc>
      </w:tr>
      <w:tr>
        <w:tc>
          <w:tcPr/>
          <w:p>
            <w:pPr>
              <w:pStyle w:val="Compact"/>
              <w:jc w:val="right"/>
            </w:pPr>
            <w:r>
              <w:rPr>
                <w:sz w:val="16"/>
                <w:szCs w:val="16"/>
              </w:rPr>
              <w:t xml:space="preserve">1260</w:t>
            </w:r>
          </w:p>
        </w:tc>
        <w:tc>
          <w:tcPr/>
          <w:p>
            <w:pPr>
              <w:pStyle w:val="Compact"/>
              <w:jc w:val="right"/>
            </w:pPr>
            <w:r>
              <w:rPr>
                <w:sz w:val="16"/>
                <w:szCs w:val="16"/>
              </w:rPr>
              <w:t xml:space="preserve">0,496</w:t>
            </w:r>
          </w:p>
        </w:tc>
        <w:tc>
          <w:tcPr/>
          <w:p>
            <w:pPr>
              <w:pStyle w:val="Compact"/>
              <w:jc w:val="right"/>
            </w:pPr>
            <w:r>
              <w:rPr>
                <w:sz w:val="16"/>
                <w:szCs w:val="16"/>
              </w:rPr>
              <w:t xml:space="preserve">0,613</w:t>
            </w:r>
          </w:p>
        </w:tc>
        <w:tc>
          <w:tcPr/>
          <w:p>
            <w:pPr>
              <w:pStyle w:val="Compact"/>
              <w:jc w:val="right"/>
            </w:pPr>
            <w:r>
              <w:rPr>
                <w:sz w:val="16"/>
                <w:szCs w:val="16"/>
              </w:rPr>
              <w:t xml:space="preserve">0,458</w:t>
            </w:r>
          </w:p>
        </w:tc>
        <w:tc>
          <w:tcPr/>
          <w:p>
            <w:pPr>
              <w:pStyle w:val="Compact"/>
              <w:jc w:val="right"/>
            </w:pPr>
            <w:r>
              <w:rPr>
                <w:sz w:val="16"/>
                <w:szCs w:val="16"/>
              </w:rPr>
              <w:t xml:space="preserve">0,592</w:t>
            </w:r>
          </w:p>
        </w:tc>
        <w:tc>
          <w:tcPr/>
          <w:p>
            <w:pPr>
              <w:pStyle w:val="Compact"/>
              <w:jc w:val="right"/>
            </w:pPr>
            <w:r>
              <w:rPr>
                <w:sz w:val="16"/>
                <w:szCs w:val="16"/>
              </w:rPr>
              <w:t xml:space="preserve">0,470</w:t>
            </w:r>
          </w:p>
        </w:tc>
        <w:tc>
          <w:tcPr/>
          <w:p>
            <w:pPr>
              <w:pStyle w:val="Compact"/>
              <w:jc w:val="right"/>
            </w:pPr>
            <w:r>
              <w:rPr>
                <w:sz w:val="16"/>
                <w:szCs w:val="16"/>
              </w:rPr>
              <w:t xml:space="preserve">0,620</w:t>
            </w:r>
          </w:p>
        </w:tc>
        <w:tc>
          <w:tcPr/>
          <w:p>
            <w:pPr>
              <w:pStyle w:val="Compact"/>
              <w:jc w:val="right"/>
            </w:pPr>
            <w:r>
              <w:rPr>
                <w:sz w:val="16"/>
                <w:szCs w:val="16"/>
              </w:rPr>
              <w:t xml:space="preserve">0,412</w:t>
            </w:r>
          </w:p>
        </w:tc>
        <w:tc>
          <w:tcPr/>
          <w:p>
            <w:pPr>
              <w:pStyle w:val="Compact"/>
              <w:jc w:val="right"/>
            </w:pPr>
            <w:r>
              <w:rPr>
                <w:sz w:val="16"/>
                <w:szCs w:val="16"/>
              </w:rPr>
              <w:t xml:space="preserve">0,573</w:t>
            </w:r>
          </w:p>
        </w:tc>
      </w:tr>
      <w:tr>
        <w:tc>
          <w:tcPr/>
          <w:p>
            <w:pPr>
              <w:pStyle w:val="Compact"/>
              <w:jc w:val="right"/>
            </w:pPr>
            <w:r>
              <w:rPr>
                <w:sz w:val="16"/>
                <w:szCs w:val="16"/>
              </w:rPr>
              <w:t xml:space="preserve">1512</w:t>
            </w:r>
          </w:p>
        </w:tc>
        <w:tc>
          <w:tcPr/>
          <w:p>
            <w:pPr>
              <w:pStyle w:val="Compact"/>
              <w:jc w:val="right"/>
            </w:pPr>
            <w:r>
              <w:rPr>
                <w:sz w:val="16"/>
                <w:szCs w:val="16"/>
              </w:rPr>
              <w:t xml:space="preserve">0,445</w:t>
            </w:r>
          </w:p>
        </w:tc>
        <w:tc>
          <w:tcPr/>
          <w:p>
            <w:pPr>
              <w:pStyle w:val="Compact"/>
              <w:jc w:val="right"/>
            </w:pPr>
            <w:r>
              <w:rPr>
                <w:sz w:val="16"/>
                <w:szCs w:val="16"/>
              </w:rPr>
              <w:t xml:space="preserve">0,574</w:t>
            </w:r>
          </w:p>
        </w:tc>
        <w:tc>
          <w:tcPr/>
          <w:p>
            <w:pPr>
              <w:pStyle w:val="Compact"/>
              <w:jc w:val="right"/>
            </w:pPr>
            <w:r>
              <w:rPr>
                <w:sz w:val="16"/>
                <w:szCs w:val="16"/>
              </w:rPr>
              <w:t xml:space="preserve">0,424</w:t>
            </w:r>
          </w:p>
        </w:tc>
        <w:tc>
          <w:tcPr/>
          <w:p>
            <w:pPr>
              <w:pStyle w:val="Compact"/>
              <w:jc w:val="right"/>
            </w:pPr>
            <w:r>
              <w:rPr>
                <w:sz w:val="16"/>
                <w:szCs w:val="16"/>
              </w:rPr>
              <w:t xml:space="preserve">0,562</w:t>
            </w:r>
          </w:p>
        </w:tc>
        <w:tc>
          <w:tcPr/>
          <w:p>
            <w:pPr>
              <w:pStyle w:val="Compact"/>
              <w:jc w:val="right"/>
            </w:pPr>
            <w:r>
              <w:rPr>
                <w:sz w:val="16"/>
                <w:szCs w:val="16"/>
              </w:rPr>
              <w:t xml:space="preserve">0,440</w:t>
            </w:r>
          </w:p>
        </w:tc>
        <w:tc>
          <w:tcPr/>
          <w:p>
            <w:pPr>
              <w:pStyle w:val="Compact"/>
              <w:jc w:val="right"/>
            </w:pPr>
            <w:r>
              <w:rPr>
                <w:sz w:val="16"/>
                <w:szCs w:val="16"/>
              </w:rPr>
              <w:t xml:space="preserve">0,587</w:t>
            </w:r>
          </w:p>
        </w:tc>
        <w:tc>
          <w:tcPr/>
          <w:p>
            <w:pPr>
              <w:pStyle w:val="Compact"/>
              <w:jc w:val="right"/>
            </w:pPr>
            <w:r>
              <w:rPr>
                <w:sz w:val="16"/>
                <w:szCs w:val="16"/>
              </w:rPr>
              <w:t xml:space="preserve">0,407</w:t>
            </w:r>
          </w:p>
        </w:tc>
        <w:tc>
          <w:tcPr/>
          <w:p>
            <w:pPr>
              <w:pStyle w:val="Compact"/>
              <w:jc w:val="right"/>
            </w:pPr>
            <w:r>
              <w:rPr>
                <w:sz w:val="16"/>
                <w:szCs w:val="16"/>
              </w:rPr>
              <w:t xml:space="preserve">0,576</w:t>
            </w:r>
          </w:p>
        </w:tc>
      </w:tr>
      <w:tr>
        <w:tc>
          <w:tcPr/>
          <w:p>
            <w:pPr>
              <w:pStyle w:val="Compact"/>
              <w:jc w:val="right"/>
            </w:pPr>
            <w:r>
              <w:rPr>
                <w:sz w:val="16"/>
                <w:szCs w:val="16"/>
              </w:rPr>
              <w:t xml:space="preserve">1764</w:t>
            </w:r>
          </w:p>
        </w:tc>
        <w:tc>
          <w:tcPr/>
          <w:p>
            <w:pPr>
              <w:pStyle w:val="Compact"/>
              <w:jc w:val="right"/>
            </w:pPr>
            <w:r>
              <w:rPr>
                <w:sz w:val="16"/>
                <w:szCs w:val="16"/>
              </w:rPr>
              <w:t xml:space="preserve">0,403</w:t>
            </w:r>
          </w:p>
        </w:tc>
        <w:tc>
          <w:tcPr/>
          <w:p>
            <w:pPr>
              <w:pStyle w:val="Compact"/>
              <w:jc w:val="right"/>
            </w:pPr>
            <w:r>
              <w:rPr>
                <w:sz w:val="16"/>
                <w:szCs w:val="16"/>
              </w:rPr>
              <w:t xml:space="preserve">0,535</w:t>
            </w:r>
          </w:p>
        </w:tc>
        <w:tc>
          <w:tcPr/>
          <w:p>
            <w:pPr>
              <w:pStyle w:val="Compact"/>
              <w:jc w:val="right"/>
            </w:pPr>
            <w:r>
              <w:rPr>
                <w:sz w:val="16"/>
                <w:szCs w:val="16"/>
              </w:rPr>
              <w:t xml:space="preserve">0,429</w:t>
            </w:r>
          </w:p>
        </w:tc>
        <w:tc>
          <w:tcPr/>
          <w:p>
            <w:pPr>
              <w:pStyle w:val="Compact"/>
              <w:jc w:val="right"/>
            </w:pPr>
            <w:r>
              <w:rPr>
                <w:sz w:val="16"/>
                <w:szCs w:val="16"/>
              </w:rPr>
              <w:t xml:space="preserve">0,563</w:t>
            </w:r>
          </w:p>
        </w:tc>
        <w:tc>
          <w:tcPr/>
          <w:p>
            <w:pPr>
              <w:pStyle w:val="Compact"/>
              <w:jc w:val="right"/>
            </w:pPr>
            <w:r>
              <w:rPr>
                <w:sz w:val="16"/>
                <w:szCs w:val="16"/>
              </w:rPr>
              <w:t xml:space="preserve">0,437</w:t>
            </w:r>
          </w:p>
        </w:tc>
        <w:tc>
          <w:tcPr/>
          <w:p>
            <w:pPr>
              <w:pStyle w:val="Compact"/>
              <w:jc w:val="right"/>
            </w:pPr>
            <w:r>
              <w:rPr>
                <w:sz w:val="16"/>
                <w:szCs w:val="16"/>
              </w:rPr>
              <w:t xml:space="preserve">0,578</w:t>
            </w:r>
          </w:p>
        </w:tc>
        <w:tc>
          <w:tcPr/>
          <w:p>
            <w:pPr>
              <w:pStyle w:val="Compact"/>
              <w:jc w:val="right"/>
            </w:pPr>
            <w:r>
              <w:rPr>
                <w:sz w:val="16"/>
                <w:szCs w:val="16"/>
              </w:rPr>
              <w:t xml:space="preserve">0,373</w:t>
            </w:r>
          </w:p>
        </w:tc>
        <w:tc>
          <w:tcPr/>
          <w:p>
            <w:pPr>
              <w:pStyle w:val="Compact"/>
              <w:jc w:val="right"/>
            </w:pPr>
            <w:r>
              <w:rPr>
                <w:sz w:val="16"/>
                <w:szCs w:val="16"/>
              </w:rPr>
              <w:t xml:space="preserve">0,537</w:t>
            </w:r>
          </w:p>
        </w:tc>
      </w:tr>
      <w:tr>
        <w:tc>
          <w:tcPr/>
          <w:p>
            <w:pPr>
              <w:pStyle w:val="Compact"/>
              <w:jc w:val="right"/>
            </w:pPr>
            <w:r>
              <w:rPr>
                <w:sz w:val="16"/>
                <w:szCs w:val="16"/>
              </w:rPr>
              <w:t xml:space="preserve">2016</w:t>
            </w:r>
          </w:p>
        </w:tc>
        <w:tc>
          <w:tcPr/>
          <w:p>
            <w:pPr>
              <w:pStyle w:val="Compact"/>
              <w:jc w:val="right"/>
            </w:pPr>
            <w:r>
              <w:rPr>
                <w:sz w:val="16"/>
                <w:szCs w:val="16"/>
              </w:rPr>
              <w:t xml:space="preserve">0,363</w:t>
            </w:r>
          </w:p>
        </w:tc>
        <w:tc>
          <w:tcPr/>
          <w:p>
            <w:pPr>
              <w:pStyle w:val="Compact"/>
              <w:jc w:val="right"/>
            </w:pPr>
            <w:r>
              <w:rPr>
                <w:sz w:val="16"/>
                <w:szCs w:val="16"/>
              </w:rPr>
              <w:t xml:space="preserve">0,525</w:t>
            </w:r>
          </w:p>
        </w:tc>
        <w:tc>
          <w:tcPr/>
          <w:p>
            <w:pPr>
              <w:pStyle w:val="Compact"/>
              <w:jc w:val="right"/>
            </w:pPr>
            <w:r>
              <w:rPr>
                <w:sz w:val="16"/>
                <w:szCs w:val="16"/>
              </w:rPr>
              <w:t xml:space="preserve">0,398</w:t>
            </w:r>
          </w:p>
        </w:tc>
        <w:tc>
          <w:tcPr/>
          <w:p>
            <w:pPr>
              <w:pStyle w:val="Compact"/>
              <w:jc w:val="right"/>
            </w:pPr>
            <w:r>
              <w:rPr>
                <w:sz w:val="16"/>
                <w:szCs w:val="16"/>
              </w:rPr>
              <w:t xml:space="preserve">0,545</w:t>
            </w:r>
          </w:p>
        </w:tc>
        <w:tc>
          <w:tcPr/>
          <w:p>
            <w:pPr>
              <w:pStyle w:val="Compact"/>
              <w:jc w:val="right"/>
            </w:pPr>
            <w:r>
              <w:rPr>
                <w:sz w:val="16"/>
                <w:szCs w:val="16"/>
              </w:rPr>
              <w:t xml:space="preserve">0,398</w:t>
            </w:r>
          </w:p>
        </w:tc>
        <w:tc>
          <w:tcPr/>
          <w:p>
            <w:pPr>
              <w:pStyle w:val="Compact"/>
              <w:jc w:val="right"/>
            </w:pPr>
            <w:r>
              <w:rPr>
                <w:sz w:val="16"/>
                <w:szCs w:val="16"/>
              </w:rPr>
              <w:t xml:space="preserve">0,547</w:t>
            </w:r>
          </w:p>
        </w:tc>
        <w:tc>
          <w:tcPr/>
          <w:p>
            <w:pPr>
              <w:pStyle w:val="Compact"/>
              <w:jc w:val="right"/>
            </w:pPr>
            <w:r>
              <w:rPr>
                <w:sz w:val="16"/>
                <w:szCs w:val="16"/>
              </w:rPr>
              <w:t xml:space="preserve">0,378</w:t>
            </w:r>
          </w:p>
        </w:tc>
        <w:tc>
          <w:tcPr/>
          <w:p>
            <w:pPr>
              <w:pStyle w:val="Compact"/>
              <w:jc w:val="right"/>
            </w:pPr>
            <w:r>
              <w:rPr>
                <w:sz w:val="16"/>
                <w:szCs w:val="16"/>
              </w:rPr>
              <w:t xml:space="preserve">0,545</w:t>
            </w:r>
          </w:p>
        </w:tc>
      </w:tr>
      <w:tr>
        <w:tc>
          <w:tcPr/>
          <w:p>
            <w:pPr>
              <w:pStyle w:val="Compact"/>
              <w:jc w:val="right"/>
            </w:pPr>
            <w:r>
              <w:rPr>
                <w:sz w:val="16"/>
                <w:szCs w:val="16"/>
              </w:rPr>
              <w:t xml:space="preserve">2268</w:t>
            </w:r>
          </w:p>
        </w:tc>
        <w:tc>
          <w:tcPr/>
          <w:p>
            <w:pPr>
              <w:pStyle w:val="Compact"/>
              <w:jc w:val="right"/>
            </w:pPr>
            <w:r>
              <w:rPr>
                <w:sz w:val="16"/>
                <w:szCs w:val="16"/>
              </w:rPr>
              <w:t xml:space="preserve">0,375</w:t>
            </w:r>
          </w:p>
        </w:tc>
        <w:tc>
          <w:tcPr/>
          <w:p>
            <w:pPr>
              <w:pStyle w:val="Compact"/>
              <w:jc w:val="right"/>
            </w:pPr>
            <w:r>
              <w:rPr>
                <w:sz w:val="16"/>
                <w:szCs w:val="16"/>
              </w:rPr>
              <w:t xml:space="preserve">0,550</w:t>
            </w:r>
          </w:p>
        </w:tc>
        <w:tc>
          <w:tcPr/>
          <w:p>
            <w:pPr>
              <w:pStyle w:val="Compact"/>
              <w:jc w:val="right"/>
            </w:pPr>
            <w:r>
              <w:rPr>
                <w:sz w:val="16"/>
                <w:szCs w:val="16"/>
              </w:rPr>
              <w:t xml:space="preserve">0,427</w:t>
            </w:r>
          </w:p>
        </w:tc>
        <w:tc>
          <w:tcPr/>
          <w:p>
            <w:pPr>
              <w:pStyle w:val="Compact"/>
              <w:jc w:val="right"/>
            </w:pPr>
            <w:r>
              <w:rPr>
                <w:sz w:val="16"/>
                <w:szCs w:val="16"/>
              </w:rPr>
              <w:t xml:space="preserve">0,581</w:t>
            </w:r>
          </w:p>
        </w:tc>
        <w:tc>
          <w:tcPr/>
          <w:p>
            <w:pPr>
              <w:pStyle w:val="Compact"/>
              <w:jc w:val="right"/>
            </w:pPr>
            <w:r>
              <w:rPr>
                <w:sz w:val="16"/>
                <w:szCs w:val="16"/>
              </w:rPr>
              <w:t xml:space="preserve">0,416</w:t>
            </w:r>
          </w:p>
        </w:tc>
        <w:tc>
          <w:tcPr/>
          <w:p>
            <w:pPr>
              <w:pStyle w:val="Compact"/>
              <w:jc w:val="right"/>
            </w:pPr>
            <w:r>
              <w:rPr>
                <w:sz w:val="16"/>
                <w:szCs w:val="16"/>
              </w:rPr>
              <w:t xml:space="preserve">0,574</w:t>
            </w:r>
          </w:p>
        </w:tc>
        <w:tc>
          <w:tcPr/>
          <w:p>
            <w:pPr>
              <w:pStyle w:val="Compact"/>
              <w:jc w:val="right"/>
            </w:pPr>
            <w:r>
              <w:rPr>
                <w:sz w:val="16"/>
                <w:szCs w:val="16"/>
              </w:rPr>
              <w:t xml:space="preserve">0,395</w:t>
            </w:r>
          </w:p>
        </w:tc>
        <w:tc>
          <w:tcPr/>
          <w:p>
            <w:pPr>
              <w:pStyle w:val="Compact"/>
              <w:jc w:val="right"/>
            </w:pPr>
            <w:r>
              <w:rPr>
                <w:sz w:val="16"/>
                <w:szCs w:val="16"/>
              </w:rPr>
              <w:t xml:space="preserve">0,551</w:t>
            </w:r>
          </w:p>
        </w:tc>
      </w:tr>
      <w:tr>
        <w:tc>
          <w:tcPr/>
          <w:p>
            <w:pPr>
              <w:pStyle w:val="Compact"/>
              <w:jc w:val="right"/>
            </w:pPr>
            <w:r>
              <w:rPr>
                <w:sz w:val="16"/>
                <w:szCs w:val="16"/>
              </w:rPr>
              <w:t xml:space="preserve">2520</w:t>
            </w:r>
          </w:p>
        </w:tc>
        <w:tc>
          <w:tcPr/>
          <w:p>
            <w:pPr>
              <w:pStyle w:val="Compact"/>
              <w:jc w:val="right"/>
            </w:pPr>
            <w:r>
              <w:rPr>
                <w:sz w:val="16"/>
                <w:szCs w:val="16"/>
              </w:rPr>
              <w:t xml:space="preserve">0,556</w:t>
            </w:r>
          </w:p>
        </w:tc>
        <w:tc>
          <w:tcPr/>
          <w:p>
            <w:pPr>
              <w:pStyle w:val="Compact"/>
              <w:jc w:val="right"/>
            </w:pPr>
            <w:r>
              <w:rPr>
                <w:sz w:val="16"/>
                <w:szCs w:val="16"/>
              </w:rPr>
              <w:t xml:space="preserve">0,521</w:t>
            </w:r>
          </w:p>
        </w:tc>
        <w:tc>
          <w:tcPr/>
          <w:p>
            <w:pPr>
              <w:pStyle w:val="Compact"/>
              <w:jc w:val="right"/>
            </w:pPr>
            <w:r>
              <w:rPr>
                <w:sz w:val="16"/>
                <w:szCs w:val="16"/>
              </w:rPr>
              <w:t xml:space="preserve">0,606</w:t>
            </w:r>
          </w:p>
        </w:tc>
        <w:tc>
          <w:tcPr/>
          <w:p>
            <w:pPr>
              <w:pStyle w:val="Compact"/>
              <w:jc w:val="right"/>
            </w:pPr>
            <w:r>
              <w:rPr>
                <w:sz w:val="16"/>
                <w:szCs w:val="16"/>
              </w:rPr>
              <w:t xml:space="preserve">0,582</w:t>
            </w:r>
          </w:p>
        </w:tc>
        <w:tc>
          <w:tcPr/>
          <w:p>
            <w:pPr>
              <w:pStyle w:val="Compact"/>
              <w:jc w:val="right"/>
            </w:pPr>
            <w:r>
              <w:rPr>
                <w:sz w:val="16"/>
                <w:szCs w:val="16"/>
              </w:rPr>
              <w:t xml:space="preserve">0,600</w:t>
            </w:r>
          </w:p>
        </w:tc>
        <w:tc>
          <w:tcPr/>
          <w:p>
            <w:pPr>
              <w:pStyle w:val="Compact"/>
              <w:jc w:val="right"/>
            </w:pPr>
            <w:r>
              <w:rPr>
                <w:sz w:val="16"/>
                <w:szCs w:val="16"/>
              </w:rPr>
              <w:t xml:space="preserve">0,580</w:t>
            </w:r>
          </w:p>
        </w:tc>
        <w:tc>
          <w:tcPr/>
          <w:p>
            <w:pPr>
              <w:pStyle w:val="Compact"/>
              <w:jc w:val="right"/>
            </w:pPr>
            <w:r>
              <w:rPr>
                <w:sz w:val="16"/>
                <w:szCs w:val="16"/>
              </w:rPr>
              <w:t xml:space="preserve">0,603</w:t>
            </w:r>
          </w:p>
        </w:tc>
        <w:tc>
          <w:tcPr/>
          <w:p>
            <w:pPr>
              <w:pStyle w:val="Compact"/>
              <w:jc w:val="right"/>
            </w:pPr>
            <w:r>
              <w:rPr>
                <w:sz w:val="16"/>
                <w:szCs w:val="16"/>
              </w:rPr>
              <w:t xml:space="preserve">0,563</w:t>
            </w:r>
          </w:p>
        </w:tc>
      </w:tr>
    </w:tbl>
    <w:bookmarkEnd w:id="53"/>
    <w:p>
      <w:pPr>
        <w:pStyle w:val="BlockText"/>
      </w:pPr>
      <w:r>
        <w:rPr>
          <w:i/>
          <w:iCs/>
        </w:rPr>
        <w:t xml:space="preserve">voll</w:t>
      </w:r>
      <w:r>
        <w:t xml:space="preserve"> </w:t>
      </w:r>
      <w:r>
        <w:t xml:space="preserve">bezeichnet die volle Historie des jeweiligen Fensters,</w:t>
      </w:r>
      <w:r>
        <w:t xml:space="preserve"> </w:t>
      </w:r>
      <w:r>
        <w:rPr>
          <w:i/>
          <w:iCs/>
        </w:rPr>
        <w:t xml:space="preserve">gem.</w:t>
      </w:r>
      <w:r>
        <w:t xml:space="preserve"> </w:t>
      </w:r>
      <w:r>
        <w:t xml:space="preserve">den gemeinsamen Zeitraum ab 01.01.2010. Ausgewiesen ist die annualisierte Sharpe Ratio.</w:t>
      </w:r>
    </w:p>
    <w:p>
      <w:pPr>
        <w:pStyle w:val="FirstParagraph"/>
      </w:pPr>
      <w:r>
        <w:t xml:space="preserve">Wie oft welcher Schätzer über alle 40 Kombinationen vorne liegt, weist</w:t>
      </w:r>
      <w:r>
        <w:t xml:space="preserve"> </w:t>
      </w:r>
      <w:hyperlink w:anchor="tab:bestzaehlung">
        <w:r>
          <w:rPr>
            <w:rStyle w:val="Hyperlink"/>
          </w:rPr>
          <w:t xml:space="preserve">Tabelle </w:t>
        </w:r>
        <w:hyperlink w:anchor="tab:bestzaehlung">
          <w:r>
            <w:rPr>
              <w:rStyle w:val="Hyperlink"/>
            </w:rPr>
            <w:t xml:space="preserve">11</w:t>
          </w:r>
        </w:hyperlink>
      </w:hyperlink>
      <w:r>
        <w:t xml:space="preserve"> </w:t>
      </w:r>
      <w:r>
        <w:t xml:space="preserve">aus, getrennt nach der Sharpe Ratio je Portfoliomodell und den beiden Verlustmaßen.</w:t>
      </w:r>
      <w:r>
        <w:t xml:space="preserve"> </w:t>
      </w:r>
      <w:r>
        <w:t xml:space="preserve">Dass die Rangfolge der Schätzer nicht am Basisfall hängt, zeigt sich dort deutlich, da unter beiden Verlustmaßen DCC-GARCH nahezu durchgängig vorne liegt, während ökonomisch bei HRP und ERC die historische Matrix dominiert.</w:t>
      </w:r>
    </w:p>
    <w:bookmarkStart w:id="54" w:name="tab:bestzaehlung"/>
    <w:p>
      <w:pPr>
        <w:pStyle w:val="TableCaption"/>
      </w:pPr>
      <w:r>
        <w:t xml:space="preserve">Häufigkeit des besten Kovarianzschätzers je Kennzahl</w:t>
      </w:r>
    </w:p>
    <w:tbl>
      <w:tblPr>
        <w:tblStyle w:val="Table"/>
        <w:tblW w:type="auto" w:w="0"/>
        <w:tblLook w:firstRow="1" w:lastRow="0" w:firstColumn="0" w:lastColumn="0" w:noHBand="0" w:noVBand="0" w:val="0020"/>
        <w:tblCaption w:val="Häufigkeit des besten Kovarianzschätzers je Kennzahl"/>
      </w:tblPr>
      <w:tblGrid>
        <w:gridCol w:w="2268"/>
        <w:gridCol w:w="2268"/>
        <w:gridCol w:w="2268"/>
        <w:gridCol w:w="2268"/>
      </w:tblGrid>
      <w:tr>
        <w:trPr>
          <w:tblHeader w:val="on"/>
        </w:trPr>
        <w:tc>
          <w:tcPr/>
          <w:p>
            <w:pPr>
              <w:pStyle w:val="Compact"/>
              <w:jc w:val="left"/>
            </w:pPr>
            <w:r>
              <w:t xml:space="preserve">Kennzahl</w:t>
            </w:r>
          </w:p>
        </w:tc>
        <w:tc>
          <w:tcPr/>
          <w:p>
            <w:pPr>
              <w:pStyle w:val="Compact"/>
              <w:jc w:val="right"/>
            </w:pPr>
            <w:r>
              <w:t xml:space="preserve">Historisch</w:t>
            </w:r>
          </w:p>
        </w:tc>
        <w:tc>
          <w:tcPr/>
          <w:p>
            <w:pPr>
              <w:pStyle w:val="Compact"/>
              <w:jc w:val="right"/>
            </w:pPr>
            <w:r>
              <w:t xml:space="preserve">GARCH</w:t>
            </w:r>
          </w:p>
        </w:tc>
        <w:tc>
          <w:tcPr/>
          <w:p>
            <w:pPr>
              <w:pStyle w:val="Compact"/>
              <w:jc w:val="right"/>
            </w:pPr>
            <w:r>
              <w:t xml:space="preserve">DCC-GARCH</w:t>
            </w:r>
          </w:p>
        </w:tc>
      </w:tr>
      <w:tr>
        <w:tc>
          <w:tcPr/>
          <w:p>
            <w:pPr>
              <w:pStyle w:val="Compact"/>
              <w:jc w:val="left"/>
            </w:pPr>
            <w:r>
              <w:t xml:space="preserve">Sharpe MVP</w:t>
            </w:r>
          </w:p>
        </w:tc>
        <w:tc>
          <w:tcPr/>
          <w:p>
            <w:pPr>
              <w:pStyle w:val="Compact"/>
              <w:jc w:val="right"/>
            </w:pPr>
            <w:r>
              <w:t xml:space="preserve">14/40</w:t>
            </w:r>
          </w:p>
        </w:tc>
        <w:tc>
          <w:tcPr/>
          <w:p>
            <w:pPr>
              <w:pStyle w:val="Compact"/>
              <w:jc w:val="right"/>
            </w:pPr>
            <w:r>
              <w:t xml:space="preserve">6/40</w:t>
            </w:r>
          </w:p>
        </w:tc>
        <w:tc>
          <w:tcPr/>
          <w:p>
            <w:pPr>
              <w:pStyle w:val="Compact"/>
              <w:jc w:val="right"/>
            </w:pPr>
            <w:r>
              <w:t xml:space="preserve">20/40</w:t>
            </w:r>
          </w:p>
        </w:tc>
      </w:tr>
      <w:tr>
        <w:tc>
          <w:tcPr/>
          <w:p>
            <w:pPr>
              <w:pStyle w:val="Compact"/>
              <w:jc w:val="left"/>
            </w:pPr>
            <w:r>
              <w:t xml:space="preserve">Sharpe HRP</w:t>
            </w:r>
          </w:p>
        </w:tc>
        <w:tc>
          <w:tcPr/>
          <w:p>
            <w:pPr>
              <w:pStyle w:val="Compact"/>
              <w:jc w:val="right"/>
            </w:pPr>
            <w:r>
              <w:t xml:space="preserve">36/40</w:t>
            </w:r>
          </w:p>
        </w:tc>
        <w:tc>
          <w:tcPr/>
          <w:p>
            <w:pPr>
              <w:pStyle w:val="Compact"/>
              <w:jc w:val="right"/>
            </w:pPr>
            <w:r>
              <w:t xml:space="preserve">1/40</w:t>
            </w:r>
          </w:p>
        </w:tc>
        <w:tc>
          <w:tcPr/>
          <w:p>
            <w:pPr>
              <w:pStyle w:val="Compact"/>
              <w:jc w:val="right"/>
            </w:pPr>
            <w:r>
              <w:t xml:space="preserve">3/40</w:t>
            </w:r>
          </w:p>
        </w:tc>
      </w:tr>
      <w:tr>
        <w:tc>
          <w:tcPr/>
          <w:p>
            <w:pPr>
              <w:pStyle w:val="Compact"/>
              <w:jc w:val="left"/>
            </w:pPr>
            <w:r>
              <w:t xml:space="preserve">Sharpe ERC</w:t>
            </w:r>
          </w:p>
        </w:tc>
        <w:tc>
          <w:tcPr/>
          <w:p>
            <w:pPr>
              <w:pStyle w:val="Compact"/>
              <w:jc w:val="right"/>
            </w:pPr>
            <w:r>
              <w:t xml:space="preserve">40/40</w:t>
            </w:r>
          </w:p>
        </w:tc>
        <w:tc>
          <w:tcPr/>
          <w:p>
            <w:pPr>
              <w:pStyle w:val="Compact"/>
              <w:jc w:val="right"/>
            </w:pPr>
            <w:r>
              <w:t xml:space="preserve">0/40</w:t>
            </w:r>
          </w:p>
        </w:tc>
        <w:tc>
          <w:tcPr/>
          <w:p>
            <w:pPr>
              <w:pStyle w:val="Compact"/>
              <w:jc w:val="right"/>
            </w:pPr>
            <w:r>
              <w:t xml:space="preserve">0/40</w:t>
            </w:r>
          </w:p>
        </w:tc>
      </w:tr>
      <w:tr>
        <w:tc>
          <w:tcPr/>
          <w:p>
            <w:pPr>
              <w:pStyle w:val="Compact"/>
              <w:jc w:val="left"/>
            </w:pPr>
            <w:r>
              <w:t xml:space="preserve">QLIKE</w:t>
            </w:r>
          </w:p>
        </w:tc>
        <w:tc>
          <w:tcPr/>
          <w:p>
            <w:pPr>
              <w:pStyle w:val="Compact"/>
              <w:jc w:val="right"/>
            </w:pPr>
            <w:r>
              <w:t xml:space="preserve">3/40</w:t>
            </w:r>
          </w:p>
        </w:tc>
        <w:tc>
          <w:tcPr/>
          <w:p>
            <w:pPr>
              <w:pStyle w:val="Compact"/>
              <w:jc w:val="right"/>
            </w:pPr>
            <w:r>
              <w:t xml:space="preserve">0/40</w:t>
            </w:r>
          </w:p>
        </w:tc>
        <w:tc>
          <w:tcPr/>
          <w:p>
            <w:pPr>
              <w:pStyle w:val="Compact"/>
              <w:jc w:val="right"/>
            </w:pPr>
            <w:r>
              <w:t xml:space="preserve">37/40</w:t>
            </w:r>
          </w:p>
        </w:tc>
      </w:tr>
      <w:tr>
        <w:tc>
          <w:tcPr/>
          <w:p>
            <w:pPr>
              <w:pStyle w:val="Compact"/>
              <w:jc w:val="left"/>
            </w:pPr>
            <w:r>
              <w:t xml:space="preserve">Kovarianz-MSE</w:t>
            </w:r>
          </w:p>
        </w:tc>
        <w:tc>
          <w:tcPr/>
          <w:p>
            <w:pPr>
              <w:pStyle w:val="Compact"/>
              <w:jc w:val="right"/>
            </w:pPr>
            <w:r>
              <w:t xml:space="preserve">0/40</w:t>
            </w:r>
          </w:p>
        </w:tc>
        <w:tc>
          <w:tcPr/>
          <w:p>
            <w:pPr>
              <w:pStyle w:val="Compact"/>
              <w:jc w:val="right"/>
            </w:pPr>
            <w:r>
              <w:t xml:space="preserve">1/40</w:t>
            </w:r>
          </w:p>
        </w:tc>
        <w:tc>
          <w:tcPr/>
          <w:p>
            <w:pPr>
              <w:pStyle w:val="Compact"/>
              <w:jc w:val="right"/>
            </w:pPr>
            <w:r>
              <w:t xml:space="preserve">39/40</w:t>
            </w:r>
          </w:p>
        </w:tc>
      </w:tr>
      <w:tr>
        <w:tc>
          <w:tcPr/>
          <w:p>
            <w:pPr>
              <w:pStyle w:val="Compact"/>
              <w:jc w:val="left"/>
            </w:pPr>
            <w:r>
              <w:t xml:space="preserve">QLIKE (DCC vs. Hist.)</w:t>
            </w:r>
          </w:p>
        </w:tc>
        <w:tc>
          <w:tcPr/>
          <w:p>
            <w:pPr>
              <w:pStyle w:val="Compact"/>
              <w:jc w:val="right"/>
            </w:pPr>
            <w:r>
              <w:t xml:space="preserve">–</w:t>
            </w:r>
          </w:p>
        </w:tc>
        <w:tc>
          <w:tcPr/>
          <w:p>
            <w:pPr>
              <w:pStyle w:val="Compact"/>
              <w:jc w:val="right"/>
            </w:pPr>
            <w:r>
              <w:t xml:space="preserve">–</w:t>
            </w:r>
          </w:p>
        </w:tc>
        <w:tc>
          <w:tcPr/>
          <w:p>
            <w:pPr>
              <w:pStyle w:val="Compact"/>
              <w:jc w:val="right"/>
            </w:pPr>
            <w:r>
              <w:t xml:space="preserve">37/40</w:t>
            </w:r>
          </w:p>
        </w:tc>
      </w:tr>
      <w:tr>
        <w:tc>
          <w:tcPr/>
          <w:p>
            <w:pPr>
              <w:pStyle w:val="Compact"/>
              <w:jc w:val="left"/>
            </w:pPr>
            <w:r>
              <w:t xml:space="preserve">MSE (DCC vs. Hist.)</w:t>
            </w:r>
          </w:p>
        </w:tc>
        <w:tc>
          <w:tcPr/>
          <w:p>
            <w:pPr>
              <w:pStyle w:val="Compact"/>
              <w:jc w:val="right"/>
            </w:pPr>
            <w:r>
              <w:t xml:space="preserve">–</w:t>
            </w:r>
          </w:p>
        </w:tc>
        <w:tc>
          <w:tcPr/>
          <w:p>
            <w:pPr>
              <w:pStyle w:val="Compact"/>
              <w:jc w:val="right"/>
            </w:pPr>
            <w:r>
              <w:t xml:space="preserve">–</w:t>
            </w:r>
          </w:p>
        </w:tc>
        <w:tc>
          <w:tcPr/>
          <w:p>
            <w:pPr>
              <w:pStyle w:val="Compact"/>
              <w:jc w:val="right"/>
            </w:pPr>
            <w:r>
              <w:t xml:space="preserve">40/40</w:t>
            </w:r>
          </w:p>
        </w:tc>
      </w:tr>
    </w:tbl>
    <w:bookmarkEnd w:id="54"/>
    <w:p>
      <w:pPr>
        <w:pStyle w:val="BlockText"/>
      </w:pPr>
      <w:r>
        <w:t xml:space="preserve">Alle 40 Kombinationen aus Trainingsfenster und Prognosehorizont, bewertet ab 01.01.2010. In den oberen beiden Blöcken ist ausgewiesen, wie oft der jeweilige Schätzer die höchste Sharpe Ratio beziehungsweise den niedrigsten Verlust liefert; der untere Block zählt zusätzlich direkt, in wie vielen der 40 Läufe DCC-GARCH die historische Matrix schlägt, unabhängig davon, ob GARCH dort noch besser abschneidet.</w:t>
      </w:r>
    </w:p>
    <w:p>
      <w:pPr>
        <w:pStyle w:val="FirstParagraph"/>
      </w:pPr>
      <w:r>
        <w:t xml:space="preserve">Zeitlich lokalisieren lässt sich der Bruch über die Teilperioden des Basisfalls in</w:t>
      </w:r>
      <w:r>
        <w:t xml:space="preserve"> </w:t>
      </w:r>
      <w:hyperlink w:anchor="tab:strukturbruch_teilperioden">
        <w:r>
          <w:rPr>
            <w:rStyle w:val="Hyperlink"/>
          </w:rPr>
          <w:t xml:space="preserve">Tabelle </w:t>
        </w:r>
        <w:hyperlink w:anchor="tab:strukturbruch_teilperioden">
          <w:r>
            <w:rPr>
              <w:rStyle w:val="Hyperlink"/>
            </w:rPr>
            <w:t xml:space="preserve">12</w:t>
          </w:r>
        </w:hyperlink>
      </w:hyperlink>
      <w:r>
        <w:t xml:space="preserve">.</w:t>
      </w:r>
      <w:r>
        <w:t xml:space="preserve"> </w:t>
      </w:r>
      <w:r>
        <w:t xml:space="preserve">Das QLIKE-Niveau springt ab 2022 deutlich nach unten, wobei dieser Sprung exakt mit der Erweiterung des Universums von 17 auf 25 Sektoren im September 2022 zusammenfällt.</w:t>
      </w:r>
      <w:r>
        <w:t xml:space="preserve"> </w:t>
      </w:r>
      <w:r>
        <w:t xml:space="preserve">Innerhalb der Periode 2022–2026 wächst das Universum anschließend nochmals von 25 auf 27 Sektoren, da zwei erst 2019 gestartete Reihen die 90-%-Verfügbarkeitsregel im 1008-Tage-Fenster erst 2024 beziehungsweise Ende 2024 erfüllen.</w:t>
      </w:r>
      <w:r>
        <w:t xml:space="preserve"> </w:t>
      </w:r>
      <w:r>
        <w:t xml:space="preserve">Die Tabellenspanne 17–27 für diese Periode bildet somit beide Schritte ab.</w:t>
      </w:r>
      <w:r>
        <w:t xml:space="preserve"> </w:t>
      </w:r>
      <w:r>
        <w:t xml:space="preserve">Der MSE zeigt an dieser Stelle keinen vergleichbaren Bruch, folgt dafür aber dem Volatilitätsniveau der Periode und steigt in der Finanzkrise auf mehr als das Siebzigfache des Werts der ruhigen Phase 2003–2007.</w:t>
      </w:r>
      <w:r>
        <w:t xml:space="preserve"> </w:t>
      </w:r>
      <w:r>
        <w:t xml:space="preserve">Beide Kennzahlen sind über Perioden hinweg somit nur eingeschränkt vergleichbar, wenn auch aus unterschiedlichen Gründen.</w:t>
      </w:r>
    </w:p>
    <w:bookmarkStart w:id="55" w:name="tab:strukturbruch_teilperioden"/>
    <w:p>
      <w:pPr>
        <w:pStyle w:val="TableCaption"/>
      </w:pPr>
      <w:r>
        <w:t xml:space="preserve">Teilperioden des Basisfalls: Universum, Prognosequalität und Performance</w:t>
      </w:r>
    </w:p>
    <w:tbl>
      <w:tblPr>
        <w:tblStyle w:val="Table"/>
        <w:tblW w:type="auto" w:w="0"/>
        <w:tblLook w:firstRow="0" w:lastRow="0" w:firstColumn="0" w:lastColumn="0" w:noHBand="0" w:noVBand="0" w:val="0000"/>
        <w:tblCaption w:val="Teilperioden des Basisfalls: Universum, Prognosequalität und Performance"/>
      </w:tblPr>
      <w:tblGrid>
        <w:gridCol w:w="756"/>
        <w:gridCol w:w="756"/>
        <w:gridCol w:w="756"/>
        <w:gridCol w:w="756"/>
        <w:gridCol w:w="756"/>
        <w:gridCol w:w="756"/>
        <w:gridCol w:w="756"/>
        <w:gridCol w:w="756"/>
        <w:gridCol w:w="756"/>
        <w:gridCol w:w="756"/>
        <w:gridCol w:w="756"/>
        <w:gridCol w:w="756"/>
      </w:tblGrid>
      <w:tr>
        <w:tc>
          <w:tcPr/>
          <w:p>
            <w:pPr>
              <w:pStyle w:val="Compact"/>
              <w:jc w:val="left"/>
            </w:pPr>
            <w:r>
              <w:rPr>
                <w:sz w:val="14"/>
                <w:szCs w:val="14"/>
              </w:rPr>
              <w:t xml:space="preserve">Periode</w:t>
            </w:r>
          </w:p>
        </w:tc>
        <w:tc>
          <w:tcPr/>
          <w:p>
            <w:pPr>
              <w:pStyle w:val="Compact"/>
              <w:jc w:val="left"/>
            </w:pPr>
            <m:oMath>
              <m:r>
                <m:t>N</m:t>
              </m:r>
            </m:oMath>
          </w:p>
        </w:tc>
        <w:tc>
          <w:tcPr>
            <w:gridSpan w:val="3"/>
          </w:tcPr>
          <w:p>
            <w:pPr>
              <w:pStyle w:val="Compact"/>
              <w:jc w:val="center"/>
            </w:pPr>
            <w:r>
              <w:rPr>
                <w:sz w:val="14"/>
                <w:szCs w:val="14"/>
              </w:rPr>
              <w:t xml:space="preserve">QLIKE</w:t>
            </w:r>
          </w:p>
        </w:tc>
        <w:tc>
          <w:tcPr>
            <w:gridSpan w:val="3"/>
          </w:tcPr>
          <w:p>
            <w:pPr>
              <w:pStyle w:val="Compact"/>
              <w:jc w:val="center"/>
            </w:pPr>
            <w:r>
              <w:rPr>
                <w:sz w:val="14"/>
                <w:szCs w:val="14"/>
              </w:rPr>
              <w:t xml:space="preserve">MSE (</w:t>
            </w:r>
            <m:oMath>
              <m:r>
                <m:rPr>
                  <m:sty m:val="p"/>
                </m:rPr>
                <m:t>×</m:t>
              </m:r>
              <m:sSup>
                <m:e>
                  <m:r>
                    <m:t>10</m:t>
                  </m:r>
                </m:e>
                <m:sup>
                  <m:r>
                    <m:rPr>
                      <m:sty m:val="p"/>
                    </m:rPr>
                    <m:t>−</m:t>
                  </m:r>
                  <m:r>
                    <m:t>7</m:t>
                  </m:r>
                </m:sup>
              </m:sSup>
            </m:oMath>
            <w:r>
              <w:rPr>
                <w:sz w:val="14"/>
                <w:szCs w:val="14"/>
              </w:rPr>
              <w:t xml:space="preserve">)</w:t>
            </w:r>
          </w:p>
        </w:tc>
        <w:tc>
          <w:tcPr>
            <w:gridSpan w:val="4"/>
          </w:tcPr>
          <w:p>
            <w:pPr>
              <w:pStyle w:val="Compact"/>
              <w:jc w:val="center"/>
            </w:pPr>
            <w:r>
              <w:rPr>
                <w:sz w:val="14"/>
                <w:szCs w:val="14"/>
              </w:rPr>
              <w:t xml:space="preserve">Sharpe</w:t>
            </w:r>
          </w:p>
        </w:tc>
      </w:tr>
      <w:tr>
        <w:tc>
          <w:tcPr/>
          <w:p>
            <w:pPr>
              <w:pStyle w:val="Compact"/>
            </w:pPr>
          </w:p>
        </w:tc>
        <w:tc>
          <w:tcPr/>
          <w:p>
            <w:pPr>
              <w:pStyle w:val="Compact"/>
            </w:pPr>
          </w:p>
        </w:tc>
        <w:tc>
          <w:tcPr/>
          <w:p>
            <w:pPr>
              <w:pStyle w:val="Compact"/>
              <w:jc w:val="right"/>
            </w:pPr>
            <w:r>
              <w:rPr>
                <w:sz w:val="14"/>
                <w:szCs w:val="14"/>
              </w:rPr>
              <w:t xml:space="preserve">Hist.</w:t>
            </w:r>
          </w:p>
        </w:tc>
        <w:tc>
          <w:tcPr/>
          <w:p>
            <w:pPr>
              <w:pStyle w:val="Compact"/>
              <w:jc w:val="right"/>
            </w:pPr>
            <w:r>
              <w:rPr>
                <w:sz w:val="14"/>
                <w:szCs w:val="14"/>
              </w:rPr>
              <w:t xml:space="preserve">GARCH</w:t>
            </w:r>
          </w:p>
        </w:tc>
        <w:tc>
          <w:tcPr/>
          <w:p>
            <w:pPr>
              <w:pStyle w:val="Compact"/>
              <w:jc w:val="right"/>
            </w:pPr>
            <w:r>
              <w:rPr>
                <w:sz w:val="14"/>
                <w:szCs w:val="14"/>
              </w:rPr>
              <w:t xml:space="preserve">DCC</w:t>
            </w:r>
          </w:p>
        </w:tc>
        <w:tc>
          <w:tcPr/>
          <w:p>
            <w:pPr>
              <w:pStyle w:val="Compact"/>
              <w:jc w:val="right"/>
            </w:pPr>
            <w:r>
              <w:rPr>
                <w:sz w:val="14"/>
                <w:szCs w:val="14"/>
              </w:rPr>
              <w:t xml:space="preserve">Hist.</w:t>
            </w:r>
          </w:p>
        </w:tc>
        <w:tc>
          <w:tcPr/>
          <w:p>
            <w:pPr>
              <w:pStyle w:val="Compact"/>
              <w:jc w:val="right"/>
            </w:pPr>
            <w:r>
              <w:rPr>
                <w:sz w:val="14"/>
                <w:szCs w:val="14"/>
              </w:rPr>
              <w:t xml:space="preserve">GARCH</w:t>
            </w:r>
          </w:p>
        </w:tc>
        <w:tc>
          <w:tcPr/>
          <w:p>
            <w:pPr>
              <w:pStyle w:val="Compact"/>
              <w:jc w:val="right"/>
            </w:pPr>
            <w:r>
              <w:rPr>
                <w:sz w:val="14"/>
                <w:szCs w:val="14"/>
              </w:rPr>
              <w:t xml:space="preserve">DCC</w:t>
            </w:r>
          </w:p>
        </w:tc>
        <w:tc>
          <w:tcPr/>
          <w:p>
            <w:pPr>
              <w:pStyle w:val="Compact"/>
              <w:jc w:val="right"/>
            </w:pPr>
            <w:r>
              <w:rPr>
                <w:sz w:val="14"/>
                <w:szCs w:val="14"/>
              </w:rPr>
              <w:t xml:space="preserve">MVP Hist.</w:t>
            </w:r>
          </w:p>
        </w:tc>
        <w:tc>
          <w:tcPr/>
          <w:p>
            <w:pPr>
              <w:pStyle w:val="Compact"/>
              <w:jc w:val="right"/>
            </w:pPr>
            <w:r>
              <w:rPr>
                <w:sz w:val="14"/>
                <w:szCs w:val="14"/>
              </w:rPr>
              <w:t xml:space="preserve">MVP GARCH</w:t>
            </w:r>
          </w:p>
        </w:tc>
        <w:tc>
          <w:tcPr/>
          <w:p>
            <w:pPr>
              <w:pStyle w:val="Compact"/>
              <w:jc w:val="right"/>
            </w:pPr>
            <w:r>
              <w:rPr>
                <w:sz w:val="14"/>
                <w:szCs w:val="14"/>
              </w:rPr>
              <w:t xml:space="preserve">MVP DCC</w:t>
            </w:r>
          </w:p>
        </w:tc>
        <w:tc>
          <w:tcPr/>
          <w:p>
            <w:pPr>
              <w:pStyle w:val="Compact"/>
              <w:jc w:val="right"/>
            </w:pPr>
            <w:r>
              <w:rPr>
                <w:sz w:val="14"/>
                <w:szCs w:val="14"/>
              </w:rPr>
              <w:t xml:space="preserve">1/N</w:t>
            </w:r>
          </w:p>
        </w:tc>
      </w:tr>
      <w:tr>
        <w:tc>
          <w:tcPr/>
          <w:p>
            <w:pPr>
              <w:pStyle w:val="Compact"/>
              <w:jc w:val="left"/>
            </w:pPr>
            <w:r>
              <w:rPr>
                <w:sz w:val="14"/>
                <w:szCs w:val="14"/>
              </w:rPr>
              <w:t xml:space="preserve">2003–2007</w:t>
            </w:r>
          </w:p>
        </w:tc>
        <w:tc>
          <w:tcPr/>
          <w:p>
            <w:pPr>
              <w:pStyle w:val="Compact"/>
              <w:jc w:val="left"/>
            </w:pPr>
            <w:r>
              <w:rPr>
                <w:sz w:val="14"/>
                <w:szCs w:val="14"/>
              </w:rPr>
              <w:t xml:space="preserve">16–16</w:t>
            </w:r>
          </w:p>
        </w:tc>
        <w:tc>
          <w:tcPr/>
          <w:p>
            <w:pPr>
              <w:pStyle w:val="Compact"/>
              <w:jc w:val="right"/>
            </w:pPr>
            <w:r>
              <w:rPr>
                <w:sz w:val="14"/>
                <w:szCs w:val="14"/>
              </w:rPr>
              <w:t xml:space="preserve">-143,5</w:t>
            </w:r>
          </w:p>
        </w:tc>
        <w:tc>
          <w:tcPr/>
          <w:p>
            <w:pPr>
              <w:pStyle w:val="Compact"/>
              <w:jc w:val="right"/>
            </w:pPr>
            <w:r>
              <w:rPr>
                <w:sz w:val="14"/>
                <w:szCs w:val="14"/>
              </w:rPr>
              <w:t xml:space="preserve">-146,8</w:t>
            </w:r>
          </w:p>
        </w:tc>
        <w:tc>
          <w:tcPr/>
          <w:p>
            <w:pPr>
              <w:pStyle w:val="Compact"/>
              <w:jc w:val="right"/>
            </w:pPr>
            <w:r>
              <w:rPr>
                <w:sz w:val="14"/>
                <w:szCs w:val="14"/>
              </w:rPr>
              <w:t xml:space="preserve">-147,3</w:t>
            </w:r>
          </w:p>
        </w:tc>
        <w:tc>
          <w:tcPr/>
          <w:p>
            <w:pPr>
              <w:pStyle w:val="Compact"/>
              <w:jc w:val="right"/>
            </w:pPr>
            <w:r>
              <w:rPr>
                <w:sz w:val="14"/>
                <w:szCs w:val="14"/>
              </w:rPr>
              <w:t xml:space="preserve">0,28</w:t>
            </w:r>
          </w:p>
        </w:tc>
        <w:tc>
          <w:tcPr/>
          <w:p>
            <w:pPr>
              <w:pStyle w:val="Compact"/>
              <w:jc w:val="right"/>
            </w:pPr>
            <w:r>
              <w:rPr>
                <w:sz w:val="14"/>
                <w:szCs w:val="14"/>
              </w:rPr>
              <w:t xml:space="preserve">0,23</w:t>
            </w:r>
          </w:p>
        </w:tc>
        <w:tc>
          <w:tcPr/>
          <w:p>
            <w:pPr>
              <w:pStyle w:val="Compact"/>
              <w:jc w:val="right"/>
            </w:pPr>
            <w:r>
              <w:rPr>
                <w:sz w:val="14"/>
                <w:szCs w:val="14"/>
              </w:rPr>
              <w:t xml:space="preserve">0,23</w:t>
            </w:r>
          </w:p>
        </w:tc>
        <w:tc>
          <w:tcPr/>
          <w:p>
            <w:pPr>
              <w:pStyle w:val="Compact"/>
              <w:jc w:val="right"/>
            </w:pPr>
            <w:r>
              <w:rPr>
                <w:sz w:val="14"/>
                <w:szCs w:val="14"/>
              </w:rPr>
              <w:t xml:space="preserve">1,190</w:t>
            </w:r>
          </w:p>
        </w:tc>
        <w:tc>
          <w:tcPr/>
          <w:p>
            <w:pPr>
              <w:pStyle w:val="Compact"/>
              <w:jc w:val="right"/>
            </w:pPr>
            <w:r>
              <w:rPr>
                <w:sz w:val="14"/>
                <w:szCs w:val="14"/>
              </w:rPr>
              <w:t xml:space="preserve">1,146</w:t>
            </w:r>
          </w:p>
        </w:tc>
        <w:tc>
          <w:tcPr/>
          <w:p>
            <w:pPr>
              <w:pStyle w:val="Compact"/>
              <w:jc w:val="right"/>
            </w:pPr>
            <w:r>
              <w:rPr>
                <w:sz w:val="14"/>
                <w:szCs w:val="14"/>
              </w:rPr>
              <w:t xml:space="preserve">1,158</w:t>
            </w:r>
          </w:p>
        </w:tc>
        <w:tc>
          <w:tcPr/>
          <w:p>
            <w:pPr>
              <w:pStyle w:val="Compact"/>
              <w:jc w:val="right"/>
            </w:pPr>
            <w:r>
              <w:rPr>
                <w:sz w:val="14"/>
                <w:szCs w:val="14"/>
              </w:rPr>
              <w:t xml:space="preserve">0,845</w:t>
            </w:r>
          </w:p>
        </w:tc>
      </w:tr>
      <w:tr>
        <w:tc>
          <w:tcPr/>
          <w:p>
            <w:pPr>
              <w:pStyle w:val="Compact"/>
              <w:jc w:val="left"/>
            </w:pPr>
            <w:r>
              <w:rPr>
                <w:sz w:val="14"/>
                <w:szCs w:val="14"/>
              </w:rPr>
              <w:t xml:space="preserve">2008–2009</w:t>
            </w:r>
          </w:p>
        </w:tc>
        <w:tc>
          <w:tcPr/>
          <w:p>
            <w:pPr>
              <w:pStyle w:val="Compact"/>
              <w:jc w:val="left"/>
            </w:pPr>
            <w:r>
              <w:rPr>
                <w:sz w:val="14"/>
                <w:szCs w:val="14"/>
              </w:rPr>
              <w:t xml:space="preserve">16–16</w:t>
            </w:r>
          </w:p>
        </w:tc>
        <w:tc>
          <w:tcPr/>
          <w:p>
            <w:pPr>
              <w:pStyle w:val="Compact"/>
              <w:jc w:val="right"/>
            </w:pPr>
            <w:r>
              <w:rPr>
                <w:sz w:val="14"/>
                <w:szCs w:val="14"/>
              </w:rPr>
              <w:t xml:space="preserve">-119,7</w:t>
            </w:r>
          </w:p>
        </w:tc>
        <w:tc>
          <w:tcPr/>
          <w:p>
            <w:pPr>
              <w:pStyle w:val="Compact"/>
              <w:jc w:val="right"/>
            </w:pPr>
            <w:r>
              <w:rPr>
                <w:sz w:val="14"/>
                <w:szCs w:val="14"/>
              </w:rPr>
              <w:t xml:space="preserve">-130,1</w:t>
            </w:r>
          </w:p>
        </w:tc>
        <w:tc>
          <w:tcPr/>
          <w:p>
            <w:pPr>
              <w:pStyle w:val="Compact"/>
              <w:jc w:val="right"/>
            </w:pPr>
            <w:r>
              <w:rPr>
                <w:sz w:val="14"/>
                <w:szCs w:val="14"/>
              </w:rPr>
              <w:t xml:space="preserve">-131,2</w:t>
            </w:r>
          </w:p>
        </w:tc>
        <w:tc>
          <w:tcPr/>
          <w:p>
            <w:pPr>
              <w:pStyle w:val="Compact"/>
              <w:jc w:val="right"/>
            </w:pPr>
            <w:r>
              <w:rPr>
                <w:sz w:val="14"/>
                <w:szCs w:val="14"/>
              </w:rPr>
              <w:t xml:space="preserve">21,03</w:t>
            </w:r>
          </w:p>
        </w:tc>
        <w:tc>
          <w:tcPr/>
          <w:p>
            <w:pPr>
              <w:pStyle w:val="Compact"/>
              <w:jc w:val="right"/>
            </w:pPr>
            <w:r>
              <w:rPr>
                <w:sz w:val="14"/>
                <w:szCs w:val="14"/>
              </w:rPr>
              <w:t xml:space="preserve">16,87</w:t>
            </w:r>
          </w:p>
        </w:tc>
        <w:tc>
          <w:tcPr/>
          <w:p>
            <w:pPr>
              <w:pStyle w:val="Compact"/>
              <w:jc w:val="right"/>
            </w:pPr>
            <w:r>
              <w:rPr>
                <w:sz w:val="14"/>
                <w:szCs w:val="14"/>
              </w:rPr>
              <w:t xml:space="preserve">16,72</w:t>
            </w:r>
          </w:p>
        </w:tc>
        <w:tc>
          <w:tcPr/>
          <w:p>
            <w:pPr>
              <w:pStyle w:val="Compact"/>
              <w:jc w:val="right"/>
            </w:pPr>
            <w:r>
              <w:rPr>
                <w:sz w:val="14"/>
                <w:szCs w:val="14"/>
              </w:rPr>
              <w:t xml:space="preserve">-0,246</w:t>
            </w:r>
          </w:p>
        </w:tc>
        <w:tc>
          <w:tcPr/>
          <w:p>
            <w:pPr>
              <w:pStyle w:val="Compact"/>
              <w:jc w:val="right"/>
            </w:pPr>
            <w:r>
              <w:rPr>
                <w:sz w:val="14"/>
                <w:szCs w:val="14"/>
              </w:rPr>
              <w:t xml:space="preserve">-0,303</w:t>
            </w:r>
          </w:p>
        </w:tc>
        <w:tc>
          <w:tcPr/>
          <w:p>
            <w:pPr>
              <w:pStyle w:val="Compact"/>
              <w:jc w:val="right"/>
            </w:pPr>
            <w:r>
              <w:rPr>
                <w:sz w:val="14"/>
                <w:szCs w:val="14"/>
              </w:rPr>
              <w:t xml:space="preserve">-0,339</w:t>
            </w:r>
          </w:p>
        </w:tc>
        <w:tc>
          <w:tcPr/>
          <w:p>
            <w:pPr>
              <w:pStyle w:val="Compact"/>
              <w:jc w:val="right"/>
            </w:pPr>
            <w:r>
              <w:rPr>
                <w:sz w:val="14"/>
                <w:szCs w:val="14"/>
              </w:rPr>
              <w:t xml:space="preserve">-0,120</w:t>
            </w:r>
          </w:p>
        </w:tc>
      </w:tr>
      <w:tr>
        <w:tc>
          <w:tcPr/>
          <w:p>
            <w:pPr>
              <w:pStyle w:val="Compact"/>
              <w:jc w:val="left"/>
            </w:pPr>
            <w:r>
              <w:rPr>
                <w:sz w:val="14"/>
                <w:szCs w:val="14"/>
              </w:rPr>
              <w:t xml:space="preserve">2010–2019</w:t>
            </w:r>
          </w:p>
        </w:tc>
        <w:tc>
          <w:tcPr/>
          <w:p>
            <w:pPr>
              <w:pStyle w:val="Compact"/>
              <w:jc w:val="left"/>
            </w:pPr>
            <w:r>
              <w:rPr>
                <w:sz w:val="14"/>
                <w:szCs w:val="14"/>
              </w:rPr>
              <w:t xml:space="preserve">16–17</w:t>
            </w:r>
          </w:p>
        </w:tc>
        <w:tc>
          <w:tcPr/>
          <w:p>
            <w:pPr>
              <w:pStyle w:val="Compact"/>
              <w:jc w:val="right"/>
            </w:pPr>
            <w:r>
              <w:rPr>
                <w:sz w:val="14"/>
                <w:szCs w:val="14"/>
              </w:rPr>
              <w:t xml:space="preserve">-146,1</w:t>
            </w:r>
          </w:p>
        </w:tc>
        <w:tc>
          <w:tcPr/>
          <w:p>
            <w:pPr>
              <w:pStyle w:val="Compact"/>
              <w:jc w:val="right"/>
            </w:pPr>
            <w:r>
              <w:rPr>
                <w:sz w:val="14"/>
                <w:szCs w:val="14"/>
              </w:rPr>
              <w:t xml:space="preserve">-147,2</w:t>
            </w:r>
          </w:p>
        </w:tc>
        <w:tc>
          <w:tcPr/>
          <w:p>
            <w:pPr>
              <w:pStyle w:val="Compact"/>
              <w:jc w:val="right"/>
            </w:pPr>
            <w:r>
              <w:rPr>
                <w:sz w:val="14"/>
                <w:szCs w:val="14"/>
              </w:rPr>
              <w:t xml:space="preserve">-147,8</w:t>
            </w:r>
          </w:p>
        </w:tc>
        <w:tc>
          <w:tcPr/>
          <w:p>
            <w:pPr>
              <w:pStyle w:val="Compact"/>
              <w:jc w:val="right"/>
            </w:pPr>
            <w:r>
              <w:rPr>
                <w:sz w:val="14"/>
                <w:szCs w:val="14"/>
              </w:rPr>
              <w:t xml:space="preserve">0,79</w:t>
            </w:r>
          </w:p>
        </w:tc>
        <w:tc>
          <w:tcPr/>
          <w:p>
            <w:pPr>
              <w:pStyle w:val="Compact"/>
              <w:jc w:val="right"/>
            </w:pPr>
            <w:r>
              <w:rPr>
                <w:sz w:val="14"/>
                <w:szCs w:val="14"/>
              </w:rPr>
              <w:t xml:space="preserve">0,61</w:t>
            </w:r>
          </w:p>
        </w:tc>
        <w:tc>
          <w:tcPr/>
          <w:p>
            <w:pPr>
              <w:pStyle w:val="Compact"/>
              <w:jc w:val="right"/>
            </w:pPr>
            <w:r>
              <w:rPr>
                <w:sz w:val="14"/>
                <w:szCs w:val="14"/>
              </w:rPr>
              <w:t xml:space="preserve">0,60</w:t>
            </w:r>
          </w:p>
        </w:tc>
        <w:tc>
          <w:tcPr/>
          <w:p>
            <w:pPr>
              <w:pStyle w:val="Compact"/>
              <w:jc w:val="right"/>
            </w:pPr>
            <w:r>
              <w:rPr>
                <w:sz w:val="14"/>
                <w:szCs w:val="14"/>
              </w:rPr>
              <w:t xml:space="preserve">0,886</w:t>
            </w:r>
          </w:p>
        </w:tc>
        <w:tc>
          <w:tcPr/>
          <w:p>
            <w:pPr>
              <w:pStyle w:val="Compact"/>
              <w:jc w:val="right"/>
            </w:pPr>
            <w:r>
              <w:rPr>
                <w:sz w:val="14"/>
                <w:szCs w:val="14"/>
              </w:rPr>
              <w:t xml:space="preserve">0,969</w:t>
            </w:r>
          </w:p>
        </w:tc>
        <w:tc>
          <w:tcPr/>
          <w:p>
            <w:pPr>
              <w:pStyle w:val="Compact"/>
              <w:jc w:val="right"/>
            </w:pPr>
            <w:r>
              <w:rPr>
                <w:sz w:val="14"/>
                <w:szCs w:val="14"/>
              </w:rPr>
              <w:t xml:space="preserve">0,982</w:t>
            </w:r>
          </w:p>
        </w:tc>
        <w:tc>
          <w:tcPr/>
          <w:p>
            <w:pPr>
              <w:pStyle w:val="Compact"/>
              <w:jc w:val="right"/>
            </w:pPr>
            <w:r>
              <w:rPr>
                <w:sz w:val="14"/>
                <w:szCs w:val="14"/>
              </w:rPr>
              <w:t xml:space="preserve">0,719</w:t>
            </w:r>
          </w:p>
        </w:tc>
      </w:tr>
      <w:tr>
        <w:tc>
          <w:tcPr/>
          <w:p>
            <w:pPr>
              <w:pStyle w:val="Compact"/>
              <w:jc w:val="left"/>
            </w:pPr>
            <w:r>
              <w:rPr>
                <w:sz w:val="14"/>
                <w:szCs w:val="14"/>
              </w:rPr>
              <w:t xml:space="preserve">2020–2021</w:t>
            </w:r>
          </w:p>
        </w:tc>
        <w:tc>
          <w:tcPr/>
          <w:p>
            <w:pPr>
              <w:pStyle w:val="Compact"/>
              <w:jc w:val="left"/>
            </w:pPr>
            <w:r>
              <w:rPr>
                <w:sz w:val="14"/>
                <w:szCs w:val="14"/>
              </w:rPr>
              <w:t xml:space="preserve">17–17</w:t>
            </w:r>
          </w:p>
        </w:tc>
        <w:tc>
          <w:tcPr/>
          <w:p>
            <w:pPr>
              <w:pStyle w:val="Compact"/>
              <w:jc w:val="right"/>
            </w:pPr>
            <w:r>
              <w:rPr>
                <w:sz w:val="14"/>
                <w:szCs w:val="14"/>
              </w:rPr>
              <w:t xml:space="preserve">-133,1</w:t>
            </w:r>
          </w:p>
        </w:tc>
        <w:tc>
          <w:tcPr/>
          <w:p>
            <w:pPr>
              <w:pStyle w:val="Compact"/>
              <w:jc w:val="right"/>
            </w:pPr>
            <w:r>
              <w:rPr>
                <w:sz w:val="14"/>
                <w:szCs w:val="14"/>
              </w:rPr>
              <w:t xml:space="preserve">-139,5</w:t>
            </w:r>
          </w:p>
        </w:tc>
        <w:tc>
          <w:tcPr/>
          <w:p>
            <w:pPr>
              <w:pStyle w:val="Compact"/>
              <w:jc w:val="right"/>
            </w:pPr>
            <w:r>
              <w:rPr>
                <w:sz w:val="14"/>
                <w:szCs w:val="14"/>
              </w:rPr>
              <w:t xml:space="preserve">-140,3</w:t>
            </w:r>
          </w:p>
        </w:tc>
        <w:tc>
          <w:tcPr/>
          <w:p>
            <w:pPr>
              <w:pStyle w:val="Compact"/>
              <w:jc w:val="right"/>
            </w:pPr>
            <w:r>
              <w:rPr>
                <w:sz w:val="14"/>
                <w:szCs w:val="14"/>
              </w:rPr>
              <w:t xml:space="preserve">20,18</w:t>
            </w:r>
          </w:p>
        </w:tc>
        <w:tc>
          <w:tcPr/>
          <w:p>
            <w:pPr>
              <w:pStyle w:val="Compact"/>
              <w:jc w:val="right"/>
            </w:pPr>
            <w:r>
              <w:rPr>
                <w:sz w:val="14"/>
                <w:szCs w:val="14"/>
              </w:rPr>
              <w:t xml:space="preserve">16,67</w:t>
            </w:r>
          </w:p>
        </w:tc>
        <w:tc>
          <w:tcPr/>
          <w:p>
            <w:pPr>
              <w:pStyle w:val="Compact"/>
              <w:jc w:val="right"/>
            </w:pPr>
            <w:r>
              <w:rPr>
                <w:sz w:val="14"/>
                <w:szCs w:val="14"/>
              </w:rPr>
              <w:t xml:space="preserve">15,88</w:t>
            </w:r>
          </w:p>
        </w:tc>
        <w:tc>
          <w:tcPr/>
          <w:p>
            <w:pPr>
              <w:pStyle w:val="Compact"/>
              <w:jc w:val="right"/>
            </w:pPr>
            <w:r>
              <w:rPr>
                <w:sz w:val="14"/>
                <w:szCs w:val="14"/>
              </w:rPr>
              <w:t xml:space="preserve">0,436</w:t>
            </w:r>
          </w:p>
        </w:tc>
        <w:tc>
          <w:tcPr/>
          <w:p>
            <w:pPr>
              <w:pStyle w:val="Compact"/>
              <w:jc w:val="right"/>
            </w:pPr>
            <w:r>
              <w:rPr>
                <w:sz w:val="14"/>
                <w:szCs w:val="14"/>
              </w:rPr>
              <w:t xml:space="preserve">0,391</w:t>
            </w:r>
          </w:p>
        </w:tc>
        <w:tc>
          <w:tcPr/>
          <w:p>
            <w:pPr>
              <w:pStyle w:val="Compact"/>
              <w:jc w:val="right"/>
            </w:pPr>
            <w:r>
              <w:rPr>
                <w:sz w:val="14"/>
                <w:szCs w:val="14"/>
              </w:rPr>
              <w:t xml:space="preserve">0,417</w:t>
            </w:r>
          </w:p>
        </w:tc>
        <w:tc>
          <w:tcPr/>
          <w:p>
            <w:pPr>
              <w:pStyle w:val="Compact"/>
              <w:jc w:val="right"/>
            </w:pPr>
            <w:r>
              <w:rPr>
                <w:sz w:val="14"/>
                <w:szCs w:val="14"/>
              </w:rPr>
              <w:t xml:space="preserve">0,828</w:t>
            </w:r>
          </w:p>
        </w:tc>
      </w:tr>
      <w:tr>
        <w:tc>
          <w:tcPr/>
          <w:p>
            <w:pPr>
              <w:pStyle w:val="Compact"/>
              <w:jc w:val="left"/>
            </w:pPr>
            <w:r>
              <w:rPr>
                <w:sz w:val="14"/>
                <w:szCs w:val="14"/>
              </w:rPr>
              <w:t xml:space="preserve">2022–2026</w:t>
            </w:r>
          </w:p>
        </w:tc>
        <w:tc>
          <w:tcPr/>
          <w:p>
            <w:pPr>
              <w:pStyle w:val="Compact"/>
              <w:jc w:val="left"/>
            </w:pPr>
            <w:r>
              <w:rPr>
                <w:sz w:val="14"/>
                <w:szCs w:val="14"/>
              </w:rPr>
              <w:t xml:space="preserve">17–27</w:t>
            </w:r>
          </w:p>
        </w:tc>
        <w:tc>
          <w:tcPr/>
          <w:p>
            <w:pPr>
              <w:pStyle w:val="Compact"/>
              <w:jc w:val="right"/>
            </w:pPr>
            <w:r>
              <w:rPr>
                <w:sz w:val="14"/>
                <w:szCs w:val="14"/>
              </w:rPr>
              <w:t xml:space="preserve">-205,1</w:t>
            </w:r>
          </w:p>
        </w:tc>
        <w:tc>
          <w:tcPr/>
          <w:p>
            <w:pPr>
              <w:pStyle w:val="Compact"/>
              <w:jc w:val="right"/>
            </w:pPr>
            <w:r>
              <w:rPr>
                <w:sz w:val="14"/>
                <w:szCs w:val="14"/>
              </w:rPr>
              <w:t xml:space="preserve">-204,7</w:t>
            </w:r>
          </w:p>
        </w:tc>
        <w:tc>
          <w:tcPr/>
          <w:p>
            <w:pPr>
              <w:pStyle w:val="Compact"/>
              <w:jc w:val="right"/>
            </w:pPr>
            <w:r>
              <w:rPr>
                <w:sz w:val="14"/>
                <w:szCs w:val="14"/>
              </w:rPr>
              <w:t xml:space="preserve">-205,9</w:t>
            </w:r>
          </w:p>
        </w:tc>
        <w:tc>
          <w:tcPr/>
          <w:p>
            <w:pPr>
              <w:pStyle w:val="Compact"/>
              <w:jc w:val="right"/>
            </w:pPr>
            <w:r>
              <w:rPr>
                <w:sz w:val="14"/>
                <w:szCs w:val="14"/>
              </w:rPr>
              <w:t xml:space="preserve">1,79</w:t>
            </w:r>
          </w:p>
        </w:tc>
        <w:tc>
          <w:tcPr/>
          <w:p>
            <w:pPr>
              <w:pStyle w:val="Compact"/>
              <w:jc w:val="right"/>
            </w:pPr>
            <w:r>
              <w:rPr>
                <w:sz w:val="14"/>
                <w:szCs w:val="14"/>
              </w:rPr>
              <w:t xml:space="preserve">1,71</w:t>
            </w:r>
          </w:p>
        </w:tc>
        <w:tc>
          <w:tcPr/>
          <w:p>
            <w:pPr>
              <w:pStyle w:val="Compact"/>
              <w:jc w:val="right"/>
            </w:pPr>
            <w:r>
              <w:rPr>
                <w:sz w:val="14"/>
                <w:szCs w:val="14"/>
              </w:rPr>
              <w:t xml:space="preserve">1,70</w:t>
            </w:r>
          </w:p>
        </w:tc>
        <w:tc>
          <w:tcPr/>
          <w:p>
            <w:pPr>
              <w:pStyle w:val="Compact"/>
              <w:jc w:val="right"/>
            </w:pPr>
            <w:r>
              <w:rPr>
                <w:sz w:val="14"/>
                <w:szCs w:val="14"/>
              </w:rPr>
              <w:t xml:space="preserve">0,259</w:t>
            </w:r>
          </w:p>
        </w:tc>
        <w:tc>
          <w:tcPr/>
          <w:p>
            <w:pPr>
              <w:pStyle w:val="Compact"/>
              <w:jc w:val="right"/>
            </w:pPr>
            <w:r>
              <w:rPr>
                <w:sz w:val="14"/>
                <w:szCs w:val="14"/>
              </w:rPr>
              <w:t xml:space="preserve">0,116</w:t>
            </w:r>
          </w:p>
        </w:tc>
        <w:tc>
          <w:tcPr/>
          <w:p>
            <w:pPr>
              <w:pStyle w:val="Compact"/>
              <w:jc w:val="right"/>
            </w:pPr>
            <w:r>
              <w:rPr>
                <w:sz w:val="14"/>
                <w:szCs w:val="14"/>
              </w:rPr>
              <w:t xml:space="preserve">0,144</w:t>
            </w:r>
          </w:p>
        </w:tc>
        <w:tc>
          <w:tcPr/>
          <w:p>
            <w:pPr>
              <w:pStyle w:val="Compact"/>
              <w:jc w:val="right"/>
            </w:pPr>
            <w:r>
              <w:rPr>
                <w:sz w:val="14"/>
                <w:szCs w:val="14"/>
              </w:rPr>
              <w:t xml:space="preserve">0,224</w:t>
            </w:r>
          </w:p>
        </w:tc>
      </w:tr>
    </w:tbl>
    <w:bookmarkEnd w:id="55"/>
    <w:p>
      <w:pPr>
        <w:pStyle w:val="BlockText"/>
      </w:pPr>
      <m:oMath>
        <m:r>
          <m:t>N</m:t>
        </m:r>
      </m:oMath>
      <w:r>
        <w:t xml:space="preserve"> </w:t>
      </w:r>
      <w:r>
        <w:t xml:space="preserve">ist die Spannweite der investierbaren Sektoren; QLIKE-Niveaus sind zwischen Perioden mit unterschiedlichem</w:t>
      </w:r>
      <w:r>
        <w:t xml:space="preserve"> </w:t>
      </w:r>
      <m:oMath>
        <m:r>
          <m:t>N</m:t>
        </m:r>
      </m:oMath>
      <w:r>
        <w:t xml:space="preserve"> </w:t>
      </w:r>
      <w:r>
        <w:t xml:space="preserve">nicht vergleichbar.</w:t>
      </w:r>
    </w:p>
    <w:p>
      <w:pPr>
        <w:pStyle w:val="FirstParagraph"/>
      </w:pPr>
      <w:r>
        <w:t xml:space="preserve">Aussagekräftig bleibt die Differenz zwischen den Schätzern innerhalb einer Periode, die erheblich variiert.</w:t>
      </w:r>
      <w:r>
        <w:t xml:space="preserve"> </w:t>
      </w:r>
      <w:r>
        <w:t xml:space="preserve">In der Finanzkrise 2008/09 und im COVID-Zeitraum fällt sie um ein Vielfaches größer aus als in den ruhigen Phasen.</w:t>
      </w:r>
      <w:r>
        <w:t xml:space="preserve"> </w:t>
      </w:r>
      <w:r>
        <w:t xml:space="preserve">Der Mehrwert der dynamischen Modellierung konzentriert sich damit auf Phasen mit ausgeprägten Volatilitätsschocks, in denen eine statische Matrix dem Risikoniveau am stärksten nachläuft.</w:t>
      </w:r>
    </w:p>
    <w:p>
      <w:pPr>
        <w:pStyle w:val="BodyText"/>
      </w:pPr>
      <w:r>
        <w:t xml:space="preserve">Ökonomisch ist die Rangfolge ebenfalls periodenabhängig, da das MVP mit DCC-Kovarianz und ebenso mit GARCH-Kovarianz die historische Variante in der Phase 2010–2019 klar schlägt, in allen übrigen Teilperioden jedoch zurückliegt.</w:t>
      </w:r>
      <w:r>
        <w:t xml:space="preserve"> </w:t>
      </w:r>
      <w:r>
        <w:t xml:space="preserve">Der Basisfall umfasst die volle Historie ab 2003 und mittelt über gegenläufige Teilperioden, weshalb dort die historische Matrix vorne liegt, während die auf 2010 eingeschränkten Tabellen für das MVP zugunsten von DCC ausfallen.</w:t>
      </w:r>
      <w:r>
        <w:t xml:space="preserve"> </w:t>
      </w:r>
      <w:r>
        <w:t xml:space="preserve">Beide Rechnungen sind korrekt, messen aber Unterschiedliches, wobei die Unterschiede in beide Richtungen durchgängig insignifikant sind und daher keine starke Aussage zulassen.</w:t>
      </w:r>
    </w:p>
    <w:bookmarkEnd w:id="56"/>
    <w:bookmarkStart w:id="58" w:name="sec:anhang_kosten"/>
    <w:p>
      <w:pPr>
        <w:pStyle w:val="Heading1"/>
      </w:pPr>
      <w:r>
        <w:t xml:space="preserve">Transaktionskosten</w:t>
      </w:r>
    </w:p>
    <w:p>
      <w:pPr>
        <w:pStyle w:val="FirstParagraph"/>
      </w:pPr>
      <w:hyperlink w:anchor="tab:transaktionskosten">
        <w:r>
          <w:rPr>
            <w:rStyle w:val="Hyperlink"/>
          </w:rPr>
          <w:t xml:space="preserve">Tabelle </w:t>
        </w:r>
        <w:hyperlink w:anchor="tab:transaktionskosten">
          <w:r>
            <w:rPr>
              <w:rStyle w:val="Hyperlink"/>
            </w:rPr>
            <w:t xml:space="preserve">13</w:t>
          </w:r>
        </w:hyperlink>
        <w:r>
          <w:rPr>
            <w:rStyle w:val="Hyperlink"/>
          </w:rPr>
          <w:t xml:space="preserve"> </w:t>
        </w:r>
        <w:r>
          <w:rPr>
            <w:rStyle w:val="Hyperlink"/>
          </w:rPr>
          <w:t xml:space="preserve">weist die Sharpe Ratios des Basisfalls nach Abzug proportionaler Transaktionskosten auf das je Rebalancierung umgeschlagene Volumen aus.</w:t>
        </w:r>
      </w:hyperlink>
    </w:p>
    <w:bookmarkStart w:id="57" w:name="tab:transaktionskosten"/>
    <w:p>
      <w:pPr>
        <w:pStyle w:val="TableCaption"/>
      </w:pPr>
      <w:r>
        <w:t xml:space="preserve">Sharpe Ratios nach proportionalen Transaktionskosten (Basisfall)</w:t>
      </w:r>
    </w:p>
    <w:tbl>
      <w:tblPr>
        <w:tblStyle w:val="Table"/>
        <w:tblW w:type="auto" w:w="0"/>
        <w:tblLook w:firstRow="1" w:lastRow="0" w:firstColumn="0" w:lastColumn="0" w:noHBand="0" w:noVBand="0" w:val="0020"/>
        <w:tblCaption w:val="Sharpe Ratios nach proportionalen Transaktionskosten (Basisfall)"/>
      </w:tblPr>
      <w:tblGrid>
        <w:gridCol w:w="1296"/>
        <w:gridCol w:w="1296"/>
        <w:gridCol w:w="1296"/>
        <w:gridCol w:w="1296"/>
        <w:gridCol w:w="1296"/>
        <w:gridCol w:w="1296"/>
        <w:gridCol w:w="1296"/>
      </w:tblGrid>
      <w:tr>
        <w:trPr>
          <w:tblHeader w:val="on"/>
        </w:trPr>
        <w:tc>
          <w:tcPr/>
          <w:p>
            <w:pPr>
              <w:pStyle w:val="Compact"/>
              <w:jc w:val="left"/>
            </w:pPr>
            <w:r>
              <w:t xml:space="preserve">Modell</w:t>
            </w:r>
          </w:p>
        </w:tc>
        <w:tc>
          <w:tcPr/>
          <w:p>
            <w:pPr>
              <w:pStyle w:val="Compact"/>
              <w:jc w:val="left"/>
            </w:pPr>
            <w:r>
              <w:t xml:space="preserve">Kovarianz</w:t>
            </w:r>
          </w:p>
        </w:tc>
        <w:tc>
          <w:tcPr/>
          <w:p>
            <w:pPr>
              <w:pStyle w:val="Compact"/>
              <w:jc w:val="right"/>
            </w:pPr>
            <w:r>
              <w:t xml:space="preserve">Turnover</w:t>
            </w:r>
          </w:p>
        </w:tc>
        <w:tc>
          <w:tcPr/>
          <w:p>
            <w:pPr>
              <w:pStyle w:val="Compact"/>
              <w:jc w:val="right"/>
            </w:pPr>
            <w:r>
              <w:t xml:space="preserve">0 Bp.</w:t>
            </w:r>
          </w:p>
        </w:tc>
        <w:tc>
          <w:tcPr/>
          <w:p>
            <w:pPr>
              <w:pStyle w:val="Compact"/>
              <w:jc w:val="right"/>
            </w:pPr>
            <w:r>
              <w:t xml:space="preserve">5 Bp.</w:t>
            </w:r>
          </w:p>
        </w:tc>
        <w:tc>
          <w:tcPr/>
          <w:p>
            <w:pPr>
              <w:pStyle w:val="Compact"/>
              <w:jc w:val="right"/>
            </w:pPr>
            <w:r>
              <w:t xml:space="preserve">10 Bp.</w:t>
            </w:r>
          </w:p>
        </w:tc>
        <w:tc>
          <w:tcPr/>
          <w:p>
            <w:pPr>
              <w:pStyle w:val="Compact"/>
              <w:jc w:val="right"/>
            </w:pPr>
            <w:r>
              <w:t xml:space="preserve">20 Bp.</w:t>
            </w:r>
          </w:p>
        </w:tc>
      </w:tr>
      <w:tr>
        <w:tc>
          <w:tcPr/>
          <w:p>
            <w:pPr>
              <w:pStyle w:val="Compact"/>
              <w:jc w:val="left"/>
            </w:pPr>
            <w:r>
              <w:t xml:space="preserve">MVP</w:t>
            </w:r>
          </w:p>
        </w:tc>
        <w:tc>
          <w:tcPr/>
          <w:p>
            <w:pPr>
              <w:pStyle w:val="Compact"/>
              <w:jc w:val="left"/>
            </w:pPr>
            <w:r>
              <w:t xml:space="preserve">Historisch</w:t>
            </w:r>
          </w:p>
        </w:tc>
        <w:tc>
          <w:tcPr/>
          <w:p>
            <w:pPr>
              <w:pStyle w:val="Compact"/>
              <w:jc w:val="right"/>
            </w:pPr>
            <w:r>
              <w:t xml:space="preserve">0,008</w:t>
            </w:r>
          </w:p>
        </w:tc>
        <w:tc>
          <w:tcPr/>
          <w:p>
            <w:pPr>
              <w:pStyle w:val="Compact"/>
              <w:jc w:val="right"/>
            </w:pPr>
            <w:r>
              <w:t xml:space="preserve">0,567</w:t>
            </w:r>
          </w:p>
        </w:tc>
        <w:tc>
          <w:tcPr/>
          <w:p>
            <w:pPr>
              <w:pStyle w:val="Compact"/>
              <w:jc w:val="right"/>
            </w:pPr>
            <w:r>
              <w:t xml:space="preserve">0,560</w:t>
            </w:r>
          </w:p>
        </w:tc>
        <w:tc>
          <w:tcPr/>
          <w:p>
            <w:pPr>
              <w:pStyle w:val="Compact"/>
              <w:jc w:val="right"/>
            </w:pPr>
            <w:r>
              <w:t xml:space="preserve">0,553</w:t>
            </w:r>
          </w:p>
        </w:tc>
        <w:tc>
          <w:tcPr/>
          <w:p>
            <w:pPr>
              <w:pStyle w:val="Compact"/>
              <w:jc w:val="right"/>
            </w:pPr>
            <w:r>
              <w:t xml:space="preserve">0,539</w:t>
            </w:r>
          </w:p>
        </w:tc>
      </w:tr>
      <w:tr>
        <w:tc>
          <w:tcPr/>
          <w:p>
            <w:pPr>
              <w:pStyle w:val="Compact"/>
              <w:jc w:val="left"/>
            </w:pPr>
            <w:r>
              <w:t xml:space="preserve">MVP</w:t>
            </w:r>
          </w:p>
        </w:tc>
        <w:tc>
          <w:tcPr/>
          <w:p>
            <w:pPr>
              <w:pStyle w:val="Compact"/>
              <w:jc w:val="left"/>
            </w:pPr>
            <w:r>
              <w:t xml:space="preserve">GARCH</w:t>
            </w:r>
          </w:p>
        </w:tc>
        <w:tc>
          <w:tcPr/>
          <w:p>
            <w:pPr>
              <w:pStyle w:val="Compact"/>
              <w:jc w:val="right"/>
            </w:pPr>
            <w:r>
              <w:t xml:space="preserve">0,258</w:t>
            </w:r>
          </w:p>
        </w:tc>
        <w:tc>
          <w:tcPr/>
          <w:p>
            <w:pPr>
              <w:pStyle w:val="Compact"/>
              <w:jc w:val="right"/>
            </w:pPr>
            <w:r>
              <w:t xml:space="preserve">0,532</w:t>
            </w:r>
          </w:p>
        </w:tc>
        <w:tc>
          <w:tcPr/>
          <w:p>
            <w:pPr>
              <w:pStyle w:val="Compact"/>
              <w:jc w:val="right"/>
            </w:pPr>
            <w:r>
              <w:t xml:space="preserve">0,299</w:t>
            </w:r>
          </w:p>
        </w:tc>
        <w:tc>
          <w:tcPr/>
          <w:p>
            <w:pPr>
              <w:pStyle w:val="Compact"/>
              <w:jc w:val="right"/>
            </w:pPr>
            <w:r>
              <w:t xml:space="preserve">0,066</w:t>
            </w:r>
          </w:p>
        </w:tc>
        <w:tc>
          <w:tcPr/>
          <w:p>
            <w:pPr>
              <w:pStyle w:val="Compact"/>
              <w:jc w:val="right"/>
            </w:pPr>
            <w:r>
              <w:t xml:space="preserve">-0,400</w:t>
            </w:r>
          </w:p>
        </w:tc>
      </w:tr>
      <w:tr>
        <w:tc>
          <w:tcPr/>
          <w:p>
            <w:pPr>
              <w:pStyle w:val="Compact"/>
              <w:jc w:val="left"/>
            </w:pPr>
            <w:r>
              <w:t xml:space="preserve">MVP</w:t>
            </w:r>
          </w:p>
        </w:tc>
        <w:tc>
          <w:tcPr/>
          <w:p>
            <w:pPr>
              <w:pStyle w:val="Compact"/>
              <w:jc w:val="left"/>
            </w:pPr>
            <w:r>
              <w:t xml:space="preserve">DCC-GARCH</w:t>
            </w:r>
          </w:p>
        </w:tc>
        <w:tc>
          <w:tcPr/>
          <w:p>
            <w:pPr>
              <w:pStyle w:val="Compact"/>
              <w:jc w:val="right"/>
            </w:pPr>
            <w:r>
              <w:t xml:space="preserve">0,255</w:t>
            </w:r>
          </w:p>
        </w:tc>
        <w:tc>
          <w:tcPr/>
          <w:p>
            <w:pPr>
              <w:pStyle w:val="Compact"/>
              <w:jc w:val="right"/>
            </w:pPr>
            <w:r>
              <w:t xml:space="preserve">0,543</w:t>
            </w:r>
          </w:p>
        </w:tc>
        <w:tc>
          <w:tcPr/>
          <w:p>
            <w:pPr>
              <w:pStyle w:val="Compact"/>
              <w:jc w:val="right"/>
            </w:pPr>
            <w:r>
              <w:t xml:space="preserve">0,310</w:t>
            </w:r>
          </w:p>
        </w:tc>
        <w:tc>
          <w:tcPr/>
          <w:p>
            <w:pPr>
              <w:pStyle w:val="Compact"/>
              <w:jc w:val="right"/>
            </w:pPr>
            <w:r>
              <w:t xml:space="preserve">0,077</w:t>
            </w:r>
          </w:p>
        </w:tc>
        <w:tc>
          <w:tcPr/>
          <w:p>
            <w:pPr>
              <w:pStyle w:val="Compact"/>
              <w:jc w:val="right"/>
            </w:pPr>
            <w:r>
              <w:t xml:space="preserve">-0,388</w:t>
            </w:r>
          </w:p>
        </w:tc>
      </w:tr>
      <w:tr>
        <w:tc>
          <w:tcPr/>
          <w:p>
            <w:pPr>
              <w:pStyle w:val="Compact"/>
              <w:jc w:val="left"/>
            </w:pPr>
            <w:r>
              <w:t xml:space="preserve">HRP</w:t>
            </w:r>
          </w:p>
        </w:tc>
        <w:tc>
          <w:tcPr/>
          <w:p>
            <w:pPr>
              <w:pStyle w:val="Compact"/>
              <w:jc w:val="left"/>
            </w:pPr>
            <w:r>
              <w:t xml:space="preserve">Historisch</w:t>
            </w:r>
          </w:p>
        </w:tc>
        <w:tc>
          <w:tcPr/>
          <w:p>
            <w:pPr>
              <w:pStyle w:val="Compact"/>
              <w:jc w:val="right"/>
            </w:pPr>
            <w:r>
              <w:t xml:space="preserve">0,012</w:t>
            </w:r>
          </w:p>
        </w:tc>
        <w:tc>
          <w:tcPr/>
          <w:p>
            <w:pPr>
              <w:pStyle w:val="Compact"/>
              <w:jc w:val="right"/>
            </w:pPr>
            <w:r>
              <w:t xml:space="preserve">0,509</w:t>
            </w:r>
          </w:p>
        </w:tc>
        <w:tc>
          <w:tcPr/>
          <w:p>
            <w:pPr>
              <w:pStyle w:val="Compact"/>
              <w:jc w:val="right"/>
            </w:pPr>
            <w:r>
              <w:t xml:space="preserve">0,499</w:t>
            </w:r>
          </w:p>
        </w:tc>
        <w:tc>
          <w:tcPr/>
          <w:p>
            <w:pPr>
              <w:pStyle w:val="Compact"/>
              <w:jc w:val="right"/>
            </w:pPr>
            <w:r>
              <w:t xml:space="preserve">0,490</w:t>
            </w:r>
          </w:p>
        </w:tc>
        <w:tc>
          <w:tcPr/>
          <w:p>
            <w:pPr>
              <w:pStyle w:val="Compact"/>
              <w:jc w:val="right"/>
            </w:pPr>
            <w:r>
              <w:t xml:space="preserve">0,472</w:t>
            </w:r>
          </w:p>
        </w:tc>
      </w:tr>
      <w:tr>
        <w:tc>
          <w:tcPr/>
          <w:p>
            <w:pPr>
              <w:pStyle w:val="Compact"/>
              <w:jc w:val="left"/>
            </w:pPr>
            <w:r>
              <w:t xml:space="preserve">HRP</w:t>
            </w:r>
          </w:p>
        </w:tc>
        <w:tc>
          <w:tcPr/>
          <w:p>
            <w:pPr>
              <w:pStyle w:val="Compact"/>
              <w:jc w:val="left"/>
            </w:pPr>
            <w:r>
              <w:t xml:space="preserve">GARCH</w:t>
            </w:r>
          </w:p>
        </w:tc>
        <w:tc>
          <w:tcPr/>
          <w:p>
            <w:pPr>
              <w:pStyle w:val="Compact"/>
              <w:jc w:val="right"/>
            </w:pPr>
            <w:r>
              <w:t xml:space="preserve">0,072</w:t>
            </w:r>
          </w:p>
        </w:tc>
        <w:tc>
          <w:tcPr/>
          <w:p>
            <w:pPr>
              <w:pStyle w:val="Compact"/>
              <w:jc w:val="right"/>
            </w:pPr>
            <w:r>
              <w:t xml:space="preserve">0,502</w:t>
            </w:r>
          </w:p>
        </w:tc>
        <w:tc>
          <w:tcPr/>
          <w:p>
            <w:pPr>
              <w:pStyle w:val="Compact"/>
              <w:jc w:val="right"/>
            </w:pPr>
            <w:r>
              <w:t xml:space="preserve">0,447</w:t>
            </w:r>
          </w:p>
        </w:tc>
        <w:tc>
          <w:tcPr/>
          <w:p>
            <w:pPr>
              <w:pStyle w:val="Compact"/>
              <w:jc w:val="right"/>
            </w:pPr>
            <w:r>
              <w:t xml:space="preserve">0,391</w:t>
            </w:r>
          </w:p>
        </w:tc>
        <w:tc>
          <w:tcPr/>
          <w:p>
            <w:pPr>
              <w:pStyle w:val="Compact"/>
              <w:jc w:val="right"/>
            </w:pPr>
            <w:r>
              <w:t xml:space="preserve">0,279</w:t>
            </w:r>
          </w:p>
        </w:tc>
      </w:tr>
      <w:tr>
        <w:tc>
          <w:tcPr/>
          <w:p>
            <w:pPr>
              <w:pStyle w:val="Compact"/>
              <w:jc w:val="left"/>
            </w:pPr>
            <w:r>
              <w:t xml:space="preserve">HRP</w:t>
            </w:r>
          </w:p>
        </w:tc>
        <w:tc>
          <w:tcPr/>
          <w:p>
            <w:pPr>
              <w:pStyle w:val="Compact"/>
              <w:jc w:val="left"/>
            </w:pPr>
            <w:r>
              <w:t xml:space="preserve">DCC-GARCH</w:t>
            </w:r>
          </w:p>
        </w:tc>
        <w:tc>
          <w:tcPr/>
          <w:p>
            <w:pPr>
              <w:pStyle w:val="Compact"/>
              <w:jc w:val="right"/>
            </w:pPr>
            <w:r>
              <w:t xml:space="preserve">0,094</w:t>
            </w:r>
          </w:p>
        </w:tc>
        <w:tc>
          <w:tcPr/>
          <w:p>
            <w:pPr>
              <w:pStyle w:val="Compact"/>
              <w:jc w:val="right"/>
            </w:pPr>
            <w:r>
              <w:t xml:space="preserve">0,513</w:t>
            </w:r>
          </w:p>
        </w:tc>
        <w:tc>
          <w:tcPr/>
          <w:p>
            <w:pPr>
              <w:pStyle w:val="Compact"/>
              <w:jc w:val="right"/>
            </w:pPr>
            <w:r>
              <w:t xml:space="preserve">0,439</w:t>
            </w:r>
          </w:p>
        </w:tc>
        <w:tc>
          <w:tcPr/>
          <w:p>
            <w:pPr>
              <w:pStyle w:val="Compact"/>
              <w:jc w:val="right"/>
            </w:pPr>
            <w:r>
              <w:t xml:space="preserve">0,366</w:t>
            </w:r>
          </w:p>
        </w:tc>
        <w:tc>
          <w:tcPr/>
          <w:p>
            <w:pPr>
              <w:pStyle w:val="Compact"/>
              <w:jc w:val="right"/>
            </w:pPr>
            <w:r>
              <w:t xml:space="preserve">0,219</w:t>
            </w:r>
          </w:p>
        </w:tc>
      </w:tr>
      <w:tr>
        <w:tc>
          <w:tcPr/>
          <w:p>
            <w:pPr>
              <w:pStyle w:val="Compact"/>
              <w:jc w:val="left"/>
            </w:pPr>
            <w:r>
              <w:t xml:space="preserve">ERC</w:t>
            </w:r>
          </w:p>
        </w:tc>
        <w:tc>
          <w:tcPr/>
          <w:p>
            <w:pPr>
              <w:pStyle w:val="Compact"/>
              <w:jc w:val="left"/>
            </w:pPr>
            <w:r>
              <w:t xml:space="preserve">Historisch</w:t>
            </w:r>
          </w:p>
        </w:tc>
        <w:tc>
          <w:tcPr/>
          <w:p>
            <w:pPr>
              <w:pStyle w:val="Compact"/>
              <w:jc w:val="right"/>
            </w:pPr>
            <w:r>
              <w:t xml:space="preserve">0,006</w:t>
            </w:r>
          </w:p>
        </w:tc>
        <w:tc>
          <w:tcPr/>
          <w:p>
            <w:pPr>
              <w:pStyle w:val="Compact"/>
              <w:jc w:val="right"/>
            </w:pPr>
            <w:r>
              <w:t xml:space="preserve">0,501</w:t>
            </w:r>
          </w:p>
        </w:tc>
        <w:tc>
          <w:tcPr/>
          <w:p>
            <w:pPr>
              <w:pStyle w:val="Compact"/>
              <w:jc w:val="right"/>
            </w:pPr>
            <w:r>
              <w:t xml:space="preserve">0,497</w:t>
            </w:r>
          </w:p>
        </w:tc>
        <w:tc>
          <w:tcPr/>
          <w:p>
            <w:pPr>
              <w:pStyle w:val="Compact"/>
              <w:jc w:val="right"/>
            </w:pPr>
            <w:r>
              <w:t xml:space="preserve">0,493</w:t>
            </w:r>
          </w:p>
        </w:tc>
        <w:tc>
          <w:tcPr/>
          <w:p>
            <w:pPr>
              <w:pStyle w:val="Compact"/>
              <w:jc w:val="right"/>
            </w:pPr>
            <w:r>
              <w:t xml:space="preserve">0,484</w:t>
            </w:r>
          </w:p>
        </w:tc>
      </w:tr>
      <w:tr>
        <w:tc>
          <w:tcPr/>
          <w:p>
            <w:pPr>
              <w:pStyle w:val="Compact"/>
              <w:jc w:val="left"/>
            </w:pPr>
            <w:r>
              <w:t xml:space="preserve">ERC</w:t>
            </w:r>
          </w:p>
        </w:tc>
        <w:tc>
          <w:tcPr/>
          <w:p>
            <w:pPr>
              <w:pStyle w:val="Compact"/>
              <w:jc w:val="left"/>
            </w:pPr>
            <w:r>
              <w:t xml:space="preserve">GARCH</w:t>
            </w:r>
          </w:p>
        </w:tc>
        <w:tc>
          <w:tcPr/>
          <w:p>
            <w:pPr>
              <w:pStyle w:val="Compact"/>
              <w:jc w:val="right"/>
            </w:pPr>
            <w:r>
              <w:t xml:space="preserve">0,034</w:t>
            </w:r>
          </w:p>
        </w:tc>
        <w:tc>
          <w:tcPr/>
          <w:p>
            <w:pPr>
              <w:pStyle w:val="Compact"/>
              <w:jc w:val="right"/>
            </w:pPr>
            <w:r>
              <w:t xml:space="preserve">0,490</w:t>
            </w:r>
          </w:p>
        </w:tc>
        <w:tc>
          <w:tcPr/>
          <w:p>
            <w:pPr>
              <w:pStyle w:val="Compact"/>
              <w:jc w:val="right"/>
            </w:pPr>
            <w:r>
              <w:t xml:space="preserve">0,466</w:t>
            </w:r>
          </w:p>
        </w:tc>
        <w:tc>
          <w:tcPr/>
          <w:p>
            <w:pPr>
              <w:pStyle w:val="Compact"/>
              <w:jc w:val="right"/>
            </w:pPr>
            <w:r>
              <w:t xml:space="preserve">0,442</w:t>
            </w:r>
          </w:p>
        </w:tc>
        <w:tc>
          <w:tcPr/>
          <w:p>
            <w:pPr>
              <w:pStyle w:val="Compact"/>
              <w:jc w:val="right"/>
            </w:pPr>
            <w:r>
              <w:t xml:space="preserve">0,393</w:t>
            </w:r>
          </w:p>
        </w:tc>
      </w:tr>
      <w:tr>
        <w:tc>
          <w:tcPr/>
          <w:p>
            <w:pPr>
              <w:pStyle w:val="Compact"/>
              <w:jc w:val="left"/>
            </w:pPr>
            <w:r>
              <w:t xml:space="preserve">ERC</w:t>
            </w:r>
          </w:p>
        </w:tc>
        <w:tc>
          <w:tcPr/>
          <w:p>
            <w:pPr>
              <w:pStyle w:val="Compact"/>
              <w:jc w:val="left"/>
            </w:pPr>
            <w:r>
              <w:t xml:space="preserve">DCC-GARCH</w:t>
            </w:r>
          </w:p>
        </w:tc>
        <w:tc>
          <w:tcPr/>
          <w:p>
            <w:pPr>
              <w:pStyle w:val="Compact"/>
              <w:jc w:val="right"/>
            </w:pPr>
            <w:r>
              <w:t xml:space="preserve">0,034</w:t>
            </w:r>
          </w:p>
        </w:tc>
        <w:tc>
          <w:tcPr/>
          <w:p>
            <w:pPr>
              <w:pStyle w:val="Compact"/>
              <w:jc w:val="right"/>
            </w:pPr>
            <w:r>
              <w:t xml:space="preserve">0,490</w:t>
            </w:r>
          </w:p>
        </w:tc>
        <w:tc>
          <w:tcPr/>
          <w:p>
            <w:pPr>
              <w:pStyle w:val="Compact"/>
              <w:jc w:val="right"/>
            </w:pPr>
            <w:r>
              <w:t xml:space="preserve">0,465</w:t>
            </w:r>
          </w:p>
        </w:tc>
        <w:tc>
          <w:tcPr/>
          <w:p>
            <w:pPr>
              <w:pStyle w:val="Compact"/>
              <w:jc w:val="right"/>
            </w:pPr>
            <w:r>
              <w:t xml:space="preserve">0,440</w:t>
            </w:r>
          </w:p>
        </w:tc>
        <w:tc>
          <w:tcPr/>
          <w:p>
            <w:pPr>
              <w:pStyle w:val="Compact"/>
              <w:jc w:val="right"/>
            </w:pPr>
            <w:r>
              <w:t xml:space="preserve">0,391</w:t>
            </w:r>
          </w:p>
        </w:tc>
      </w:tr>
      <w:tr>
        <w:tc>
          <w:tcPr/>
          <w:p>
            <w:pPr>
              <w:pStyle w:val="Compact"/>
              <w:jc w:val="left"/>
            </w:pPr>
            <w:r>
              <w:t xml:space="preserve">1/N</w:t>
            </w:r>
          </w:p>
        </w:tc>
        <w:tc>
          <w:tcPr/>
          <w:p>
            <w:pPr>
              <w:pStyle w:val="Compact"/>
              <w:jc w:val="left"/>
            </w:pPr>
            <w:r>
              <w:t xml:space="preserve">–</w:t>
            </w:r>
          </w:p>
        </w:tc>
        <w:tc>
          <w:tcPr/>
          <w:p>
            <w:pPr>
              <w:pStyle w:val="Compact"/>
              <w:jc w:val="right"/>
            </w:pPr>
            <w:r>
              <w:t xml:space="preserve">0,006</w:t>
            </w:r>
          </w:p>
        </w:tc>
        <w:tc>
          <w:tcPr/>
          <w:p>
            <w:pPr>
              <w:pStyle w:val="Compact"/>
              <w:jc w:val="right"/>
            </w:pPr>
            <w:r>
              <w:t xml:space="preserve">0,488</w:t>
            </w:r>
          </w:p>
        </w:tc>
        <w:tc>
          <w:tcPr/>
          <w:p>
            <w:pPr>
              <w:pStyle w:val="Compact"/>
              <w:jc w:val="right"/>
            </w:pPr>
            <w:r>
              <w:t xml:space="preserve">0,484</w:t>
            </w:r>
          </w:p>
        </w:tc>
        <w:tc>
          <w:tcPr/>
          <w:p>
            <w:pPr>
              <w:pStyle w:val="Compact"/>
              <w:jc w:val="right"/>
            </w:pPr>
            <w:r>
              <w:t xml:space="preserve">0,480</w:t>
            </w:r>
          </w:p>
        </w:tc>
        <w:tc>
          <w:tcPr/>
          <w:p>
            <w:pPr>
              <w:pStyle w:val="Compact"/>
              <w:jc w:val="right"/>
            </w:pPr>
            <w:r>
              <w:t xml:space="preserve">0,472</w:t>
            </w:r>
          </w:p>
        </w:tc>
      </w:tr>
    </w:tbl>
    <w:bookmarkEnd w:id="57"/>
    <w:p>
      <w:pPr>
        <w:pStyle w:val="BlockText"/>
      </w:pPr>
      <w:r>
        <w:t xml:space="preserve">Sharpe Ratio auf Überschussrenditen über die Fed Funds Rate nach Abzug von</w:t>
      </w:r>
      <w:r>
        <w:t xml:space="preserve"> </w:t>
      </w:r>
      <m:oMath>
        <m:r>
          <m:t>c</m:t>
        </m:r>
      </m:oMath>
      <w:r>
        <w:t xml:space="preserve"> </w:t>
      </w:r>
      <w:r>
        <w:t xml:space="preserve">Basispunkten auf das je Rebalancierung umgeschlagene Volumen; die 0-Bp.-Spalte entspricht damit exakt</w:t>
      </w:r>
      <w:r>
        <w:t xml:space="preserve"> </w:t>
      </w:r>
      <w:hyperlink w:anchor="tab:oekonomie_basis">
        <w:r>
          <w:rPr>
            <w:rStyle w:val="Hyperlink"/>
          </w:rPr>
          <w:t xml:space="preserve">Tabelle </w:t>
        </w:r>
        <w:hyperlink w:anchor="tab:oekonomie_basis">
          <w:r>
            <w:rPr>
              <w:rStyle w:val="Hyperlink"/>
            </w:rPr>
            <w:t xml:space="preserve">5</w:t>
          </w:r>
        </w:hyperlink>
      </w:hyperlink>
      <w:r>
        <w:t xml:space="preserve">.</w:t>
      </w:r>
    </w:p>
    <w:bookmarkEnd w:id="58"/>
    <w:bookmarkStart w:id="80" w:name="sec:anhang_synth"/>
    <w:p>
      <w:pPr>
        <w:pStyle w:val="Heading1"/>
      </w:pPr>
      <w:r>
        <w:t xml:space="preserve">Synthetische Validierung</w:t>
      </w:r>
    </w:p>
    <w:p>
      <w:pPr>
        <w:pStyle w:val="FirstParagraph"/>
      </w:pPr>
      <w:r>
        <w:t xml:space="preserve">Ob die Modelle korrekt implementiert sind, lässt sich an echten Daten nicht prüfen, da der wahre datengenerierende Prozess unbekannt ist.</w:t>
      </w:r>
      <w:r>
        <w:t xml:space="preserve"> </w:t>
      </w:r>
      <w:r>
        <w:t xml:space="preserve">Stattdessen werden drei simulierte Datensätze mit jeweils 20 Anlagen und 6.000 Handelstagen verwendet, die dieselbe unbedingte Risikostruktur besitzen (annualisierte Volatilitäten zwischen 15 % und 35 %, durchschnittliche Korrelation 0,35) und sich ausschließlich in der Dynamik der zweiten Momente unterscheiden.</w:t>
      </w:r>
      <w:r>
        <w:t xml:space="preserve"> </w:t>
      </w:r>
      <w:r>
        <w:t xml:space="preserve">Der Monte-Carlo-Datensatz enthält unabhängige Ziehungen mit konstanter Kovarianz, in denen die historische Matrix korrekt spezifiziert ist.</w:t>
      </w:r>
      <w:r>
        <w:t xml:space="preserve"> </w:t>
      </w:r>
      <w:r>
        <w:t xml:space="preserve">Beim GARCH-Datensatz kommt eine GARCH(1,1)-Dynamik je Anlage mit</w:t>
      </w:r>
      <w:r>
        <w:t xml:space="preserve"> </w:t>
      </w:r>
      <m:oMath>
        <m:r>
          <m:t>α</m:t>
        </m:r>
        <m:r>
          <m:rPr>
            <m:sty m:val="p"/>
          </m:rPr>
          <m:t>=</m:t>
        </m:r>
        <m:r>
          <m:t>0</m:t>
        </m:r>
        <m:r>
          <m:rPr>
            <m:sty m:val="p"/>
          </m:rPr>
          <m:t>,</m:t>
        </m:r>
        <m:r>
          <m:t>08</m:t>
        </m:r>
      </m:oMath>
      <w:r>
        <w:t xml:space="preserve"> </w:t>
      </w:r>
      <w:r>
        <w:t xml:space="preserve">und</w:t>
      </w:r>
      <w:r>
        <w:t xml:space="preserve"> </w:t>
      </w:r>
      <m:oMath>
        <m:r>
          <m:t>β</m:t>
        </m:r>
        <m:r>
          <m:rPr>
            <m:sty m:val="p"/>
          </m:rPr>
          <m:t>=</m:t>
        </m:r>
        <m:r>
          <m:t>0</m:t>
        </m:r>
        <m:r>
          <m:rPr>
            <m:sty m:val="p"/>
          </m:rPr>
          <m:t>,</m:t>
        </m:r>
        <m:r>
          <m:t>90</m:t>
        </m:r>
      </m:oMath>
      <w:r>
        <w:t xml:space="preserve"> </w:t>
      </w:r>
      <w:r>
        <w:t xml:space="preserve">bei konstanter Korrelation hinzu, während der DCC-Datensatz zusätzlich eine DCC-Rekursion mit</w:t>
      </w:r>
      <w:r>
        <w:t xml:space="preserve"> </w:t>
      </w:r>
      <m:oMath>
        <m:r>
          <m:t>a</m:t>
        </m:r>
        <m:r>
          <m:rPr>
            <m:sty m:val="p"/>
          </m:rPr>
          <m:t>=</m:t>
        </m:r>
        <m:r>
          <m:t>0</m:t>
        </m:r>
        <m:r>
          <m:rPr>
            <m:sty m:val="p"/>
          </m:rPr>
          <m:t>,</m:t>
        </m:r>
        <m:r>
          <m:t>03</m:t>
        </m:r>
      </m:oMath>
      <w:r>
        <w:t xml:space="preserve"> </w:t>
      </w:r>
      <w:r>
        <w:t xml:space="preserve">und</w:t>
      </w:r>
      <w:r>
        <w:t xml:space="preserve"> </w:t>
      </w:r>
      <m:oMath>
        <m:r>
          <m:t>b</m:t>
        </m:r>
        <m:r>
          <m:rPr>
            <m:sty m:val="p"/>
          </m:rPr>
          <m:t>=</m:t>
        </m:r>
        <m:r>
          <m:t>0</m:t>
        </m:r>
        <m:r>
          <m:rPr>
            <m:sty m:val="p"/>
          </m:rPr>
          <m:t>,</m:t>
        </m:r>
        <m:r>
          <m:t>96</m:t>
        </m:r>
      </m:oMath>
      <w:r>
        <w:t xml:space="preserve"> </w:t>
      </w:r>
      <w:r>
        <w:t xml:space="preserve">enthält.</w:t>
      </w:r>
      <w:r>
        <w:t xml:space="preserve"> </w:t>
      </w:r>
      <w:r>
        <w:t xml:space="preserve">Obwohl die wahre bedingte Kovarianzmatrix hier bekannt wäre, wird die Prognosegüte auch in der Simulation gegen den realisierten Proxy aus Gleichung 1 gemessen, damit die Ergebnisse mit denen auf den realen Daten vergleichbar sind.</w:t>
      </w:r>
    </w:p>
    <w:p>
      <w:pPr>
        <w:pStyle w:val="BodyText"/>
      </w:pPr>
      <w:r>
        <w:t xml:space="preserve">Die Ergebnisse des Basisfalls zeigen</w:t>
      </w:r>
      <w:r>
        <w:t xml:space="preserve"> </w:t>
      </w:r>
      <w:hyperlink w:anchor="tab:synth_basis">
        <w:r>
          <w:rPr>
            <w:rStyle w:val="Hyperlink"/>
          </w:rPr>
          <w:t xml:space="preserve">Tabelle </w:t>
        </w:r>
        <w:hyperlink w:anchor="tab:synth_basis">
          <w:r>
            <w:rPr>
              <w:rStyle w:val="Hyperlink"/>
            </w:rPr>
            <w:t xml:space="preserve">14</w:t>
          </w:r>
        </w:hyperlink>
      </w:hyperlink>
      <w:r>
        <w:t xml:space="preserve"> </w:t>
      </w:r>
      <w:r>
        <w:t xml:space="preserve">und die DM-Tests in</w:t>
      </w:r>
      <w:r>
        <w:t xml:space="preserve"> </w:t>
      </w:r>
      <w:hyperlink w:anchor="tab:synth_dmw">
        <w:r>
          <w:rPr>
            <w:rStyle w:val="Hyperlink"/>
          </w:rPr>
          <w:t xml:space="preserve">Tabelle </w:t>
        </w:r>
        <w:hyperlink w:anchor="tab:synth_dmw">
          <w:r>
            <w:rPr>
              <w:rStyle w:val="Hyperlink"/>
            </w:rPr>
            <w:t xml:space="preserve">15</w:t>
          </w:r>
        </w:hyperlink>
      </w:hyperlink>
      <w:r>
        <w:t xml:space="preserve">.</w:t>
      </w:r>
      <w:r>
        <w:t xml:space="preserve"> </w:t>
      </w:r>
      <w:r>
        <w:t xml:space="preserve">Im Monte-Carlo-Fall unterscheiden sich die drei Schätzer praktisch nicht, denn die Verlustdifferenz der dynamischen Schätzer gegenüber der historischen Matrix ist zwar signifikant, in der Höhe aber verschwindend gering.</w:t>
      </w:r>
      <w:r>
        <w:t xml:space="preserve"> </w:t>
      </w:r>
      <w:r>
        <w:t xml:space="preserve">Im GARCH-Fall schlagen beide dynamischen Schätzer die historische Matrix signifikant, auch in Sharpe Ratio und realisierter Volatilität, unterscheiden sich untereinander aber nicht, da die Korrelation dort konstant ist.</w:t>
      </w:r>
      <w:r>
        <w:t xml:space="preserve"> </w:t>
      </w:r>
      <w:r>
        <w:t xml:space="preserve">Erst im DCC-Fall ist DCC dem GARCH-Schätzer signifikant überlegen, sodass die Implementierung jeweils genau die Struktur erkennt, die tatsächlich vorhanden ist.</w:t>
      </w:r>
    </w:p>
    <w:bookmarkStart w:id="59" w:name="tab:synth_basis"/>
    <w:p>
      <w:pPr>
        <w:pStyle w:val="TableCaption"/>
      </w:pPr>
      <w:r>
        <w:t xml:space="preserve">Synthetische Validierung: Basisfall je Datengenerierungsprozess</w:t>
      </w:r>
    </w:p>
    <w:tbl>
      <w:tblPr>
        <w:tblStyle w:val="Table"/>
        <w:tblW w:type="auto" w:w="0"/>
        <w:tblLook w:firstRow="1" w:lastRow="0" w:firstColumn="0" w:lastColumn="0" w:noHBand="0" w:noVBand="0" w:val="0020"/>
        <w:tblCaption w:val="Synthetische Validierung: Basisfall je Datengenerierungsprozess"/>
      </w:tblPr>
      <w:tblGrid>
        <w:gridCol w:w="1296"/>
        <w:gridCol w:w="1296"/>
        <w:gridCol w:w="1296"/>
        <w:gridCol w:w="1296"/>
        <w:gridCol w:w="1296"/>
        <w:gridCol w:w="1296"/>
        <w:gridCol w:w="1296"/>
      </w:tblGrid>
      <w:tr>
        <w:trPr>
          <w:tblHeader w:val="on"/>
        </w:trPr>
        <w:tc>
          <w:tcPr/>
          <w:p>
            <w:pPr>
              <w:pStyle w:val="Compact"/>
              <w:jc w:val="left"/>
            </w:pPr>
            <w:r>
              <w:t xml:space="preserve">Datensatz</w:t>
            </w:r>
          </w:p>
        </w:tc>
        <w:tc>
          <w:tcPr/>
          <w:p>
            <w:pPr>
              <w:pStyle w:val="Compact"/>
              <w:jc w:val="left"/>
            </w:pPr>
            <w:r>
              <w:t xml:space="preserve">Kovarianz</w:t>
            </w:r>
          </w:p>
        </w:tc>
        <w:tc>
          <w:tcPr/>
          <w:p>
            <w:pPr>
              <w:pStyle w:val="Compact"/>
              <w:jc w:val="right"/>
            </w:pPr>
            <w:r>
              <w:t xml:space="preserve">QLIKE</w:t>
            </w:r>
          </w:p>
        </w:tc>
        <w:tc>
          <w:tcPr/>
          <w:p>
            <w:pPr>
              <w:pStyle w:val="Compact"/>
              <w:jc w:val="right"/>
            </w:pPr>
            <w:r>
              <w:t xml:space="preserve">MSE (</w:t>
            </w:r>
            <m:oMath>
              <m:r>
                <m:rPr>
                  <m:sty m:val="p"/>
                </m:rPr>
                <m:t>×</m:t>
              </m:r>
              <m:sSup>
                <m:e>
                  <m:r>
                    <m:t>10</m:t>
                  </m:r>
                </m:e>
                <m:sup>
                  <m:r>
                    <m:rPr>
                      <m:sty m:val="p"/>
                    </m:rPr>
                    <m:t>−</m:t>
                  </m:r>
                  <m:r>
                    <m:t>8</m:t>
                  </m:r>
                </m:sup>
              </m:sSup>
            </m:oMath>
            <w:r>
              <w:t xml:space="preserve">)</w:t>
            </w:r>
          </w:p>
        </w:tc>
        <w:tc>
          <w:tcPr/>
          <w:p>
            <w:pPr>
              <w:pStyle w:val="Compact"/>
              <w:jc w:val="right"/>
            </w:pPr>
            <w:r>
              <w:t xml:space="preserve">Vola (%)</w:t>
            </w:r>
          </w:p>
        </w:tc>
        <w:tc>
          <w:tcPr/>
          <w:p>
            <w:pPr>
              <w:pStyle w:val="Compact"/>
              <w:jc w:val="right"/>
            </w:pPr>
            <w:r>
              <w:t xml:space="preserve">Sharpe</w:t>
            </w:r>
          </w:p>
        </w:tc>
        <w:tc>
          <w:tcPr/>
          <w:p>
            <w:pPr>
              <w:pStyle w:val="Compact"/>
              <w:jc w:val="right"/>
            </w:pPr>
            <w:r>
              <w:t xml:space="preserve">Turnover</w:t>
            </w:r>
          </w:p>
        </w:tc>
      </w:tr>
      <w:tr>
        <w:tc>
          <w:tcPr/>
          <w:p>
            <w:pPr>
              <w:pStyle w:val="Compact"/>
              <w:jc w:val="left"/>
            </w:pPr>
            <w:r>
              <w:t xml:space="preserve">Monte Carlo</w:t>
            </w:r>
          </w:p>
        </w:tc>
        <w:tc>
          <w:tcPr/>
          <w:p>
            <w:pPr>
              <w:pStyle w:val="Compact"/>
              <w:jc w:val="left"/>
            </w:pPr>
            <w:r>
              <w:t xml:space="preserve">Historisch</w:t>
            </w:r>
          </w:p>
        </w:tc>
        <w:tc>
          <w:tcPr/>
          <w:p>
            <w:pPr>
              <w:pStyle w:val="Compact"/>
              <w:jc w:val="right"/>
            </w:pPr>
            <w:r>
              <w:t xml:space="preserve">-154,50</w:t>
            </w:r>
          </w:p>
        </w:tc>
        <w:tc>
          <w:tcPr/>
          <w:p>
            <w:pPr>
              <w:pStyle w:val="Compact"/>
              <w:jc w:val="right"/>
            </w:pPr>
            <w:r>
              <w:t xml:space="preserve">7,04</w:t>
            </w:r>
          </w:p>
        </w:tc>
        <w:tc>
          <w:tcPr/>
          <w:p>
            <w:pPr>
              <w:pStyle w:val="Compact"/>
              <w:jc w:val="right"/>
            </w:pPr>
            <w:r>
              <w:t xml:space="preserve">11,92</w:t>
            </w:r>
          </w:p>
        </w:tc>
        <w:tc>
          <w:tcPr/>
          <w:p>
            <w:pPr>
              <w:pStyle w:val="Compact"/>
              <w:jc w:val="right"/>
            </w:pPr>
            <w:r>
              <w:t xml:space="preserve">0,903</w:t>
            </w:r>
          </w:p>
        </w:tc>
        <w:tc>
          <w:tcPr/>
          <w:p>
            <w:pPr>
              <w:pStyle w:val="Compact"/>
              <w:jc w:val="right"/>
            </w:pPr>
            <w:r>
              <w:t xml:space="preserve">0,011</w:t>
            </w:r>
          </w:p>
        </w:tc>
      </w:tr>
      <w:tr>
        <w:tc>
          <w:tcPr/>
          <w:p>
            <w:pPr>
              <w:pStyle w:val="Compact"/>
            </w:pPr>
          </w:p>
        </w:tc>
        <w:tc>
          <w:tcPr/>
          <w:p>
            <w:pPr>
              <w:pStyle w:val="Compact"/>
              <w:jc w:val="left"/>
            </w:pPr>
            <w:r>
              <w:t xml:space="preserve">GARCH</w:t>
            </w:r>
          </w:p>
        </w:tc>
        <w:tc>
          <w:tcPr/>
          <w:p>
            <w:pPr>
              <w:pStyle w:val="Compact"/>
              <w:jc w:val="right"/>
            </w:pPr>
            <w:r>
              <w:t xml:space="preserve">-154,47</w:t>
            </w:r>
          </w:p>
        </w:tc>
        <w:tc>
          <w:tcPr/>
          <w:p>
            <w:pPr>
              <w:pStyle w:val="Compact"/>
              <w:jc w:val="right"/>
            </w:pPr>
            <w:r>
              <w:t xml:space="preserve">7,04</w:t>
            </w:r>
          </w:p>
        </w:tc>
        <w:tc>
          <w:tcPr/>
          <w:p>
            <w:pPr>
              <w:pStyle w:val="Compact"/>
              <w:jc w:val="right"/>
            </w:pPr>
            <w:r>
              <w:t xml:space="preserve">11,95</w:t>
            </w:r>
          </w:p>
        </w:tc>
        <w:tc>
          <w:tcPr/>
          <w:p>
            <w:pPr>
              <w:pStyle w:val="Compact"/>
              <w:jc w:val="right"/>
            </w:pPr>
            <w:r>
              <w:t xml:space="preserve">0,896</w:t>
            </w:r>
          </w:p>
        </w:tc>
        <w:tc>
          <w:tcPr/>
          <w:p>
            <w:pPr>
              <w:pStyle w:val="Compact"/>
              <w:jc w:val="right"/>
            </w:pPr>
            <w:r>
              <w:t xml:space="preserve">0,074</w:t>
            </w:r>
          </w:p>
        </w:tc>
      </w:tr>
      <w:tr>
        <w:tc>
          <w:tcPr/>
          <w:p>
            <w:pPr>
              <w:pStyle w:val="Compact"/>
            </w:pPr>
          </w:p>
        </w:tc>
        <w:tc>
          <w:tcPr/>
          <w:p>
            <w:pPr>
              <w:pStyle w:val="Compact"/>
              <w:jc w:val="left"/>
            </w:pPr>
            <w:r>
              <w:t xml:space="preserve">DCC-GARCH</w:t>
            </w:r>
          </w:p>
        </w:tc>
        <w:tc>
          <w:tcPr/>
          <w:p>
            <w:pPr>
              <w:pStyle w:val="Compact"/>
              <w:jc w:val="right"/>
            </w:pPr>
            <w:r>
              <w:t xml:space="preserve">-154,47</w:t>
            </w:r>
          </w:p>
        </w:tc>
        <w:tc>
          <w:tcPr/>
          <w:p>
            <w:pPr>
              <w:pStyle w:val="Compact"/>
              <w:jc w:val="right"/>
            </w:pPr>
            <w:r>
              <w:t xml:space="preserve">7,04</w:t>
            </w:r>
          </w:p>
        </w:tc>
        <w:tc>
          <w:tcPr/>
          <w:p>
            <w:pPr>
              <w:pStyle w:val="Compact"/>
              <w:jc w:val="right"/>
            </w:pPr>
            <w:r>
              <w:t xml:space="preserve">11,95</w:t>
            </w:r>
          </w:p>
        </w:tc>
        <w:tc>
          <w:tcPr/>
          <w:p>
            <w:pPr>
              <w:pStyle w:val="Compact"/>
              <w:jc w:val="right"/>
            </w:pPr>
            <w:r>
              <w:t xml:space="preserve">0,896</w:t>
            </w:r>
          </w:p>
        </w:tc>
        <w:tc>
          <w:tcPr/>
          <w:p>
            <w:pPr>
              <w:pStyle w:val="Compact"/>
              <w:jc w:val="right"/>
            </w:pPr>
            <w:r>
              <w:t xml:space="preserve">0,075</w:t>
            </w:r>
          </w:p>
        </w:tc>
      </w:tr>
      <w:tr>
        <w:tc>
          <w:tcPr/>
          <w:p>
            <w:pPr>
              <w:pStyle w:val="Compact"/>
              <w:jc w:val="left"/>
            </w:pPr>
            <w:r>
              <w:t xml:space="preserve">GARCH-Sim.</w:t>
            </w:r>
          </w:p>
        </w:tc>
        <w:tc>
          <w:tcPr/>
          <w:p>
            <w:pPr>
              <w:pStyle w:val="Compact"/>
              <w:jc w:val="left"/>
            </w:pPr>
            <w:r>
              <w:t xml:space="preserve">Historisch</w:t>
            </w:r>
          </w:p>
        </w:tc>
        <w:tc>
          <w:tcPr/>
          <w:p>
            <w:pPr>
              <w:pStyle w:val="Compact"/>
              <w:jc w:val="right"/>
            </w:pPr>
            <w:r>
              <w:t xml:space="preserve">-154,23</w:t>
            </w:r>
          </w:p>
        </w:tc>
        <w:tc>
          <w:tcPr/>
          <w:p>
            <w:pPr>
              <w:pStyle w:val="Compact"/>
              <w:jc w:val="right"/>
            </w:pPr>
            <w:r>
              <w:t xml:space="preserve">7,84</w:t>
            </w:r>
          </w:p>
        </w:tc>
        <w:tc>
          <w:tcPr/>
          <w:p>
            <w:pPr>
              <w:pStyle w:val="Compact"/>
              <w:jc w:val="right"/>
            </w:pPr>
            <w:r>
              <w:t xml:space="preserve">11,37</w:t>
            </w:r>
          </w:p>
        </w:tc>
        <w:tc>
          <w:tcPr/>
          <w:p>
            <w:pPr>
              <w:pStyle w:val="Compact"/>
              <w:jc w:val="right"/>
            </w:pPr>
            <w:r>
              <w:t xml:space="preserve">0,756</w:t>
            </w:r>
          </w:p>
        </w:tc>
        <w:tc>
          <w:tcPr/>
          <w:p>
            <w:pPr>
              <w:pStyle w:val="Compact"/>
              <w:jc w:val="right"/>
            </w:pPr>
            <w:r>
              <w:t xml:space="preserve">0,010</w:t>
            </w:r>
          </w:p>
        </w:tc>
      </w:tr>
      <w:tr>
        <w:tc>
          <w:tcPr/>
          <w:p>
            <w:pPr>
              <w:pStyle w:val="Compact"/>
            </w:pPr>
          </w:p>
        </w:tc>
        <w:tc>
          <w:tcPr/>
          <w:p>
            <w:pPr>
              <w:pStyle w:val="Compact"/>
              <w:jc w:val="left"/>
            </w:pPr>
            <w:r>
              <w:t xml:space="preserve">GARCH</w:t>
            </w:r>
          </w:p>
        </w:tc>
        <w:tc>
          <w:tcPr/>
          <w:p>
            <w:pPr>
              <w:pStyle w:val="Compact"/>
              <w:jc w:val="right"/>
            </w:pPr>
            <w:r>
              <w:t xml:space="preserve">-157,25</w:t>
            </w:r>
          </w:p>
        </w:tc>
        <w:tc>
          <w:tcPr/>
          <w:p>
            <w:pPr>
              <w:pStyle w:val="Compact"/>
              <w:jc w:val="right"/>
            </w:pPr>
            <w:r>
              <w:t xml:space="preserve">7,57</w:t>
            </w:r>
          </w:p>
        </w:tc>
        <w:tc>
          <w:tcPr/>
          <w:p>
            <w:pPr>
              <w:pStyle w:val="Compact"/>
              <w:jc w:val="right"/>
            </w:pPr>
            <w:r>
              <w:t xml:space="preserve">9,85</w:t>
            </w:r>
          </w:p>
        </w:tc>
        <w:tc>
          <w:tcPr/>
          <w:p>
            <w:pPr>
              <w:pStyle w:val="Compact"/>
              <w:jc w:val="right"/>
            </w:pPr>
            <w:r>
              <w:t xml:space="preserve">0,854</w:t>
            </w:r>
          </w:p>
        </w:tc>
        <w:tc>
          <w:tcPr/>
          <w:p>
            <w:pPr>
              <w:pStyle w:val="Compact"/>
              <w:jc w:val="right"/>
            </w:pPr>
            <w:r>
              <w:t xml:space="preserve">0,154</w:t>
            </w:r>
          </w:p>
        </w:tc>
      </w:tr>
      <w:tr>
        <w:tc>
          <w:tcPr/>
          <w:p>
            <w:pPr>
              <w:pStyle w:val="Compact"/>
            </w:pPr>
          </w:p>
        </w:tc>
        <w:tc>
          <w:tcPr/>
          <w:p>
            <w:pPr>
              <w:pStyle w:val="Compact"/>
              <w:jc w:val="left"/>
            </w:pPr>
            <w:r>
              <w:t xml:space="preserve">DCC-GARCH</w:t>
            </w:r>
          </w:p>
        </w:tc>
        <w:tc>
          <w:tcPr/>
          <w:p>
            <w:pPr>
              <w:pStyle w:val="Compact"/>
              <w:jc w:val="right"/>
            </w:pPr>
            <w:r>
              <w:t xml:space="preserve">-157,25</w:t>
            </w:r>
          </w:p>
        </w:tc>
        <w:tc>
          <w:tcPr/>
          <w:p>
            <w:pPr>
              <w:pStyle w:val="Compact"/>
              <w:jc w:val="right"/>
            </w:pPr>
            <w:r>
              <w:t xml:space="preserve">7,57</w:t>
            </w:r>
          </w:p>
        </w:tc>
        <w:tc>
          <w:tcPr/>
          <w:p>
            <w:pPr>
              <w:pStyle w:val="Compact"/>
              <w:jc w:val="right"/>
            </w:pPr>
            <w:r>
              <w:t xml:space="preserve">9,85</w:t>
            </w:r>
          </w:p>
        </w:tc>
        <w:tc>
          <w:tcPr/>
          <w:p>
            <w:pPr>
              <w:pStyle w:val="Compact"/>
              <w:jc w:val="right"/>
            </w:pPr>
            <w:r>
              <w:t xml:space="preserve">0,854</w:t>
            </w:r>
          </w:p>
        </w:tc>
        <w:tc>
          <w:tcPr/>
          <w:p>
            <w:pPr>
              <w:pStyle w:val="Compact"/>
              <w:jc w:val="right"/>
            </w:pPr>
            <w:r>
              <w:t xml:space="preserve">0,154</w:t>
            </w:r>
          </w:p>
        </w:tc>
      </w:tr>
      <w:tr>
        <w:tc>
          <w:tcPr/>
          <w:p>
            <w:pPr>
              <w:pStyle w:val="Compact"/>
              <w:jc w:val="left"/>
            </w:pPr>
            <w:r>
              <w:t xml:space="preserve">DCC-Sim.</w:t>
            </w:r>
          </w:p>
        </w:tc>
        <w:tc>
          <w:tcPr/>
          <w:p>
            <w:pPr>
              <w:pStyle w:val="Compact"/>
              <w:jc w:val="left"/>
            </w:pPr>
            <w:r>
              <w:t xml:space="preserve">Historisch</w:t>
            </w:r>
          </w:p>
        </w:tc>
        <w:tc>
          <w:tcPr/>
          <w:p>
            <w:pPr>
              <w:pStyle w:val="Compact"/>
              <w:jc w:val="right"/>
            </w:pPr>
            <w:r>
              <w:t xml:space="preserve">-154,13</w:t>
            </w:r>
          </w:p>
        </w:tc>
        <w:tc>
          <w:tcPr/>
          <w:p>
            <w:pPr>
              <w:pStyle w:val="Compact"/>
              <w:jc w:val="right"/>
            </w:pPr>
            <w:r>
              <w:t xml:space="preserve">9,86</w:t>
            </w:r>
          </w:p>
        </w:tc>
        <w:tc>
          <w:tcPr/>
          <w:p>
            <w:pPr>
              <w:pStyle w:val="Compact"/>
              <w:jc w:val="right"/>
            </w:pPr>
            <w:r>
              <w:t xml:space="preserve">11,93</w:t>
            </w:r>
          </w:p>
        </w:tc>
        <w:tc>
          <w:tcPr/>
          <w:p>
            <w:pPr>
              <w:pStyle w:val="Compact"/>
              <w:jc w:val="right"/>
            </w:pPr>
            <w:r>
              <w:t xml:space="preserve">0,561</w:t>
            </w:r>
          </w:p>
        </w:tc>
        <w:tc>
          <w:tcPr/>
          <w:p>
            <w:pPr>
              <w:pStyle w:val="Compact"/>
              <w:jc w:val="right"/>
            </w:pPr>
            <w:r>
              <w:t xml:space="preserve">0,011</w:t>
            </w:r>
          </w:p>
        </w:tc>
      </w:tr>
      <w:tr>
        <w:tc>
          <w:tcPr/>
          <w:p>
            <w:pPr>
              <w:pStyle w:val="Compact"/>
            </w:pPr>
          </w:p>
        </w:tc>
        <w:tc>
          <w:tcPr/>
          <w:p>
            <w:pPr>
              <w:pStyle w:val="Compact"/>
              <w:jc w:val="left"/>
            </w:pPr>
            <w:r>
              <w:t xml:space="preserve">GARCH</w:t>
            </w:r>
          </w:p>
        </w:tc>
        <w:tc>
          <w:tcPr/>
          <w:p>
            <w:pPr>
              <w:pStyle w:val="Compact"/>
              <w:jc w:val="right"/>
            </w:pPr>
            <w:r>
              <w:t xml:space="preserve">-157,02</w:t>
            </w:r>
          </w:p>
        </w:tc>
        <w:tc>
          <w:tcPr/>
          <w:p>
            <w:pPr>
              <w:pStyle w:val="Compact"/>
              <w:jc w:val="right"/>
            </w:pPr>
            <w:r>
              <w:t xml:space="preserve">9,19</w:t>
            </w:r>
          </w:p>
        </w:tc>
        <w:tc>
          <w:tcPr/>
          <w:p>
            <w:pPr>
              <w:pStyle w:val="Compact"/>
              <w:jc w:val="right"/>
            </w:pPr>
            <w:r>
              <w:t xml:space="preserve">9,62</w:t>
            </w:r>
          </w:p>
        </w:tc>
        <w:tc>
          <w:tcPr/>
          <w:p>
            <w:pPr>
              <w:pStyle w:val="Compact"/>
              <w:jc w:val="right"/>
            </w:pPr>
            <w:r>
              <w:t xml:space="preserve">0,773</w:t>
            </w:r>
          </w:p>
        </w:tc>
        <w:tc>
          <w:tcPr/>
          <w:p>
            <w:pPr>
              <w:pStyle w:val="Compact"/>
              <w:jc w:val="right"/>
            </w:pPr>
            <w:r>
              <w:t xml:space="preserve">0,160</w:t>
            </w:r>
          </w:p>
        </w:tc>
      </w:tr>
      <w:tr>
        <w:tc>
          <w:tcPr/>
          <w:p>
            <w:pPr>
              <w:pStyle w:val="Compact"/>
            </w:pPr>
          </w:p>
        </w:tc>
        <w:tc>
          <w:tcPr/>
          <w:p>
            <w:pPr>
              <w:pStyle w:val="Compact"/>
              <w:jc w:val="left"/>
            </w:pPr>
            <w:r>
              <w:t xml:space="preserve">DCC-GARCH</w:t>
            </w:r>
          </w:p>
        </w:tc>
        <w:tc>
          <w:tcPr/>
          <w:p>
            <w:pPr>
              <w:pStyle w:val="Compact"/>
              <w:jc w:val="right"/>
            </w:pPr>
            <w:r>
              <w:t xml:space="preserve">-162,13</w:t>
            </w:r>
          </w:p>
        </w:tc>
        <w:tc>
          <w:tcPr/>
          <w:p>
            <w:pPr>
              <w:pStyle w:val="Compact"/>
              <w:jc w:val="right"/>
            </w:pPr>
            <w:r>
              <w:t xml:space="preserve">8,98</w:t>
            </w:r>
          </w:p>
        </w:tc>
        <w:tc>
          <w:tcPr/>
          <w:p>
            <w:pPr>
              <w:pStyle w:val="Compact"/>
              <w:jc w:val="right"/>
            </w:pPr>
            <w:r>
              <w:t xml:space="preserve">8,99</w:t>
            </w:r>
          </w:p>
        </w:tc>
        <w:tc>
          <w:tcPr/>
          <w:p>
            <w:pPr>
              <w:pStyle w:val="Compact"/>
              <w:jc w:val="right"/>
            </w:pPr>
            <w:r>
              <w:t xml:space="preserve">0,783</w:t>
            </w:r>
          </w:p>
        </w:tc>
        <w:tc>
          <w:tcPr/>
          <w:p>
            <w:pPr>
              <w:pStyle w:val="Compact"/>
              <w:jc w:val="right"/>
            </w:pPr>
            <w:r>
              <w:t xml:space="preserve">0,152</w:t>
            </w:r>
          </w:p>
        </w:tc>
      </w:tr>
    </w:tbl>
    <w:bookmarkEnd w:id="59"/>
    <w:p>
      <w:pPr>
        <w:pStyle w:val="BlockText"/>
      </w:pPr>
      <w:r>
        <w:t xml:space="preserve">20 simulierte Anlagen, Training 1008 Handelstage, Prognosehorizont 1 Tag; Performancekennzahlen für das MVP.</w:t>
      </w:r>
    </w:p>
    <w:bookmarkStart w:id="60" w:name="tab:synth_dmw"/>
    <w:p>
      <w:pPr>
        <w:pStyle w:val="TableCaption"/>
      </w:pPr>
      <w:r>
        <w:t xml:space="preserve">Synthetische Validierung: DM-Tests auf die QLIKE-Differenzen</w:t>
      </w:r>
    </w:p>
    <w:tbl>
      <w:tblPr>
        <w:tblStyle w:val="Table"/>
        <w:tblW w:type="auto" w:w="0"/>
        <w:tblLook w:firstRow="1" w:lastRow="0" w:firstColumn="0" w:lastColumn="0" w:noHBand="0" w:noVBand="0" w:val="0020"/>
        <w:tblCaption w:val="Synthetische Validierung: DM-Tests auf die QLIKE-Differenzen"/>
      </w:tblPr>
      <w:tblGrid>
        <w:gridCol w:w="907"/>
        <w:gridCol w:w="907"/>
        <w:gridCol w:w="907"/>
        <w:gridCol w:w="907"/>
        <w:gridCol w:w="907"/>
        <w:gridCol w:w="907"/>
        <w:gridCol w:w="907"/>
        <w:gridCol w:w="907"/>
        <w:gridCol w:w="907"/>
        <w:gridCol w:w="907"/>
      </w:tblGrid>
      <w:tr>
        <w:trPr>
          <w:tblHeader w:val="on"/>
        </w:trPr>
        <w:tc>
          <w:tcPr/>
          <w:p>
            <w:pPr>
              <w:pStyle w:val="Compact"/>
              <w:jc w:val="left"/>
            </w:pPr>
            <w:r>
              <w:rPr>
                <w:sz w:val="16"/>
                <w:szCs w:val="16"/>
              </w:rPr>
              <w:t xml:space="preserve">Datensatz</w:t>
            </w:r>
          </w:p>
        </w:tc>
        <w:tc>
          <w:tcPr>
            <w:gridSpan w:val="2"/>
          </w:tcPr>
          <w:p>
            <w:pPr>
              <w:pStyle w:val="Compact"/>
              <w:jc w:val="center"/>
            </w:pPr>
            <m:oMath>
              <m:r>
                <m:rPr>
                  <m:sty m:val="p"/>
                </m:rPr>
                <m:t>Δ</m:t>
              </m:r>
            </m:oMath>
            <w:r>
              <w:rPr>
                <w:sz w:val="16"/>
                <w:szCs w:val="16"/>
              </w:rPr>
              <w:t xml:space="preserve"> </w:t>
            </w:r>
            <w:r>
              <w:rPr>
                <w:sz w:val="16"/>
                <w:szCs w:val="16"/>
              </w:rPr>
              <w:t xml:space="preserve">G–H</w:t>
            </w:r>
          </w:p>
        </w:tc>
        <w:tc>
          <w:tcPr/>
          <w:p>
            <w:pPr>
              <w:pStyle w:val="Compact"/>
              <w:jc w:val="right"/>
            </w:pPr>
            <m:oMath>
              <m:r>
                <m:t>t</m:t>
              </m:r>
            </m:oMath>
          </w:p>
        </w:tc>
        <w:tc>
          <w:tcPr>
            <w:gridSpan w:val="2"/>
          </w:tcPr>
          <w:p>
            <w:pPr>
              <w:pStyle w:val="Compact"/>
              <w:jc w:val="center"/>
            </w:pPr>
            <m:oMath>
              <m:r>
                <m:rPr>
                  <m:sty m:val="p"/>
                </m:rPr>
                <m:t>Δ</m:t>
              </m:r>
            </m:oMath>
            <w:r>
              <w:rPr>
                <w:sz w:val="16"/>
                <w:szCs w:val="16"/>
              </w:rPr>
              <w:t xml:space="preserve"> </w:t>
            </w:r>
            <w:r>
              <w:rPr>
                <w:sz w:val="16"/>
                <w:szCs w:val="16"/>
              </w:rPr>
              <w:t xml:space="preserve">D–H</w:t>
            </w:r>
          </w:p>
        </w:tc>
        <w:tc>
          <w:tcPr/>
          <w:p>
            <w:pPr>
              <w:pStyle w:val="Compact"/>
              <w:jc w:val="right"/>
            </w:pPr>
            <m:oMath>
              <m:r>
                <m:t>t</m:t>
              </m:r>
            </m:oMath>
          </w:p>
        </w:tc>
        <w:tc>
          <w:tcPr>
            <w:gridSpan w:val="2"/>
          </w:tcPr>
          <w:p>
            <w:pPr>
              <w:pStyle w:val="Compact"/>
              <w:jc w:val="center"/>
            </w:pPr>
            <m:oMath>
              <m:r>
                <m:rPr>
                  <m:sty m:val="p"/>
                </m:rPr>
                <m:t>Δ</m:t>
              </m:r>
            </m:oMath>
            <w:r>
              <w:rPr>
                <w:sz w:val="16"/>
                <w:szCs w:val="16"/>
              </w:rPr>
              <w:t xml:space="preserve"> </w:t>
            </w:r>
            <w:r>
              <w:rPr>
                <w:sz w:val="16"/>
                <w:szCs w:val="16"/>
              </w:rPr>
              <w:t xml:space="preserve">D–G</w:t>
            </w:r>
          </w:p>
        </w:tc>
        <w:tc>
          <w:tcPr/>
          <w:p>
            <w:pPr>
              <w:pStyle w:val="Compact"/>
              <w:jc w:val="right"/>
            </w:pPr>
            <m:oMath>
              <m:r>
                <m:t>t</m:t>
              </m:r>
            </m:oMath>
          </w:p>
        </w:tc>
      </w:tr>
      <w:tr>
        <w:tc>
          <w:tcPr/>
          <w:p>
            <w:pPr>
              <w:pStyle w:val="Compact"/>
              <w:jc w:val="left"/>
            </w:pPr>
            <w:r>
              <w:rPr>
                <w:sz w:val="16"/>
                <w:szCs w:val="16"/>
              </w:rPr>
              <w:t xml:space="preserve">Monte Carlo</w:t>
            </w:r>
          </w:p>
        </w:tc>
        <w:tc>
          <w:tcPr/>
          <w:p>
            <w:pPr>
              <w:pStyle w:val="Compact"/>
              <w:jc w:val="right"/>
            </w:pPr>
            <w:r>
              <w:rPr>
                <w:sz w:val="16"/>
                <w:szCs w:val="16"/>
              </w:rPr>
              <w:t xml:space="preserve">0,029</w:t>
            </w:r>
          </w:p>
        </w:tc>
        <w:tc>
          <w:tcPr/>
          <w:p>
            <w:pPr>
              <w:pStyle w:val="Compact"/>
              <w:jc w:val="left"/>
            </w:pPr>
            <w:r>
              <w:rPr>
                <w:sz w:val="16"/>
                <w:szCs w:val="16"/>
                <w:vertAlign w:val="superscript"/>
              </w:rPr>
              <w:t xml:space="preserve">***</w:t>
            </w:r>
          </w:p>
        </w:tc>
        <w:tc>
          <w:tcPr/>
          <w:p>
            <w:pPr>
              <w:pStyle w:val="Compact"/>
              <w:jc w:val="right"/>
            </w:pPr>
            <w:r>
              <w:rPr>
                <w:sz w:val="16"/>
                <w:szCs w:val="16"/>
              </w:rPr>
              <w:t xml:space="preserve">6,07</w:t>
            </w:r>
          </w:p>
        </w:tc>
        <w:tc>
          <w:tcPr/>
          <w:p>
            <w:pPr>
              <w:pStyle w:val="Compact"/>
              <w:jc w:val="right"/>
            </w:pPr>
            <w:r>
              <w:rPr>
                <w:sz w:val="16"/>
                <w:szCs w:val="16"/>
              </w:rPr>
              <w:t xml:space="preserve">0,029</w:t>
            </w:r>
          </w:p>
        </w:tc>
        <w:tc>
          <w:tcPr/>
          <w:p>
            <w:pPr>
              <w:pStyle w:val="Compact"/>
              <w:jc w:val="left"/>
            </w:pPr>
            <w:r>
              <w:rPr>
                <w:sz w:val="16"/>
                <w:szCs w:val="16"/>
                <w:vertAlign w:val="superscript"/>
              </w:rPr>
              <w:t xml:space="preserve">***</w:t>
            </w:r>
          </w:p>
        </w:tc>
        <w:tc>
          <w:tcPr/>
          <w:p>
            <w:pPr>
              <w:pStyle w:val="Compact"/>
              <w:jc w:val="right"/>
            </w:pPr>
            <w:r>
              <w:rPr>
                <w:sz w:val="16"/>
                <w:szCs w:val="16"/>
              </w:rPr>
              <w:t xml:space="preserve">6,12</w:t>
            </w:r>
          </w:p>
        </w:tc>
        <w:tc>
          <w:tcPr/>
          <w:p>
            <w:pPr>
              <w:pStyle w:val="Compact"/>
              <w:jc w:val="right"/>
            </w:pPr>
            <w:r>
              <w:rPr>
                <w:sz w:val="16"/>
                <w:szCs w:val="16"/>
              </w:rPr>
              <w:t xml:space="preserve">0,000</w:t>
            </w:r>
          </w:p>
        </w:tc>
        <w:tc>
          <w:tcPr/>
          <w:p>
            <w:pPr>
              <w:pStyle w:val="Compact"/>
            </w:pPr>
          </w:p>
        </w:tc>
        <w:tc>
          <w:tcPr/>
          <w:p>
            <w:pPr>
              <w:pStyle w:val="Compact"/>
              <w:jc w:val="right"/>
            </w:pPr>
            <w:r>
              <w:rPr>
                <w:sz w:val="16"/>
                <w:szCs w:val="16"/>
              </w:rPr>
              <w:t xml:space="preserve">0,32</w:t>
            </w:r>
          </w:p>
        </w:tc>
      </w:tr>
      <w:tr>
        <w:tc>
          <w:tcPr/>
          <w:p>
            <w:pPr>
              <w:pStyle w:val="Compact"/>
              <w:jc w:val="left"/>
            </w:pPr>
            <w:r>
              <w:rPr>
                <w:sz w:val="16"/>
                <w:szCs w:val="16"/>
              </w:rPr>
              <w:t xml:space="preserve">GARCH-Sim.</w:t>
            </w:r>
          </w:p>
        </w:tc>
        <w:tc>
          <w:tcPr/>
          <w:p>
            <w:pPr>
              <w:pStyle w:val="Compact"/>
              <w:jc w:val="right"/>
            </w:pPr>
            <w:r>
              <w:rPr>
                <w:sz w:val="16"/>
                <w:szCs w:val="16"/>
              </w:rPr>
              <w:t xml:space="preserve">-3,025</w:t>
            </w:r>
          </w:p>
        </w:tc>
        <w:tc>
          <w:tcPr/>
          <w:p>
            <w:pPr>
              <w:pStyle w:val="Compact"/>
              <w:jc w:val="left"/>
            </w:pPr>
            <w:r>
              <w:rPr>
                <w:sz w:val="16"/>
                <w:szCs w:val="16"/>
                <w:vertAlign w:val="superscript"/>
              </w:rPr>
              <w:t xml:space="preserve">***</w:t>
            </w:r>
          </w:p>
        </w:tc>
        <w:tc>
          <w:tcPr/>
          <w:p>
            <w:pPr>
              <w:pStyle w:val="Compact"/>
              <w:jc w:val="right"/>
            </w:pPr>
            <w:r>
              <w:rPr>
                <w:sz w:val="16"/>
                <w:szCs w:val="16"/>
              </w:rPr>
              <w:t xml:space="preserve">-24,69</w:t>
            </w:r>
          </w:p>
        </w:tc>
        <w:tc>
          <w:tcPr/>
          <w:p>
            <w:pPr>
              <w:pStyle w:val="Compact"/>
              <w:jc w:val="right"/>
            </w:pPr>
            <w:r>
              <w:rPr>
                <w:sz w:val="16"/>
                <w:szCs w:val="16"/>
              </w:rPr>
              <w:t xml:space="preserve">-3,024</w:t>
            </w:r>
          </w:p>
        </w:tc>
        <w:tc>
          <w:tcPr/>
          <w:p>
            <w:pPr>
              <w:pStyle w:val="Compact"/>
              <w:jc w:val="left"/>
            </w:pPr>
            <w:r>
              <w:rPr>
                <w:sz w:val="16"/>
                <w:szCs w:val="16"/>
                <w:vertAlign w:val="superscript"/>
              </w:rPr>
              <w:t xml:space="preserve">***</w:t>
            </w:r>
          </w:p>
        </w:tc>
        <w:tc>
          <w:tcPr/>
          <w:p>
            <w:pPr>
              <w:pStyle w:val="Compact"/>
              <w:jc w:val="right"/>
            </w:pPr>
            <w:r>
              <w:rPr>
                <w:sz w:val="16"/>
                <w:szCs w:val="16"/>
              </w:rPr>
              <w:t xml:space="preserve">-24,68</w:t>
            </w:r>
          </w:p>
        </w:tc>
        <w:tc>
          <w:tcPr/>
          <w:p>
            <w:pPr>
              <w:pStyle w:val="Compact"/>
              <w:jc w:val="right"/>
            </w:pPr>
            <w:r>
              <w:rPr>
                <w:sz w:val="16"/>
                <w:szCs w:val="16"/>
              </w:rPr>
              <w:t xml:space="preserve">0,000</w:t>
            </w:r>
          </w:p>
        </w:tc>
        <w:tc>
          <w:tcPr/>
          <w:p>
            <w:pPr>
              <w:pStyle w:val="Compact"/>
            </w:pPr>
          </w:p>
        </w:tc>
        <w:tc>
          <w:tcPr/>
          <w:p>
            <w:pPr>
              <w:pStyle w:val="Compact"/>
              <w:jc w:val="right"/>
            </w:pPr>
            <w:r>
              <w:rPr>
                <w:sz w:val="16"/>
                <w:szCs w:val="16"/>
              </w:rPr>
              <w:t xml:space="preserve">1,28</w:t>
            </w:r>
          </w:p>
        </w:tc>
      </w:tr>
      <w:tr>
        <w:tc>
          <w:tcPr/>
          <w:p>
            <w:pPr>
              <w:pStyle w:val="Compact"/>
              <w:jc w:val="left"/>
            </w:pPr>
            <w:r>
              <w:rPr>
                <w:sz w:val="16"/>
                <w:szCs w:val="16"/>
              </w:rPr>
              <w:t xml:space="preserve">DCC-Sim.</w:t>
            </w:r>
          </w:p>
        </w:tc>
        <w:tc>
          <w:tcPr/>
          <w:p>
            <w:pPr>
              <w:pStyle w:val="Compact"/>
              <w:jc w:val="right"/>
            </w:pPr>
            <w:r>
              <w:rPr>
                <w:sz w:val="16"/>
                <w:szCs w:val="16"/>
              </w:rPr>
              <w:t xml:space="preserve">-2,887</w:t>
            </w:r>
          </w:p>
        </w:tc>
        <w:tc>
          <w:tcPr/>
          <w:p>
            <w:pPr>
              <w:pStyle w:val="Compact"/>
              <w:jc w:val="left"/>
            </w:pPr>
            <w:r>
              <w:rPr>
                <w:sz w:val="16"/>
                <w:szCs w:val="16"/>
                <w:vertAlign w:val="superscript"/>
              </w:rPr>
              <w:t xml:space="preserve">***</w:t>
            </w:r>
          </w:p>
        </w:tc>
        <w:tc>
          <w:tcPr/>
          <w:p>
            <w:pPr>
              <w:pStyle w:val="Compact"/>
              <w:jc w:val="right"/>
            </w:pPr>
            <w:r>
              <w:rPr>
                <w:sz w:val="16"/>
                <w:szCs w:val="16"/>
              </w:rPr>
              <w:t xml:space="preserve">-15,64</w:t>
            </w:r>
          </w:p>
        </w:tc>
        <w:tc>
          <w:tcPr/>
          <w:p>
            <w:pPr>
              <w:pStyle w:val="Compact"/>
              <w:jc w:val="right"/>
            </w:pPr>
            <w:r>
              <w:rPr>
                <w:sz w:val="16"/>
                <w:szCs w:val="16"/>
              </w:rPr>
              <w:t xml:space="preserve">-7,998</w:t>
            </w:r>
          </w:p>
        </w:tc>
        <w:tc>
          <w:tcPr/>
          <w:p>
            <w:pPr>
              <w:pStyle w:val="Compact"/>
              <w:jc w:val="left"/>
            </w:pPr>
            <w:r>
              <w:rPr>
                <w:sz w:val="16"/>
                <w:szCs w:val="16"/>
                <w:vertAlign w:val="superscript"/>
              </w:rPr>
              <w:t xml:space="preserve">***</w:t>
            </w:r>
          </w:p>
        </w:tc>
        <w:tc>
          <w:tcPr/>
          <w:p>
            <w:pPr>
              <w:pStyle w:val="Compact"/>
              <w:jc w:val="right"/>
            </w:pPr>
            <w:r>
              <w:rPr>
                <w:sz w:val="16"/>
                <w:szCs w:val="16"/>
              </w:rPr>
              <w:t xml:space="preserve">-35,68</w:t>
            </w:r>
          </w:p>
        </w:tc>
        <w:tc>
          <w:tcPr/>
          <w:p>
            <w:pPr>
              <w:pStyle w:val="Compact"/>
              <w:jc w:val="right"/>
            </w:pPr>
            <w:r>
              <w:rPr>
                <w:sz w:val="16"/>
                <w:szCs w:val="16"/>
              </w:rPr>
              <w:t xml:space="preserve">-5,111</w:t>
            </w:r>
          </w:p>
        </w:tc>
        <w:tc>
          <w:tcPr/>
          <w:p>
            <w:pPr>
              <w:pStyle w:val="Compact"/>
              <w:jc w:val="left"/>
            </w:pPr>
            <w:r>
              <w:rPr>
                <w:sz w:val="16"/>
                <w:szCs w:val="16"/>
                <w:vertAlign w:val="superscript"/>
              </w:rPr>
              <w:t xml:space="preserve">***</w:t>
            </w:r>
          </w:p>
        </w:tc>
        <w:tc>
          <w:tcPr/>
          <w:p>
            <w:pPr>
              <w:pStyle w:val="Compact"/>
              <w:jc w:val="right"/>
            </w:pPr>
            <w:r>
              <w:rPr>
                <w:sz w:val="16"/>
                <w:szCs w:val="16"/>
              </w:rPr>
              <w:t xml:space="preserve">-49,85</w:t>
            </w:r>
          </w:p>
        </w:tc>
      </w:tr>
    </w:tbl>
    <w:bookmarkEnd w:id="60"/>
    <w:p>
      <w:pPr>
        <w:pStyle w:val="BlockText"/>
      </w:pPr>
      <w:r>
        <w:t xml:space="preserve">G = GARCH, D = DCC-GARCH, H = historisch; negative Differenzen bedeuten eine bessere Prognose.</w:t>
      </w:r>
      <w:r>
        <w:t xml:space="preserve"> </w:t>
      </w:r>
      <w:r>
        <w:rPr>
          <w:vertAlign w:val="superscript"/>
        </w:rPr>
        <w:t xml:space="preserve">***</w:t>
      </w:r>
      <w:r>
        <w:t xml:space="preserve">,</w:t>
      </w:r>
      <w:r>
        <w:t xml:space="preserve"> </w:t>
      </w:r>
      <w:r>
        <w:rPr>
          <w:vertAlign w:val="superscript"/>
        </w:rPr>
        <w:t xml:space="preserve">**</w:t>
      </w:r>
      <w:r>
        <w:t xml:space="preserve">,</w:t>
      </w:r>
      <w:r>
        <w:t xml:space="preserve"> </w:t>
      </w:r>
      <w:r>
        <w:rPr>
          <w:vertAlign w:val="superscript"/>
        </w:rPr>
        <w:t xml:space="preserve">*</w:t>
      </w:r>
      <w:r>
        <w:t xml:space="preserve"> </w:t>
      </w:r>
      <w:r>
        <w:t xml:space="preserve">= 1-, 5-, 10-%-Niveau.</w:t>
      </w:r>
    </w:p>
    <w:p>
      <w:pPr>
        <w:pStyle w:val="FirstParagraph"/>
      </w:pPr>
      <w:r>
        <w:t xml:space="preserve">Wie stabil dieses Bild über die Länge des Trainingsfensters ist, zeigt</w:t>
      </w:r>
      <w:r>
        <w:t xml:space="preserve"> </w:t>
      </w:r>
      <w:hyperlink w:anchor="tab:synth_stabilitaet">
        <w:r>
          <w:rPr>
            <w:rStyle w:val="Hyperlink"/>
          </w:rPr>
          <w:t xml:space="preserve">Tabelle </w:t>
        </w:r>
        <w:hyperlink w:anchor="tab:synth_stabilitaet">
          <w:r>
            <w:rPr>
              <w:rStyle w:val="Hyperlink"/>
            </w:rPr>
            <w:t xml:space="preserve">16</w:t>
          </w:r>
        </w:hyperlink>
      </w:hyperlink>
      <w:r>
        <w:t xml:space="preserve">.</w:t>
      </w:r>
      <w:r>
        <w:t xml:space="preserve"> </w:t>
      </w:r>
      <w:r>
        <w:t xml:space="preserve">Da das Universum konstant 20 Anlagen umfasst und die Parameter des Prozesses über die gesamte Stichprobe unverändert bleiben, verschiebt sich das Niveau der Prognosekennzahlen kaum, denn das QLIKE-Niveau der historischen Matrix schwankt über alle zehn Fenster um höchstens gut zwei Punkte und das MSE-Niveau bleibt praktisch konstant.</w:t>
      </w:r>
      <w:r>
        <w:t xml:space="preserve"> </w:t>
      </w:r>
      <w:r>
        <w:t xml:space="preserve">Auch die Rangfolge kehrt sich in keinem Fenster um, da DCC in allen 20 Läufen unter beiden Verlustmaßen besser prognostiziert als die historische Matrix.</w:t>
      </w:r>
    </w:p>
    <w:p>
      <w:pPr>
        <w:pStyle w:val="BodyText"/>
      </w:pPr>
      <w:r>
        <w:t xml:space="preserve">Der Vorsprung der dynamischen Schätzer wächst dabei mit der Länge des Trainingsfensters und stabilisiert sich erst bei den längeren Fenstern.</w:t>
      </w:r>
      <w:r>
        <w:t xml:space="preserve"> </w:t>
      </w:r>
      <w:r>
        <w:t xml:space="preserve">Im DCC-Datensatz steigt der QLIKE-Abstand zwischen DCC und historischer Matrix von 4,1 Punkten bei einem Jahr Training auf 8,5 Punkte bei zehn Jahren, im GARCH-Datensatz von 2,1 auf 2,8 Punkte.</w:t>
      </w:r>
      <w:r>
        <w:t xml:space="preserve"> </w:t>
      </w:r>
      <w:r>
        <w:t xml:space="preserve">Auch wenn die Modelle also korrekt spezifiziert sind und der Prozess sich nicht verändert, zahlt sich eine breitere Datenbasis für die dynamischen Schätzer weiterhin aus, weil deren zusätzliche Parameter mit mehr Beobachtungen präziser geschätzt werden, während sich das Niveau der historischen Matrix kaum verändert.</w:t>
      </w:r>
    </w:p>
    <w:bookmarkStart w:id="61" w:name="tab:synth_stabilitaet"/>
    <w:p>
      <w:pPr>
        <w:pStyle w:val="TableCaption"/>
      </w:pPr>
      <w:r>
        <w:t xml:space="preserve">Synthetische Validierung: Stabilität über die Trainingsfenster</w:t>
      </w:r>
    </w:p>
    <w:tbl>
      <w:tblPr>
        <w:tblStyle w:val="Table"/>
        <w:tblW w:type="auto" w:w="0"/>
        <w:tblLook w:firstRow="0" w:lastRow="0" w:firstColumn="0" w:lastColumn="0" w:noHBand="0" w:noVBand="0" w:val="0000"/>
        <w:tblCaption w:val="Synthetische Validierung: Stabilität über die Trainingsfenster"/>
      </w:tblPr>
      <w:tblGrid>
        <w:gridCol w:w="756"/>
        <w:gridCol w:w="756"/>
        <w:gridCol w:w="756"/>
        <w:gridCol w:w="756"/>
        <w:gridCol w:w="756"/>
        <w:gridCol w:w="756"/>
        <w:gridCol w:w="756"/>
        <w:gridCol w:w="756"/>
        <w:gridCol w:w="756"/>
        <w:gridCol w:w="756"/>
        <w:gridCol w:w="756"/>
        <w:gridCol w:w="756"/>
      </w:tblGrid>
      <w:tr>
        <w:tc>
          <w:tcPr/>
          <w:p>
            <w:pPr>
              <w:pStyle w:val="Compact"/>
              <w:jc w:val="left"/>
            </w:pPr>
            <w:r>
              <w:rPr>
                <w:sz w:val="14"/>
                <w:szCs w:val="14"/>
              </w:rPr>
              <w:t xml:space="preserve">Datensatz</w:t>
            </w:r>
          </w:p>
        </w:tc>
        <w:tc>
          <w:tcPr/>
          <w:p>
            <w:pPr>
              <w:pStyle w:val="Compact"/>
              <w:jc w:val="right"/>
            </w:pPr>
            <w:r>
              <w:rPr>
                <w:sz w:val="14"/>
                <w:szCs w:val="14"/>
              </w:rPr>
              <w:t xml:space="preserve">Training</w:t>
            </w:r>
          </w:p>
        </w:tc>
        <w:tc>
          <w:tcPr/>
          <w:p>
            <w:pPr>
              <w:pStyle w:val="Compact"/>
              <w:jc w:val="right"/>
            </w:pPr>
            <m:oMath>
              <m:r>
                <m:t>N</m:t>
              </m:r>
            </m:oMath>
          </w:p>
        </w:tc>
        <w:tc>
          <w:tcPr>
            <w:gridSpan w:val="3"/>
          </w:tcPr>
          <w:p>
            <w:pPr>
              <w:pStyle w:val="Compact"/>
              <w:jc w:val="center"/>
            </w:pPr>
            <w:r>
              <w:rPr>
                <w:sz w:val="14"/>
                <w:szCs w:val="14"/>
              </w:rPr>
              <w:t xml:space="preserve">QLIKE</w:t>
            </w:r>
          </w:p>
        </w:tc>
        <w:tc>
          <w:tcPr>
            <w:gridSpan w:val="3"/>
          </w:tcPr>
          <w:p>
            <w:pPr>
              <w:pStyle w:val="Compact"/>
              <w:jc w:val="center"/>
            </w:pPr>
            <w:r>
              <w:rPr>
                <w:sz w:val="14"/>
                <w:szCs w:val="14"/>
              </w:rPr>
              <w:t xml:space="preserve">MSE (</w:t>
            </w:r>
            <m:oMath>
              <m:r>
                <m:rPr>
                  <m:sty m:val="p"/>
                </m:rPr>
                <m:t>×</m:t>
              </m:r>
              <m:sSup>
                <m:e>
                  <m:r>
                    <m:t>10</m:t>
                  </m:r>
                </m:e>
                <m:sup>
                  <m:r>
                    <m:rPr>
                      <m:sty m:val="p"/>
                    </m:rPr>
                    <m:t>−</m:t>
                  </m:r>
                  <m:r>
                    <m:t>8</m:t>
                  </m:r>
                </m:sup>
              </m:sSup>
            </m:oMath>
            <w:r>
              <w:rPr>
                <w:sz w:val="14"/>
                <w:szCs w:val="14"/>
              </w:rPr>
              <w:t xml:space="preserve">)</w:t>
            </w:r>
          </w:p>
        </w:tc>
        <w:tc>
          <w:tcPr>
            <w:gridSpan w:val="3"/>
          </w:tcPr>
          <w:p>
            <w:pPr>
              <w:pStyle w:val="Compact"/>
              <w:jc w:val="center"/>
            </w:pPr>
            <w:r>
              <w:rPr>
                <w:sz w:val="14"/>
                <w:szCs w:val="14"/>
              </w:rPr>
              <w:t xml:space="preserve">Sharpe MVP</w:t>
            </w:r>
          </w:p>
        </w:tc>
      </w:tr>
      <w:tr>
        <w:tc>
          <w:tcPr/>
          <w:p>
            <w:pPr>
              <w:pStyle w:val="Compact"/>
            </w:pPr>
          </w:p>
        </w:tc>
        <w:tc>
          <w:tcPr/>
          <w:p>
            <w:pPr>
              <w:pStyle w:val="Compact"/>
            </w:pPr>
          </w:p>
        </w:tc>
        <w:tc>
          <w:tcPr/>
          <w:p>
            <w:pPr>
              <w:pStyle w:val="Compact"/>
            </w:pPr>
          </w:p>
        </w:tc>
        <w:tc>
          <w:tcPr/>
          <w:p>
            <w:pPr>
              <w:pStyle w:val="Compact"/>
              <w:jc w:val="right"/>
            </w:pPr>
            <w:r>
              <w:rPr>
                <w:sz w:val="14"/>
                <w:szCs w:val="14"/>
              </w:rPr>
              <w:t xml:space="preserve">Hist.</w:t>
            </w:r>
          </w:p>
        </w:tc>
        <w:tc>
          <w:tcPr/>
          <w:p>
            <w:pPr>
              <w:pStyle w:val="Compact"/>
              <w:jc w:val="right"/>
            </w:pPr>
            <w:r>
              <w:rPr>
                <w:sz w:val="14"/>
                <w:szCs w:val="14"/>
              </w:rPr>
              <w:t xml:space="preserve">GARCH</w:t>
            </w:r>
          </w:p>
        </w:tc>
        <w:tc>
          <w:tcPr/>
          <w:p>
            <w:pPr>
              <w:pStyle w:val="Compact"/>
              <w:jc w:val="right"/>
            </w:pPr>
            <w:r>
              <w:rPr>
                <w:sz w:val="14"/>
                <w:szCs w:val="14"/>
              </w:rPr>
              <w:t xml:space="preserve">DCC</w:t>
            </w:r>
          </w:p>
        </w:tc>
        <w:tc>
          <w:tcPr/>
          <w:p>
            <w:pPr>
              <w:pStyle w:val="Compact"/>
              <w:jc w:val="right"/>
            </w:pPr>
            <w:r>
              <w:rPr>
                <w:sz w:val="14"/>
                <w:szCs w:val="14"/>
              </w:rPr>
              <w:t xml:space="preserve">Hist.</w:t>
            </w:r>
          </w:p>
        </w:tc>
        <w:tc>
          <w:tcPr/>
          <w:p>
            <w:pPr>
              <w:pStyle w:val="Compact"/>
              <w:jc w:val="right"/>
            </w:pPr>
            <w:r>
              <w:rPr>
                <w:sz w:val="14"/>
                <w:szCs w:val="14"/>
              </w:rPr>
              <w:t xml:space="preserve">GARCH</w:t>
            </w:r>
          </w:p>
        </w:tc>
        <w:tc>
          <w:tcPr/>
          <w:p>
            <w:pPr>
              <w:pStyle w:val="Compact"/>
              <w:jc w:val="right"/>
            </w:pPr>
            <w:r>
              <w:rPr>
                <w:sz w:val="14"/>
                <w:szCs w:val="14"/>
              </w:rPr>
              <w:t xml:space="preserve">DCC</w:t>
            </w:r>
          </w:p>
        </w:tc>
        <w:tc>
          <w:tcPr/>
          <w:p>
            <w:pPr>
              <w:pStyle w:val="Compact"/>
              <w:jc w:val="right"/>
            </w:pPr>
            <w:r>
              <w:rPr>
                <w:sz w:val="14"/>
                <w:szCs w:val="14"/>
              </w:rPr>
              <w:t xml:space="preserve">Hist.</w:t>
            </w:r>
          </w:p>
        </w:tc>
        <w:tc>
          <w:tcPr/>
          <w:p>
            <w:pPr>
              <w:pStyle w:val="Compact"/>
              <w:jc w:val="right"/>
            </w:pPr>
            <w:r>
              <w:rPr>
                <w:sz w:val="14"/>
                <w:szCs w:val="14"/>
              </w:rPr>
              <w:t xml:space="preserve">GARCH</w:t>
            </w:r>
          </w:p>
        </w:tc>
        <w:tc>
          <w:tcPr/>
          <w:p>
            <w:pPr>
              <w:pStyle w:val="Compact"/>
              <w:jc w:val="right"/>
            </w:pPr>
            <w:r>
              <w:rPr>
                <w:sz w:val="14"/>
                <w:szCs w:val="14"/>
              </w:rPr>
              <w:t xml:space="preserve">DCC</w:t>
            </w:r>
          </w:p>
        </w:tc>
      </w:tr>
      <w:tr>
        <w:tc>
          <w:tcPr/>
          <w:p>
            <w:pPr>
              <w:pStyle w:val="Compact"/>
              <w:jc w:val="left"/>
            </w:pPr>
            <w:r>
              <w:rPr>
                <w:sz w:val="14"/>
                <w:szCs w:val="14"/>
              </w:rPr>
              <w:t xml:space="preserve">GARCH-Sim.</w:t>
            </w:r>
          </w:p>
        </w:tc>
        <w:tc>
          <w:tcPr/>
          <w:p>
            <w:pPr>
              <w:pStyle w:val="Compact"/>
              <w:jc w:val="right"/>
            </w:pPr>
            <w:r>
              <w:rPr>
                <w:sz w:val="14"/>
                <w:szCs w:val="14"/>
              </w:rPr>
              <w:t xml:space="preserve">252</w:t>
            </w:r>
          </w:p>
        </w:tc>
        <w:tc>
          <w:tcPr/>
          <w:p>
            <w:pPr>
              <w:pStyle w:val="Compact"/>
              <w:jc w:val="right"/>
            </w:pPr>
            <w:r>
              <w:rPr>
                <w:sz w:val="14"/>
                <w:szCs w:val="14"/>
              </w:rPr>
              <w:t xml:space="preserve">20</w:t>
            </w:r>
          </w:p>
        </w:tc>
        <w:tc>
          <w:tcPr/>
          <w:p>
            <w:pPr>
              <w:pStyle w:val="Compact"/>
              <w:jc w:val="right"/>
            </w:pPr>
            <w:r>
              <w:rPr>
                <w:sz w:val="14"/>
                <w:szCs w:val="14"/>
              </w:rPr>
              <w:t xml:space="preserve">-154,0</w:t>
            </w:r>
          </w:p>
        </w:tc>
        <w:tc>
          <w:tcPr/>
          <w:p>
            <w:pPr>
              <w:pStyle w:val="Compact"/>
              <w:jc w:val="right"/>
            </w:pPr>
            <w:r>
              <w:rPr>
                <w:sz w:val="14"/>
                <w:szCs w:val="14"/>
              </w:rPr>
              <w:t xml:space="preserve">-156,1</w:t>
            </w:r>
          </w:p>
        </w:tc>
        <w:tc>
          <w:tcPr/>
          <w:p>
            <w:pPr>
              <w:pStyle w:val="Compact"/>
              <w:jc w:val="right"/>
            </w:pPr>
            <w:r>
              <w:rPr>
                <w:sz w:val="14"/>
                <w:szCs w:val="14"/>
              </w:rPr>
              <w:t xml:space="preserve">-156,1</w:t>
            </w:r>
          </w:p>
        </w:tc>
        <w:tc>
          <w:tcPr/>
          <w:p>
            <w:pPr>
              <w:pStyle w:val="Compact"/>
              <w:jc w:val="right"/>
            </w:pPr>
            <w:r>
              <w:rPr>
                <w:sz w:val="14"/>
                <w:szCs w:val="14"/>
              </w:rPr>
              <w:t xml:space="preserve">7,75</w:t>
            </w:r>
          </w:p>
        </w:tc>
        <w:tc>
          <w:tcPr/>
          <w:p>
            <w:pPr>
              <w:pStyle w:val="Compact"/>
              <w:jc w:val="right"/>
            </w:pPr>
            <w:r>
              <w:rPr>
                <w:sz w:val="14"/>
                <w:szCs w:val="14"/>
              </w:rPr>
              <w:t xml:space="preserve">7,54</w:t>
            </w:r>
          </w:p>
        </w:tc>
        <w:tc>
          <w:tcPr/>
          <w:p>
            <w:pPr>
              <w:pStyle w:val="Compact"/>
              <w:jc w:val="right"/>
            </w:pPr>
            <w:r>
              <w:rPr>
                <w:sz w:val="14"/>
                <w:szCs w:val="14"/>
              </w:rPr>
              <w:t xml:space="preserve">7,54</w:t>
            </w:r>
          </w:p>
        </w:tc>
        <w:tc>
          <w:tcPr/>
          <w:p>
            <w:pPr>
              <w:pStyle w:val="Compact"/>
              <w:jc w:val="right"/>
            </w:pPr>
            <w:r>
              <w:rPr>
                <w:sz w:val="14"/>
                <w:szCs w:val="14"/>
              </w:rPr>
              <w:t xml:space="preserve">0,991</w:t>
            </w:r>
          </w:p>
        </w:tc>
        <w:tc>
          <w:tcPr/>
          <w:p>
            <w:pPr>
              <w:pStyle w:val="Compact"/>
              <w:jc w:val="right"/>
            </w:pPr>
            <w:r>
              <w:rPr>
                <w:sz w:val="14"/>
                <w:szCs w:val="14"/>
              </w:rPr>
              <w:t xml:space="preserve">0,952</w:t>
            </w:r>
          </w:p>
        </w:tc>
        <w:tc>
          <w:tcPr/>
          <w:p>
            <w:pPr>
              <w:pStyle w:val="Compact"/>
              <w:jc w:val="right"/>
            </w:pPr>
            <w:r>
              <w:rPr>
                <w:sz w:val="14"/>
                <w:szCs w:val="14"/>
              </w:rPr>
              <w:t xml:space="preserve">0,952</w:t>
            </w:r>
          </w:p>
        </w:tc>
      </w:tr>
      <w:tr>
        <w:tc>
          <w:tcPr/>
          <w:p>
            <w:pPr>
              <w:pStyle w:val="Compact"/>
            </w:pPr>
          </w:p>
        </w:tc>
        <w:tc>
          <w:tcPr/>
          <w:p>
            <w:pPr>
              <w:pStyle w:val="Compact"/>
              <w:jc w:val="right"/>
            </w:pPr>
            <w:r>
              <w:rPr>
                <w:sz w:val="14"/>
                <w:szCs w:val="14"/>
              </w:rPr>
              <w:t xml:space="preserve">504</w:t>
            </w:r>
          </w:p>
        </w:tc>
        <w:tc>
          <w:tcPr/>
          <w:p>
            <w:pPr>
              <w:pStyle w:val="Compact"/>
              <w:jc w:val="right"/>
            </w:pPr>
            <w:r>
              <w:rPr>
                <w:sz w:val="14"/>
                <w:szCs w:val="14"/>
              </w:rPr>
              <w:t xml:space="preserve">20</w:t>
            </w:r>
          </w:p>
        </w:tc>
        <w:tc>
          <w:tcPr/>
          <w:p>
            <w:pPr>
              <w:pStyle w:val="Compact"/>
              <w:jc w:val="right"/>
            </w:pPr>
            <w:r>
              <w:rPr>
                <w:sz w:val="14"/>
                <w:szCs w:val="14"/>
              </w:rPr>
              <w:t xml:space="preserve">-154,2</w:t>
            </w:r>
          </w:p>
        </w:tc>
        <w:tc>
          <w:tcPr/>
          <w:p>
            <w:pPr>
              <w:pStyle w:val="Compact"/>
              <w:jc w:val="right"/>
            </w:pPr>
            <w:r>
              <w:rPr>
                <w:sz w:val="14"/>
                <w:szCs w:val="14"/>
              </w:rPr>
              <w:t xml:space="preserve">-156,9</w:t>
            </w:r>
          </w:p>
        </w:tc>
        <w:tc>
          <w:tcPr/>
          <w:p>
            <w:pPr>
              <w:pStyle w:val="Compact"/>
              <w:jc w:val="right"/>
            </w:pPr>
            <w:r>
              <w:rPr>
                <w:sz w:val="14"/>
                <w:szCs w:val="14"/>
              </w:rPr>
              <w:t xml:space="preserve">-156,9</w:t>
            </w:r>
          </w:p>
        </w:tc>
        <w:tc>
          <w:tcPr/>
          <w:p>
            <w:pPr>
              <w:pStyle w:val="Compact"/>
              <w:jc w:val="right"/>
            </w:pPr>
            <w:r>
              <w:rPr>
                <w:sz w:val="14"/>
                <w:szCs w:val="14"/>
              </w:rPr>
              <w:t xml:space="preserve">7,74</w:t>
            </w:r>
          </w:p>
        </w:tc>
        <w:tc>
          <w:tcPr/>
          <w:p>
            <w:pPr>
              <w:pStyle w:val="Compact"/>
              <w:jc w:val="right"/>
            </w:pPr>
            <w:r>
              <w:rPr>
                <w:sz w:val="14"/>
                <w:szCs w:val="14"/>
              </w:rPr>
              <w:t xml:space="preserve">7,49</w:t>
            </w:r>
          </w:p>
        </w:tc>
        <w:tc>
          <w:tcPr/>
          <w:p>
            <w:pPr>
              <w:pStyle w:val="Compact"/>
              <w:jc w:val="right"/>
            </w:pPr>
            <w:r>
              <w:rPr>
                <w:sz w:val="14"/>
                <w:szCs w:val="14"/>
              </w:rPr>
              <w:t xml:space="preserve">7,49</w:t>
            </w:r>
          </w:p>
        </w:tc>
        <w:tc>
          <w:tcPr/>
          <w:p>
            <w:pPr>
              <w:pStyle w:val="Compact"/>
              <w:jc w:val="right"/>
            </w:pPr>
            <w:r>
              <w:rPr>
                <w:sz w:val="14"/>
                <w:szCs w:val="14"/>
              </w:rPr>
              <w:t xml:space="preserve">0,930</w:t>
            </w:r>
          </w:p>
        </w:tc>
        <w:tc>
          <w:tcPr/>
          <w:p>
            <w:pPr>
              <w:pStyle w:val="Compact"/>
              <w:jc w:val="right"/>
            </w:pPr>
            <w:r>
              <w:rPr>
                <w:sz w:val="14"/>
                <w:szCs w:val="14"/>
              </w:rPr>
              <w:t xml:space="preserve">0,903</w:t>
            </w:r>
          </w:p>
        </w:tc>
        <w:tc>
          <w:tcPr/>
          <w:p>
            <w:pPr>
              <w:pStyle w:val="Compact"/>
              <w:jc w:val="right"/>
            </w:pPr>
            <w:r>
              <w:rPr>
                <w:sz w:val="14"/>
                <w:szCs w:val="14"/>
              </w:rPr>
              <w:t xml:space="preserve">0,902</w:t>
            </w:r>
          </w:p>
        </w:tc>
      </w:tr>
      <w:tr>
        <w:tc>
          <w:tcPr/>
          <w:p>
            <w:pPr>
              <w:pStyle w:val="Compact"/>
            </w:pPr>
          </w:p>
        </w:tc>
        <w:tc>
          <w:tcPr/>
          <w:p>
            <w:pPr>
              <w:pStyle w:val="Compact"/>
              <w:jc w:val="right"/>
            </w:pPr>
            <w:r>
              <w:rPr>
                <w:sz w:val="14"/>
                <w:szCs w:val="14"/>
              </w:rPr>
              <w:t xml:space="preserve">756</w:t>
            </w:r>
          </w:p>
        </w:tc>
        <w:tc>
          <w:tcPr/>
          <w:p>
            <w:pPr>
              <w:pStyle w:val="Compact"/>
              <w:jc w:val="right"/>
            </w:pPr>
            <w:r>
              <w:rPr>
                <w:sz w:val="14"/>
                <w:szCs w:val="14"/>
              </w:rPr>
              <w:t xml:space="preserve">20</w:t>
            </w:r>
          </w:p>
        </w:tc>
        <w:tc>
          <w:tcPr/>
          <w:p>
            <w:pPr>
              <w:pStyle w:val="Compact"/>
              <w:jc w:val="right"/>
            </w:pPr>
            <w:r>
              <w:rPr>
                <w:sz w:val="14"/>
                <w:szCs w:val="14"/>
              </w:rPr>
              <w:t xml:space="preserve">-154,2</w:t>
            </w:r>
          </w:p>
        </w:tc>
        <w:tc>
          <w:tcPr/>
          <w:p>
            <w:pPr>
              <w:pStyle w:val="Compact"/>
              <w:jc w:val="right"/>
            </w:pPr>
            <w:r>
              <w:rPr>
                <w:sz w:val="14"/>
                <w:szCs w:val="14"/>
              </w:rPr>
              <w:t xml:space="preserve">-157,1</w:t>
            </w:r>
          </w:p>
        </w:tc>
        <w:tc>
          <w:tcPr/>
          <w:p>
            <w:pPr>
              <w:pStyle w:val="Compact"/>
              <w:jc w:val="right"/>
            </w:pPr>
            <w:r>
              <w:rPr>
                <w:sz w:val="14"/>
                <w:szCs w:val="14"/>
              </w:rPr>
              <w:t xml:space="preserve">-157,1</w:t>
            </w:r>
          </w:p>
        </w:tc>
        <w:tc>
          <w:tcPr/>
          <w:p>
            <w:pPr>
              <w:pStyle w:val="Compact"/>
              <w:jc w:val="right"/>
            </w:pPr>
            <w:r>
              <w:rPr>
                <w:sz w:val="14"/>
                <w:szCs w:val="14"/>
              </w:rPr>
              <w:t xml:space="preserve">7,81</w:t>
            </w:r>
          </w:p>
        </w:tc>
        <w:tc>
          <w:tcPr/>
          <w:p>
            <w:pPr>
              <w:pStyle w:val="Compact"/>
              <w:jc w:val="right"/>
            </w:pPr>
            <w:r>
              <w:rPr>
                <w:sz w:val="14"/>
                <w:szCs w:val="14"/>
              </w:rPr>
              <w:t xml:space="preserve">7,54</w:t>
            </w:r>
          </w:p>
        </w:tc>
        <w:tc>
          <w:tcPr/>
          <w:p>
            <w:pPr>
              <w:pStyle w:val="Compact"/>
              <w:jc w:val="right"/>
            </w:pPr>
            <w:r>
              <w:rPr>
                <w:sz w:val="14"/>
                <w:szCs w:val="14"/>
              </w:rPr>
              <w:t xml:space="preserve">7,54</w:t>
            </w:r>
          </w:p>
        </w:tc>
        <w:tc>
          <w:tcPr/>
          <w:p>
            <w:pPr>
              <w:pStyle w:val="Compact"/>
              <w:jc w:val="right"/>
            </w:pPr>
            <w:r>
              <w:rPr>
                <w:sz w:val="14"/>
                <w:szCs w:val="14"/>
              </w:rPr>
              <w:t xml:space="preserve">0,799</w:t>
            </w:r>
          </w:p>
        </w:tc>
        <w:tc>
          <w:tcPr/>
          <w:p>
            <w:pPr>
              <w:pStyle w:val="Compact"/>
              <w:jc w:val="right"/>
            </w:pPr>
            <w:r>
              <w:rPr>
                <w:sz w:val="14"/>
                <w:szCs w:val="14"/>
              </w:rPr>
              <w:t xml:space="preserve">0,841</w:t>
            </w:r>
          </w:p>
        </w:tc>
        <w:tc>
          <w:tcPr/>
          <w:p>
            <w:pPr>
              <w:pStyle w:val="Compact"/>
              <w:jc w:val="right"/>
            </w:pPr>
            <w:r>
              <w:rPr>
                <w:sz w:val="14"/>
                <w:szCs w:val="14"/>
              </w:rPr>
              <w:t xml:space="preserve">0,841</w:t>
            </w:r>
          </w:p>
        </w:tc>
      </w:tr>
      <w:tr>
        <w:tc>
          <w:tcPr/>
          <w:p>
            <w:pPr>
              <w:pStyle w:val="Compact"/>
            </w:pPr>
          </w:p>
        </w:tc>
        <w:tc>
          <w:tcPr/>
          <w:p>
            <w:pPr>
              <w:pStyle w:val="Compact"/>
              <w:jc w:val="right"/>
            </w:pPr>
            <w:r>
              <w:rPr>
                <w:sz w:val="14"/>
                <w:szCs w:val="14"/>
              </w:rPr>
              <w:t xml:space="preserve">1008</w:t>
            </w:r>
          </w:p>
        </w:tc>
        <w:tc>
          <w:tcPr/>
          <w:p>
            <w:pPr>
              <w:pStyle w:val="Compact"/>
              <w:jc w:val="right"/>
            </w:pPr>
            <w:r>
              <w:rPr>
                <w:sz w:val="14"/>
                <w:szCs w:val="14"/>
              </w:rPr>
              <w:t xml:space="preserve">20</w:t>
            </w:r>
          </w:p>
        </w:tc>
        <w:tc>
          <w:tcPr/>
          <w:p>
            <w:pPr>
              <w:pStyle w:val="Compact"/>
              <w:jc w:val="right"/>
            </w:pPr>
            <w:r>
              <w:rPr>
                <w:sz w:val="14"/>
                <w:szCs w:val="14"/>
              </w:rPr>
              <w:t xml:space="preserve">-154,2</w:t>
            </w:r>
          </w:p>
        </w:tc>
        <w:tc>
          <w:tcPr/>
          <w:p>
            <w:pPr>
              <w:pStyle w:val="Compact"/>
              <w:jc w:val="right"/>
            </w:pPr>
            <w:r>
              <w:rPr>
                <w:sz w:val="14"/>
                <w:szCs w:val="14"/>
              </w:rPr>
              <w:t xml:space="preserve">-157,3</w:t>
            </w:r>
          </w:p>
        </w:tc>
        <w:tc>
          <w:tcPr/>
          <w:p>
            <w:pPr>
              <w:pStyle w:val="Compact"/>
              <w:jc w:val="right"/>
            </w:pPr>
            <w:r>
              <w:rPr>
                <w:sz w:val="14"/>
                <w:szCs w:val="14"/>
              </w:rPr>
              <w:t xml:space="preserve">-157,2</w:t>
            </w:r>
          </w:p>
        </w:tc>
        <w:tc>
          <w:tcPr/>
          <w:p>
            <w:pPr>
              <w:pStyle w:val="Compact"/>
              <w:jc w:val="right"/>
            </w:pPr>
            <w:r>
              <w:rPr>
                <w:sz w:val="14"/>
                <w:szCs w:val="14"/>
              </w:rPr>
              <w:t xml:space="preserve">7,84</w:t>
            </w:r>
          </w:p>
        </w:tc>
        <w:tc>
          <w:tcPr/>
          <w:p>
            <w:pPr>
              <w:pStyle w:val="Compact"/>
              <w:jc w:val="right"/>
            </w:pPr>
            <w:r>
              <w:rPr>
                <w:sz w:val="14"/>
                <w:szCs w:val="14"/>
              </w:rPr>
              <w:t xml:space="preserve">7,57</w:t>
            </w:r>
          </w:p>
        </w:tc>
        <w:tc>
          <w:tcPr/>
          <w:p>
            <w:pPr>
              <w:pStyle w:val="Compact"/>
              <w:jc w:val="right"/>
            </w:pPr>
            <w:r>
              <w:rPr>
                <w:sz w:val="14"/>
                <w:szCs w:val="14"/>
              </w:rPr>
              <w:t xml:space="preserve">7,57</w:t>
            </w:r>
          </w:p>
        </w:tc>
        <w:tc>
          <w:tcPr/>
          <w:p>
            <w:pPr>
              <w:pStyle w:val="Compact"/>
              <w:jc w:val="right"/>
            </w:pPr>
            <w:r>
              <w:rPr>
                <w:sz w:val="14"/>
                <w:szCs w:val="14"/>
              </w:rPr>
              <w:t xml:space="preserve">0,756</w:t>
            </w:r>
          </w:p>
        </w:tc>
        <w:tc>
          <w:tcPr/>
          <w:p>
            <w:pPr>
              <w:pStyle w:val="Compact"/>
              <w:jc w:val="right"/>
            </w:pPr>
            <w:r>
              <w:rPr>
                <w:sz w:val="14"/>
                <w:szCs w:val="14"/>
              </w:rPr>
              <w:t xml:space="preserve">0,854</w:t>
            </w:r>
          </w:p>
        </w:tc>
        <w:tc>
          <w:tcPr/>
          <w:p>
            <w:pPr>
              <w:pStyle w:val="Compact"/>
              <w:jc w:val="right"/>
            </w:pPr>
            <w:r>
              <w:rPr>
                <w:sz w:val="14"/>
                <w:szCs w:val="14"/>
              </w:rPr>
              <w:t xml:space="preserve">0,854</w:t>
            </w:r>
          </w:p>
        </w:tc>
      </w:tr>
      <w:tr>
        <w:tc>
          <w:tcPr/>
          <w:p>
            <w:pPr>
              <w:pStyle w:val="Compact"/>
            </w:pPr>
          </w:p>
        </w:tc>
        <w:tc>
          <w:tcPr/>
          <w:p>
            <w:pPr>
              <w:pStyle w:val="Compact"/>
              <w:jc w:val="right"/>
            </w:pPr>
            <w:r>
              <w:rPr>
                <w:sz w:val="14"/>
                <w:szCs w:val="14"/>
              </w:rPr>
              <w:t xml:space="preserve">1260</w:t>
            </w:r>
          </w:p>
        </w:tc>
        <w:tc>
          <w:tcPr/>
          <w:p>
            <w:pPr>
              <w:pStyle w:val="Compact"/>
              <w:jc w:val="right"/>
            </w:pPr>
            <w:r>
              <w:rPr>
                <w:sz w:val="14"/>
                <w:szCs w:val="14"/>
              </w:rPr>
              <w:t xml:space="preserve">20</w:t>
            </w:r>
          </w:p>
        </w:tc>
        <w:tc>
          <w:tcPr/>
          <w:p>
            <w:pPr>
              <w:pStyle w:val="Compact"/>
              <w:jc w:val="right"/>
            </w:pPr>
            <w:r>
              <w:rPr>
                <w:sz w:val="14"/>
                <w:szCs w:val="14"/>
              </w:rPr>
              <w:t xml:space="preserve">-154,4</w:t>
            </w:r>
          </w:p>
        </w:tc>
        <w:tc>
          <w:tcPr/>
          <w:p>
            <w:pPr>
              <w:pStyle w:val="Compact"/>
              <w:jc w:val="right"/>
            </w:pPr>
            <w:r>
              <w:rPr>
                <w:sz w:val="14"/>
                <w:szCs w:val="14"/>
              </w:rPr>
              <w:t xml:space="preserve">-157,4</w:t>
            </w:r>
          </w:p>
        </w:tc>
        <w:tc>
          <w:tcPr/>
          <w:p>
            <w:pPr>
              <w:pStyle w:val="Compact"/>
              <w:jc w:val="right"/>
            </w:pPr>
            <w:r>
              <w:rPr>
                <w:sz w:val="14"/>
                <w:szCs w:val="14"/>
              </w:rPr>
              <w:t xml:space="preserve">-157,4</w:t>
            </w:r>
          </w:p>
        </w:tc>
        <w:tc>
          <w:tcPr/>
          <w:p>
            <w:pPr>
              <w:pStyle w:val="Compact"/>
              <w:jc w:val="right"/>
            </w:pPr>
            <w:r>
              <w:rPr>
                <w:sz w:val="14"/>
                <w:szCs w:val="14"/>
              </w:rPr>
              <w:t xml:space="preserve">7,86</w:t>
            </w:r>
          </w:p>
        </w:tc>
        <w:tc>
          <w:tcPr/>
          <w:p>
            <w:pPr>
              <w:pStyle w:val="Compact"/>
              <w:jc w:val="right"/>
            </w:pPr>
            <w:r>
              <w:rPr>
                <w:sz w:val="14"/>
                <w:szCs w:val="14"/>
              </w:rPr>
              <w:t xml:space="preserve">7,58</w:t>
            </w:r>
          </w:p>
        </w:tc>
        <w:tc>
          <w:tcPr/>
          <w:p>
            <w:pPr>
              <w:pStyle w:val="Compact"/>
              <w:jc w:val="right"/>
            </w:pPr>
            <w:r>
              <w:rPr>
                <w:sz w:val="14"/>
                <w:szCs w:val="14"/>
              </w:rPr>
              <w:t xml:space="preserve">7,58</w:t>
            </w:r>
          </w:p>
        </w:tc>
        <w:tc>
          <w:tcPr/>
          <w:p>
            <w:pPr>
              <w:pStyle w:val="Compact"/>
              <w:jc w:val="right"/>
            </w:pPr>
            <w:r>
              <w:rPr>
                <w:sz w:val="14"/>
                <w:szCs w:val="14"/>
              </w:rPr>
              <w:t xml:space="preserve">0,781</w:t>
            </w:r>
          </w:p>
        </w:tc>
        <w:tc>
          <w:tcPr/>
          <w:p>
            <w:pPr>
              <w:pStyle w:val="Compact"/>
              <w:jc w:val="right"/>
            </w:pPr>
            <w:r>
              <w:rPr>
                <w:sz w:val="14"/>
                <w:szCs w:val="14"/>
              </w:rPr>
              <w:t xml:space="preserve">0,889</w:t>
            </w:r>
          </w:p>
        </w:tc>
        <w:tc>
          <w:tcPr/>
          <w:p>
            <w:pPr>
              <w:pStyle w:val="Compact"/>
              <w:jc w:val="right"/>
            </w:pPr>
            <w:r>
              <w:rPr>
                <w:sz w:val="14"/>
                <w:szCs w:val="14"/>
              </w:rPr>
              <w:t xml:space="preserve">0,889</w:t>
            </w:r>
          </w:p>
        </w:tc>
      </w:tr>
      <w:tr>
        <w:tc>
          <w:tcPr/>
          <w:p>
            <w:pPr>
              <w:pStyle w:val="Compact"/>
            </w:pPr>
          </w:p>
        </w:tc>
        <w:tc>
          <w:tcPr/>
          <w:p>
            <w:pPr>
              <w:pStyle w:val="Compact"/>
              <w:jc w:val="right"/>
            </w:pPr>
            <w:r>
              <w:rPr>
                <w:sz w:val="14"/>
                <w:szCs w:val="14"/>
              </w:rPr>
              <w:t xml:space="preserve">1512</w:t>
            </w:r>
          </w:p>
        </w:tc>
        <w:tc>
          <w:tcPr/>
          <w:p>
            <w:pPr>
              <w:pStyle w:val="Compact"/>
              <w:jc w:val="right"/>
            </w:pPr>
            <w:r>
              <w:rPr>
                <w:sz w:val="14"/>
                <w:szCs w:val="14"/>
              </w:rPr>
              <w:t xml:space="preserve">20</w:t>
            </w:r>
          </w:p>
        </w:tc>
        <w:tc>
          <w:tcPr/>
          <w:p>
            <w:pPr>
              <w:pStyle w:val="Compact"/>
              <w:jc w:val="right"/>
            </w:pPr>
            <w:r>
              <w:rPr>
                <w:sz w:val="14"/>
                <w:szCs w:val="14"/>
              </w:rPr>
              <w:t xml:space="preserve">-155,0</w:t>
            </w:r>
          </w:p>
        </w:tc>
        <w:tc>
          <w:tcPr/>
          <w:p>
            <w:pPr>
              <w:pStyle w:val="Compact"/>
              <w:jc w:val="right"/>
            </w:pPr>
            <w:r>
              <w:rPr>
                <w:sz w:val="14"/>
                <w:szCs w:val="14"/>
              </w:rPr>
              <w:t xml:space="preserve">-157,8</w:t>
            </w:r>
          </w:p>
        </w:tc>
        <w:tc>
          <w:tcPr/>
          <w:p>
            <w:pPr>
              <w:pStyle w:val="Compact"/>
              <w:jc w:val="right"/>
            </w:pPr>
            <w:r>
              <w:rPr>
                <w:sz w:val="14"/>
                <w:szCs w:val="14"/>
              </w:rPr>
              <w:t xml:space="preserve">-157,8</w:t>
            </w:r>
          </w:p>
        </w:tc>
        <w:tc>
          <w:tcPr/>
          <w:p>
            <w:pPr>
              <w:pStyle w:val="Compact"/>
              <w:jc w:val="right"/>
            </w:pPr>
            <w:r>
              <w:rPr>
                <w:sz w:val="14"/>
                <w:szCs w:val="14"/>
              </w:rPr>
              <w:t xml:space="preserve">6,81</w:t>
            </w:r>
          </w:p>
        </w:tc>
        <w:tc>
          <w:tcPr/>
          <w:p>
            <w:pPr>
              <w:pStyle w:val="Compact"/>
              <w:jc w:val="right"/>
            </w:pPr>
            <w:r>
              <w:rPr>
                <w:sz w:val="14"/>
                <w:szCs w:val="14"/>
              </w:rPr>
              <w:t xml:space="preserve">6,64</w:t>
            </w:r>
          </w:p>
        </w:tc>
        <w:tc>
          <w:tcPr/>
          <w:p>
            <w:pPr>
              <w:pStyle w:val="Compact"/>
              <w:jc w:val="right"/>
            </w:pPr>
            <w:r>
              <w:rPr>
                <w:sz w:val="14"/>
                <w:szCs w:val="14"/>
              </w:rPr>
              <w:t xml:space="preserve">6,64</w:t>
            </w:r>
          </w:p>
        </w:tc>
        <w:tc>
          <w:tcPr/>
          <w:p>
            <w:pPr>
              <w:pStyle w:val="Compact"/>
              <w:jc w:val="right"/>
            </w:pPr>
            <w:r>
              <w:rPr>
                <w:sz w:val="14"/>
                <w:szCs w:val="14"/>
              </w:rPr>
              <w:t xml:space="preserve">0,713</w:t>
            </w:r>
          </w:p>
        </w:tc>
        <w:tc>
          <w:tcPr/>
          <w:p>
            <w:pPr>
              <w:pStyle w:val="Compact"/>
              <w:jc w:val="right"/>
            </w:pPr>
            <w:r>
              <w:rPr>
                <w:sz w:val="14"/>
                <w:szCs w:val="14"/>
              </w:rPr>
              <w:t xml:space="preserve">0,801</w:t>
            </w:r>
          </w:p>
        </w:tc>
        <w:tc>
          <w:tcPr/>
          <w:p>
            <w:pPr>
              <w:pStyle w:val="Compact"/>
              <w:jc w:val="right"/>
            </w:pPr>
            <w:r>
              <w:rPr>
                <w:sz w:val="14"/>
                <w:szCs w:val="14"/>
              </w:rPr>
              <w:t xml:space="preserve">0,801</w:t>
            </w:r>
          </w:p>
        </w:tc>
      </w:tr>
      <w:tr>
        <w:tc>
          <w:tcPr/>
          <w:p>
            <w:pPr>
              <w:pStyle w:val="Compact"/>
            </w:pPr>
          </w:p>
        </w:tc>
        <w:tc>
          <w:tcPr/>
          <w:p>
            <w:pPr>
              <w:pStyle w:val="Compact"/>
              <w:jc w:val="right"/>
            </w:pPr>
            <w:r>
              <w:rPr>
                <w:sz w:val="14"/>
                <w:szCs w:val="14"/>
              </w:rPr>
              <w:t xml:space="preserve">1764</w:t>
            </w:r>
          </w:p>
        </w:tc>
        <w:tc>
          <w:tcPr/>
          <w:p>
            <w:pPr>
              <w:pStyle w:val="Compact"/>
              <w:jc w:val="right"/>
            </w:pPr>
            <w:r>
              <w:rPr>
                <w:sz w:val="14"/>
                <w:szCs w:val="14"/>
              </w:rPr>
              <w:t xml:space="preserve">20</w:t>
            </w:r>
          </w:p>
        </w:tc>
        <w:tc>
          <w:tcPr/>
          <w:p>
            <w:pPr>
              <w:pStyle w:val="Compact"/>
              <w:jc w:val="right"/>
            </w:pPr>
            <w:r>
              <w:rPr>
                <w:sz w:val="14"/>
                <w:szCs w:val="14"/>
              </w:rPr>
              <w:t xml:space="preserve">-154,8</w:t>
            </w:r>
          </w:p>
        </w:tc>
        <w:tc>
          <w:tcPr/>
          <w:p>
            <w:pPr>
              <w:pStyle w:val="Compact"/>
              <w:jc w:val="right"/>
            </w:pPr>
            <w:r>
              <w:rPr>
                <w:sz w:val="14"/>
                <w:szCs w:val="14"/>
              </w:rPr>
              <w:t xml:space="preserve">-157,6</w:t>
            </w:r>
          </w:p>
        </w:tc>
        <w:tc>
          <w:tcPr/>
          <w:p>
            <w:pPr>
              <w:pStyle w:val="Compact"/>
              <w:jc w:val="right"/>
            </w:pPr>
            <w:r>
              <w:rPr>
                <w:sz w:val="14"/>
                <w:szCs w:val="14"/>
              </w:rPr>
              <w:t xml:space="preserve">-157,6</w:t>
            </w:r>
          </w:p>
        </w:tc>
        <w:tc>
          <w:tcPr/>
          <w:p>
            <w:pPr>
              <w:pStyle w:val="Compact"/>
              <w:jc w:val="right"/>
            </w:pPr>
            <w:r>
              <w:rPr>
                <w:sz w:val="14"/>
                <w:szCs w:val="14"/>
              </w:rPr>
              <w:t xml:space="preserve">7,00</w:t>
            </w:r>
          </w:p>
        </w:tc>
        <w:tc>
          <w:tcPr/>
          <w:p>
            <w:pPr>
              <w:pStyle w:val="Compact"/>
              <w:jc w:val="right"/>
            </w:pPr>
            <w:r>
              <w:rPr>
                <w:sz w:val="14"/>
                <w:szCs w:val="14"/>
              </w:rPr>
              <w:t xml:space="preserve">6,84</w:t>
            </w:r>
          </w:p>
        </w:tc>
        <w:tc>
          <w:tcPr/>
          <w:p>
            <w:pPr>
              <w:pStyle w:val="Compact"/>
              <w:jc w:val="right"/>
            </w:pPr>
            <w:r>
              <w:rPr>
                <w:sz w:val="14"/>
                <w:szCs w:val="14"/>
              </w:rPr>
              <w:t xml:space="preserve">6,84</w:t>
            </w:r>
          </w:p>
        </w:tc>
        <w:tc>
          <w:tcPr/>
          <w:p>
            <w:pPr>
              <w:pStyle w:val="Compact"/>
              <w:jc w:val="right"/>
            </w:pPr>
            <w:r>
              <w:rPr>
                <w:sz w:val="14"/>
                <w:szCs w:val="14"/>
              </w:rPr>
              <w:t xml:space="preserve">0,706</w:t>
            </w:r>
          </w:p>
        </w:tc>
        <w:tc>
          <w:tcPr/>
          <w:p>
            <w:pPr>
              <w:pStyle w:val="Compact"/>
              <w:jc w:val="right"/>
            </w:pPr>
            <w:r>
              <w:rPr>
                <w:sz w:val="14"/>
                <w:szCs w:val="14"/>
              </w:rPr>
              <w:t xml:space="preserve">0,826</w:t>
            </w:r>
          </w:p>
        </w:tc>
        <w:tc>
          <w:tcPr/>
          <w:p>
            <w:pPr>
              <w:pStyle w:val="Compact"/>
              <w:jc w:val="right"/>
            </w:pPr>
            <w:r>
              <w:rPr>
                <w:sz w:val="14"/>
                <w:szCs w:val="14"/>
              </w:rPr>
              <w:t xml:space="preserve">0,826</w:t>
            </w:r>
          </w:p>
        </w:tc>
      </w:tr>
      <w:tr>
        <w:tc>
          <w:tcPr/>
          <w:p>
            <w:pPr>
              <w:pStyle w:val="Compact"/>
            </w:pPr>
          </w:p>
        </w:tc>
        <w:tc>
          <w:tcPr/>
          <w:p>
            <w:pPr>
              <w:pStyle w:val="Compact"/>
              <w:jc w:val="right"/>
            </w:pPr>
            <w:r>
              <w:rPr>
                <w:sz w:val="14"/>
                <w:szCs w:val="14"/>
              </w:rPr>
              <w:t xml:space="preserve">2016</w:t>
            </w:r>
          </w:p>
        </w:tc>
        <w:tc>
          <w:tcPr/>
          <w:p>
            <w:pPr>
              <w:pStyle w:val="Compact"/>
              <w:jc w:val="right"/>
            </w:pPr>
            <w:r>
              <w:rPr>
                <w:sz w:val="14"/>
                <w:szCs w:val="14"/>
              </w:rPr>
              <w:t xml:space="preserve">20</w:t>
            </w:r>
          </w:p>
        </w:tc>
        <w:tc>
          <w:tcPr/>
          <w:p>
            <w:pPr>
              <w:pStyle w:val="Compact"/>
              <w:jc w:val="right"/>
            </w:pPr>
            <w:r>
              <w:rPr>
                <w:sz w:val="14"/>
                <w:szCs w:val="14"/>
              </w:rPr>
              <w:t xml:space="preserve">-154,7</w:t>
            </w:r>
          </w:p>
        </w:tc>
        <w:tc>
          <w:tcPr/>
          <w:p>
            <w:pPr>
              <w:pStyle w:val="Compact"/>
              <w:jc w:val="right"/>
            </w:pPr>
            <w:r>
              <w:rPr>
                <w:sz w:val="14"/>
                <w:szCs w:val="14"/>
              </w:rPr>
              <w:t xml:space="preserve">-157,7</w:t>
            </w:r>
          </w:p>
        </w:tc>
        <w:tc>
          <w:tcPr/>
          <w:p>
            <w:pPr>
              <w:pStyle w:val="Compact"/>
              <w:jc w:val="right"/>
            </w:pPr>
            <w:r>
              <w:rPr>
                <w:sz w:val="14"/>
                <w:szCs w:val="14"/>
              </w:rPr>
              <w:t xml:space="preserve">-157,7</w:t>
            </w:r>
          </w:p>
        </w:tc>
        <w:tc>
          <w:tcPr/>
          <w:p>
            <w:pPr>
              <w:pStyle w:val="Compact"/>
              <w:jc w:val="right"/>
            </w:pPr>
            <w:r>
              <w:rPr>
                <w:sz w:val="14"/>
                <w:szCs w:val="14"/>
              </w:rPr>
              <w:t xml:space="preserve">7,01</w:t>
            </w:r>
          </w:p>
        </w:tc>
        <w:tc>
          <w:tcPr/>
          <w:p>
            <w:pPr>
              <w:pStyle w:val="Compact"/>
              <w:jc w:val="right"/>
            </w:pPr>
            <w:r>
              <w:rPr>
                <w:sz w:val="14"/>
                <w:szCs w:val="14"/>
              </w:rPr>
              <w:t xml:space="preserve">6,84</w:t>
            </w:r>
          </w:p>
        </w:tc>
        <w:tc>
          <w:tcPr/>
          <w:p>
            <w:pPr>
              <w:pStyle w:val="Compact"/>
              <w:jc w:val="right"/>
            </w:pPr>
            <w:r>
              <w:rPr>
                <w:sz w:val="14"/>
                <w:szCs w:val="14"/>
              </w:rPr>
              <w:t xml:space="preserve">6,84</w:t>
            </w:r>
          </w:p>
        </w:tc>
        <w:tc>
          <w:tcPr/>
          <w:p>
            <w:pPr>
              <w:pStyle w:val="Compact"/>
              <w:jc w:val="right"/>
            </w:pPr>
            <w:r>
              <w:rPr>
                <w:sz w:val="14"/>
                <w:szCs w:val="14"/>
              </w:rPr>
              <w:t xml:space="preserve">0,780</w:t>
            </w:r>
          </w:p>
        </w:tc>
        <w:tc>
          <w:tcPr/>
          <w:p>
            <w:pPr>
              <w:pStyle w:val="Compact"/>
              <w:jc w:val="right"/>
            </w:pPr>
            <w:r>
              <w:rPr>
                <w:sz w:val="14"/>
                <w:szCs w:val="14"/>
              </w:rPr>
              <w:t xml:space="preserve">0,878</w:t>
            </w:r>
          </w:p>
        </w:tc>
        <w:tc>
          <w:tcPr/>
          <w:p>
            <w:pPr>
              <w:pStyle w:val="Compact"/>
              <w:jc w:val="right"/>
            </w:pPr>
            <w:r>
              <w:rPr>
                <w:sz w:val="14"/>
                <w:szCs w:val="14"/>
              </w:rPr>
              <w:t xml:space="preserve">0,878</w:t>
            </w:r>
          </w:p>
        </w:tc>
      </w:tr>
      <w:tr>
        <w:tc>
          <w:tcPr/>
          <w:p>
            <w:pPr>
              <w:pStyle w:val="Compact"/>
            </w:pPr>
          </w:p>
        </w:tc>
        <w:tc>
          <w:tcPr/>
          <w:p>
            <w:pPr>
              <w:pStyle w:val="Compact"/>
              <w:jc w:val="right"/>
            </w:pPr>
            <w:r>
              <w:rPr>
                <w:sz w:val="14"/>
                <w:szCs w:val="14"/>
              </w:rPr>
              <w:t xml:space="preserve">2268</w:t>
            </w:r>
          </w:p>
        </w:tc>
        <w:tc>
          <w:tcPr/>
          <w:p>
            <w:pPr>
              <w:pStyle w:val="Compact"/>
              <w:jc w:val="right"/>
            </w:pPr>
            <w:r>
              <w:rPr>
                <w:sz w:val="14"/>
                <w:szCs w:val="14"/>
              </w:rPr>
              <w:t xml:space="preserve">20</w:t>
            </w:r>
          </w:p>
        </w:tc>
        <w:tc>
          <w:tcPr/>
          <w:p>
            <w:pPr>
              <w:pStyle w:val="Compact"/>
              <w:jc w:val="right"/>
            </w:pPr>
            <w:r>
              <w:rPr>
                <w:sz w:val="14"/>
                <w:szCs w:val="14"/>
              </w:rPr>
              <w:t xml:space="preserve">-154,7</w:t>
            </w:r>
          </w:p>
        </w:tc>
        <w:tc>
          <w:tcPr/>
          <w:p>
            <w:pPr>
              <w:pStyle w:val="Compact"/>
              <w:jc w:val="right"/>
            </w:pPr>
            <w:r>
              <w:rPr>
                <w:sz w:val="14"/>
                <w:szCs w:val="14"/>
              </w:rPr>
              <w:t xml:space="preserve">-157,6</w:t>
            </w:r>
          </w:p>
        </w:tc>
        <w:tc>
          <w:tcPr/>
          <w:p>
            <w:pPr>
              <w:pStyle w:val="Compact"/>
              <w:jc w:val="right"/>
            </w:pPr>
            <w:r>
              <w:rPr>
                <w:sz w:val="14"/>
                <w:szCs w:val="14"/>
              </w:rPr>
              <w:t xml:space="preserve">-157,6</w:t>
            </w:r>
          </w:p>
        </w:tc>
        <w:tc>
          <w:tcPr/>
          <w:p>
            <w:pPr>
              <w:pStyle w:val="Compact"/>
              <w:jc w:val="right"/>
            </w:pPr>
            <w:r>
              <w:rPr>
                <w:sz w:val="14"/>
                <w:szCs w:val="14"/>
              </w:rPr>
              <w:t xml:space="preserve">7,07</w:t>
            </w:r>
          </w:p>
        </w:tc>
        <w:tc>
          <w:tcPr/>
          <w:p>
            <w:pPr>
              <w:pStyle w:val="Compact"/>
              <w:jc w:val="right"/>
            </w:pPr>
            <w:r>
              <w:rPr>
                <w:sz w:val="14"/>
                <w:szCs w:val="14"/>
              </w:rPr>
              <w:t xml:space="preserve">6,89</w:t>
            </w:r>
          </w:p>
        </w:tc>
        <w:tc>
          <w:tcPr/>
          <w:p>
            <w:pPr>
              <w:pStyle w:val="Compact"/>
              <w:jc w:val="right"/>
            </w:pPr>
            <w:r>
              <w:rPr>
                <w:sz w:val="14"/>
                <w:szCs w:val="14"/>
              </w:rPr>
              <w:t xml:space="preserve">6,89</w:t>
            </w:r>
          </w:p>
        </w:tc>
        <w:tc>
          <w:tcPr/>
          <w:p>
            <w:pPr>
              <w:pStyle w:val="Compact"/>
              <w:jc w:val="right"/>
            </w:pPr>
            <w:r>
              <w:rPr>
                <w:sz w:val="14"/>
                <w:szCs w:val="14"/>
              </w:rPr>
              <w:t xml:space="preserve">0,816</w:t>
            </w:r>
          </w:p>
        </w:tc>
        <w:tc>
          <w:tcPr/>
          <w:p>
            <w:pPr>
              <w:pStyle w:val="Compact"/>
              <w:jc w:val="right"/>
            </w:pPr>
            <w:r>
              <w:rPr>
                <w:sz w:val="14"/>
                <w:szCs w:val="14"/>
              </w:rPr>
              <w:t xml:space="preserve">0,900</w:t>
            </w:r>
          </w:p>
        </w:tc>
        <w:tc>
          <w:tcPr/>
          <w:p>
            <w:pPr>
              <w:pStyle w:val="Compact"/>
              <w:jc w:val="right"/>
            </w:pPr>
            <w:r>
              <w:rPr>
                <w:sz w:val="14"/>
                <w:szCs w:val="14"/>
              </w:rPr>
              <w:t xml:space="preserve">0,900</w:t>
            </w:r>
          </w:p>
        </w:tc>
      </w:tr>
      <w:tr>
        <w:tc>
          <w:tcPr/>
          <w:p>
            <w:pPr>
              <w:pStyle w:val="Compact"/>
            </w:pPr>
          </w:p>
        </w:tc>
        <w:tc>
          <w:tcPr/>
          <w:p>
            <w:pPr>
              <w:pStyle w:val="Compact"/>
              <w:jc w:val="right"/>
            </w:pPr>
            <w:r>
              <w:rPr>
                <w:sz w:val="14"/>
                <w:szCs w:val="14"/>
              </w:rPr>
              <w:t xml:space="preserve">2520</w:t>
            </w:r>
          </w:p>
        </w:tc>
        <w:tc>
          <w:tcPr/>
          <w:p>
            <w:pPr>
              <w:pStyle w:val="Compact"/>
              <w:jc w:val="right"/>
            </w:pPr>
            <w:r>
              <w:rPr>
                <w:sz w:val="14"/>
                <w:szCs w:val="14"/>
              </w:rPr>
              <w:t xml:space="preserve">20</w:t>
            </w:r>
          </w:p>
        </w:tc>
        <w:tc>
          <w:tcPr/>
          <w:p>
            <w:pPr>
              <w:pStyle w:val="Compact"/>
              <w:jc w:val="right"/>
            </w:pPr>
            <w:r>
              <w:rPr>
                <w:sz w:val="14"/>
                <w:szCs w:val="14"/>
              </w:rPr>
              <w:t xml:space="preserve">-154,7</w:t>
            </w:r>
          </w:p>
        </w:tc>
        <w:tc>
          <w:tcPr/>
          <w:p>
            <w:pPr>
              <w:pStyle w:val="Compact"/>
              <w:jc w:val="right"/>
            </w:pPr>
            <w:r>
              <w:rPr>
                <w:sz w:val="14"/>
                <w:szCs w:val="14"/>
              </w:rPr>
              <w:t xml:space="preserve">-157,5</w:t>
            </w:r>
          </w:p>
        </w:tc>
        <w:tc>
          <w:tcPr/>
          <w:p>
            <w:pPr>
              <w:pStyle w:val="Compact"/>
              <w:jc w:val="right"/>
            </w:pPr>
            <w:r>
              <w:rPr>
                <w:sz w:val="14"/>
                <w:szCs w:val="14"/>
              </w:rPr>
              <w:t xml:space="preserve">-157,5</w:t>
            </w:r>
          </w:p>
        </w:tc>
        <w:tc>
          <w:tcPr/>
          <w:p>
            <w:pPr>
              <w:pStyle w:val="Compact"/>
              <w:jc w:val="right"/>
            </w:pPr>
            <w:r>
              <w:rPr>
                <w:sz w:val="14"/>
                <w:szCs w:val="14"/>
              </w:rPr>
              <w:t xml:space="preserve">7,00</w:t>
            </w:r>
          </w:p>
        </w:tc>
        <w:tc>
          <w:tcPr/>
          <w:p>
            <w:pPr>
              <w:pStyle w:val="Compact"/>
              <w:jc w:val="right"/>
            </w:pPr>
            <w:r>
              <w:rPr>
                <w:sz w:val="14"/>
                <w:szCs w:val="14"/>
              </w:rPr>
              <w:t xml:space="preserve">6,84</w:t>
            </w:r>
          </w:p>
        </w:tc>
        <w:tc>
          <w:tcPr/>
          <w:p>
            <w:pPr>
              <w:pStyle w:val="Compact"/>
              <w:jc w:val="right"/>
            </w:pPr>
            <w:r>
              <w:rPr>
                <w:sz w:val="14"/>
                <w:szCs w:val="14"/>
              </w:rPr>
              <w:t xml:space="preserve">6,84</w:t>
            </w:r>
          </w:p>
        </w:tc>
        <w:tc>
          <w:tcPr/>
          <w:p>
            <w:pPr>
              <w:pStyle w:val="Compact"/>
              <w:jc w:val="right"/>
            </w:pPr>
            <w:r>
              <w:rPr>
                <w:sz w:val="14"/>
                <w:szCs w:val="14"/>
              </w:rPr>
              <w:t xml:space="preserve">0,744</w:t>
            </w:r>
          </w:p>
        </w:tc>
        <w:tc>
          <w:tcPr/>
          <w:p>
            <w:pPr>
              <w:pStyle w:val="Compact"/>
              <w:jc w:val="right"/>
            </w:pPr>
            <w:r>
              <w:rPr>
                <w:sz w:val="14"/>
                <w:szCs w:val="14"/>
              </w:rPr>
              <w:t xml:space="preserve">0,823</w:t>
            </w:r>
          </w:p>
        </w:tc>
        <w:tc>
          <w:tcPr/>
          <w:p>
            <w:pPr>
              <w:pStyle w:val="Compact"/>
              <w:jc w:val="right"/>
            </w:pPr>
            <w:r>
              <w:rPr>
                <w:sz w:val="14"/>
                <w:szCs w:val="14"/>
              </w:rPr>
              <w:t xml:space="preserve">0,823</w:t>
            </w:r>
          </w:p>
        </w:tc>
      </w:tr>
      <w:tr>
        <w:tc>
          <w:tcPr/>
          <w:p>
            <w:pPr>
              <w:pStyle w:val="Compact"/>
              <w:jc w:val="left"/>
            </w:pPr>
            <w:r>
              <w:rPr>
                <w:sz w:val="14"/>
                <w:szCs w:val="14"/>
              </w:rPr>
              <w:t xml:space="preserve">DCC-Sim.</w:t>
            </w:r>
          </w:p>
        </w:tc>
        <w:tc>
          <w:tcPr/>
          <w:p>
            <w:pPr>
              <w:pStyle w:val="Compact"/>
              <w:jc w:val="right"/>
            </w:pPr>
            <w:r>
              <w:rPr>
                <w:sz w:val="14"/>
                <w:szCs w:val="14"/>
              </w:rPr>
              <w:t xml:space="preserve">252</w:t>
            </w:r>
          </w:p>
        </w:tc>
        <w:tc>
          <w:tcPr/>
          <w:p>
            <w:pPr>
              <w:pStyle w:val="Compact"/>
              <w:jc w:val="right"/>
            </w:pPr>
            <w:r>
              <w:rPr>
                <w:sz w:val="14"/>
                <w:szCs w:val="14"/>
              </w:rPr>
              <w:t xml:space="preserve">20</w:t>
            </w:r>
          </w:p>
        </w:tc>
        <w:tc>
          <w:tcPr/>
          <w:p>
            <w:pPr>
              <w:pStyle w:val="Compact"/>
              <w:jc w:val="right"/>
            </w:pPr>
            <w:r>
              <w:rPr>
                <w:sz w:val="14"/>
                <w:szCs w:val="14"/>
              </w:rPr>
              <w:t xml:space="preserve">-156,3</w:t>
            </w:r>
          </w:p>
        </w:tc>
        <w:tc>
          <w:tcPr/>
          <w:p>
            <w:pPr>
              <w:pStyle w:val="Compact"/>
              <w:jc w:val="right"/>
            </w:pPr>
            <w:r>
              <w:rPr>
                <w:sz w:val="14"/>
                <w:szCs w:val="14"/>
              </w:rPr>
              <w:t xml:space="preserve">-158,0</w:t>
            </w:r>
          </w:p>
        </w:tc>
        <w:tc>
          <w:tcPr/>
          <w:p>
            <w:pPr>
              <w:pStyle w:val="Compact"/>
              <w:jc w:val="right"/>
            </w:pPr>
            <w:r>
              <w:rPr>
                <w:sz w:val="14"/>
                <w:szCs w:val="14"/>
              </w:rPr>
              <w:t xml:space="preserve">-160,4</w:t>
            </w:r>
          </w:p>
        </w:tc>
        <w:tc>
          <w:tcPr/>
          <w:p>
            <w:pPr>
              <w:pStyle w:val="Compact"/>
              <w:jc w:val="right"/>
            </w:pPr>
            <w:r>
              <w:rPr>
                <w:sz w:val="14"/>
                <w:szCs w:val="14"/>
              </w:rPr>
              <w:t xml:space="preserve">9,56</w:t>
            </w:r>
          </w:p>
        </w:tc>
        <w:tc>
          <w:tcPr/>
          <w:p>
            <w:pPr>
              <w:pStyle w:val="Compact"/>
              <w:jc w:val="right"/>
            </w:pPr>
            <w:r>
              <w:rPr>
                <w:sz w:val="14"/>
                <w:szCs w:val="14"/>
              </w:rPr>
              <w:t xml:space="preserve">8,96</w:t>
            </w:r>
          </w:p>
        </w:tc>
        <w:tc>
          <w:tcPr/>
          <w:p>
            <w:pPr>
              <w:pStyle w:val="Compact"/>
              <w:jc w:val="right"/>
            </w:pPr>
            <w:r>
              <w:rPr>
                <w:sz w:val="14"/>
                <w:szCs w:val="14"/>
              </w:rPr>
              <w:t xml:space="preserve">8,86</w:t>
            </w:r>
          </w:p>
        </w:tc>
        <w:tc>
          <w:tcPr/>
          <w:p>
            <w:pPr>
              <w:pStyle w:val="Compact"/>
              <w:jc w:val="right"/>
            </w:pPr>
            <w:r>
              <w:rPr>
                <w:sz w:val="14"/>
                <w:szCs w:val="14"/>
              </w:rPr>
              <w:t xml:space="preserve">0,525</w:t>
            </w:r>
          </w:p>
        </w:tc>
        <w:tc>
          <w:tcPr/>
          <w:p>
            <w:pPr>
              <w:pStyle w:val="Compact"/>
              <w:jc w:val="right"/>
            </w:pPr>
            <w:r>
              <w:rPr>
                <w:sz w:val="14"/>
                <w:szCs w:val="14"/>
              </w:rPr>
              <w:t xml:space="preserve">0,707</w:t>
            </w:r>
          </w:p>
        </w:tc>
        <w:tc>
          <w:tcPr/>
          <w:p>
            <w:pPr>
              <w:pStyle w:val="Compact"/>
              <w:jc w:val="right"/>
            </w:pPr>
            <w:r>
              <w:rPr>
                <w:sz w:val="14"/>
                <w:szCs w:val="14"/>
              </w:rPr>
              <w:t xml:space="preserve">0,726</w:t>
            </w:r>
          </w:p>
        </w:tc>
      </w:tr>
      <w:tr>
        <w:tc>
          <w:tcPr/>
          <w:p>
            <w:pPr>
              <w:pStyle w:val="Compact"/>
            </w:pPr>
          </w:p>
        </w:tc>
        <w:tc>
          <w:tcPr/>
          <w:p>
            <w:pPr>
              <w:pStyle w:val="Compact"/>
              <w:jc w:val="right"/>
            </w:pPr>
            <w:r>
              <w:rPr>
                <w:sz w:val="14"/>
                <w:szCs w:val="14"/>
              </w:rPr>
              <w:t xml:space="preserve">504</w:t>
            </w:r>
          </w:p>
        </w:tc>
        <w:tc>
          <w:tcPr/>
          <w:p>
            <w:pPr>
              <w:pStyle w:val="Compact"/>
              <w:jc w:val="right"/>
            </w:pPr>
            <w:r>
              <w:rPr>
                <w:sz w:val="14"/>
                <w:szCs w:val="14"/>
              </w:rPr>
              <w:t xml:space="preserve">20</w:t>
            </w:r>
          </w:p>
        </w:tc>
        <w:tc>
          <w:tcPr/>
          <w:p>
            <w:pPr>
              <w:pStyle w:val="Compact"/>
              <w:jc w:val="right"/>
            </w:pPr>
            <w:r>
              <w:rPr>
                <w:sz w:val="14"/>
                <w:szCs w:val="14"/>
              </w:rPr>
              <w:t xml:space="preserve">-155,0</w:t>
            </w:r>
          </w:p>
        </w:tc>
        <w:tc>
          <w:tcPr/>
          <w:p>
            <w:pPr>
              <w:pStyle w:val="Compact"/>
              <w:jc w:val="right"/>
            </w:pPr>
            <w:r>
              <w:rPr>
                <w:sz w:val="14"/>
                <w:szCs w:val="14"/>
              </w:rPr>
              <w:t xml:space="preserve">-157,5</w:t>
            </w:r>
          </w:p>
        </w:tc>
        <w:tc>
          <w:tcPr/>
          <w:p>
            <w:pPr>
              <w:pStyle w:val="Compact"/>
              <w:jc w:val="right"/>
            </w:pPr>
            <w:r>
              <w:rPr>
                <w:sz w:val="14"/>
                <w:szCs w:val="14"/>
              </w:rPr>
              <w:t xml:space="preserve">-161,7</w:t>
            </w:r>
          </w:p>
        </w:tc>
        <w:tc>
          <w:tcPr/>
          <w:p>
            <w:pPr>
              <w:pStyle w:val="Compact"/>
              <w:jc w:val="right"/>
            </w:pPr>
            <w:r>
              <w:rPr>
                <w:sz w:val="14"/>
                <w:szCs w:val="14"/>
              </w:rPr>
              <w:t xml:space="preserve">9,84</w:t>
            </w:r>
          </w:p>
        </w:tc>
        <w:tc>
          <w:tcPr/>
          <w:p>
            <w:pPr>
              <w:pStyle w:val="Compact"/>
              <w:jc w:val="right"/>
            </w:pPr>
            <w:r>
              <w:rPr>
                <w:sz w:val="14"/>
                <w:szCs w:val="14"/>
              </w:rPr>
              <w:t xml:space="preserve">9,18</w:t>
            </w:r>
          </w:p>
        </w:tc>
        <w:tc>
          <w:tcPr/>
          <w:p>
            <w:pPr>
              <w:pStyle w:val="Compact"/>
              <w:jc w:val="right"/>
            </w:pPr>
            <w:r>
              <w:rPr>
                <w:sz w:val="14"/>
                <w:szCs w:val="14"/>
              </w:rPr>
              <w:t xml:space="preserve">9,02</w:t>
            </w:r>
          </w:p>
        </w:tc>
        <w:tc>
          <w:tcPr/>
          <w:p>
            <w:pPr>
              <w:pStyle w:val="Compact"/>
              <w:jc w:val="right"/>
            </w:pPr>
            <w:r>
              <w:rPr>
                <w:sz w:val="14"/>
                <w:szCs w:val="14"/>
              </w:rPr>
              <w:t xml:space="preserve">0,645</w:t>
            </w:r>
          </w:p>
        </w:tc>
        <w:tc>
          <w:tcPr/>
          <w:p>
            <w:pPr>
              <w:pStyle w:val="Compact"/>
              <w:jc w:val="right"/>
            </w:pPr>
            <w:r>
              <w:rPr>
                <w:sz w:val="14"/>
                <w:szCs w:val="14"/>
              </w:rPr>
              <w:t xml:space="preserve">0,817</w:t>
            </w:r>
          </w:p>
        </w:tc>
        <w:tc>
          <w:tcPr/>
          <w:p>
            <w:pPr>
              <w:pStyle w:val="Compact"/>
              <w:jc w:val="right"/>
            </w:pPr>
            <w:r>
              <w:rPr>
                <w:sz w:val="14"/>
                <w:szCs w:val="14"/>
              </w:rPr>
              <w:t xml:space="preserve">0,789</w:t>
            </w:r>
          </w:p>
        </w:tc>
      </w:tr>
      <w:tr>
        <w:tc>
          <w:tcPr/>
          <w:p>
            <w:pPr>
              <w:pStyle w:val="Compact"/>
            </w:pPr>
          </w:p>
        </w:tc>
        <w:tc>
          <w:tcPr/>
          <w:p>
            <w:pPr>
              <w:pStyle w:val="Compact"/>
              <w:jc w:val="right"/>
            </w:pPr>
            <w:r>
              <w:rPr>
                <w:sz w:val="14"/>
                <w:szCs w:val="14"/>
              </w:rPr>
              <w:t xml:space="preserve">756</w:t>
            </w:r>
          </w:p>
        </w:tc>
        <w:tc>
          <w:tcPr/>
          <w:p>
            <w:pPr>
              <w:pStyle w:val="Compact"/>
              <w:jc w:val="right"/>
            </w:pPr>
            <w:r>
              <w:rPr>
                <w:sz w:val="14"/>
                <w:szCs w:val="14"/>
              </w:rPr>
              <w:t xml:space="preserve">20</w:t>
            </w:r>
          </w:p>
        </w:tc>
        <w:tc>
          <w:tcPr/>
          <w:p>
            <w:pPr>
              <w:pStyle w:val="Compact"/>
              <w:jc w:val="right"/>
            </w:pPr>
            <w:r>
              <w:rPr>
                <w:sz w:val="14"/>
                <w:szCs w:val="14"/>
              </w:rPr>
              <w:t xml:space="preserve">-154,6</w:t>
            </w:r>
          </w:p>
        </w:tc>
        <w:tc>
          <w:tcPr/>
          <w:p>
            <w:pPr>
              <w:pStyle w:val="Compact"/>
              <w:jc w:val="right"/>
            </w:pPr>
            <w:r>
              <w:rPr>
                <w:sz w:val="14"/>
                <w:szCs w:val="14"/>
              </w:rPr>
              <w:t xml:space="preserve">-157,3</w:t>
            </w:r>
          </w:p>
        </w:tc>
        <w:tc>
          <w:tcPr/>
          <w:p>
            <w:pPr>
              <w:pStyle w:val="Compact"/>
              <w:jc w:val="right"/>
            </w:pPr>
            <w:r>
              <w:rPr>
                <w:sz w:val="14"/>
                <w:szCs w:val="14"/>
              </w:rPr>
              <w:t xml:space="preserve">-162,1</w:t>
            </w:r>
          </w:p>
        </w:tc>
        <w:tc>
          <w:tcPr/>
          <w:p>
            <w:pPr>
              <w:pStyle w:val="Compact"/>
              <w:jc w:val="right"/>
            </w:pPr>
            <w:r>
              <w:rPr>
                <w:sz w:val="14"/>
                <w:szCs w:val="14"/>
              </w:rPr>
              <w:t xml:space="preserve">9,64</w:t>
            </w:r>
          </w:p>
        </w:tc>
        <w:tc>
          <w:tcPr/>
          <w:p>
            <w:pPr>
              <w:pStyle w:val="Compact"/>
              <w:jc w:val="right"/>
            </w:pPr>
            <w:r>
              <w:rPr>
                <w:sz w:val="14"/>
                <w:szCs w:val="14"/>
              </w:rPr>
              <w:t xml:space="preserve">8,99</w:t>
            </w:r>
          </w:p>
        </w:tc>
        <w:tc>
          <w:tcPr/>
          <w:p>
            <w:pPr>
              <w:pStyle w:val="Compact"/>
              <w:jc w:val="right"/>
            </w:pPr>
            <w:r>
              <w:rPr>
                <w:sz w:val="14"/>
                <w:szCs w:val="14"/>
              </w:rPr>
              <w:t xml:space="preserve">8,80</w:t>
            </w:r>
          </w:p>
        </w:tc>
        <w:tc>
          <w:tcPr/>
          <w:p>
            <w:pPr>
              <w:pStyle w:val="Compact"/>
              <w:jc w:val="right"/>
            </w:pPr>
            <w:r>
              <w:rPr>
                <w:sz w:val="14"/>
                <w:szCs w:val="14"/>
              </w:rPr>
              <w:t xml:space="preserve">0,621</w:t>
            </w:r>
          </w:p>
        </w:tc>
        <w:tc>
          <w:tcPr/>
          <w:p>
            <w:pPr>
              <w:pStyle w:val="Compact"/>
              <w:jc w:val="right"/>
            </w:pPr>
            <w:r>
              <w:rPr>
                <w:sz w:val="14"/>
                <w:szCs w:val="14"/>
              </w:rPr>
              <w:t xml:space="preserve">0,814</w:t>
            </w:r>
          </w:p>
        </w:tc>
        <w:tc>
          <w:tcPr/>
          <w:p>
            <w:pPr>
              <w:pStyle w:val="Compact"/>
              <w:jc w:val="right"/>
            </w:pPr>
            <w:r>
              <w:rPr>
                <w:sz w:val="14"/>
                <w:szCs w:val="14"/>
              </w:rPr>
              <w:t xml:space="preserve">0,794</w:t>
            </w:r>
          </w:p>
        </w:tc>
      </w:tr>
      <w:tr>
        <w:tc>
          <w:tcPr/>
          <w:p>
            <w:pPr>
              <w:pStyle w:val="Compact"/>
            </w:pPr>
          </w:p>
        </w:tc>
        <w:tc>
          <w:tcPr/>
          <w:p>
            <w:pPr>
              <w:pStyle w:val="Compact"/>
              <w:jc w:val="right"/>
            </w:pPr>
            <w:r>
              <w:rPr>
                <w:sz w:val="14"/>
                <w:szCs w:val="14"/>
              </w:rPr>
              <w:t xml:space="preserve">1008</w:t>
            </w:r>
          </w:p>
        </w:tc>
        <w:tc>
          <w:tcPr/>
          <w:p>
            <w:pPr>
              <w:pStyle w:val="Compact"/>
              <w:jc w:val="right"/>
            </w:pPr>
            <w:r>
              <w:rPr>
                <w:sz w:val="14"/>
                <w:szCs w:val="14"/>
              </w:rPr>
              <w:t xml:space="preserve">20</w:t>
            </w:r>
          </w:p>
        </w:tc>
        <w:tc>
          <w:tcPr/>
          <w:p>
            <w:pPr>
              <w:pStyle w:val="Compact"/>
              <w:jc w:val="right"/>
            </w:pPr>
            <w:r>
              <w:rPr>
                <w:sz w:val="14"/>
                <w:szCs w:val="14"/>
              </w:rPr>
              <w:t xml:space="preserve">-154,1</w:t>
            </w:r>
          </w:p>
        </w:tc>
        <w:tc>
          <w:tcPr/>
          <w:p>
            <w:pPr>
              <w:pStyle w:val="Compact"/>
              <w:jc w:val="right"/>
            </w:pPr>
            <w:r>
              <w:rPr>
                <w:sz w:val="14"/>
                <w:szCs w:val="14"/>
              </w:rPr>
              <w:t xml:space="preserve">-157,0</w:t>
            </w:r>
          </w:p>
        </w:tc>
        <w:tc>
          <w:tcPr/>
          <w:p>
            <w:pPr>
              <w:pStyle w:val="Compact"/>
              <w:jc w:val="right"/>
            </w:pPr>
            <w:r>
              <w:rPr>
                <w:sz w:val="14"/>
                <w:szCs w:val="14"/>
              </w:rPr>
              <w:t xml:space="preserve">-162,1</w:t>
            </w:r>
          </w:p>
        </w:tc>
        <w:tc>
          <w:tcPr/>
          <w:p>
            <w:pPr>
              <w:pStyle w:val="Compact"/>
              <w:jc w:val="right"/>
            </w:pPr>
            <w:r>
              <w:rPr>
                <w:sz w:val="14"/>
                <w:szCs w:val="14"/>
              </w:rPr>
              <w:t xml:space="preserve">9,86</w:t>
            </w:r>
          </w:p>
        </w:tc>
        <w:tc>
          <w:tcPr/>
          <w:p>
            <w:pPr>
              <w:pStyle w:val="Compact"/>
              <w:jc w:val="right"/>
            </w:pPr>
            <w:r>
              <w:rPr>
                <w:sz w:val="14"/>
                <w:szCs w:val="14"/>
              </w:rPr>
              <w:t xml:space="preserve">9,19</w:t>
            </w:r>
          </w:p>
        </w:tc>
        <w:tc>
          <w:tcPr/>
          <w:p>
            <w:pPr>
              <w:pStyle w:val="Compact"/>
              <w:jc w:val="right"/>
            </w:pPr>
            <w:r>
              <w:rPr>
                <w:sz w:val="14"/>
                <w:szCs w:val="14"/>
              </w:rPr>
              <w:t xml:space="preserve">8,98</w:t>
            </w:r>
          </w:p>
        </w:tc>
        <w:tc>
          <w:tcPr/>
          <w:p>
            <w:pPr>
              <w:pStyle w:val="Compact"/>
              <w:jc w:val="right"/>
            </w:pPr>
            <w:r>
              <w:rPr>
                <w:sz w:val="14"/>
                <w:szCs w:val="14"/>
              </w:rPr>
              <w:t xml:space="preserve">0,561</w:t>
            </w:r>
          </w:p>
        </w:tc>
        <w:tc>
          <w:tcPr/>
          <w:p>
            <w:pPr>
              <w:pStyle w:val="Compact"/>
              <w:jc w:val="right"/>
            </w:pPr>
            <w:r>
              <w:rPr>
                <w:sz w:val="14"/>
                <w:szCs w:val="14"/>
              </w:rPr>
              <w:t xml:space="preserve">0,774</w:t>
            </w:r>
          </w:p>
        </w:tc>
        <w:tc>
          <w:tcPr/>
          <w:p>
            <w:pPr>
              <w:pStyle w:val="Compact"/>
              <w:jc w:val="right"/>
            </w:pPr>
            <w:r>
              <w:rPr>
                <w:sz w:val="14"/>
                <w:szCs w:val="14"/>
              </w:rPr>
              <w:t xml:space="preserve">0,783</w:t>
            </w:r>
          </w:p>
        </w:tc>
      </w:tr>
      <w:tr>
        <w:tc>
          <w:tcPr/>
          <w:p>
            <w:pPr>
              <w:pStyle w:val="Compact"/>
            </w:pPr>
          </w:p>
        </w:tc>
        <w:tc>
          <w:tcPr/>
          <w:p>
            <w:pPr>
              <w:pStyle w:val="Compact"/>
              <w:jc w:val="right"/>
            </w:pPr>
            <w:r>
              <w:rPr>
                <w:sz w:val="14"/>
                <w:szCs w:val="14"/>
              </w:rPr>
              <w:t xml:space="preserve">1260</w:t>
            </w:r>
          </w:p>
        </w:tc>
        <w:tc>
          <w:tcPr/>
          <w:p>
            <w:pPr>
              <w:pStyle w:val="Compact"/>
              <w:jc w:val="right"/>
            </w:pPr>
            <w:r>
              <w:rPr>
                <w:sz w:val="14"/>
                <w:szCs w:val="14"/>
              </w:rPr>
              <w:t xml:space="preserve">20</w:t>
            </w:r>
          </w:p>
        </w:tc>
        <w:tc>
          <w:tcPr/>
          <w:p>
            <w:pPr>
              <w:pStyle w:val="Compact"/>
              <w:jc w:val="right"/>
            </w:pPr>
            <w:r>
              <w:rPr>
                <w:sz w:val="14"/>
                <w:szCs w:val="14"/>
              </w:rPr>
              <w:t xml:space="preserve">-154,4</w:t>
            </w:r>
          </w:p>
        </w:tc>
        <w:tc>
          <w:tcPr/>
          <w:p>
            <w:pPr>
              <w:pStyle w:val="Compact"/>
              <w:jc w:val="right"/>
            </w:pPr>
            <w:r>
              <w:rPr>
                <w:sz w:val="14"/>
                <w:szCs w:val="14"/>
              </w:rPr>
              <w:t xml:space="preserve">-157,1</w:t>
            </w:r>
          </w:p>
        </w:tc>
        <w:tc>
          <w:tcPr/>
          <w:p>
            <w:pPr>
              <w:pStyle w:val="Compact"/>
              <w:jc w:val="right"/>
            </w:pPr>
            <w:r>
              <w:rPr>
                <w:sz w:val="14"/>
                <w:szCs w:val="14"/>
              </w:rPr>
              <w:t xml:space="preserve">-162,4</w:t>
            </w:r>
          </w:p>
        </w:tc>
        <w:tc>
          <w:tcPr/>
          <w:p>
            <w:pPr>
              <w:pStyle w:val="Compact"/>
              <w:jc w:val="right"/>
            </w:pPr>
            <w:r>
              <w:rPr>
                <w:sz w:val="14"/>
                <w:szCs w:val="14"/>
              </w:rPr>
              <w:t xml:space="preserve">9,32</w:t>
            </w:r>
          </w:p>
        </w:tc>
        <w:tc>
          <w:tcPr/>
          <w:p>
            <w:pPr>
              <w:pStyle w:val="Compact"/>
              <w:jc w:val="right"/>
            </w:pPr>
            <w:r>
              <w:rPr>
                <w:sz w:val="14"/>
                <w:szCs w:val="14"/>
              </w:rPr>
              <w:t xml:space="preserve">8,67</w:t>
            </w:r>
          </w:p>
        </w:tc>
        <w:tc>
          <w:tcPr/>
          <w:p>
            <w:pPr>
              <w:pStyle w:val="Compact"/>
              <w:jc w:val="right"/>
            </w:pPr>
            <w:r>
              <w:rPr>
                <w:sz w:val="14"/>
                <w:szCs w:val="14"/>
              </w:rPr>
              <w:t xml:space="preserve">8,48</w:t>
            </w:r>
          </w:p>
        </w:tc>
        <w:tc>
          <w:tcPr/>
          <w:p>
            <w:pPr>
              <w:pStyle w:val="Compact"/>
              <w:jc w:val="right"/>
            </w:pPr>
            <w:r>
              <w:rPr>
                <w:sz w:val="14"/>
                <w:szCs w:val="14"/>
              </w:rPr>
              <w:t xml:space="preserve">0,553</w:t>
            </w:r>
          </w:p>
        </w:tc>
        <w:tc>
          <w:tcPr/>
          <w:p>
            <w:pPr>
              <w:pStyle w:val="Compact"/>
              <w:jc w:val="right"/>
            </w:pPr>
            <w:r>
              <w:rPr>
                <w:sz w:val="14"/>
                <w:szCs w:val="14"/>
              </w:rPr>
              <w:t xml:space="preserve">0,779</w:t>
            </w:r>
          </w:p>
        </w:tc>
        <w:tc>
          <w:tcPr/>
          <w:p>
            <w:pPr>
              <w:pStyle w:val="Compact"/>
              <w:jc w:val="right"/>
            </w:pPr>
            <w:r>
              <w:rPr>
                <w:sz w:val="14"/>
                <w:szCs w:val="14"/>
              </w:rPr>
              <w:t xml:space="preserve">0,787</w:t>
            </w:r>
          </w:p>
        </w:tc>
      </w:tr>
      <w:tr>
        <w:tc>
          <w:tcPr/>
          <w:p>
            <w:pPr>
              <w:pStyle w:val="Compact"/>
            </w:pPr>
          </w:p>
        </w:tc>
        <w:tc>
          <w:tcPr/>
          <w:p>
            <w:pPr>
              <w:pStyle w:val="Compact"/>
              <w:jc w:val="right"/>
            </w:pPr>
            <w:r>
              <w:rPr>
                <w:sz w:val="14"/>
                <w:szCs w:val="14"/>
              </w:rPr>
              <w:t xml:space="preserve">1512</w:t>
            </w:r>
          </w:p>
        </w:tc>
        <w:tc>
          <w:tcPr/>
          <w:p>
            <w:pPr>
              <w:pStyle w:val="Compact"/>
              <w:jc w:val="right"/>
            </w:pPr>
            <w:r>
              <w:rPr>
                <w:sz w:val="14"/>
                <w:szCs w:val="14"/>
              </w:rPr>
              <w:t xml:space="preserve">20</w:t>
            </w:r>
          </w:p>
        </w:tc>
        <w:tc>
          <w:tcPr/>
          <w:p>
            <w:pPr>
              <w:pStyle w:val="Compact"/>
              <w:jc w:val="right"/>
            </w:pPr>
            <w:r>
              <w:rPr>
                <w:sz w:val="14"/>
                <w:szCs w:val="14"/>
              </w:rPr>
              <w:t xml:space="preserve">-154,3</w:t>
            </w:r>
          </w:p>
        </w:tc>
        <w:tc>
          <w:tcPr/>
          <w:p>
            <w:pPr>
              <w:pStyle w:val="Compact"/>
              <w:jc w:val="right"/>
            </w:pPr>
            <w:r>
              <w:rPr>
                <w:sz w:val="14"/>
                <w:szCs w:val="14"/>
              </w:rPr>
              <w:t xml:space="preserve">-157,0</w:t>
            </w:r>
          </w:p>
        </w:tc>
        <w:tc>
          <w:tcPr/>
          <w:p>
            <w:pPr>
              <w:pStyle w:val="Compact"/>
              <w:jc w:val="right"/>
            </w:pPr>
            <w:r>
              <w:rPr>
                <w:sz w:val="14"/>
                <w:szCs w:val="14"/>
              </w:rPr>
              <w:t xml:space="preserve">-162,4</w:t>
            </w:r>
          </w:p>
        </w:tc>
        <w:tc>
          <w:tcPr/>
          <w:p>
            <w:pPr>
              <w:pStyle w:val="Compact"/>
              <w:jc w:val="right"/>
            </w:pPr>
            <w:r>
              <w:rPr>
                <w:sz w:val="14"/>
                <w:szCs w:val="14"/>
              </w:rPr>
              <w:t xml:space="preserve">9,51</w:t>
            </w:r>
          </w:p>
        </w:tc>
        <w:tc>
          <w:tcPr/>
          <w:p>
            <w:pPr>
              <w:pStyle w:val="Compact"/>
              <w:jc w:val="right"/>
            </w:pPr>
            <w:r>
              <w:rPr>
                <w:sz w:val="14"/>
                <w:szCs w:val="14"/>
              </w:rPr>
              <w:t xml:space="preserve">8,84</w:t>
            </w:r>
          </w:p>
        </w:tc>
        <w:tc>
          <w:tcPr/>
          <w:p>
            <w:pPr>
              <w:pStyle w:val="Compact"/>
              <w:jc w:val="right"/>
            </w:pPr>
            <w:r>
              <w:rPr>
                <w:sz w:val="14"/>
                <w:szCs w:val="14"/>
              </w:rPr>
              <w:t xml:space="preserve">8,64</w:t>
            </w:r>
          </w:p>
        </w:tc>
        <w:tc>
          <w:tcPr/>
          <w:p>
            <w:pPr>
              <w:pStyle w:val="Compact"/>
              <w:jc w:val="right"/>
            </w:pPr>
            <w:r>
              <w:rPr>
                <w:sz w:val="14"/>
                <w:szCs w:val="14"/>
              </w:rPr>
              <w:t xml:space="preserve">0,648</w:t>
            </w:r>
          </w:p>
        </w:tc>
        <w:tc>
          <w:tcPr/>
          <w:p>
            <w:pPr>
              <w:pStyle w:val="Compact"/>
              <w:jc w:val="right"/>
            </w:pPr>
            <w:r>
              <w:rPr>
                <w:sz w:val="14"/>
                <w:szCs w:val="14"/>
              </w:rPr>
              <w:t xml:space="preserve">0,861</w:t>
            </w:r>
          </w:p>
        </w:tc>
        <w:tc>
          <w:tcPr/>
          <w:p>
            <w:pPr>
              <w:pStyle w:val="Compact"/>
              <w:jc w:val="right"/>
            </w:pPr>
            <w:r>
              <w:rPr>
                <w:sz w:val="14"/>
                <w:szCs w:val="14"/>
              </w:rPr>
              <w:t xml:space="preserve">0,889</w:t>
            </w:r>
          </w:p>
        </w:tc>
      </w:tr>
      <w:tr>
        <w:tc>
          <w:tcPr/>
          <w:p>
            <w:pPr>
              <w:pStyle w:val="Compact"/>
            </w:pPr>
          </w:p>
        </w:tc>
        <w:tc>
          <w:tcPr/>
          <w:p>
            <w:pPr>
              <w:pStyle w:val="Compact"/>
              <w:jc w:val="right"/>
            </w:pPr>
            <w:r>
              <w:rPr>
                <w:sz w:val="14"/>
                <w:szCs w:val="14"/>
              </w:rPr>
              <w:t xml:space="preserve">1764</w:t>
            </w:r>
          </w:p>
        </w:tc>
        <w:tc>
          <w:tcPr/>
          <w:p>
            <w:pPr>
              <w:pStyle w:val="Compact"/>
              <w:jc w:val="right"/>
            </w:pPr>
            <w:r>
              <w:rPr>
                <w:sz w:val="14"/>
                <w:szCs w:val="14"/>
              </w:rPr>
              <w:t xml:space="preserve">20</w:t>
            </w:r>
          </w:p>
        </w:tc>
        <w:tc>
          <w:tcPr/>
          <w:p>
            <w:pPr>
              <w:pStyle w:val="Compact"/>
              <w:jc w:val="right"/>
            </w:pPr>
            <w:r>
              <w:rPr>
                <w:sz w:val="14"/>
                <w:szCs w:val="14"/>
              </w:rPr>
              <w:t xml:space="preserve">-154,1</w:t>
            </w:r>
          </w:p>
        </w:tc>
        <w:tc>
          <w:tcPr/>
          <w:p>
            <w:pPr>
              <w:pStyle w:val="Compact"/>
              <w:jc w:val="right"/>
            </w:pPr>
            <w:r>
              <w:rPr>
                <w:sz w:val="14"/>
                <w:szCs w:val="14"/>
              </w:rPr>
              <w:t xml:space="preserve">-156,9</w:t>
            </w:r>
          </w:p>
        </w:tc>
        <w:tc>
          <w:tcPr/>
          <w:p>
            <w:pPr>
              <w:pStyle w:val="Compact"/>
              <w:jc w:val="right"/>
            </w:pPr>
            <w:r>
              <w:rPr>
                <w:sz w:val="14"/>
                <w:szCs w:val="14"/>
              </w:rPr>
              <w:t xml:space="preserve">-162,3</w:t>
            </w:r>
          </w:p>
        </w:tc>
        <w:tc>
          <w:tcPr/>
          <w:p>
            <w:pPr>
              <w:pStyle w:val="Compact"/>
              <w:jc w:val="right"/>
            </w:pPr>
            <w:r>
              <w:rPr>
                <w:sz w:val="14"/>
                <w:szCs w:val="14"/>
              </w:rPr>
              <w:t xml:space="preserve">9,72</w:t>
            </w:r>
          </w:p>
        </w:tc>
        <w:tc>
          <w:tcPr/>
          <w:p>
            <w:pPr>
              <w:pStyle w:val="Compact"/>
              <w:jc w:val="right"/>
            </w:pPr>
            <w:r>
              <w:rPr>
                <w:sz w:val="14"/>
                <w:szCs w:val="14"/>
              </w:rPr>
              <w:t xml:space="preserve">9,03</w:t>
            </w:r>
          </w:p>
        </w:tc>
        <w:tc>
          <w:tcPr/>
          <w:p>
            <w:pPr>
              <w:pStyle w:val="Compact"/>
              <w:jc w:val="right"/>
            </w:pPr>
            <w:r>
              <w:rPr>
                <w:sz w:val="14"/>
                <w:szCs w:val="14"/>
              </w:rPr>
              <w:t xml:space="preserve">8,82</w:t>
            </w:r>
          </w:p>
        </w:tc>
        <w:tc>
          <w:tcPr/>
          <w:p>
            <w:pPr>
              <w:pStyle w:val="Compact"/>
              <w:jc w:val="right"/>
            </w:pPr>
            <w:r>
              <w:rPr>
                <w:sz w:val="14"/>
                <w:szCs w:val="14"/>
              </w:rPr>
              <w:t xml:space="preserve">0,681</w:t>
            </w:r>
          </w:p>
        </w:tc>
        <w:tc>
          <w:tcPr/>
          <w:p>
            <w:pPr>
              <w:pStyle w:val="Compact"/>
              <w:jc w:val="right"/>
            </w:pPr>
            <w:r>
              <w:rPr>
                <w:sz w:val="14"/>
                <w:szCs w:val="14"/>
              </w:rPr>
              <w:t xml:space="preserve">0,807</w:t>
            </w:r>
          </w:p>
        </w:tc>
        <w:tc>
          <w:tcPr/>
          <w:p>
            <w:pPr>
              <w:pStyle w:val="Compact"/>
              <w:jc w:val="right"/>
            </w:pPr>
            <w:r>
              <w:rPr>
                <w:sz w:val="14"/>
                <w:szCs w:val="14"/>
              </w:rPr>
              <w:t xml:space="preserve">0,868</w:t>
            </w:r>
          </w:p>
        </w:tc>
      </w:tr>
      <w:tr>
        <w:tc>
          <w:tcPr/>
          <w:p>
            <w:pPr>
              <w:pStyle w:val="Compact"/>
            </w:pPr>
          </w:p>
        </w:tc>
        <w:tc>
          <w:tcPr/>
          <w:p>
            <w:pPr>
              <w:pStyle w:val="Compact"/>
              <w:jc w:val="right"/>
            </w:pPr>
            <w:r>
              <w:rPr>
                <w:sz w:val="14"/>
                <w:szCs w:val="14"/>
              </w:rPr>
              <w:t xml:space="preserve">2016</w:t>
            </w:r>
          </w:p>
        </w:tc>
        <w:tc>
          <w:tcPr/>
          <w:p>
            <w:pPr>
              <w:pStyle w:val="Compact"/>
              <w:jc w:val="right"/>
            </w:pPr>
            <w:r>
              <w:rPr>
                <w:sz w:val="14"/>
                <w:szCs w:val="14"/>
              </w:rPr>
              <w:t xml:space="preserve">20</w:t>
            </w:r>
          </w:p>
        </w:tc>
        <w:tc>
          <w:tcPr/>
          <w:p>
            <w:pPr>
              <w:pStyle w:val="Compact"/>
              <w:jc w:val="right"/>
            </w:pPr>
            <w:r>
              <w:rPr>
                <w:sz w:val="14"/>
                <w:szCs w:val="14"/>
              </w:rPr>
              <w:t xml:space="preserve">-154,0</w:t>
            </w:r>
          </w:p>
        </w:tc>
        <w:tc>
          <w:tcPr/>
          <w:p>
            <w:pPr>
              <w:pStyle w:val="Compact"/>
              <w:jc w:val="right"/>
            </w:pPr>
            <w:r>
              <w:rPr>
                <w:sz w:val="14"/>
                <w:szCs w:val="14"/>
              </w:rPr>
              <w:t xml:space="preserve">-156,9</w:t>
            </w:r>
          </w:p>
        </w:tc>
        <w:tc>
          <w:tcPr/>
          <w:p>
            <w:pPr>
              <w:pStyle w:val="Compact"/>
              <w:jc w:val="right"/>
            </w:pPr>
            <w:r>
              <w:rPr>
                <w:sz w:val="14"/>
                <w:szCs w:val="14"/>
              </w:rPr>
              <w:t xml:space="preserve">-162,4</w:t>
            </w:r>
          </w:p>
        </w:tc>
        <w:tc>
          <w:tcPr/>
          <w:p>
            <w:pPr>
              <w:pStyle w:val="Compact"/>
              <w:jc w:val="right"/>
            </w:pPr>
            <w:r>
              <w:rPr>
                <w:sz w:val="14"/>
                <w:szCs w:val="14"/>
              </w:rPr>
              <w:t xml:space="preserve">9,92</w:t>
            </w:r>
          </w:p>
        </w:tc>
        <w:tc>
          <w:tcPr/>
          <w:p>
            <w:pPr>
              <w:pStyle w:val="Compact"/>
              <w:jc w:val="right"/>
            </w:pPr>
            <w:r>
              <w:rPr>
                <w:sz w:val="14"/>
                <w:szCs w:val="14"/>
              </w:rPr>
              <w:t xml:space="preserve">9,18</w:t>
            </w:r>
          </w:p>
        </w:tc>
        <w:tc>
          <w:tcPr/>
          <w:p>
            <w:pPr>
              <w:pStyle w:val="Compact"/>
              <w:jc w:val="right"/>
            </w:pPr>
            <w:r>
              <w:rPr>
                <w:sz w:val="14"/>
                <w:szCs w:val="14"/>
              </w:rPr>
              <w:t xml:space="preserve">8,97</w:t>
            </w:r>
          </w:p>
        </w:tc>
        <w:tc>
          <w:tcPr/>
          <w:p>
            <w:pPr>
              <w:pStyle w:val="Compact"/>
              <w:jc w:val="right"/>
            </w:pPr>
            <w:r>
              <w:rPr>
                <w:sz w:val="14"/>
                <w:szCs w:val="14"/>
              </w:rPr>
              <w:t xml:space="preserve">0,713</w:t>
            </w:r>
          </w:p>
        </w:tc>
        <w:tc>
          <w:tcPr/>
          <w:p>
            <w:pPr>
              <w:pStyle w:val="Compact"/>
              <w:jc w:val="right"/>
            </w:pPr>
            <w:r>
              <w:rPr>
                <w:sz w:val="14"/>
                <w:szCs w:val="14"/>
              </w:rPr>
              <w:t xml:space="preserve">0,780</w:t>
            </w:r>
          </w:p>
        </w:tc>
        <w:tc>
          <w:tcPr/>
          <w:p>
            <w:pPr>
              <w:pStyle w:val="Compact"/>
              <w:jc w:val="right"/>
            </w:pPr>
            <w:r>
              <w:rPr>
                <w:sz w:val="14"/>
                <w:szCs w:val="14"/>
              </w:rPr>
              <w:t xml:space="preserve">0,816</w:t>
            </w:r>
          </w:p>
        </w:tc>
      </w:tr>
      <w:tr>
        <w:tc>
          <w:tcPr/>
          <w:p>
            <w:pPr>
              <w:pStyle w:val="Compact"/>
            </w:pPr>
          </w:p>
        </w:tc>
        <w:tc>
          <w:tcPr/>
          <w:p>
            <w:pPr>
              <w:pStyle w:val="Compact"/>
              <w:jc w:val="right"/>
            </w:pPr>
            <w:r>
              <w:rPr>
                <w:sz w:val="14"/>
                <w:szCs w:val="14"/>
              </w:rPr>
              <w:t xml:space="preserve">2268</w:t>
            </w:r>
          </w:p>
        </w:tc>
        <w:tc>
          <w:tcPr/>
          <w:p>
            <w:pPr>
              <w:pStyle w:val="Compact"/>
              <w:jc w:val="right"/>
            </w:pPr>
            <w:r>
              <w:rPr>
                <w:sz w:val="14"/>
                <w:szCs w:val="14"/>
              </w:rPr>
              <w:t xml:space="preserve">20</w:t>
            </w:r>
          </w:p>
        </w:tc>
        <w:tc>
          <w:tcPr/>
          <w:p>
            <w:pPr>
              <w:pStyle w:val="Compact"/>
              <w:jc w:val="right"/>
            </w:pPr>
            <w:r>
              <w:rPr>
                <w:sz w:val="14"/>
                <w:szCs w:val="14"/>
              </w:rPr>
              <w:t xml:space="preserve">-153,8</w:t>
            </w:r>
          </w:p>
        </w:tc>
        <w:tc>
          <w:tcPr/>
          <w:p>
            <w:pPr>
              <w:pStyle w:val="Compact"/>
              <w:jc w:val="right"/>
            </w:pPr>
            <w:r>
              <w:rPr>
                <w:sz w:val="14"/>
                <w:szCs w:val="14"/>
              </w:rPr>
              <w:t xml:space="preserve">-156,8</w:t>
            </w:r>
          </w:p>
        </w:tc>
        <w:tc>
          <w:tcPr/>
          <w:p>
            <w:pPr>
              <w:pStyle w:val="Compact"/>
              <w:jc w:val="right"/>
            </w:pPr>
            <w:r>
              <w:rPr>
                <w:sz w:val="14"/>
                <w:szCs w:val="14"/>
              </w:rPr>
              <w:t xml:space="preserve">-162,4</w:t>
            </w:r>
          </w:p>
        </w:tc>
        <w:tc>
          <w:tcPr/>
          <w:p>
            <w:pPr>
              <w:pStyle w:val="Compact"/>
              <w:jc w:val="right"/>
            </w:pPr>
            <w:r>
              <w:rPr>
                <w:sz w:val="14"/>
                <w:szCs w:val="14"/>
              </w:rPr>
              <w:t xml:space="preserve">10,13</w:t>
            </w:r>
          </w:p>
        </w:tc>
        <w:tc>
          <w:tcPr/>
          <w:p>
            <w:pPr>
              <w:pStyle w:val="Compact"/>
              <w:jc w:val="right"/>
            </w:pPr>
            <w:r>
              <w:rPr>
                <w:sz w:val="14"/>
                <w:szCs w:val="14"/>
              </w:rPr>
              <w:t xml:space="preserve">9,37</w:t>
            </w:r>
          </w:p>
        </w:tc>
        <w:tc>
          <w:tcPr/>
          <w:p>
            <w:pPr>
              <w:pStyle w:val="Compact"/>
              <w:jc w:val="right"/>
            </w:pPr>
            <w:r>
              <w:rPr>
                <w:sz w:val="14"/>
                <w:szCs w:val="14"/>
              </w:rPr>
              <w:t xml:space="preserve">9,15</w:t>
            </w:r>
          </w:p>
        </w:tc>
        <w:tc>
          <w:tcPr/>
          <w:p>
            <w:pPr>
              <w:pStyle w:val="Compact"/>
              <w:jc w:val="right"/>
            </w:pPr>
            <w:r>
              <w:rPr>
                <w:sz w:val="14"/>
                <w:szCs w:val="14"/>
              </w:rPr>
              <w:t xml:space="preserve">0,815</w:t>
            </w:r>
          </w:p>
        </w:tc>
        <w:tc>
          <w:tcPr/>
          <w:p>
            <w:pPr>
              <w:pStyle w:val="Compact"/>
              <w:jc w:val="right"/>
            </w:pPr>
            <w:r>
              <w:rPr>
                <w:sz w:val="14"/>
                <w:szCs w:val="14"/>
              </w:rPr>
              <w:t xml:space="preserve">0,824</w:t>
            </w:r>
          </w:p>
        </w:tc>
        <w:tc>
          <w:tcPr/>
          <w:p>
            <w:pPr>
              <w:pStyle w:val="Compact"/>
              <w:jc w:val="right"/>
            </w:pPr>
            <w:r>
              <w:rPr>
                <w:sz w:val="14"/>
                <w:szCs w:val="14"/>
              </w:rPr>
              <w:t xml:space="preserve">0,830</w:t>
            </w:r>
          </w:p>
        </w:tc>
      </w:tr>
      <w:tr>
        <w:tc>
          <w:tcPr/>
          <w:p>
            <w:pPr>
              <w:pStyle w:val="Compact"/>
            </w:pPr>
          </w:p>
        </w:tc>
        <w:tc>
          <w:tcPr/>
          <w:p>
            <w:pPr>
              <w:pStyle w:val="Compact"/>
              <w:jc w:val="right"/>
            </w:pPr>
            <w:r>
              <w:rPr>
                <w:sz w:val="14"/>
                <w:szCs w:val="14"/>
              </w:rPr>
              <w:t xml:space="preserve">2520</w:t>
            </w:r>
          </w:p>
        </w:tc>
        <w:tc>
          <w:tcPr/>
          <w:p>
            <w:pPr>
              <w:pStyle w:val="Compact"/>
              <w:jc w:val="right"/>
            </w:pPr>
            <w:r>
              <w:rPr>
                <w:sz w:val="14"/>
                <w:szCs w:val="14"/>
              </w:rPr>
              <w:t xml:space="preserve">20</w:t>
            </w:r>
          </w:p>
        </w:tc>
        <w:tc>
          <w:tcPr/>
          <w:p>
            <w:pPr>
              <w:pStyle w:val="Compact"/>
              <w:jc w:val="right"/>
            </w:pPr>
            <w:r>
              <w:rPr>
                <w:sz w:val="14"/>
                <w:szCs w:val="14"/>
              </w:rPr>
              <w:t xml:space="preserve">-154,0</w:t>
            </w:r>
          </w:p>
        </w:tc>
        <w:tc>
          <w:tcPr/>
          <w:p>
            <w:pPr>
              <w:pStyle w:val="Compact"/>
              <w:jc w:val="right"/>
            </w:pPr>
            <w:r>
              <w:rPr>
                <w:sz w:val="14"/>
                <w:szCs w:val="14"/>
              </w:rPr>
              <w:t xml:space="preserve">-157,0</w:t>
            </w:r>
          </w:p>
        </w:tc>
        <w:tc>
          <w:tcPr/>
          <w:p>
            <w:pPr>
              <w:pStyle w:val="Compact"/>
              <w:jc w:val="right"/>
            </w:pPr>
            <w:r>
              <w:rPr>
                <w:sz w:val="14"/>
                <w:szCs w:val="14"/>
              </w:rPr>
              <w:t xml:space="preserve">-162,5</w:t>
            </w:r>
          </w:p>
        </w:tc>
        <w:tc>
          <w:tcPr/>
          <w:p>
            <w:pPr>
              <w:pStyle w:val="Compact"/>
              <w:jc w:val="right"/>
            </w:pPr>
            <w:r>
              <w:rPr>
                <w:sz w:val="14"/>
                <w:szCs w:val="14"/>
              </w:rPr>
              <w:t xml:space="preserve">10,04</w:t>
            </w:r>
          </w:p>
        </w:tc>
        <w:tc>
          <w:tcPr/>
          <w:p>
            <w:pPr>
              <w:pStyle w:val="Compact"/>
              <w:jc w:val="right"/>
            </w:pPr>
            <w:r>
              <w:rPr>
                <w:sz w:val="14"/>
                <w:szCs w:val="14"/>
              </w:rPr>
              <w:t xml:space="preserve">9,28</w:t>
            </w:r>
          </w:p>
        </w:tc>
        <w:tc>
          <w:tcPr/>
          <w:p>
            <w:pPr>
              <w:pStyle w:val="Compact"/>
              <w:jc w:val="right"/>
            </w:pPr>
            <w:r>
              <w:rPr>
                <w:sz w:val="14"/>
                <w:szCs w:val="14"/>
              </w:rPr>
              <w:t xml:space="preserve">9,06</w:t>
            </w:r>
          </w:p>
        </w:tc>
        <w:tc>
          <w:tcPr/>
          <w:p>
            <w:pPr>
              <w:pStyle w:val="Compact"/>
              <w:jc w:val="right"/>
            </w:pPr>
            <w:r>
              <w:rPr>
                <w:sz w:val="14"/>
                <w:szCs w:val="14"/>
              </w:rPr>
              <w:t xml:space="preserve">0,977</w:t>
            </w:r>
          </w:p>
        </w:tc>
        <w:tc>
          <w:tcPr/>
          <w:p>
            <w:pPr>
              <w:pStyle w:val="Compact"/>
              <w:jc w:val="right"/>
            </w:pPr>
            <w:r>
              <w:rPr>
                <w:sz w:val="14"/>
                <w:szCs w:val="14"/>
              </w:rPr>
              <w:t xml:space="preserve">0,982</w:t>
            </w:r>
          </w:p>
        </w:tc>
        <w:tc>
          <w:tcPr/>
          <w:p>
            <w:pPr>
              <w:pStyle w:val="Compact"/>
              <w:jc w:val="right"/>
            </w:pPr>
            <w:r>
              <w:rPr>
                <w:sz w:val="14"/>
                <w:szCs w:val="14"/>
              </w:rPr>
              <w:t xml:space="preserve">0,964</w:t>
            </w:r>
          </w:p>
        </w:tc>
      </w:tr>
    </w:tbl>
    <w:bookmarkEnd w:id="61"/>
    <w:p>
      <w:pPr>
        <w:pStyle w:val="BlockText"/>
      </w:pPr>
      <w:r>
        <w:t xml:space="preserve">Bewertet über die volle simulierte Stichprobe, da das Universum mit 20 Anlagen konstant ist und die Parameter des Prozesses über die gesamte Reihe unverändert bleiben.</w:t>
      </w:r>
    </w:p>
    <w:p>
      <w:pPr>
        <w:pStyle w:val="FirstParagraph"/>
      </w:pPr>
      <w:r>
        <w:t xml:space="preserve">Die ökonomischen Kennzahlen schwanken dagegen auch hier spürbar, obwohl der Prozess vollkommen stabil ist.</w:t>
      </w:r>
      <w:r>
        <w:t xml:space="preserve"> </w:t>
      </w:r>
      <w:r>
        <w:t xml:space="preserve">Im GARCH-Datensatz erzielt die falsch spezifizierte historische Matrix in den beiden kürzesten Fenstern eine höhere Sharpe Ratio als der DCC-Schätzer.</w:t>
      </w:r>
      <w:r>
        <w:t xml:space="preserve"> </w:t>
      </w:r>
      <w:r>
        <w:t xml:space="preserve">Im DCC-Datensatz liefert der korrekt spezifizierte DCC-Schätzer in allen zehn Fenstern den besseren QLIKE-Verlust und die niedrigere realisierte Volatilität, beim MVP-Sharpe liegt er jedoch nur in sieben Fenstern vorn und unterliegt in den übrigen dem falsch spezifizierten GARCH-Modell.</w:t>
      </w:r>
      <w:r>
        <w:t xml:space="preserve"> </w:t>
      </w:r>
      <w:r>
        <w:t xml:space="preserve">Selbst bei bekanntem datengenerierendem Prozess ist die Sharpe Ratio damit zu verrauscht, um Kovarianzschätzer zuverlässig zu ordnen, während die Prognosekennzahlen ein klares und über alle Fenster stabiles Signal liefern.</w:t>
      </w:r>
    </w:p>
    <w:bookmarkStart w:id="79" w:name="refs"/>
    <w:bookmarkStart w:id="63" w:name="ref-diebold1995"/>
    <w:p>
      <w:pPr>
        <w:pStyle w:val="Bibliography"/>
      </w:pPr>
      <w:r>
        <w:t xml:space="preserve">Diebold, Francis X., and Roberto S. Mariano. 1995.</w:t>
      </w:r>
      <w:r>
        <w:t xml:space="preserve"> </w:t>
      </w:r>
      <w:r>
        <w:t xml:space="preserve">“Comparing Predictive Accuracy.”</w:t>
      </w:r>
      <w:r>
        <w:t xml:space="preserve"> </w:t>
      </w:r>
      <w:r>
        <w:rPr>
          <w:i/>
          <w:iCs/>
        </w:rPr>
        <w:t xml:space="preserve">Journal of Business and Economic Statistics</w:t>
      </w:r>
      <w:r>
        <w:t xml:space="preserve"> </w:t>
      </w:r>
      <w:r>
        <w:t xml:space="preserve">13 (3): 253–63.</w:t>
      </w:r>
      <w:r>
        <w:t xml:space="preserve"> </w:t>
      </w:r>
      <w:hyperlink r:id="rId62">
        <w:r>
          <w:rPr>
            <w:rStyle w:val="Hyperlink"/>
          </w:rPr>
          <w:t xml:space="preserve">https://doi.org/10.1080/07350015.1995.10524599</w:t>
        </w:r>
      </w:hyperlink>
      <w:r>
        <w:t xml:space="preserve">.</w:t>
      </w:r>
    </w:p>
    <w:bookmarkEnd w:id="63"/>
    <w:bookmarkStart w:id="65" w:name="ref-engle2006"/>
    <w:p>
      <w:pPr>
        <w:pStyle w:val="Bibliography"/>
      </w:pPr>
      <w:r>
        <w:t xml:space="preserve">Engle, Robert F., and Riccardo Colacito. 2006.</w:t>
      </w:r>
      <w:r>
        <w:t xml:space="preserve"> </w:t>
      </w:r>
      <w:r>
        <w:t xml:space="preserve">“Testing and Valuing Dynamic Correlations for Asset Allocation.”</w:t>
      </w:r>
      <w:r>
        <w:t xml:space="preserve"> </w:t>
      </w:r>
      <w:r>
        <w:rPr>
          <w:i/>
          <w:iCs/>
        </w:rPr>
        <w:t xml:space="preserve">Journal of Business and Economic Statistics</w:t>
      </w:r>
      <w:r>
        <w:t xml:space="preserve"> </w:t>
      </w:r>
      <w:r>
        <w:t xml:space="preserve">24 (2): 238–53.</w:t>
      </w:r>
      <w:r>
        <w:t xml:space="preserve"> </w:t>
      </w:r>
      <w:hyperlink r:id="rId64">
        <w:r>
          <w:rPr>
            <w:rStyle w:val="Hyperlink"/>
          </w:rPr>
          <w:t xml:space="preserve">https://doi.org/10.1198/073500106000000017</w:t>
        </w:r>
      </w:hyperlink>
      <w:r>
        <w:t xml:space="preserve">.</w:t>
      </w:r>
    </w:p>
    <w:bookmarkEnd w:id="65"/>
    <w:bookmarkStart w:id="67" w:name="ref-jobson1981"/>
    <w:p>
      <w:pPr>
        <w:pStyle w:val="Bibliography"/>
      </w:pPr>
      <w:r>
        <w:t xml:space="preserve">Jobson, J. D., and Bob M. Korkie. 1981.</w:t>
      </w:r>
      <w:r>
        <w:t xml:space="preserve"> </w:t>
      </w:r>
      <w:r>
        <w:t xml:space="preserve">“Performance Hypothesis Testing with the Sharpe and Treynor Measures.”</w:t>
      </w:r>
      <w:r>
        <w:t xml:space="preserve"> </w:t>
      </w:r>
      <w:r>
        <w:rPr>
          <w:i/>
          <w:iCs/>
        </w:rPr>
        <w:t xml:space="preserve">The Journal of Finance</w:t>
      </w:r>
      <w:r>
        <w:t xml:space="preserve"> </w:t>
      </w:r>
      <w:r>
        <w:t xml:space="preserve">36 (4): 889–908.</w:t>
      </w:r>
      <w:r>
        <w:t xml:space="preserve"> </w:t>
      </w:r>
      <w:hyperlink r:id="rId66">
        <w:r>
          <w:rPr>
            <w:rStyle w:val="Hyperlink"/>
          </w:rPr>
          <w:t xml:space="preserve">https://doi.org/10.1111/j.1540-6261.1981.tb04891.x</w:t>
        </w:r>
      </w:hyperlink>
      <w:r>
        <w:t xml:space="preserve">.</w:t>
      </w:r>
    </w:p>
    <w:bookmarkEnd w:id="67"/>
    <w:bookmarkStart w:id="69" w:name="ref-laurent2013"/>
    <w:p>
      <w:pPr>
        <w:pStyle w:val="Bibliography"/>
      </w:pPr>
      <w:r>
        <w:t xml:space="preserve">Laurent, Sébastien, Jeroen V. K. Rombouts, and Francesco Violante. 2013.</w:t>
      </w:r>
      <w:r>
        <w:t xml:space="preserve"> </w:t>
      </w:r>
      <w:r>
        <w:t xml:space="preserve">“On Loss Functions and Ranking Forecasting Performances of Multivariate Volatility Models.”</w:t>
      </w:r>
      <w:r>
        <w:t xml:space="preserve"> </w:t>
      </w:r>
      <w:r>
        <w:rPr>
          <w:i/>
          <w:iCs/>
        </w:rPr>
        <w:t xml:space="preserve">Journal of Econometrics</w:t>
      </w:r>
      <w:r>
        <w:t xml:space="preserve"> </w:t>
      </w:r>
      <w:r>
        <w:t xml:space="preserve">173 (1): 1–10.</w:t>
      </w:r>
      <w:r>
        <w:t xml:space="preserve"> </w:t>
      </w:r>
      <w:hyperlink r:id="rId68">
        <w:r>
          <w:rPr>
            <w:rStyle w:val="Hyperlink"/>
          </w:rPr>
          <w:t xml:space="preserve">https://doi.org/10.1016/j.jeconom.2012.08.004</w:t>
        </w:r>
      </w:hyperlink>
      <w:r>
        <w:t xml:space="preserve">.</w:t>
      </w:r>
    </w:p>
    <w:bookmarkEnd w:id="69"/>
    <w:bookmarkStart w:id="71" w:name="ref-deprado2019nco"/>
    <w:p>
      <w:pPr>
        <w:pStyle w:val="Bibliography"/>
      </w:pPr>
      <w:r>
        <w:t xml:space="preserve">López de Prado, Marcos. 2019.</w:t>
      </w:r>
      <w:r>
        <w:t xml:space="preserve"> </w:t>
      </w:r>
      <w:r>
        <w:rPr>
          <w:i/>
          <w:iCs/>
        </w:rPr>
        <w:t xml:space="preserve">A Robust Estimator of the Efficient Frontier</w:t>
      </w:r>
      <w:r>
        <w:t xml:space="preserve">. SSRN Working Paper.</w:t>
      </w:r>
      <w:r>
        <w:t xml:space="preserve"> </w:t>
      </w:r>
      <w:hyperlink r:id="rId70">
        <w:r>
          <w:rPr>
            <w:rStyle w:val="Hyperlink"/>
          </w:rPr>
          <w:t xml:space="preserve">https://doi.org/10.2139/ssrn.3469961</w:t>
        </w:r>
      </w:hyperlink>
      <w:r>
        <w:t xml:space="preserve">.</w:t>
      </w:r>
    </w:p>
    <w:bookmarkEnd w:id="71"/>
    <w:bookmarkStart w:id="72" w:name="ref-memmel2003"/>
    <w:p>
      <w:pPr>
        <w:pStyle w:val="Bibliography"/>
      </w:pPr>
      <w:r>
        <w:t xml:space="preserve">Memmel, Christoph. 2003.</w:t>
      </w:r>
      <w:r>
        <w:t xml:space="preserve"> </w:t>
      </w:r>
      <w:r>
        <w:t xml:space="preserve">“Performance Hypothesis Testing with the Sharpe Ratio.”</w:t>
      </w:r>
      <w:r>
        <w:t xml:space="preserve"> </w:t>
      </w:r>
      <w:r>
        <w:rPr>
          <w:i/>
          <w:iCs/>
        </w:rPr>
        <w:t xml:space="preserve">Finance Letters</w:t>
      </w:r>
      <w:r>
        <w:t xml:space="preserve"> </w:t>
      </w:r>
      <w:r>
        <w:t xml:space="preserve">1 (1): 21–23.</w:t>
      </w:r>
    </w:p>
    <w:bookmarkEnd w:id="72"/>
    <w:bookmarkStart w:id="74" w:name="ref-patton2011"/>
    <w:p>
      <w:pPr>
        <w:pStyle w:val="Bibliography"/>
      </w:pPr>
      <w:r>
        <w:t xml:space="preserve">Patton, Andrew J. 2011.</w:t>
      </w:r>
      <w:r>
        <w:t xml:space="preserve"> </w:t>
      </w:r>
      <w:r>
        <w:t xml:space="preserve">“Volatility Forecast Comparison Using Imperfect Volatility Proxies.”</w:t>
      </w:r>
      <w:r>
        <w:t xml:space="preserve"> </w:t>
      </w:r>
      <w:r>
        <w:rPr>
          <w:i/>
          <w:iCs/>
        </w:rPr>
        <w:t xml:space="preserve">Journal of Econometrics</w:t>
      </w:r>
      <w:r>
        <w:t xml:space="preserve"> </w:t>
      </w:r>
      <w:r>
        <w:t xml:space="preserve">160 (1): 246–56.</w:t>
      </w:r>
      <w:r>
        <w:t xml:space="preserve"> </w:t>
      </w:r>
      <w:hyperlink r:id="rId73">
        <w:r>
          <w:rPr>
            <w:rStyle w:val="Hyperlink"/>
          </w:rPr>
          <w:t xml:space="preserve">https://doi.org/10.1016/j.jeconom.2010.03.034</w:t>
        </w:r>
      </w:hyperlink>
      <w:r>
        <w:t xml:space="preserve">.</w:t>
      </w:r>
    </w:p>
    <w:bookmarkEnd w:id="74"/>
    <w:bookmarkStart w:id="76" w:name="ref-raffinot2018herc"/>
    <w:p>
      <w:pPr>
        <w:pStyle w:val="Bibliography"/>
      </w:pPr>
      <w:r>
        <w:t xml:space="preserve">Raffinot, Thomas. 2018.</w:t>
      </w:r>
      <w:r>
        <w:t xml:space="preserve"> </w:t>
      </w:r>
      <w:r>
        <w:rPr>
          <w:i/>
          <w:iCs/>
        </w:rPr>
        <w:t xml:space="preserve">The Hierarchical Equal Risk Contribution Portfolio</w:t>
      </w:r>
      <w:r>
        <w:t xml:space="preserve">. SSRN Working Paper.</w:t>
      </w:r>
      <w:r>
        <w:t xml:space="preserve"> </w:t>
      </w:r>
      <w:hyperlink r:id="rId75">
        <w:r>
          <w:rPr>
            <w:rStyle w:val="Hyperlink"/>
          </w:rPr>
          <w:t xml:space="preserve">https://doi.org/10.2139/ssrn.3237540</w:t>
        </w:r>
      </w:hyperlink>
      <w:r>
        <w:t xml:space="preserve">.</w:t>
      </w:r>
    </w:p>
    <w:bookmarkEnd w:id="76"/>
    <w:bookmarkStart w:id="78" w:name="ref-west1996"/>
    <w:p>
      <w:pPr>
        <w:pStyle w:val="Bibliography"/>
      </w:pPr>
      <w:r>
        <w:t xml:space="preserve">West, Kenneth D. 1996.</w:t>
      </w:r>
      <w:r>
        <w:t xml:space="preserve"> </w:t>
      </w:r>
      <w:r>
        <w:t xml:space="preserve">“Asymptotic Inference about Predictive Ability.”</w:t>
      </w:r>
      <w:r>
        <w:t xml:space="preserve"> </w:t>
      </w:r>
      <w:r>
        <w:rPr>
          <w:i/>
          <w:iCs/>
        </w:rPr>
        <w:t xml:space="preserve">Econometrica</w:t>
      </w:r>
      <w:r>
        <w:t xml:space="preserve"> </w:t>
      </w:r>
      <w:r>
        <w:t xml:space="preserve">64 (5): 1067–84.</w:t>
      </w:r>
      <w:r>
        <w:t xml:space="preserve"> </w:t>
      </w:r>
      <w:hyperlink r:id="rId77">
        <w:r>
          <w:rPr>
            <w:rStyle w:val="Hyperlink"/>
          </w:rPr>
          <w:t xml:space="preserve">https://doi.org/10.2307/2171956</w:t>
        </w:r>
      </w:hyperlink>
      <w:r>
        <w:t xml:space="preserve">.</w:t>
      </w:r>
    </w:p>
    <w:bookmarkEnd w:id="78"/>
    <w:bookmarkEnd w:id="79"/>
    <w:bookmarkEnd w:id="80"/>
    <w:sectPr>
      <w:pgSz w:h="16838" w:w="11906"/>
      <w:pgMar w:bottom="1134" w:footer="709" w:gutter="0" w:header="709" w:left="1984" w:right="850"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qFormat/>
    <w:pPr>
      <w:spacing w:after="180" w:before="60" w:line="240" w:lineRule="auto"/>
      <w:ind w:firstLine="0" w:left="0" w:right="0"/>
      <w:jc w:val="center"/>
    </w:pPr>
    <w:rPr>
      <w:sz w:val="18"/>
      <w:szCs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pPr>
    <w:rPr>
      <w:sz w:val="20"/>
      <w:szCs w:val="20"/>
    </w:rPr>
    <w:tblPr>
      <w:tblInd w:type="dxa" w:w="0"/>
      <w:tblBorders>
        <w:top w:color="000000" w:space="0" w:sz="8" w:val="single"/>
        <w:bottom w:color="000000" w:space="0" w:sz="8" w:val="single"/>
        <w:left w:color="auto" w:space="0" w:sz="0" w:val="none"/>
        <w:right w:color="auto" w:space="0" w:sz="0" w:val="none"/>
        <w:insideH w:color="auto" w:space="0" w:sz="0" w:val="none"/>
        <w:insideV w:color="auto" w:space="0" w:sz="0" w:val="none"/>
      </w:tblBorders>
      <w:tblCellMar>
        <w:top w:type="dxa" w:w="40"/>
        <w:left w:type="dxa" w:w="80"/>
        <w:bottom w:type="dxa" w:w="40"/>
        <w:right w:type="dxa" w:w="80"/>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df" /><Relationship Type="http://schemas.openxmlformats.org/officeDocument/2006/relationships/image" Id="rId48" Target="media/rId48.pdf" /><Relationship Type="http://schemas.openxmlformats.org/officeDocument/2006/relationships/hyperlink" Id="rId73" Target="https://doi.org/10.1016/j.jeconom.2010.03.034" TargetMode="External" /><Relationship Type="http://schemas.openxmlformats.org/officeDocument/2006/relationships/hyperlink" Id="rId68" Target="https://doi.org/10.1016/j.jeconom.2012.08.004" TargetMode="External" /><Relationship Type="http://schemas.openxmlformats.org/officeDocument/2006/relationships/hyperlink" Id="rId62" Target="https://doi.org/10.1080/07350015.1995.10524599" TargetMode="External" /><Relationship Type="http://schemas.openxmlformats.org/officeDocument/2006/relationships/hyperlink" Id="rId66" Target="https://doi.org/10.1111/j.1540-6261.1981.tb04891.x" TargetMode="External" /><Relationship Type="http://schemas.openxmlformats.org/officeDocument/2006/relationships/hyperlink" Id="rId64" Target="https://doi.org/10.1198/073500106000000017" TargetMode="External" /><Relationship Type="http://schemas.openxmlformats.org/officeDocument/2006/relationships/hyperlink" Id="rId75" Target="https://doi.org/10.2139/ssrn.3237540" TargetMode="External" /><Relationship Type="http://schemas.openxmlformats.org/officeDocument/2006/relationships/hyperlink" Id="rId70" Target="https://doi.org/10.2139/ssrn.3469961" TargetMode="External" /><Relationship Type="http://schemas.openxmlformats.org/officeDocument/2006/relationships/hyperlink" Id="rId77" Target="https://doi.org/10.2307/2171956"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16/j.jeconom.2010.03.034" TargetMode="External" /><Relationship Type="http://schemas.openxmlformats.org/officeDocument/2006/relationships/hyperlink" Id="rId68" Target="https://doi.org/10.1016/j.jeconom.2012.08.004" TargetMode="External" /><Relationship Type="http://schemas.openxmlformats.org/officeDocument/2006/relationships/hyperlink" Id="rId62" Target="https://doi.org/10.1080/07350015.1995.10524599" TargetMode="External" /><Relationship Type="http://schemas.openxmlformats.org/officeDocument/2006/relationships/hyperlink" Id="rId66" Target="https://doi.org/10.1111/j.1540-6261.1981.tb04891.x" TargetMode="External" /><Relationship Type="http://schemas.openxmlformats.org/officeDocument/2006/relationships/hyperlink" Id="rId64" Target="https://doi.org/10.1198/073500106000000017" TargetMode="External" /><Relationship Type="http://schemas.openxmlformats.org/officeDocument/2006/relationships/hyperlink" Id="rId75" Target="https://doi.org/10.2139/ssrn.3237540" TargetMode="External" /><Relationship Type="http://schemas.openxmlformats.org/officeDocument/2006/relationships/hyperlink" Id="rId70" Target="https://doi.org/10.2139/ssrn.3469961" TargetMode="External" /><Relationship Type="http://schemas.openxmlformats.org/officeDocument/2006/relationships/hyperlink" Id="rId77" Target="https://doi.org/10.2307/217195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Risikobasierte Portfoliooptimierung mit GARCH-Modellen</dc:title>
  <dc:creator/>
  <cp:keywords/>
  <dcterms:created xsi:type="dcterms:W3CDTF">2026-09-22T13:57:38Z</dcterms:created>
  <dcterms:modified xsi:type="dcterms:W3CDTF">2026-09-22T13:57:38Z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bibliography">
    <vt:lpwstr>literatur.bib</vt:lpwstr>
  </property>
  <property fmtid="{D5CDD505-2E9C-101B-9397-08002B2CF9AE}" pid="4" name="date">
    <vt:lpwstr/>
  </property>
</Properties>
</file>