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df" ContentType="application/pdf"/>
  <Override PartName="/word/media/rId4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Risikobasierte Portfoliooptimierung mit GARCH-Modellen</w:t>
      </w:r>
    </w:p>
    <w:p>
      <w:pPr>
        <w:pStyle w:val="AbstractTitle"/>
      </w:pPr>
      <w:r>
        <w:t xml:space="preserve">Abstract</w:t>
      </w:r>
    </w:p>
    <w:p>
      <w:pPr>
        <w:pStyle w:val="Abstract"/>
      </w:pPr>
      <w:r>
        <w:t xml:space="preserve">Diese Arbeit untersucht, ob risikobasierte Portfolioverfahren das naive 1/N-Portfolio schlagen und ob GARCH- und DCC-GARCH-Prognosen der Kovarianzmatrix gegenüber einer historischen Schätzung einen Mehrwert stiften.</w:t>
      </w:r>
      <w:r>
        <w:t xml:space="preserve"> </w:t>
      </w:r>
      <w:r>
        <w:t xml:space="preserve">Die Grundlage bilden tägliche Renditen von 27 US-Sektorindizes über gut 27 Jahre, die in zehn Trainingsfenstern und vier Prognosehorizonten und damit in 40 Konstellationen ausgewertet werden.</w:t>
      </w:r>
      <w:r>
        <w:t xml:space="preserve"> </w:t>
      </w:r>
      <w:r>
        <w:t xml:space="preserve">Bewertet wird getrennt nach statistischen und ökonomischen Kriterien.</w:t>
      </w:r>
      <w:r>
        <w:t xml:space="preserve"> </w:t>
      </w:r>
      <w:r>
        <w:t xml:space="preserve">Statistisch fällt das Ergebnis eindeutig aus, da DCC-GARCH die Kovarianzmatrix unter dem MSE in allen 40 Konstellationen besser prognostiziert als die historische Matrix.</w:t>
      </w:r>
      <w:r>
        <w:t xml:space="preserve"> </w:t>
      </w:r>
      <w:r>
        <w:t xml:space="preserve">Ökonomisch schlägt sich dieser Vorsprung jedoch nur beim Minimum-Varianz-Portfolio nieder, während er bei Hierarchical Risk Parity und Equal Risk Contribution folgenlos bleibt.</w:t>
      </w:r>
      <w:r>
        <w:t xml:space="preserve"> </w:t>
      </w:r>
      <w:r>
        <w:t xml:space="preserve">Ausschlaggebend ist der Turnover, der beim Minimum-Varianz-Portfolio mit dynamischer Kovarianz um den Faktor 32 höher liegt und die dynamischen Varianten unter realen Handelskosten zusätzlich belasten würde.</w:t>
      </w:r>
      <w:r>
        <w:t xml:space="preserve"> </w:t>
      </w:r>
      <w:r>
        <w:t xml:space="preserve">Eine bessere Risikoprognose ist folglich nicht automatisch eine bessere Anlageentscheidung.</w:t>
      </w:r>
      <w:r>
        <w:t xml:space="preserve"> </w:t>
      </w:r>
      <w:r>
        <w:t xml:space="preserve">Die gesamte Auswertung ist in Python umgesetzt. Die univariaten GARCH(1,1)-Modelle werden mit dem Paket</w:t>
      </w:r>
      <w:r>
        <w:t xml:space="preserve"> </w:t>
      </w:r>
      <w:r>
        <w:rPr>
          <w:rStyle w:val="VerbatimChar"/>
        </w:rPr>
        <w:t xml:space="preserve">arch</w:t>
      </w:r>
      <w:r>
        <w:t xml:space="preserve"> </w:t>
      </w:r>
      <w:r>
        <w:t xml:space="preserve">geschätzt, die DCC-Rekursion und die Verlustmaße sind eigens implementiert, und die Portfoliooptimierung greift auf</w:t>
      </w:r>
      <w:r>
        <w:t xml:space="preserve"> </w:t>
      </w:r>
      <w:r>
        <w:rPr>
          <w:rStyle w:val="VerbatimChar"/>
        </w:rPr>
        <w:t xml:space="preserve">riskfolio</w:t>
      </w:r>
      <w:r>
        <w:t xml:space="preserve"> </w:t>
      </w:r>
      <w:r>
        <w:t xml:space="preserve">und</w:t>
      </w:r>
      <w:r>
        <w:t xml:space="preserve"> </w:t>
      </w:r>
      <w:r>
        <w:rPr>
          <w:rStyle w:val="VerbatimChar"/>
        </w:rPr>
        <w:t xml:space="preserve">scipy</w:t>
      </w:r>
      <w:r>
        <w:t xml:space="preserve"> </w:t>
      </w:r>
      <w:r>
        <w:t xml:space="preserve">zurück. Alle Modelle werden an jedem Rebalancierungstermin auf dem jeweiligen Trainingsfenster neu geschätzt; Code, Konfiguration und die Skripte zur Erzeugung sämtlicher Tabellen liegen im begleitenden Repository.</w:t>
      </w:r>
    </w:p>
    <w:bookmarkStart w:id="9" w:name="einleitung"/>
    <w:p>
      <w:pPr>
        <w:pStyle w:val="Heading1"/>
      </w:pPr>
      <w:r>
        <w:t xml:space="preserve">Einleitung</w:t>
      </w:r>
    </w:p>
    <w:p>
      <w:pPr>
        <w:pStyle w:val="FirstParagraph"/>
      </w:pPr>
      <w:r>
        <w:t xml:space="preserve">Seit</w:t>
      </w:r>
      <w:r>
        <w:t xml:space="preserve"> </w:t>
      </w:r>
      <w:r>
        <w:t xml:space="preserve">Markowitz (1952)</w:t>
      </w:r>
      <w:r>
        <w:t xml:space="preserve"> </w:t>
      </w:r>
      <w:r>
        <w:t xml:space="preserve">ist die Zusammenstellung eines Portfolios als Optimierungsproblem formuliert, bei dem die Gewichte gesucht werden, die bei gegebener erwarteter Rendite die Portfoliovarianz minimieren.</w:t>
      </w:r>
      <w:r>
        <w:t xml:space="preserve"> </w:t>
      </w:r>
      <w:r>
        <w:t xml:space="preserve">In der praktischen Anwendung erweist sich dieser Ansatz jedoch als fragil, da sowohl die Erwartungswerte als auch die Kovarianzmatrix aus historischen Daten geschätzt werden müssen.</w:t>
      </w:r>
      <w:r>
        <w:t xml:space="preserve"> </w:t>
      </w:r>
      <w:r>
        <w:t xml:space="preserve">Weil das Verfahren Anlagen mit zufällig überschätzter Rendite systematisch übergewichtet, verstärkt es Schätzfehler, statt sie auszumitteln.</w:t>
      </w:r>
      <w:r>
        <w:t xml:space="preserve"> </w:t>
      </w:r>
      <w:r>
        <w:t xml:space="preserve">Michaud (1989)</w:t>
      </w:r>
      <w:r>
        <w:t xml:space="preserve"> </w:t>
      </w:r>
      <w:r>
        <w:t xml:space="preserve">bezeichnet die Markowitz-Optimierung deshalb als Fehlermaximierung.</w:t>
      </w:r>
    </w:p>
    <w:p>
      <w:pPr>
        <w:pStyle w:val="BodyText"/>
      </w:pPr>
      <w:r>
        <w:t xml:space="preserve">Von diesem Problem sind die beiden Eingangsgrößen unterschiedlich stark betroffen.</w:t>
      </w:r>
      <w:r>
        <w:t xml:space="preserve"> </w:t>
      </w:r>
      <w:r>
        <w:t xml:space="preserve">Broadie (1993)</w:t>
      </w:r>
      <w:r>
        <w:t xml:space="preserve"> </w:t>
      </w:r>
      <w:r>
        <w:t xml:space="preserve">zeigt in einer Simulationsstudie, dass Fehler in den geschätzten Erwartungswerten die Lage der effizienten Grenze deutlich stärker verzerren als Fehler in den geschätzten Varianzen und Kovarianzen.</w:t>
      </w:r>
      <w:r>
        <w:t xml:space="preserve"> </w:t>
      </w:r>
      <w:r>
        <w:t xml:space="preserve">Erwartete Renditen lassen sich aus Kursdaten nur mit großer Unsicherheit bestimmen, während Risikokennzahlen stabiler zu schätzen sind.</w:t>
      </w:r>
      <w:r>
        <w:t xml:space="preserve"> </w:t>
      </w:r>
      <w:r>
        <w:t xml:space="preserve">Wie gravierend die Folgen sind, zeigen</w:t>
      </w:r>
      <w:r>
        <w:t xml:space="preserve"> </w:t>
      </w:r>
      <w:r>
        <w:t xml:space="preserve">DeMiguel et al. (2009)</w:t>
      </w:r>
      <w:r>
        <w:t xml:space="preserve">, da in ihrem Vergleich über mehrere Datensätze keine der optimierten Strategien das naive, gleichgewichtete 1/N-Portfolio verlässlich schlagen konnte.</w:t>
      </w:r>
      <w:r>
        <w:t xml:space="preserve"> </w:t>
      </w:r>
      <w:r>
        <w:t xml:space="preserve">Der Aufwand einer Optimierung lohnt sich folglich nur, wenn ihr Gewinn den Verlust durch Schätzfehler übersteigt.</w:t>
      </w:r>
    </w:p>
    <w:p>
      <w:pPr>
        <w:pStyle w:val="BodyText"/>
      </w:pPr>
      <w:r>
        <w:t xml:space="preserve">An dieser Stelle setzen risikobasierte Portfolioverfahren an, die vollständig auf Renditeprognosen verzichten und die Gewichte allein aus der Kovarianzmatrix bestimmen.</w:t>
      </w:r>
      <w:r>
        <w:t xml:space="preserve"> </w:t>
      </w:r>
      <w:r>
        <w:t xml:space="preserve">Untersucht werden hier das Minimum-Varianz-Portfolio, das Equal-Risk-Contribution-Portfolio sowie die Hierarchical Risk Parity (HRP) von</w:t>
      </w:r>
      <w:r>
        <w:t xml:space="preserve"> </w:t>
      </w:r>
      <w:r>
        <w:t xml:space="preserve">López de Prado (2016)</w:t>
      </w:r>
      <w:r>
        <w:t xml:space="preserve">.</w:t>
      </w:r>
      <w:r>
        <w:t xml:space="preserve"> </w:t>
      </w:r>
      <w:r>
        <w:t xml:space="preserve">Die drei Verfahren unterscheiden sich vor allem darin, wie intensiv sie die geschätzte Kovarianzmatrix nutzen, weshalb deren Qualität unterschiedlich stark auf die Gewichte durchschlägt.</w:t>
      </w:r>
      <w:r>
        <w:t xml:space="preserve"> </w:t>
      </w:r>
      <w:r>
        <w:t xml:space="preserve">Gerade diese Abstufung macht sie zu einem geeigneten Prüffeld für die Frage, wie viel eine bessere Risikoprognose überhaupt wert sein kann.</w:t>
      </w:r>
    </w:p>
    <w:p>
      <w:pPr>
        <w:pStyle w:val="BodyText"/>
      </w:pPr>
      <w:r>
        <w:t xml:space="preserve">Damit rückt die Kovarianzmatrix selbst in den Mittelpunkt, denn werden die Gewichte ausschließlich aus ihr abgeleitet, sollte eine bessere Schätzung auch zu besseren Portfolios führen.</w:t>
      </w:r>
      <w:r>
        <w:t xml:space="preserve"> </w:t>
      </w:r>
      <w:r>
        <w:t xml:space="preserve">Der übliche Stichprobenschätzer unterstellt jedoch konstante Varianzen und Korrelationen über das gesamte Schätzfenster.</w:t>
      </w:r>
      <w:r>
        <w:t xml:space="preserve"> </w:t>
      </w:r>
      <w:r>
        <w:t xml:space="preserve">Diese Annahme widerspricht der Beobachtung, dass ruhige und turbulente Phasen einander ablösen und große Kursausschläge weitere große Ausschläge nach sich ziehen.</w:t>
      </w:r>
      <w:r>
        <w:t xml:space="preserve"> </w:t>
      </w:r>
      <w:r>
        <w:t xml:space="preserve">Engle (1982)</w:t>
      </w:r>
      <w:r>
        <w:t xml:space="preserve"> </w:t>
      </w:r>
      <w:r>
        <w:t xml:space="preserve">hat diese Volatilitätscluster erstmals ökonometrisch erfasst, worauf</w:t>
      </w:r>
      <w:r>
        <w:t xml:space="preserve"> </w:t>
      </w:r>
      <w:r>
        <w:t xml:space="preserve">Bollerslev (1986)</w:t>
      </w:r>
      <w:r>
        <w:t xml:space="preserve"> </w:t>
      </w:r>
      <w:r>
        <w:t xml:space="preserve">das heute übliche Generalized-Autoregressive-Conditional-Heteroskedasticity-Modell (GARCH) aufbaute.</w:t>
      </w:r>
    </w:p>
    <w:p>
      <w:pPr>
        <w:pStyle w:val="BodyText"/>
      </w:pPr>
      <w:r>
        <w:t xml:space="preserve">Für ein Portfolio genügt es allerdings nicht, die Varianzen einzeln zu modellieren, da auch die Abhängigkeitsstruktur zwischen den Anlagen zeitvariabel ist.</w:t>
      </w:r>
      <w:r>
        <w:t xml:space="preserve"> </w:t>
      </w:r>
      <w:r>
        <w:t xml:space="preserve">Dass Korrelationen in Stressphasen ansteigen und die Diversifikation gerade dann versagt, wenn sie am dringendsten gebraucht wird, kann ein Modell mit konstanter Korrelation nicht abbilden.</w:t>
      </w:r>
      <w:r>
        <w:t xml:space="preserve"> </w:t>
      </w:r>
      <w:r>
        <w:t xml:space="preserve">Engle (2002)</w:t>
      </w:r>
      <w:r>
        <w:t xml:space="preserve"> </w:t>
      </w:r>
      <w:r>
        <w:t xml:space="preserve">überträgt die GARCH-Rekursion deshalb auf die Korrelationsmatrix selbst und erhält mit dem Dynamic-Conditional-Correlation-Modell (DCC) eine vollständig zeitvariable Kovarianzprognose.</w:t>
      </w:r>
      <w:r>
        <w:t xml:space="preserve"> </w:t>
      </w:r>
      <w:r>
        <w:t xml:space="preserve">Dass diese Erweiterung für die Allokation relevant ist, legen</w:t>
      </w:r>
      <w:r>
        <w:t xml:space="preserve"> </w:t>
      </w:r>
      <w:r>
        <w:t xml:space="preserve">Ardia et al. (2017)</w:t>
      </w:r>
      <w:r>
        <w:t xml:space="preserve"> </w:t>
      </w:r>
      <w:r>
        <w:t xml:space="preserve">nahe, die eine Fehlspezifikation der Kovarianzmatrix als spürbare Verzerrung der Gewichte risikobasierter Portfolios ausweisen.</w:t>
      </w:r>
    </w:p>
    <w:p>
      <w:pPr>
        <w:pStyle w:val="BodyText"/>
      </w:pPr>
      <w:r>
        <w:t xml:space="preserve">Ob eine statistisch bessere Prognose auch zu einer besseren Anlageentscheidung führt, ist damit jedoch nicht beantwortet.</w:t>
      </w:r>
      <w:r>
        <w:t xml:space="preserve"> </w:t>
      </w:r>
      <w:r>
        <w:t xml:space="preserve">Engle and Colacito (2006)</w:t>
      </w:r>
      <w:r>
        <w:t xml:space="preserve"> </w:t>
      </w:r>
      <w:r>
        <w:t xml:space="preserve">weisen darauf hin, dass die Sharpe Ratio als Kriterium für die Auswahl eines Kovarianzschätzers irreführend sein kann, da sie von den realisierten Renditen dominiert wird, auf die die Kovarianzmatrix nur mittelbar wirkt.</w:t>
      </w:r>
      <w:r>
        <w:t xml:space="preserve"> </w:t>
      </w:r>
      <w:r>
        <w:t xml:space="preserve">Als Alternative bietet</w:t>
      </w:r>
      <w:r>
        <w:t xml:space="preserve"> </w:t>
      </w:r>
      <w:r>
        <w:t xml:space="preserve">Patton (2011)</w:t>
      </w:r>
      <w:r>
        <w:t xml:space="preserve"> </w:t>
      </w:r>
      <w:r>
        <w:t xml:space="preserve">Verlustfunktionen an, deren Rangfolge auch bei einem verrauschten Proxy der wahren Varianz erhalten bleibt, während</w:t>
      </w:r>
      <w:r>
        <w:t xml:space="preserve"> </w:t>
      </w:r>
      <w:r>
        <w:t xml:space="preserve">Laurent et al. (2013)</w:t>
      </w:r>
      <w:r>
        <w:t xml:space="preserve"> </w:t>
      </w:r>
      <w:r>
        <w:t xml:space="preserve">dieses Konzept auf vollständige Kovarianzmatrizen übertragen.</w:t>
      </w:r>
      <w:r>
        <w:t xml:space="preserve"> </w:t>
      </w:r>
      <w:r>
        <w:t xml:space="preserve">Wie weit beide Kriterien auseinanderfallen können, zeigen</w:t>
      </w:r>
      <w:r>
        <w:t xml:space="preserve"> </w:t>
      </w:r>
      <w:r>
        <w:t xml:space="preserve">Moura et al. (2020)</w:t>
      </w:r>
      <w:r>
        <w:t xml:space="preserve"> </w:t>
      </w:r>
      <w:r>
        <w:t xml:space="preserve">für hochdimensionale bedingte Kovarianzmatrizen, wo die statistisch beste Spezifikation nicht die ökonomisch beste ist.</w:t>
      </w:r>
    </w:p>
    <w:p>
      <w:pPr>
        <w:pStyle w:val="BodyText"/>
      </w:pPr>
      <w:r>
        <w:t xml:space="preserve">Die Verbindung beider Themenfelder, risikobasierter Allokation einschließlich neuerer Verfahren wie HRP auf der einen und multivariater GARCH-Prognosen auf der anderen Seite, ist bislang nur vereinzelt untersucht worden.</w:t>
      </w:r>
      <w:r>
        <w:t xml:space="preserve"> </w:t>
      </w:r>
      <w:r>
        <w:t xml:space="preserve">Vor diesem Hintergrund verfolgt diese Arbeit zwei Fragen.</w:t>
      </w:r>
      <w:r>
        <w:t xml:space="preserve"> </w:t>
      </w:r>
      <w:r>
        <w:t xml:space="preserve">Erstens wird geprüft, ob Minimum-Varianz-, Equal-Risk-Contribution- und Hierarchical-Risk-Parity-Portfolios eine höhere risikoadjustierte Out-of-Sample-Performance erzielen als das naive 1/N-Portfolio.</w:t>
      </w:r>
      <w:r>
        <w:t xml:space="preserve"> </w:t>
      </w:r>
      <w:r>
        <w:t xml:space="preserve">Zweitens wird untersucht, ob GARCH- und DCC-GARCH-basierte Risiko- und Kovarianzprognosen die Ergebnisse gegenüber einer historischen Schätzung verbessern.</w:t>
      </w:r>
      <w:r>
        <w:t xml:space="preserve"> </w:t>
      </w:r>
      <w:r>
        <w:t xml:space="preserve">Beide Fragen werden getrennt nach statistischen und ökonomischen Kriterien beantwortet, da sich gerade in der Differenz zwischen beiden der zentrale Befund dieser Arbeit zeigt.</w:t>
      </w:r>
    </w:p>
    <w:p>
      <w:pPr>
        <w:pStyle w:val="BodyText"/>
      </w:pPr>
      <w:r>
        <w:t xml:space="preserve">Die empirische Grundlage bilden tägliche Renditen von 27 US-Sektorindizes über gut 27 Jahre.</w:t>
      </w:r>
      <w:r>
        <w:t xml:space="preserve"> </w:t>
      </w:r>
      <w:r>
        <w:t xml:space="preserve">Zehn Trainingsfenster und vier Prognosehorizonte ergeben 40 Konstellationen, in denen jede der drei Kovarianzschätzungen mit jedem der vier Allokationsverfahren bewertet wird.</w:t>
      </w:r>
      <w:r>
        <w:t xml:space="preserve"> </w:t>
      </w:r>
      <w:r>
        <w:t xml:space="preserve">Als Kriterien dienen statistisch QLIKE-Verlust und Kovarianz-MSE, ökonomisch Sharpe Ratio, realisierte Volatilität und Turnover.</w:t>
      </w:r>
      <w:r>
        <w:t xml:space="preserve"> </w:t>
      </w:r>
      <w:r>
        <w:t xml:space="preserve">Ergänzend prüfen drei simulierte Datensätze mit bekanntem datengenerierendem Prozess, ob die Modelle das leisten, wofür sie konstruiert sind.</w:t>
      </w:r>
    </w:p>
    <w:p>
      <w:pPr>
        <w:pStyle w:val="BodyText"/>
      </w:pPr>
      <w:r>
        <w:t xml:space="preserve">Diesem Vorgehen folgt auch der weitere Aufbau der Arbeit.</w:t>
      </w:r>
      <w:r>
        <w:t xml:space="preserve"> </w:t>
      </w:r>
      <w:r>
        <w:t xml:space="preserve">Der</w:t>
      </w:r>
      <w:r>
        <w:t xml:space="preserve"> </w:t>
      </w:r>
      <w:hyperlink w:anchor="sec:daten">
        <w:r>
          <w:rPr>
            <w:rStyle w:val="Hyperlink"/>
          </w:rPr>
          <w:t xml:space="preserve">folgende Abschnitt</w:t>
        </w:r>
      </w:hyperlink>
      <w:r>
        <w:t xml:space="preserve"> </w:t>
      </w:r>
      <w:r>
        <w:t xml:space="preserve">beschreibt die Datengrundlage, während der</w:t>
      </w:r>
      <w:r>
        <w:t xml:space="preserve"> </w:t>
      </w:r>
      <w:hyperlink w:anchor="sec:methodik">
        <w:hyperlink w:anchor="sec:methodik">
          <w:r>
            <w:rPr>
              <w:rStyle w:val="Hyperlink"/>
            </w:rPr>
            <w:t xml:space="preserve">3</w:t>
          </w:r>
        </w:hyperlink>
        <w:r>
          <w:rPr>
            <w:rStyle w:val="Hyperlink"/>
          </w:rPr>
          <w:t xml:space="preserve">. Abschnitt</w:t>
        </w:r>
      </w:hyperlink>
      <w:r>
        <w:t xml:space="preserve"> </w:t>
      </w:r>
      <w:r>
        <w:t xml:space="preserve">das Untersuchungsdesign darlegt.</w:t>
      </w:r>
      <w:r>
        <w:t xml:space="preserve"> </w:t>
      </w:r>
      <w:r>
        <w:t xml:space="preserve">Im</w:t>
      </w:r>
      <w:r>
        <w:t xml:space="preserve"> </w:t>
      </w:r>
      <w:hyperlink w:anchor="sec:ergebnisse">
        <w:hyperlink w:anchor="sec:ergebnisse">
          <w:r>
            <w:rPr>
              <w:rStyle w:val="Hyperlink"/>
            </w:rPr>
            <w:t xml:space="preserve">4</w:t>
          </w:r>
        </w:hyperlink>
        <w:r>
          <w:rPr>
            <w:rStyle w:val="Hyperlink"/>
          </w:rPr>
          <w:t xml:space="preserve">. Abschnitt</w:t>
        </w:r>
      </w:hyperlink>
      <w:r>
        <w:t xml:space="preserve"> </w:t>
      </w:r>
      <w:r>
        <w:t xml:space="preserve">werden die Ergebnisse zunächst zur Prognosequalität und anschließend zur Portfolioperformance berichtet, bevor ihre Stabilität über verschiedene Zeiträume und Anlageuniversen untersucht wird.</w:t>
      </w:r>
      <w:r>
        <w:t xml:space="preserve"> </w:t>
      </w:r>
      <w:r>
        <w:t xml:space="preserve">Anschließend ordnet der</w:t>
      </w:r>
      <w:r>
        <w:t xml:space="preserve"> </w:t>
      </w:r>
      <w:hyperlink w:anchor="sec:literatur">
        <w:hyperlink w:anchor="sec:literatur">
          <w:r>
            <w:rPr>
              <w:rStyle w:val="Hyperlink"/>
            </w:rPr>
            <w:t xml:space="preserve">5</w:t>
          </w:r>
        </w:hyperlink>
        <w:r>
          <w:rPr>
            <w:rStyle w:val="Hyperlink"/>
          </w:rPr>
          <w:t xml:space="preserve">. Abschnitt</w:t>
        </w:r>
      </w:hyperlink>
      <w:r>
        <w:t xml:space="preserve"> </w:t>
      </w:r>
      <w:r>
        <w:t xml:space="preserve">die Befunde in die Literatur ein und der</w:t>
      </w:r>
      <w:r>
        <w:t xml:space="preserve"> </w:t>
      </w:r>
      <w:hyperlink w:anchor="sec:limitationen">
        <w:hyperlink w:anchor="sec:limitationen">
          <w:r>
            <w:rPr>
              <w:rStyle w:val="Hyperlink"/>
            </w:rPr>
            <w:t xml:space="preserve">6</w:t>
          </w:r>
        </w:hyperlink>
        <w:r>
          <w:rPr>
            <w:rStyle w:val="Hyperlink"/>
          </w:rPr>
          <w:t xml:space="preserve">. Abschnitt</w:t>
        </w:r>
      </w:hyperlink>
      <w:r>
        <w:t xml:space="preserve"> </w:t>
      </w:r>
      <w:r>
        <w:t xml:space="preserve">diskutiert die Grenzen der Untersuchung.</w:t>
      </w:r>
      <w:r>
        <w:t xml:space="preserve"> </w:t>
      </w:r>
      <w:r>
        <w:t xml:space="preserve">Am Ende werden die zentralen Erkenntnisse zusammengefasst.</w:t>
      </w:r>
    </w:p>
    <w:bookmarkEnd w:id="9"/>
    <w:bookmarkStart w:id="14" w:name="sec:daten"/>
    <w:p>
      <w:pPr>
        <w:pStyle w:val="Heading1"/>
      </w:pPr>
      <w:r>
        <w:t xml:space="preserve">Daten</w:t>
      </w:r>
    </w:p>
    <w:p>
      <w:pPr>
        <w:pStyle w:val="FirstParagraph"/>
      </w:pPr>
      <w:r>
        <w:t xml:space="preserve">In diesem Abschnitt wird die Datengrundlage der empirischen Untersuchung beschrieben.</w:t>
      </w:r>
      <w:r>
        <w:t xml:space="preserve"> </w:t>
      </w:r>
      <w:r>
        <w:t xml:space="preserve">Dabei wird zwischen den empirischen Sektordaten und den simulierten Datensätzen unterschieden.</w:t>
      </w:r>
    </w:p>
    <w:bookmarkStart w:id="11" w:name="sektorindizes"/>
    <w:p>
      <w:pPr>
        <w:pStyle w:val="Heading2"/>
      </w:pPr>
      <w:r>
        <w:t xml:space="preserve">Sektorindizes</w:t>
      </w:r>
    </w:p>
    <w:p>
      <w:pPr>
        <w:pStyle w:val="FirstParagraph"/>
      </w:pPr>
      <w:r>
        <w:t xml:space="preserve">Verwendet werden tägliche Kurse US-amerikanischer Sektorindizes, die über Datastream bezogen wurden.</w:t>
      </w:r>
      <w:r>
        <w:t xml:space="preserve"> </w:t>
      </w:r>
      <w:r>
        <w:t xml:space="preserve">Als Sektorabgrenzung dienen die Business Groups der Refinitiv Business Classification (TRBC), wobei für die Vereinigten Staaten nur Daten für 28 der insgesamt 32 Business Groups verfügbar sind.</w:t>
      </w:r>
      <w:r>
        <w:t xml:space="preserve"> </w:t>
      </w:r>
      <w:r>
        <w:t xml:space="preserve">Eine davon zeigt an rund zwei Dritteln ihrer Datenpunkte keine Kursbewegung und wird als inaktive Reihe verworfen, sodass 27 Sektoren in die Analyse eingehen.</w:t>
      </w:r>
      <w:r>
        <w:t xml:space="preserve"> </w:t>
      </w:r>
      <w:r>
        <w:t xml:space="preserve">Der Beobachtungszeitraum reicht vom 02.04.1999 bis zum 09.06.2026 und umfasst 7.087 Handelstage, wobei nur für 16 Sektorindizes Daten über die gesamte Historie vorliegen, während die übrigen Datenreihen erst zu späteren Zeitpunkten starten.</w:t>
      </w:r>
    </w:p>
    <w:p>
      <w:pPr>
        <w:pStyle w:val="BodyText"/>
      </w:pPr>
      <w:r>
        <w:t xml:space="preserve">Die Querschnittsverteilung der Sektorrenditen ist in</w:t>
      </w:r>
      <w:r>
        <w:t xml:space="preserve"> </w:t>
      </w:r>
      <w:hyperlink w:anchor="tab:daten_deskriptiv">
        <w:r>
          <w:rPr>
            <w:rStyle w:val="Hyperlink"/>
          </w:rPr>
          <w:t xml:space="preserve">Tabelle </w:t>
        </w:r>
        <w:hyperlink w:anchor="tab:daten_deskriptiv">
          <w:r>
            <w:rPr>
              <w:rStyle w:val="Hyperlink"/>
            </w:rPr>
            <w:t xml:space="preserve">1</w:t>
          </w:r>
        </w:hyperlink>
      </w:hyperlink>
      <w:r>
        <w:t xml:space="preserve"> </w:t>
      </w:r>
      <w:r>
        <w:t xml:space="preserve">dargestellt.</w:t>
      </w:r>
      <w:r>
        <w:t xml:space="preserve"> </w:t>
      </w:r>
      <w:r>
        <w:t xml:space="preserve">Auffällig ist dabei die durchschnittliche paarweise Korrelation von 0,562, die aufgrund der Begrenzung auf den US-Aktienmarkt erwartungsgemäß hoch ausfällt und die Diversifikationsmöglichkeiten innerhalb des Universums von vornherein einschränkt.</w:t>
      </w:r>
    </w:p>
    <w:bookmarkStart w:id="10" w:name="tab:daten_deskriptiv"/>
    <w:p>
      <w:pPr>
        <w:pStyle w:val="TableCaption"/>
      </w:pPr>
      <w:r>
        <w:t xml:space="preserve">Deskriptive Statistik der TRBC-Sektorrenditen</w:t>
      </w:r>
    </w:p>
    <w:tbl>
      <w:tblPr>
        <w:tblStyle w:val="Table"/>
        <w:tblW w:type="auto" w:w="0"/>
        <w:tblLook w:firstRow="1" w:lastRow="0" w:firstColumn="0" w:lastColumn="0" w:noHBand="0" w:noVBand="0" w:val="0020"/>
        <w:tblCaption w:val="Deskriptive Statistik der TRBC-Sektorrenditen"/>
      </w:tblPr>
      <w:tblGrid>
        <w:gridCol w:w="1320"/>
        <w:gridCol w:w="1320"/>
        <w:gridCol w:w="1320"/>
        <w:gridCol w:w="1320"/>
        <w:gridCol w:w="1320"/>
        <w:gridCol w:w="1320"/>
      </w:tblGrid>
      <w:tr>
        <w:trPr>
          <w:tblHeader w:val="on"/>
        </w:trPr>
        <w:tc>
          <w:tcPr/>
          <w:p>
            <w:pPr>
              <w:pStyle w:val="Compact"/>
              <w:jc w:val="left"/>
            </w:pPr>
            <w:r>
              <w:t xml:space="preserve">Kennzahl</w:t>
            </w:r>
          </w:p>
        </w:tc>
        <w:tc>
          <w:tcPr/>
          <w:p>
            <w:pPr>
              <w:pStyle w:val="Compact"/>
              <w:jc w:val="right"/>
            </w:pPr>
            <w:r>
              <w:t xml:space="preserve">Min.</w:t>
            </w:r>
          </w:p>
        </w:tc>
        <w:tc>
          <w:tcPr/>
          <w:p>
            <w:pPr>
              <w:pStyle w:val="Compact"/>
              <w:jc w:val="right"/>
            </w:pPr>
            <w:r>
              <w:t xml:space="preserve">25 %</w:t>
            </w:r>
          </w:p>
        </w:tc>
        <w:tc>
          <w:tcPr/>
          <w:p>
            <w:pPr>
              <w:pStyle w:val="Compact"/>
              <w:jc w:val="right"/>
            </w:pPr>
            <w:r>
              <w:t xml:space="preserve">Median</w:t>
            </w:r>
          </w:p>
        </w:tc>
        <w:tc>
          <w:tcPr/>
          <w:p>
            <w:pPr>
              <w:pStyle w:val="Compact"/>
              <w:jc w:val="right"/>
            </w:pPr>
            <w:r>
              <w:t xml:space="preserve">75 %</w:t>
            </w:r>
          </w:p>
        </w:tc>
        <w:tc>
          <w:tcPr/>
          <w:p>
            <w:pPr>
              <w:pStyle w:val="Compact"/>
              <w:jc w:val="right"/>
            </w:pPr>
            <w:r>
              <w:t xml:space="preserve">Max.</w:t>
            </w:r>
          </w:p>
        </w:tc>
      </w:tr>
      <w:tr>
        <w:tc>
          <w:tcPr/>
          <w:p>
            <w:pPr>
              <w:pStyle w:val="Compact"/>
              <w:jc w:val="left"/>
            </w:pPr>
            <w:r>
              <w:t xml:space="preserve">Beobachtungen</w:t>
            </w:r>
          </w:p>
        </w:tc>
        <w:tc>
          <w:tcPr/>
          <w:p>
            <w:pPr>
              <w:pStyle w:val="Compact"/>
              <w:jc w:val="right"/>
            </w:pPr>
            <w:r>
              <w:t xml:space="preserve">1351</w:t>
            </w:r>
          </w:p>
        </w:tc>
        <w:tc>
          <w:tcPr/>
          <w:p>
            <w:pPr>
              <w:pStyle w:val="Compact"/>
              <w:jc w:val="right"/>
            </w:pPr>
            <w:r>
              <w:t xml:space="preserve">1877</w:t>
            </w:r>
          </w:p>
        </w:tc>
        <w:tc>
          <w:tcPr/>
          <w:p>
            <w:pPr>
              <w:pStyle w:val="Compact"/>
              <w:jc w:val="right"/>
            </w:pPr>
            <w:r>
              <w:t xml:space="preserve">7087</w:t>
            </w:r>
          </w:p>
        </w:tc>
        <w:tc>
          <w:tcPr/>
          <w:p>
            <w:pPr>
              <w:pStyle w:val="Compact"/>
              <w:jc w:val="right"/>
            </w:pPr>
            <w:r>
              <w:t xml:space="preserve">7087</w:t>
            </w:r>
          </w:p>
        </w:tc>
        <w:tc>
          <w:tcPr/>
          <w:p>
            <w:pPr>
              <w:pStyle w:val="Compact"/>
              <w:jc w:val="right"/>
            </w:pPr>
            <w:r>
              <w:t xml:space="preserve">7087</w:t>
            </w:r>
          </w:p>
        </w:tc>
      </w:tr>
      <w:tr>
        <w:tc>
          <w:tcPr/>
          <w:p>
            <w:pPr>
              <w:pStyle w:val="Compact"/>
              <w:jc w:val="left"/>
            </w:pPr>
            <w:r>
              <w:t xml:space="preserve">Rendite p.a. (%)</w:t>
            </w:r>
          </w:p>
        </w:tc>
        <w:tc>
          <w:tcPr/>
          <w:p>
            <w:pPr>
              <w:pStyle w:val="Compact"/>
              <w:jc w:val="right"/>
            </w:pPr>
            <w:r>
              <w:t xml:space="preserve">-5,34</w:t>
            </w:r>
          </w:p>
        </w:tc>
        <w:tc>
          <w:tcPr/>
          <w:p>
            <w:pPr>
              <w:pStyle w:val="Compact"/>
              <w:jc w:val="right"/>
            </w:pPr>
            <w:r>
              <w:t xml:space="preserve">4,70</w:t>
            </w:r>
          </w:p>
        </w:tc>
        <w:tc>
          <w:tcPr/>
          <w:p>
            <w:pPr>
              <w:pStyle w:val="Compact"/>
              <w:jc w:val="right"/>
            </w:pPr>
            <w:r>
              <w:t xml:space="preserve">6,02</w:t>
            </w:r>
          </w:p>
        </w:tc>
        <w:tc>
          <w:tcPr/>
          <w:p>
            <w:pPr>
              <w:pStyle w:val="Compact"/>
              <w:jc w:val="right"/>
            </w:pPr>
            <w:r>
              <w:t xml:space="preserve">8,97</w:t>
            </w:r>
          </w:p>
        </w:tc>
        <w:tc>
          <w:tcPr/>
          <w:p>
            <w:pPr>
              <w:pStyle w:val="Compact"/>
              <w:jc w:val="right"/>
            </w:pPr>
            <w:r>
              <w:t xml:space="preserve">20,27</w:t>
            </w:r>
          </w:p>
        </w:tc>
      </w:tr>
      <w:tr>
        <w:tc>
          <w:tcPr/>
          <w:p>
            <w:pPr>
              <w:pStyle w:val="Compact"/>
              <w:jc w:val="left"/>
            </w:pPr>
            <w:r>
              <w:t xml:space="preserve">Volatilität p.a. (%)</w:t>
            </w:r>
          </w:p>
        </w:tc>
        <w:tc>
          <w:tcPr/>
          <w:p>
            <w:pPr>
              <w:pStyle w:val="Compact"/>
              <w:jc w:val="right"/>
            </w:pPr>
            <w:r>
              <w:t xml:space="preserve">15,06</w:t>
            </w:r>
          </w:p>
        </w:tc>
        <w:tc>
          <w:tcPr/>
          <w:p>
            <w:pPr>
              <w:pStyle w:val="Compact"/>
              <w:jc w:val="right"/>
            </w:pPr>
            <w:r>
              <w:t xml:space="preserve">19,73</w:t>
            </w:r>
          </w:p>
        </w:tc>
        <w:tc>
          <w:tcPr/>
          <w:p>
            <w:pPr>
              <w:pStyle w:val="Compact"/>
              <w:jc w:val="right"/>
            </w:pPr>
            <w:r>
              <w:t xml:space="preserve">22,41</w:t>
            </w:r>
          </w:p>
        </w:tc>
        <w:tc>
          <w:tcPr/>
          <w:p>
            <w:pPr>
              <w:pStyle w:val="Compact"/>
              <w:jc w:val="right"/>
            </w:pPr>
            <w:r>
              <w:t xml:space="preserve">26,32</w:t>
            </w:r>
          </w:p>
        </w:tc>
        <w:tc>
          <w:tcPr/>
          <w:p>
            <w:pPr>
              <w:pStyle w:val="Compact"/>
              <w:jc w:val="right"/>
            </w:pPr>
            <w:r>
              <w:t xml:space="preserve">49,20</w:t>
            </w:r>
          </w:p>
        </w:tc>
      </w:tr>
    </w:tbl>
    <w:bookmarkEnd w:id="10"/>
    <w:p>
      <w:pPr>
        <w:pStyle w:val="BodyText"/>
      </w:pPr>
      <w:r>
        <w:t xml:space="preserve">Tägliche logarithmierte Renditen von 27 TRBC-Sektorindizes, 02.04.1999 bis 09.06.2026; durchschnittliche paarweise Korrelation 0,562.</w:t>
      </w:r>
    </w:p>
    <w:bookmarkEnd w:id="11"/>
    <w:bookmarkStart w:id="12" w:name="risikofreier-zins"/>
    <w:p>
      <w:pPr>
        <w:pStyle w:val="Heading2"/>
      </w:pPr>
      <w:r>
        <w:t xml:space="preserve">Risikofreier Zins</w:t>
      </w:r>
    </w:p>
    <w:p>
      <w:pPr>
        <w:pStyle w:val="FirstParagraph"/>
      </w:pPr>
      <w:r>
        <w:t xml:space="preserve">Als risikofreier Zinssatz dient die Fed Funds Rate, die wie auch die Sektorindizes über Datastream bezogen wird.</w:t>
      </w:r>
      <w:r>
        <w:t xml:space="preserve"> </w:t>
      </w:r>
      <w:r>
        <w:t xml:space="preserve">Sie fließt nicht in die Optimierung der einzelnen Portfolios ein, sondern wird ausschließlich für die Berechnung der Sharpe Ratio verwendet.</w:t>
      </w:r>
    </w:p>
    <w:bookmarkEnd w:id="12"/>
    <w:bookmarkStart w:id="13" w:name="synthetische-datensätze"/>
    <w:p>
      <w:pPr>
        <w:pStyle w:val="Heading2"/>
      </w:pPr>
      <w:r>
        <w:t xml:space="preserve">Synthetische Datensätze</w:t>
      </w:r>
    </w:p>
    <w:p>
      <w:pPr>
        <w:pStyle w:val="FirstParagraph"/>
      </w:pPr>
      <w:r>
        <w:t xml:space="preserve">Hinzu kommen drei künstlich erzeugte Datensätze, die ausschließlich der Validierung der Implementierung dienen.</w:t>
      </w:r>
      <w:r>
        <w:t xml:space="preserve"> </w:t>
      </w:r>
      <w:r>
        <w:t xml:space="preserve">Simuliert werden ein Prozess mit konstanter Kovarianzmatrix sowie je ein CCC- und ein DCC-GARCH-Prozess, sodass für jeden der drei Kovarianzschätzer ein Datensatz vorliegt, auf dem er korrekt spezifiziert ist.</w:t>
      </w:r>
      <w:r>
        <w:t xml:space="preserve"> </w:t>
      </w:r>
      <w:r>
        <w:t xml:space="preserve">Auf diese Weise lässt sich prüfen, ob die Modelle genau die Struktur erkennen, für die sie konstruiert sind, was an echten Daten wegen des unbekannten datengenerierenden Prozesses nicht möglich ist.</w:t>
      </w:r>
      <w:r>
        <w:t xml:space="preserve"> </w:t>
      </w:r>
      <w:r>
        <w:t xml:space="preserve">Die Parametrisierung ist im</w:t>
      </w:r>
      <w:r>
        <w:t xml:space="preserve"> </w:t>
      </w:r>
      <w:hyperlink w:anchor="sec:anhang_synth">
        <w:r>
          <w:rPr>
            <w:rStyle w:val="Hyperlink"/>
          </w:rPr>
          <w:t xml:space="preserve">Anhang </w:t>
        </w:r>
        <w:hyperlink w:anchor="sec:anhang_synth">
          <w:r>
            <w:rPr>
              <w:rStyle w:val="Hyperlink"/>
            </w:rPr>
            <w:t xml:space="preserve">10</w:t>
          </w:r>
        </w:hyperlink>
      </w:hyperlink>
      <w:r>
        <w:t xml:space="preserve"> </w:t>
      </w:r>
      <w:r>
        <w:t xml:space="preserve">dokumentiert.</w:t>
      </w:r>
    </w:p>
    <w:bookmarkEnd w:id="13"/>
    <w:bookmarkEnd w:id="14"/>
    <w:bookmarkStart w:id="29" w:name="sec:methodik"/>
    <w:p>
      <w:pPr>
        <w:pStyle w:val="Heading1"/>
      </w:pPr>
      <w:r>
        <w:t xml:space="preserve">Methodik</w:t>
      </w:r>
    </w:p>
    <w:p>
      <w:pPr>
        <w:pStyle w:val="FirstParagraph"/>
      </w:pPr>
      <w:r>
        <w:t xml:space="preserve">In diesem Abschnitt wird das Untersuchungsvorgehen vorgestellt.</w:t>
      </w:r>
      <w:r>
        <w:t xml:space="preserve"> </w:t>
      </w:r>
      <w:r>
        <w:t xml:space="preserve">Dabei wird auf die Schätzung der Kovarianzmatrix, die Portfoliooptimierung und die Vergleichsmetriken eingegangen.</w:t>
      </w:r>
    </w:p>
    <w:bookmarkStart w:id="15" w:name="subsec:rollfenster"/>
    <w:p>
      <w:pPr>
        <w:pStyle w:val="Heading2"/>
      </w:pPr>
      <w:r>
        <w:t xml:space="preserve">Rolling Window</w:t>
      </w:r>
    </w:p>
    <w:p>
      <w:pPr>
        <w:pStyle w:val="FirstParagraph"/>
      </w:pPr>
      <w:r>
        <w:t xml:space="preserve">Um für mögliche Strukturbrüche in den Daten zu kontrollieren und zugleich einer realistischen Anwendung nahe zu kommen, wird ein Rolling-Window-Ansatz gewählt.</w:t>
      </w:r>
      <w:r>
        <w:t xml:space="preserve"> </w:t>
      </w:r>
      <w:r>
        <w:t xml:space="preserve">Die Kovarianzmatrix wird dabei auf einem Trainingsfenster der Länge</w:t>
      </w:r>
      <w:r>
        <w:t xml:space="preserve"> </w:t>
      </w:r>
      <m:oMath>
        <m:r>
          <m:t>T</m:t>
        </m:r>
      </m:oMath>
      <w:r>
        <w:t xml:space="preserve"> </w:t>
      </w:r>
      <w:r>
        <w:t xml:space="preserve">geschätzt</w:t>
      </w:r>
      <w:r>
        <w:t xml:space="preserve">, wobei alle Modellparameter an jedem Termin neu bestimmt werden</w:t>
      </w:r>
      <w:r>
        <w:t xml:space="preserve">, daraus werden die Portfoliogewichte bestimmt und diese über den Prognosehorizont von</w:t>
      </w:r>
      <w:r>
        <w:t xml:space="preserve"> </w:t>
      </w:r>
      <m:oMath>
        <m:r>
          <m:t>h</m:t>
        </m:r>
      </m:oMath>
      <w:r>
        <w:t xml:space="preserve"> </w:t>
      </w:r>
      <w:r>
        <w:t xml:space="preserve">Handelstagen gehalten, bevor das Fenster um</w:t>
      </w:r>
      <w:r>
        <w:t xml:space="preserve"> </w:t>
      </w:r>
      <m:oMath>
        <m:r>
          <m:t>h</m:t>
        </m:r>
      </m:oMath>
      <w:r>
        <w:t xml:space="preserve"> </w:t>
      </w:r>
      <w:r>
        <w:t xml:space="preserve">Tage weiterrückt.</w:t>
      </w:r>
      <w:r>
        <w:t xml:space="preserve"> </w:t>
      </w:r>
      <w:r>
        <w:t xml:space="preserve">Variiert werden beide Größen, wobei das Trainingsfenster zwischen einem und zehn Jahren liegt und der Prognosehorizont 1, 5, 10 oder 21 Handelstage beträgt.</w:t>
      </w:r>
      <w:r>
        <w:t xml:space="preserve"> </w:t>
      </w:r>
      <w:r>
        <w:t xml:space="preserve">Der Vergleich der daraus resultierenden 40 Kombinationen zeigt zum einen, ob die Befunde robust gegenüber der Wahl von Trainings- und Prognosefenster sind, und zum anderen, bei welcher Fensterlänge sich Schätzfehler aus zu wenigen Beobachtungen und Fehlspezifikation aus sich ändernden Parametern am besten ausgleichen.</w:t>
      </w:r>
      <w:r>
        <w:t xml:space="preserve"> </w:t>
      </w:r>
      <w:r>
        <w:t xml:space="preserve">Als Basisfall werden durchgängig</w:t>
      </w:r>
      <w:r>
        <w:t xml:space="preserve"> </w:t>
      </w:r>
      <m:oMath>
        <m:r>
          <m:t>T</m:t>
        </m:r>
        <m:r>
          <m:rPr>
            <m:sty m:val="p"/>
          </m:rPr>
          <m:t>=</m:t>
        </m:r>
        <m:r>
          <m:t>1008</m:t>
        </m:r>
      </m:oMath>
      <w:r>
        <w:t xml:space="preserve"> </w:t>
      </w:r>
      <w:r>
        <w:t xml:space="preserve">(vier Jahre) und</w:t>
      </w:r>
      <w:r>
        <w:t xml:space="preserve"> </w:t>
      </w:r>
      <m:oMath>
        <m:r>
          <m:t>h</m:t>
        </m:r>
        <m:r>
          <m:rPr>
            <m:sty m:val="p"/>
          </m:rPr>
          <m:t>=</m:t>
        </m:r>
        <m:r>
          <m:t>1</m:t>
        </m:r>
      </m:oMath>
      <w:r>
        <w:t xml:space="preserve"> </w:t>
      </w:r>
      <w:r>
        <w:t xml:space="preserve">berichtet und von da ausgehend die Robustheit der Ergebnisse überprüft.</w:t>
      </w:r>
    </w:p>
    <w:p>
      <w:pPr>
        <w:pStyle w:val="BodyText"/>
      </w:pPr>
      <w:r>
        <w:t xml:space="preserve">Je Zeitfenster werden dabei nur Sektoren berücksichtigt, die an mindestens 90 % der Handelstage verfügbar sind, um so eine ausreichende Datenbasis für die Schätzung zu gewährleisten und zugleich nicht ganze Anlagen wegen einzelner fehlender Datenpunkte auszuschließen.</w:t>
      </w:r>
      <w:r>
        <w:t xml:space="preserve"> </w:t>
      </w:r>
      <w:r>
        <w:t xml:space="preserve">Das investierbare Universum wird somit in jedem Fenster neu bestimmt und variiert sowohl über die Zeit als auch über die Fensterlänge.</w:t>
      </w:r>
    </w:p>
    <w:p>
      <w:pPr>
        <w:pStyle w:val="BodyText"/>
      </w:pPr>
      <w:r>
        <w:t xml:space="preserve">Ein Nachteil des Untersuchungsdesigns ist jedoch, dass ein längeres Trainingsfenster den Out-of-Sample-Zeitraum verkürzt.</w:t>
      </w:r>
      <w:r>
        <w:t xml:space="preserve"> </w:t>
      </w:r>
      <w:r>
        <w:t xml:space="preserve">So beginnt dieser bei einem Jahr Trainingsdaten bereits im März 2000, bei zehn Jahren dagegen erst im November 2008.</w:t>
      </w:r>
      <w:r>
        <w:t xml:space="preserve"> </w:t>
      </w:r>
      <w:r>
        <w:t xml:space="preserve">Der lange Lauf schließt damit den Einbruch der Finanzkrise aus und deckt im Wesentlichen nur die anschließende Erholung ab.</w:t>
      </w:r>
      <w:r>
        <w:t xml:space="preserve"> </w:t>
      </w:r>
      <w:r>
        <w:t xml:space="preserve">Diese Unterschiede führen dazu, dass die Ergebnisse durch die jeweils abgedeckten Marktphasen beeinflusst werden, wodurch die Vergleichbarkeit eingeschränkt wird.</w:t>
      </w:r>
      <w:r>
        <w:t xml:space="preserve"> </w:t>
      </w:r>
      <w:r>
        <w:t xml:space="preserve">Sämtliche Vergleiche über Trainingsfenster und Prognosehorizonte werden daher auf dem gemeinsamen Bewertungszeitraum ab dem 01.01.2010 gerechnet, sodass alle Testzeiträume rund 4.280 Handelstage umfassen und alle Ergebnisse über die gleichen Marktphasen bestimmt werden.</w:t>
      </w:r>
      <w:r>
        <w:t xml:space="preserve"> </w:t>
      </w:r>
      <w:r>
        <w:t xml:space="preserve">Der Basisfall wird zusätzlich zuerst über seine volle verfügbare Historie ab Februar 2003 berichtet, da sich die Frage der Vergleichbarkeit dort nicht stellt.</w:t>
      </w:r>
      <w:r>
        <w:t xml:space="preserve"> </w:t>
      </w:r>
      <w:r>
        <w:t xml:space="preserve">Wie weit beide Rechnungen auseinanderliegen zeigt der</w:t>
      </w:r>
      <w:r>
        <w:t xml:space="preserve"> </w:t>
      </w:r>
      <w:hyperlink w:anchor="sec:strukturbruch">
        <w:r>
          <w:rPr>
            <w:rStyle w:val="Hyperlink"/>
          </w:rPr>
          <w:t xml:space="preserve">Abschnitt zur Robustheit</w:t>
        </w:r>
      </w:hyperlink>
      <w:r>
        <w:t xml:space="preserve">.</w:t>
      </w:r>
    </w:p>
    <w:bookmarkEnd w:id="15"/>
    <w:bookmarkStart w:id="19" w:name="subsec:kovarianz"/>
    <w:p>
      <w:pPr>
        <w:pStyle w:val="Heading2"/>
      </w:pPr>
      <w:r>
        <w:t xml:space="preserve">Kovarianzschätzer</w:t>
      </w:r>
    </w:p>
    <w:p>
      <w:pPr>
        <w:pStyle w:val="FirstParagraph"/>
      </w:pPr>
      <w:r>
        <w:t xml:space="preserve">Verglichen werden drei Schätzer der bedingten Kovarianzmatrix, die eine aufsteigende Leiter an Dynamik abbilden.</w:t>
      </w:r>
      <w:r>
        <w:t xml:space="preserve"> </w:t>
      </w:r>
      <w:r>
        <w:t xml:space="preserve">Den Ausgangspunkt bildet der statische historische Schätzer, der zunächst um eine zeitvariable Varianz im GARCH-Modell und anschließend um eine dynamische Korrelation im DCC-GARCH-Modell erweitert wird.</w:t>
      </w:r>
      <w:r>
        <w:t xml:space="preserve"> </w:t>
      </w:r>
      <w:r>
        <w:t xml:space="preserve">Da jeder Schritt genau eine Annahme aufhebt, lässt sich der Beitrag der jeweiligen Komponente isoliert bewerten.</w:t>
      </w:r>
    </w:p>
    <w:bookmarkStart w:id="16" w:name="historische-kovarianzmatrix"/>
    <w:p>
      <w:pPr>
        <w:pStyle w:val="Heading4"/>
      </w:pPr>
      <w:r>
        <w:t xml:space="preserve">Historische Kovarianzmatrix:</w:t>
      </w:r>
    </w:p>
    <w:p>
      <w:pPr>
        <w:pStyle w:val="FirstParagraph"/>
      </w:pPr>
      <w:r>
        <w:t xml:space="preserve">Verwendet wird zunächst die Stichprobenkovarianz der Trainingsrenditen, in der die Annahme konstanter Varianzen und Korrelationen über das gesamte Fenster unverändert erhalten bleibt.</w:t>
      </w:r>
    </w:p>
    <w:p>
      <w:pPr>
        <w:pStyle w:val="BodyText"/>
      </w:pPr>
      <w:r>
        <w:t xml:space="preserve">Der Vorteil dieses Schätzers liegt in seiner Einfachheit, da er keine Parameterschätzung im engeren Sinn benötigt und deshalb weder von Konvergenzproblemen noch von einer Fehlspezifikation der Dynamik betroffen sein kann.</w:t>
      </w:r>
      <w:r>
        <w:t xml:space="preserve"> </w:t>
      </w:r>
      <w:r>
        <w:t xml:space="preserve">Dem steht seine Trägheit gegenüber, weil ein Volatilitätsschock nur mit einem geringen Gewicht in die Schätzung eingeht und erst nach</w:t>
      </w:r>
      <w:r>
        <w:t xml:space="preserve"> </w:t>
      </w:r>
      <m:oMath>
        <m:r>
          <m:t>T</m:t>
        </m:r>
      </m:oMath>
      <w:r>
        <w:t xml:space="preserve"> </w:t>
      </w:r>
      <w:r>
        <w:t xml:space="preserve">Handelstagen wieder aus ihr verschwindet.</w:t>
      </w:r>
      <w:r>
        <w:t xml:space="preserve"> </w:t>
      </w:r>
      <w:r>
        <w:t xml:space="preserve">Aus diesen Gründen dient die historische Matrix in dieser Arbeit als statischer Referenzpunkt, gegen den der Mehrwert der beiden dynamischen Modelle gemessen wird.</w:t>
      </w:r>
    </w:p>
    <w:bookmarkEnd w:id="16"/>
    <w:bookmarkStart w:id="17" w:name="X17ff21e1a5b48ed47e984bf33060bf13a46fa5e"/>
    <w:p>
      <w:pPr>
        <w:pStyle w:val="Heading4"/>
      </w:pPr>
      <w:r>
        <w:t xml:space="preserve">Generalized Autoregressive Conditional Heteroskedasticity (GARCH):</w:t>
      </w:r>
    </w:p>
    <w:p>
      <w:pPr>
        <w:pStyle w:val="FirstParagraph"/>
      </w:pPr>
      <w:r>
        <w:t xml:space="preserve">Das GARCH-Modell wurde im Jahr</w:t>
      </w:r>
      <w:r>
        <w:t xml:space="preserve"> </w:t>
      </w:r>
      <w:r>
        <w:t xml:space="preserve">(1986)</w:t>
      </w:r>
      <w:r>
        <w:t xml:space="preserve"> </w:t>
      </w:r>
      <w:r>
        <w:t xml:space="preserve">von</w:t>
      </w:r>
      <w:r>
        <w:t xml:space="preserve"> </w:t>
      </w:r>
      <w:r>
        <w:t xml:space="preserve">Bollerslev (1986)</w:t>
      </w:r>
      <w:r>
        <w:t xml:space="preserve"> </w:t>
      </w:r>
      <w:r>
        <w:t xml:space="preserve">vorgestellt und verallgemeinert das ARCH-Modell, mit dem</w:t>
      </w:r>
      <w:r>
        <w:t xml:space="preserve"> </w:t>
      </w:r>
      <w:r>
        <w:t xml:space="preserve">Engle (1982)</w:t>
      </w:r>
      <w:r>
        <w:t xml:space="preserve"> </w:t>
      </w:r>
      <w:r>
        <w:t xml:space="preserve">die zeitvariable Varianz von Finanzzeitreihen erstmals ökonometrisch erfasst hatte.</w:t>
      </w:r>
      <w:r>
        <w:t xml:space="preserve"> </w:t>
      </w:r>
      <w:r>
        <w:t xml:space="preserve">Beide Modelle greifen die Beobachtung auf, dass große Kursausschläge gehäuft auftreten und weitere große Ausschläge nach sich ziehen, was der historische Schätzer per Konstruktion ignoriert.</w:t>
      </w:r>
      <w:r>
        <w:t xml:space="preserve"> </w:t>
      </w:r>
      <w:r>
        <w:t xml:space="preserve">Der Grundgedanke besteht darin, die Varianz nicht als Konstante, sondern als bedingte Größe zu behandeln, die aus der Information bis zur Vorperiode fortgeschrieben wird.</w:t>
      </w:r>
    </w:p>
    <w:p>
      <w:pPr>
        <w:pStyle w:val="BodyText"/>
      </w:pPr>
      <w:r>
        <w:t xml:space="preserve">Ein GARCH(1,1) beschreibt die Rendite als Summe aus einem konstanten Mittelwert und einem Störterm, dessen Varianz einer eigenen Rekursion folgt.</w:t>
      </w:r>
    </w:p>
    <w:p>
      <w:pPr>
        <w:pStyle w:val="BodyText"/>
      </w:pPr>
      <m:oMathPara>
        <m:oMathParaPr>
          <m:jc m:val="center"/>
        </m:oMathParaPr>
        <m:oMath>
          <m:eqArr>
            <m:e>
              <m:sSub>
                <m:e>
                  <m:r>
                    <m:t>r</m:t>
                  </m:r>
                </m:e>
                <m:sub>
                  <m:r>
                    <m:t>t</m:t>
                  </m:r>
                </m:sub>
              </m:sSub>
              <m:r>
                <m:t>&amp;</m:t>
              </m:r>
              <m:r>
                <m:rPr>
                  <m:sty m:val="p"/>
                </m:rPr>
                <m:t>=</m:t>
              </m:r>
              <m:r>
                <m:t>μ</m:t>
              </m:r>
              <m:r>
                <m:rPr>
                  <m:sty m:val="p"/>
                </m:rPr>
                <m:t>+</m:t>
              </m:r>
              <m:sSub>
                <m:e>
                  <m:r>
                    <m:t>ε</m:t>
                  </m:r>
                </m:e>
                <m:sub>
                  <m:r>
                    <m:t>t</m:t>
                  </m:r>
                </m:sub>
              </m:sSub>
            </m:e>
            <m:e>
              <m:sSub>
                <m:e>
                  <m:r>
                    <m:t>ε</m:t>
                  </m:r>
                </m:e>
                <m:sub>
                  <m:r>
                    <m:t>t</m:t>
                  </m:r>
                </m:sub>
              </m:sSub>
              <m:r>
                <m:t>&amp;</m:t>
              </m:r>
              <m:r>
                <m:rPr>
                  <m:sty m:val="p"/>
                </m:rPr>
                <m:t>=</m:t>
              </m:r>
              <m:rad>
                <m:radPr>
                  <m:degHide m:val="on"/>
                </m:radPr>
                <m:deg/>
                <m:e>
                  <m:sSub>
                    <m:e>
                      <m:r>
                        <m:t>h</m:t>
                      </m:r>
                    </m:e>
                    <m:sub>
                      <m:r>
                        <m:t>t</m:t>
                      </m:r>
                    </m:sub>
                  </m:sSub>
                </m:e>
              </m:rad>
              <m:r>
                <m:t> </m:t>
              </m:r>
              <m:sSub>
                <m:e>
                  <m:r>
                    <m:t>z</m:t>
                  </m:r>
                </m:e>
                <m:sub>
                  <m:r>
                    <m:t>t</m:t>
                  </m:r>
                </m:sub>
              </m:sSub>
              <m:r>
                <m:rPr>
                  <m:sty m:val="p"/>
                </m:rPr>
                <m:t>,</m:t>
              </m:r>
              <m:r>
                <m:t>  </m:t>
              </m:r>
              <m:sSub>
                <m:e>
                  <m:r>
                    <m:t>z</m:t>
                  </m:r>
                </m:e>
                <m:sub>
                  <m:r>
                    <m:t>t</m:t>
                  </m:r>
                </m:sub>
              </m:sSub>
              <m:r>
                <m:rPr>
                  <m:sty m:val="p"/>
                </m:rPr>
                <m:t>∼</m:t>
              </m:r>
              <m:r>
                <m:rPr>
                  <m:scr m:val="script"/>
                  <m:sty m:val="p"/>
                </m:rPr>
                <m:t>N</m:t>
              </m:r>
              <m:r>
                <m:rPr>
                  <m:sty m:val="p"/>
                </m:rPr>
                <m:t>(</m:t>
              </m:r>
              <m:r>
                <m:t>0</m:t>
              </m:r>
              <m:r>
                <m:rPr>
                  <m:sty m:val="p"/>
                </m:rPr>
                <m:t>,</m:t>
              </m:r>
              <m:r>
                <m:t>1</m:t>
              </m:r>
              <m:r>
                <m:rPr>
                  <m:sty m:val="p"/>
                </m:rPr>
                <m:t>)</m:t>
              </m:r>
            </m:e>
            <m:e>
              <m:sSub>
                <m:e>
                  <m:r>
                    <m:t>h</m:t>
                  </m:r>
                </m:e>
                <m:sub>
                  <m:r>
                    <m:t>t</m:t>
                  </m:r>
                </m:sub>
              </m:sSub>
              <m:r>
                <m:t>&amp;</m:t>
              </m:r>
              <m:r>
                <m:rPr>
                  <m:sty m:val="p"/>
                </m:rPr>
                <m:t>=</m:t>
              </m:r>
              <m:r>
                <m:t>ω</m:t>
              </m:r>
              <m:r>
                <m:rPr>
                  <m:sty m:val="p"/>
                </m:rPr>
                <m:t>+</m:t>
              </m:r>
              <m:r>
                <m:t>α</m:t>
              </m:r>
              <m:r>
                <m:t> </m:t>
              </m:r>
              <m:sSubSup>
                <m:e>
                  <m:r>
                    <m:t>ε</m:t>
                  </m:r>
                </m:e>
                <m:sub>
                  <m:r>
                    <m:t>t</m:t>
                  </m:r>
                  <m:r>
                    <m:rPr>
                      <m:sty m:val="p"/>
                    </m:rPr>
                    <m:t>−</m:t>
                  </m:r>
                  <m:r>
                    <m:t>1</m:t>
                  </m:r>
                </m:sub>
                <m:sup>
                  <m:r>
                    <m:t>2</m:t>
                  </m:r>
                </m:sup>
              </m:sSubSup>
              <m:r>
                <m:rPr>
                  <m:sty m:val="p"/>
                </m:rPr>
                <m:t>+</m:t>
              </m:r>
              <m:r>
                <m:t>β</m:t>
              </m:r>
              <m:r>
                <m:t> </m:t>
              </m:r>
              <m:sSub>
                <m:e>
                  <m:r>
                    <m:t>h</m:t>
                  </m:r>
                </m:e>
                <m:sub>
                  <m:r>
                    <m:t>t</m:t>
                  </m:r>
                  <m:r>
                    <m:rPr>
                      <m:sty m:val="p"/>
                    </m:rPr>
                    <m:t>−</m:t>
                  </m:r>
                  <m:r>
                    <m:t>1</m:t>
                  </m:r>
                </m:sub>
              </m:sSub>
            </m:e>
          </m:eqArr>
        </m:oMath>
      </m:oMathPara>
    </w:p>
    <w:p>
      <w:pPr>
        <w:pStyle w:val="FirstParagraph"/>
      </w:pPr>
      <w:r>
        <w:t xml:space="preserve">Die bedingte Varianz</w:t>
      </w:r>
      <w:r>
        <w:t xml:space="preserve"> </w:t>
      </w:r>
      <m:oMath>
        <m:sSub>
          <m:e>
            <m:r>
              <m:t>h</m:t>
            </m:r>
          </m:e>
          <m:sub>
            <m:r>
              <m:t>t</m:t>
            </m:r>
          </m:sub>
        </m:sSub>
      </m:oMath>
      <w:r>
        <w:t xml:space="preserve"> </w:t>
      </w:r>
      <w:r>
        <w:t xml:space="preserve">setzt sich damit aus drei Bestandteilen zusammen (</w:t>
      </w:r>
      <w:hyperlink w:anchor="eq:garch-3">
        <w:r>
          <w:rPr>
            <w:rStyle w:val="Hyperlink"/>
          </w:rPr>
          <w:t xml:space="preserve">Gleichung </w:t>
        </w:r>
        <w:hyperlink w:anchor="eq:garch-3">
          <w:r>
            <w:rPr>
              <w:rStyle w:val="Hyperlink"/>
            </w:rPr>
            <w:t xml:space="preserve">[eq:garch-3]</w:t>
          </w:r>
        </w:hyperlink>
      </w:hyperlink>
      <w:r>
        <w:t xml:space="preserve">).</w:t>
      </w:r>
      <w:r>
        <w:t xml:space="preserve"> </w:t>
      </w:r>
      <w:r>
        <w:t xml:space="preserve">Die Konstante</w:t>
      </w:r>
      <w:r>
        <w:t xml:space="preserve"> </w:t>
      </w:r>
      <m:oMath>
        <m:r>
          <m:t>ω</m:t>
        </m:r>
      </m:oMath>
      <w:r>
        <w:t xml:space="preserve"> </w:t>
      </w:r>
      <w:r>
        <w:t xml:space="preserve">verankert das langfristige Varianzniveau, während</w:t>
      </w:r>
      <w:r>
        <w:t xml:space="preserve"> </w:t>
      </w:r>
      <m:oMath>
        <m:r>
          <m:t>α</m:t>
        </m:r>
      </m:oMath>
      <w:r>
        <w:t xml:space="preserve"> </w:t>
      </w:r>
      <w:r>
        <w:t xml:space="preserve">steuert, wie stark ein neuer Schock die Varianz bewegt, und</w:t>
      </w:r>
      <w:r>
        <w:t xml:space="preserve"> </w:t>
      </w:r>
      <m:oMath>
        <m:r>
          <m:t>β</m:t>
        </m:r>
      </m:oMath>
      <w:r>
        <w:t xml:space="preserve"> </w:t>
      </w:r>
      <w:r>
        <w:t xml:space="preserve">misst, wie lange dieser Einfluss anhält.</w:t>
      </w:r>
      <w:r>
        <w:t xml:space="preserve"> </w:t>
      </w:r>
      <w:r>
        <w:t xml:space="preserve">Damit die unbedingte Varianz existiert und der Prozess stationär bleibt, müssen</w:t>
      </w:r>
      <w:r>
        <w:t xml:space="preserve"> </w:t>
      </w:r>
      <m:oMath>
        <m:r>
          <m:t>ω</m:t>
        </m:r>
        <m:r>
          <m:rPr>
            <m:sty m:val="p"/>
          </m:rPr>
          <m:t>&gt;</m:t>
        </m:r>
        <m:r>
          <m:t>0</m:t>
        </m:r>
      </m:oMath>
      <w:r>
        <w:t xml:space="preserve">,</w:t>
      </w:r>
      <w:r>
        <w:t xml:space="preserve"> </w:t>
      </w:r>
      <m:oMath>
        <m:r>
          <m:t>α</m:t>
        </m:r>
        <m:r>
          <m:rPr>
            <m:sty m:val="p"/>
          </m:rPr>
          <m:t>,</m:t>
        </m:r>
        <m:r>
          <m:t>β</m:t>
        </m:r>
        <m:r>
          <m:rPr>
            <m:sty m:val="p"/>
          </m:rPr>
          <m:t>≥</m:t>
        </m:r>
        <m:r>
          <m:t>0</m:t>
        </m:r>
      </m:oMath>
      <w:r>
        <w:t xml:space="preserve"> </w:t>
      </w:r>
      <w:r>
        <w:t xml:space="preserve">sowie</w:t>
      </w:r>
      <w:r>
        <w:t xml:space="preserve"> </w:t>
      </w:r>
      <m:oMath>
        <m:r>
          <m:t>α</m:t>
        </m:r>
        <m:r>
          <m:rPr>
            <m:sty m:val="p"/>
          </m:rPr>
          <m:t>+</m:t>
        </m:r>
        <m:r>
          <m:t>β</m:t>
        </m:r>
        <m:r>
          <m:rPr>
            <m:sty m:val="p"/>
          </m:rPr>
          <m:t>&lt;</m:t>
        </m:r>
        <m:r>
          <m:t>1</m:t>
        </m:r>
      </m:oMath>
      <w:r>
        <w:t xml:space="preserve"> </w:t>
      </w:r>
      <w:r>
        <w:t xml:space="preserve">gelten</w:t>
      </w:r>
      <w:r>
        <w:t xml:space="preserve"> </w:t>
      </w:r>
      <w:r>
        <w:t xml:space="preserve">(Bollerslev 1986)</w:t>
      </w:r>
      <w:r>
        <w:t xml:space="preserve">.</w:t>
      </w:r>
    </w:p>
    <w:p>
      <w:pPr>
        <w:pStyle w:val="BodyText"/>
      </w:pPr>
      <w:r>
        <w:t xml:space="preserve">Da die Portfoliogewichte nicht nur für den Folgetag, sondern für die kommenden</w:t>
      </w:r>
      <w:r>
        <w:t xml:space="preserve"> </w:t>
      </w:r>
      <m:oMath>
        <m:r>
          <m:t>h</m:t>
        </m:r>
      </m:oMath>
      <w:r>
        <w:t xml:space="preserve"> </w:t>
      </w:r>
      <w:r>
        <w:t xml:space="preserve">Handelstage gelten, wird die Rekursion über den Horizont fortgeschrieben und anschließend gemittelt.</w:t>
      </w:r>
      <w:r>
        <w:t xml:space="preserve"> </w:t>
      </w:r>
      <w:r>
        <w:t xml:space="preserve">Weil der erwartete quadrierte Schock der bedingten Varianz entspricht, vereinfacht sich die Fortschreibung ab dem zweiten Schritt zu einer Konvergenz gegen die unbedingte Varianz.</w:t>
      </w:r>
    </w:p>
    <w:p>
      <w:pPr>
        <w:pStyle w:val="BodyText"/>
      </w:pPr>
      <m:oMathPara>
        <m:oMathParaPr>
          <m:jc m:val="center"/>
        </m:oMathParaPr>
        <m:oMath>
          <m:eqArr>
            <m:e>
              <m:sSub>
                <m:e>
                  <m:r>
                    <m:rPr>
                      <m:sty m:val="p"/>
                    </m:rPr>
                    <m:t>E</m:t>
                  </m:r>
                </m:e>
                <m:sub>
                  <m:r>
                    <m:t>t</m:t>
                  </m:r>
                </m:sub>
              </m:sSub>
              <m:r>
                <m:rPr>
                  <m:sty m:val="p"/>
                </m:rPr>
                <m:t>[</m:t>
              </m:r>
              <m:sSub>
                <m:e>
                  <m:r>
                    <m:t>h</m:t>
                  </m:r>
                </m:e>
                <m:sub>
                  <m:r>
                    <m:t>t</m:t>
                  </m:r>
                  <m:r>
                    <m:rPr>
                      <m:sty m:val="p"/>
                    </m:rPr>
                    <m:t>+</m:t>
                  </m:r>
                  <m:r>
                    <m:t>k</m:t>
                  </m:r>
                </m:sub>
              </m:sSub>
              <m:r>
                <m:rPr>
                  <m:sty m:val="p"/>
                </m:rPr>
                <m:t>]</m:t>
              </m:r>
              <m:r>
                <m:t>&amp;</m:t>
              </m:r>
              <m:r>
                <m:rPr>
                  <m:sty m:val="p"/>
                </m:rPr>
                <m:t>=</m:t>
              </m:r>
              <m:r>
                <m:t>ω</m:t>
              </m:r>
              <m:r>
                <m:rPr>
                  <m:sty m:val="p"/>
                </m:rPr>
                <m:t>+</m:t>
              </m:r>
              <m:r>
                <m:rPr>
                  <m:sty m:val="p"/>
                </m:rPr>
                <m:t>(</m:t>
              </m:r>
              <m:r>
                <m:t>α</m:t>
              </m:r>
              <m:r>
                <m:rPr>
                  <m:sty m:val="p"/>
                </m:rPr>
                <m:t>+</m:t>
              </m:r>
              <m:r>
                <m:t>β</m:t>
              </m:r>
              <m:r>
                <m:rPr>
                  <m:sty m:val="p"/>
                </m:rPr>
                <m:t>)</m:t>
              </m:r>
              <m:r>
                <m:t> </m:t>
              </m:r>
              <m:sSub>
                <m:e>
                  <m:r>
                    <m:rPr>
                      <m:sty m:val="p"/>
                    </m:rPr>
                    <m:t>E</m:t>
                  </m:r>
                </m:e>
                <m:sub>
                  <m:r>
                    <m:t>t</m:t>
                  </m:r>
                </m:sub>
              </m:sSub>
              <m:r>
                <m:rPr>
                  <m:sty m:val="p"/>
                </m:rPr>
                <m:t>[</m:t>
              </m:r>
              <m:sSub>
                <m:e>
                  <m:r>
                    <m:t>h</m:t>
                  </m:r>
                </m:e>
                <m:sub>
                  <m:r>
                    <m:t>t</m:t>
                  </m:r>
                  <m:r>
                    <m:rPr>
                      <m:sty m:val="p"/>
                    </m:rPr>
                    <m:t>+</m:t>
                  </m:r>
                  <m:r>
                    <m:t>k</m:t>
                  </m:r>
                  <m:r>
                    <m:rPr>
                      <m:sty m:val="p"/>
                    </m:rPr>
                    <m:t>−</m:t>
                  </m:r>
                  <m:r>
                    <m:t>1</m:t>
                  </m:r>
                </m:sub>
              </m:sSub>
              <m:r>
                <m:rPr>
                  <m:sty m:val="p"/>
                </m:rPr>
                <m:t>]</m:t>
              </m:r>
              <m:r>
                <m:rPr>
                  <m:sty m:val="p"/>
                </m:rPr>
                <m:t>,</m:t>
              </m:r>
              <m:r>
                <m:t>  </m:t>
              </m:r>
              <m:r>
                <m:t>k</m:t>
              </m:r>
              <m:r>
                <m:rPr>
                  <m:sty m:val="p"/>
                </m:rPr>
                <m:t>≥</m:t>
              </m:r>
              <m:r>
                <m:t>2</m:t>
              </m:r>
            </m:e>
            <m:e>
              <m:sSub>
                <m:e>
                  <m:acc>
                    <m:accPr>
                      <m:chr m:val="‾"/>
                    </m:accPr>
                    <m:e>
                      <m:r>
                        <m:t>h</m:t>
                      </m:r>
                    </m:e>
                  </m:acc>
                </m:e>
                <m:sub>
                  <m:r>
                    <m:t>t</m:t>
                  </m:r>
                  <m:r>
                    <m:rPr>
                      <m:sty m:val="p"/>
                    </m:rPr>
                    <m:t>,</m:t>
                  </m:r>
                  <m:r>
                    <m:t>h</m:t>
                  </m:r>
                </m:sub>
              </m:sSub>
              <m:r>
                <m:t>&amp;</m:t>
              </m:r>
              <m:r>
                <m:rPr>
                  <m:sty m:val="p"/>
                </m:rPr>
                <m:t>=</m:t>
              </m:r>
              <m:f>
                <m:fPr>
                  <m:type m:val="bar"/>
                </m:fPr>
                <m:num>
                  <m:r>
                    <m:t>1</m:t>
                  </m:r>
                </m:num>
                <m:den>
                  <m:r>
                    <m:t>h</m:t>
                  </m:r>
                </m:den>
              </m:f>
              <m:nary>
                <m:naryPr>
                  <m:chr m:val="∑"/>
                  <m:limLoc m:val="undOvr"/>
                  <m:subHide m:val="off"/>
                  <m:supHide m:val="off"/>
                </m:naryPr>
                <m:sub>
                  <m:r>
                    <m:t>k</m:t>
                  </m:r>
                  <m:r>
                    <m:rPr>
                      <m:sty m:val="p"/>
                    </m:rPr>
                    <m:t>=</m:t>
                  </m:r>
                  <m:r>
                    <m:t>1</m:t>
                  </m:r>
                </m:sub>
                <m:sup>
                  <m:r>
                    <m:t>h</m:t>
                  </m:r>
                </m:sup>
                <m:e>
                  <m:sSub>
                    <m:e>
                      <m:r>
                        <m:rPr>
                          <m:sty m:val="p"/>
                        </m:rPr>
                        <m:t>E</m:t>
                      </m:r>
                    </m:e>
                    <m:sub>
                      <m:r>
                        <m:t>t</m:t>
                      </m:r>
                    </m:sub>
                  </m:sSub>
                </m:e>
              </m:nary>
              <m:r>
                <m:rPr>
                  <m:sty m:val="p"/>
                </m:rPr>
                <m:t>[</m:t>
              </m:r>
              <m:sSub>
                <m:e>
                  <m:r>
                    <m:t>h</m:t>
                  </m:r>
                </m:e>
                <m:sub>
                  <m:r>
                    <m:t>t</m:t>
                  </m:r>
                  <m:r>
                    <m:rPr>
                      <m:sty m:val="p"/>
                    </m:rPr>
                    <m:t>+</m:t>
                  </m:r>
                  <m:r>
                    <m:t>k</m:t>
                  </m:r>
                </m:sub>
              </m:sSub>
              <m:r>
                <m:rPr>
                  <m:sty m:val="p"/>
                </m:rPr>
                <m:t>]</m:t>
              </m:r>
            </m:e>
          </m:eqArr>
        </m:oMath>
      </m:oMathPara>
    </w:p>
    <w:p>
      <w:pPr>
        <w:pStyle w:val="FirstParagraph"/>
      </w:pPr>
      <w:r>
        <w:t xml:space="preserve">Die horizontgemittelte Varianzprognose</w:t>
      </w:r>
      <w:r>
        <w:t xml:space="preserve"> </w:t>
      </w:r>
      <m:oMath>
        <m:sSub>
          <m:e>
            <m:acc>
              <m:accPr>
                <m:chr m:val="‾"/>
              </m:accPr>
              <m:e>
                <m:r>
                  <m:t>h</m:t>
                </m:r>
              </m:e>
            </m:acc>
          </m:e>
          <m:sub>
            <m:r>
              <m:t>t</m:t>
            </m:r>
            <m:r>
              <m:rPr>
                <m:sty m:val="p"/>
              </m:rPr>
              <m:t>,</m:t>
            </m:r>
            <m:r>
              <m:t>h</m:t>
            </m:r>
          </m:sub>
        </m:sSub>
      </m:oMath>
      <w:r>
        <w:t xml:space="preserve"> </w:t>
      </w:r>
      <w:r>
        <w:t xml:space="preserve">aus</w:t>
      </w:r>
      <w:r>
        <w:t xml:space="preserve"> </w:t>
      </w:r>
      <w:hyperlink w:anchor="eq:garch-fc-2">
        <w:r>
          <w:rPr>
            <w:rStyle w:val="Hyperlink"/>
          </w:rPr>
          <w:t xml:space="preserve">Gleichung </w:t>
        </w:r>
        <w:hyperlink w:anchor="eq:garch-fc-2">
          <w:r>
            <w:rPr>
              <w:rStyle w:val="Hyperlink"/>
            </w:rPr>
            <w:t xml:space="preserve">[eq:garch-fc-2]</w:t>
          </w:r>
        </w:hyperlink>
      </w:hyperlink>
      <w:r>
        <w:t xml:space="preserve"> </w:t>
      </w:r>
      <w:r>
        <w:t xml:space="preserve">geht als Diagonalelement in die Kovarianzmatrix ein.</w:t>
      </w:r>
    </w:p>
    <w:p>
      <w:pPr>
        <w:pStyle w:val="BodyText"/>
      </w:pPr>
      <w:r>
        <w:t xml:space="preserve">Für ein Portfolio genügt die Modellierung der einzelnen Varianzen allerdings nicht, da für die Gewichte die vollständige Kovarianzmatrix benötigt wird.</w:t>
      </w:r>
      <w:r>
        <w:t xml:space="preserve"> </w:t>
      </w:r>
      <w:r>
        <w:t xml:space="preserve">Die Umsetzung folgt deshalb dem Constant-Conditional-Correlation-Ansatz (CCC) von</w:t>
      </w:r>
      <w:r>
        <w:t xml:space="preserve"> </w:t>
      </w:r>
      <w:r>
        <w:t xml:space="preserve">Bollerslev (1990)</w:t>
      </w:r>
      <w:r>
        <w:t xml:space="preserve">, bei dem für jeden Sektor ein eigenes GARCH(1,1) geschätzt, die Korrelationsmatrix dagegen konstant gehalten wird:</w:t>
      </w:r>
    </w:p>
    <w:p>
      <w:pPr>
        <w:pStyle w:val="BodyText"/>
      </w:pPr>
      <m:oMathPara>
        <m:oMathParaPr>
          <m:jc m:val="center"/>
        </m:oMathParaPr>
        <m:oMath>
          <m:sSub>
            <m:e>
              <m:r>
                <m:rPr>
                  <m:sty m:val="p"/>
                </m:rPr>
                <m:t>Σ</m:t>
              </m:r>
            </m:e>
            <m:sub>
              <m:r>
                <m:t>t</m:t>
              </m:r>
            </m:sub>
          </m:sSub>
          <m:r>
            <m:rPr>
              <m:sty m:val="p"/>
            </m:rPr>
            <m:t>=</m:t>
          </m:r>
          <m:sSub>
            <m:e>
              <m:r>
                <m:t>D</m:t>
              </m:r>
            </m:e>
            <m:sub>
              <m:r>
                <m:t>t</m:t>
              </m:r>
            </m:sub>
          </m:sSub>
          <m:r>
            <m:t> </m:t>
          </m:r>
          <m:r>
            <m:t>R</m:t>
          </m:r>
          <m:r>
            <m:t> </m:t>
          </m:r>
          <m:sSub>
            <m:e>
              <m:r>
                <m:t>D</m:t>
              </m:r>
            </m:e>
            <m:sub>
              <m:r>
                <m:t>t</m:t>
              </m:r>
            </m:sub>
          </m:sSub>
          <m:r>
            <m:rPr>
              <m:sty m:val="p"/>
            </m:rPr>
            <m:t>,</m:t>
          </m:r>
          <m:r>
            <m:t>  </m:t>
          </m:r>
          <m:sSub>
            <m:e>
              <m:r>
                <m:t>D</m:t>
              </m:r>
            </m:e>
            <m:sub>
              <m:r>
                <m:t>t</m:t>
              </m:r>
            </m:sub>
          </m:sSub>
          <m:r>
            <m:rPr>
              <m:sty m:val="p"/>
            </m:rPr>
            <m:t>=</m:t>
          </m:r>
          <m:r>
            <m:rPr>
              <m:sty m:val="p"/>
            </m:rPr>
            <m:t>diag</m:t>
          </m:r>
          <m:d>
            <m:dPr>
              <m:begChr m:val="("/>
              <m:sepChr m:val=""/>
              <m:endChr m:val=")"/>
              <m:grow/>
            </m:dPr>
            <m:e>
              <m:rad>
                <m:radPr>
                  <m:degHide m:val="on"/>
                </m:radPr>
                <m:deg/>
                <m:e>
                  <m:sSub>
                    <m:e>
                      <m:acc>
                        <m:accPr>
                          <m:chr m:val="‾"/>
                        </m:accPr>
                        <m:e>
                          <m:r>
                            <m:t>h</m:t>
                          </m:r>
                        </m:e>
                      </m:acc>
                    </m:e>
                    <m:sub>
                      <m:r>
                        <m:t>1</m:t>
                      </m:r>
                    </m:sub>
                  </m:sSub>
                </m:e>
              </m:rad>
              <m:r>
                <m:rPr>
                  <m:sty m:val="p"/>
                </m:rPr>
                <m:t>,</m:t>
              </m:r>
              <m:r>
                <m:rPr>
                  <m:sty m:val="p"/>
                </m:rPr>
                <m:t>…</m:t>
              </m:r>
              <m:r>
                <m:rPr>
                  <m:sty m:val="p"/>
                </m:rPr>
                <m:t>,</m:t>
              </m:r>
              <m:rad>
                <m:radPr>
                  <m:degHide m:val="on"/>
                </m:radPr>
                <m:deg/>
                <m:e>
                  <m:sSub>
                    <m:e>
                      <m:acc>
                        <m:accPr>
                          <m:chr m:val="‾"/>
                        </m:accPr>
                        <m:e>
                          <m:r>
                            <m:t>h</m:t>
                          </m:r>
                        </m:e>
                      </m:acc>
                    </m:e>
                    <m:sub>
                      <m:r>
                        <m:t>N</m:t>
                      </m:r>
                    </m:sub>
                  </m:sSub>
                </m:e>
              </m:rad>
            </m:e>
          </m:d>
        </m:oMath>
      </m:oMathPara>
    </w:p>
    <w:p>
      <w:pPr>
        <w:pStyle w:val="FirstParagraph"/>
      </w:pPr>
      <w:r>
        <w:t xml:space="preserve">Die Diagonalmatrix</w:t>
      </w:r>
      <w:r>
        <w:t xml:space="preserve"> </w:t>
      </w:r>
      <m:oMath>
        <m:sSub>
          <m:e>
            <m:r>
              <m:t>D</m:t>
            </m:r>
          </m:e>
          <m:sub>
            <m:r>
              <m:t>t</m:t>
            </m:r>
          </m:sub>
        </m:sSub>
      </m:oMath>
      <w:r>
        <w:t xml:space="preserve"> </w:t>
      </w:r>
      <w:r>
        <w:t xml:space="preserve">enthält die prognostizierten Standardabweichungen der</w:t>
      </w:r>
      <w:r>
        <w:t xml:space="preserve"> </w:t>
      </w:r>
      <m:oMath>
        <m:r>
          <m:t>N</m:t>
        </m:r>
      </m:oMath>
      <w:r>
        <w:t xml:space="preserve"> </w:t>
      </w:r>
      <w:r>
        <w:t xml:space="preserve">Sektoren, während</w:t>
      </w:r>
      <w:r>
        <w:t xml:space="preserve"> </w:t>
      </w:r>
      <m:oMath>
        <m:r>
          <m:t>R</m:t>
        </m:r>
      </m:oMath>
      <w:r>
        <w:t xml:space="preserve"> </w:t>
      </w:r>
      <w:r>
        <w:t xml:space="preserve">als Stichprobenkorrelation der standardisierten Residuen</w:t>
      </w:r>
      <w:r>
        <w:t xml:space="preserve"> </w:t>
      </w:r>
      <m:oMath>
        <m:sSub>
          <m:e>
            <m:r>
              <m:t>z</m:t>
            </m:r>
          </m:e>
          <m:sub>
            <m:r>
              <m:t>t</m:t>
            </m:r>
          </m:sub>
        </m:sSub>
      </m:oMath>
      <w:r>
        <w:t xml:space="preserve"> </w:t>
      </w:r>
      <w:r>
        <w:t xml:space="preserve">aus</w:t>
      </w:r>
      <w:r>
        <w:t xml:space="preserve"> </w:t>
      </w:r>
      <w:hyperlink w:anchor="eq:garch-2">
        <w:r>
          <w:rPr>
            <w:rStyle w:val="Hyperlink"/>
          </w:rPr>
          <w:t xml:space="preserve">Gleichung </w:t>
        </w:r>
        <w:hyperlink w:anchor="eq:garch-2">
          <w:r>
            <w:rPr>
              <w:rStyle w:val="Hyperlink"/>
            </w:rPr>
            <w:t xml:space="preserve">[eq:garch-2]</w:t>
          </w:r>
        </w:hyperlink>
      </w:hyperlink>
      <w:r>
        <w:t xml:space="preserve"> </w:t>
      </w:r>
      <w:r>
        <w:t xml:space="preserve">geschätzt wird.</w:t>
      </w:r>
      <w:r>
        <w:t xml:space="preserve"> </w:t>
      </w:r>
      <w:r>
        <w:t xml:space="preserve">Diese werden statt der Rohrenditen verwendet, da in ihnen die Volatilitätscluster bereits herausgefiltert sind und Tage hoher Volatilität die Korrelationsschätzung sonst verzerren würden.</w:t>
      </w:r>
      <w:r>
        <w:t xml:space="preserve"> </w:t>
      </w:r>
      <w:r>
        <w:t xml:space="preserve">Gegenüber der historischen Matrix ändert sich damit ausschließlich die Behandlung der Varianzen, wodurch der Vergleich beider Schätzer den Beitrag der dynamischen Volatilität isoliert.</w:t>
      </w:r>
    </w:p>
    <w:bookmarkEnd w:id="17"/>
    <w:bookmarkStart w:id="18" w:name="X7d5f0b1873ab8d689fd81d680a0589de13ee572"/>
    <w:p>
      <w:pPr>
        <w:pStyle w:val="Heading4"/>
      </w:pPr>
      <w:r>
        <w:t xml:space="preserve">Dynamic Conditional Correlation (DCC-GARCH):</w:t>
      </w:r>
    </w:p>
    <w:p>
      <w:pPr>
        <w:pStyle w:val="FirstParagraph"/>
      </w:pPr>
      <w:r>
        <w:t xml:space="preserve">Da das GARCH-Modell weiterhin von einer konstanten Korrelation ausgeht, die in der Realität nur selten vorliegt, entwickelte</w:t>
      </w:r>
      <w:r>
        <w:t xml:space="preserve"> </w:t>
      </w:r>
      <w:r>
        <w:t xml:space="preserve">Engle (2002)</w:t>
      </w:r>
      <w:r>
        <w:t xml:space="preserve"> </w:t>
      </w:r>
      <w:r>
        <w:t xml:space="preserve">mit dem DCC-GARCH-Modell eine Erweiterung, die auch diese Restriktion aufhebt.</w:t>
      </w:r>
      <w:r>
        <w:t xml:space="preserve"> </w:t>
      </w:r>
      <w:r>
        <w:t xml:space="preserve">Engle (2002)</w:t>
      </w:r>
      <w:r>
        <w:t xml:space="preserve"> </w:t>
      </w:r>
      <w:r>
        <w:t xml:space="preserve">überträgt dafür die Rekursion aus</w:t>
      </w:r>
      <w:r>
        <w:t xml:space="preserve"> </w:t>
      </w:r>
      <w:hyperlink w:anchor="eq:garch-3">
        <w:r>
          <w:rPr>
            <w:rStyle w:val="Hyperlink"/>
          </w:rPr>
          <w:t xml:space="preserve">Gleichung </w:t>
        </w:r>
        <w:hyperlink w:anchor="eq:garch-3">
          <w:r>
            <w:rPr>
              <w:rStyle w:val="Hyperlink"/>
            </w:rPr>
            <w:t xml:space="preserve">[eq:garch-3]</w:t>
          </w:r>
        </w:hyperlink>
      </w:hyperlink>
      <w:r>
        <w:t xml:space="preserve"> </w:t>
      </w:r>
      <w:r>
        <w:t xml:space="preserve">auf die Korrelation selbst und erhält so eine vollständig zeitvariable Kovarianzprognose.</w:t>
      </w:r>
    </w:p>
    <w:p>
      <w:pPr>
        <w:pStyle w:val="BodyText"/>
      </w:pPr>
      <w:r>
        <w:t xml:space="preserve">Modelliert wird dabei zunächst eine Hilfsmatrix</w:t>
      </w:r>
      <w:r>
        <w:t xml:space="preserve"> </w:t>
      </w:r>
      <m:oMath>
        <m:sSub>
          <m:e>
            <m:r>
              <m:t>Q</m:t>
            </m:r>
          </m:e>
          <m:sub>
            <m:r>
              <m:t>t</m:t>
            </m:r>
          </m:sub>
        </m:sSub>
      </m:oMath>
      <w:r>
        <w:t xml:space="preserve">, die anschließend zu einer gültigen Korrelationsmatrix normiert wird.</w:t>
      </w:r>
    </w:p>
    <w:p>
      <w:pPr>
        <w:pStyle w:val="BodyText"/>
      </w:pPr>
      <m:oMathPara>
        <m:oMathParaPr>
          <m:jc m:val="center"/>
        </m:oMathParaPr>
        <m:oMath>
          <m:eqArr>
            <m:e>
              <m:sSub>
                <m:e>
                  <m:r>
                    <m:t>Q</m:t>
                  </m:r>
                </m:e>
                <m:sub>
                  <m:r>
                    <m:t>t</m:t>
                  </m:r>
                </m:sub>
              </m:sSub>
              <m:r>
                <m:t>&amp;</m:t>
              </m:r>
              <m:r>
                <m:rPr>
                  <m:sty m:val="p"/>
                </m:rPr>
                <m:t>=</m:t>
              </m:r>
              <m:r>
                <m:rPr>
                  <m:sty m:val="p"/>
                </m:rPr>
                <m:t>(</m:t>
              </m:r>
              <m:r>
                <m:t>1</m:t>
              </m:r>
              <m:r>
                <m:rPr>
                  <m:sty m:val="p"/>
                </m:rPr>
                <m:t>−</m:t>
              </m:r>
              <m:r>
                <m:t>a</m:t>
              </m:r>
              <m:r>
                <m:rPr>
                  <m:sty m:val="p"/>
                </m:rPr>
                <m:t>−</m:t>
              </m:r>
              <m:r>
                <m:t>b</m:t>
              </m:r>
              <m:r>
                <m:rPr>
                  <m:sty m:val="p"/>
                </m:rPr>
                <m:t>)</m:t>
              </m:r>
              <m:r>
                <m:t> </m:t>
              </m:r>
              <m:acc>
                <m:accPr>
                  <m:chr m:val="‾"/>
                </m:accPr>
                <m:e>
                  <m:r>
                    <m:t>Q</m:t>
                  </m:r>
                </m:e>
              </m:acc>
              <m:r>
                <m:rPr>
                  <m:sty m:val="p"/>
                </m:rPr>
                <m:t>+</m:t>
              </m:r>
              <m:r>
                <m:t>a</m:t>
              </m:r>
              <m:r>
                <m:t> </m:t>
              </m:r>
              <m:sSub>
                <m:e>
                  <m:r>
                    <m:t>z</m:t>
                  </m:r>
                </m:e>
                <m:sub>
                  <m:r>
                    <m:t>t</m:t>
                  </m:r>
                  <m:r>
                    <m:rPr>
                      <m:sty m:val="p"/>
                    </m:rPr>
                    <m:t>−</m:t>
                  </m:r>
                  <m:r>
                    <m:t>1</m:t>
                  </m:r>
                </m:sub>
              </m:sSub>
              <m:sSub>
                <m:e>
                  <m:r>
                    <m:t>z</m:t>
                  </m:r>
                </m:e>
                <m:sub>
                  <m:sSup>
                    <m:e>
                      <m:r>
                        <m:t>t</m:t>
                      </m:r>
                      <m:r>
                        <m:rPr>
                          <m:sty m:val="p"/>
                        </m:rPr>
                        <m:t>−</m:t>
                      </m:r>
                      <m:r>
                        <m:t>1</m:t>
                      </m:r>
                    </m:e>
                    <m:sup>
                      <m:r>
                        <m:rPr>
                          <m:sty m:val="p"/>
                        </m:rPr>
                        <m:t>′</m:t>
                      </m:r>
                    </m:sup>
                  </m:sSup>
                </m:sub>
              </m:sSub>
              <m:r>
                <m:rPr>
                  <m:sty m:val="p"/>
                </m:rPr>
                <m:t>+</m:t>
              </m:r>
              <m:r>
                <m:t>b</m:t>
              </m:r>
              <m:r>
                <m:t> </m:t>
              </m:r>
              <m:sSub>
                <m:e>
                  <m:r>
                    <m:t>Q</m:t>
                  </m:r>
                </m:e>
                <m:sub>
                  <m:r>
                    <m:t>t</m:t>
                  </m:r>
                  <m:r>
                    <m:rPr>
                      <m:sty m:val="p"/>
                    </m:rPr>
                    <m:t>−</m:t>
                  </m:r>
                  <m:r>
                    <m:t>1</m:t>
                  </m:r>
                </m:sub>
              </m:sSub>
            </m:e>
            <m:e>
              <m:sSub>
                <m:e>
                  <m:r>
                    <m:t>R</m:t>
                  </m:r>
                </m:e>
                <m:sub>
                  <m:r>
                    <m:t>t</m:t>
                  </m:r>
                </m:sub>
              </m:sSub>
              <m:r>
                <m:t>&amp;</m:t>
              </m:r>
              <m:r>
                <m:rPr>
                  <m:sty m:val="p"/>
                </m:rPr>
                <m:t>=</m:t>
              </m:r>
              <m:r>
                <m:rPr>
                  <m:sty m:val="p"/>
                </m:rPr>
                <m:t>diag</m:t>
              </m:r>
              <m:r>
                <m:rPr>
                  <m:sty m:val="p"/>
                </m:rPr>
                <m:t>(</m:t>
              </m:r>
              <m:sSub>
                <m:e>
                  <m:r>
                    <m:t>Q</m:t>
                  </m:r>
                </m:e>
                <m:sub>
                  <m:r>
                    <m:t>t</m:t>
                  </m:r>
                </m:sub>
              </m:sSub>
              <m:sSup>
                <m:e>
                  <m:r>
                    <m:rPr>
                      <m:sty m:val="p"/>
                    </m:rPr>
                    <m:t>)</m:t>
                  </m:r>
                </m:e>
                <m:sup>
                  <m:r>
                    <m:rPr>
                      <m:sty m:val="p"/>
                    </m:rPr>
                    <m:t>−</m:t>
                  </m:r>
                  <m:r>
                    <m:t>1</m:t>
                  </m:r>
                  <m:r>
                    <m:rPr>
                      <m:sty m:val="p"/>
                    </m:rPr>
                    <m:t>/</m:t>
                  </m:r>
                  <m:r>
                    <m:t>2</m:t>
                  </m:r>
                </m:sup>
              </m:sSup>
              <m:r>
                <m:t> </m:t>
              </m:r>
              <m:sSub>
                <m:e>
                  <m:r>
                    <m:t>Q</m:t>
                  </m:r>
                </m:e>
                <m:sub>
                  <m:r>
                    <m:t>t</m:t>
                  </m:r>
                </m:sub>
              </m:sSub>
              <m:r>
                <m:t> </m:t>
              </m:r>
              <m:r>
                <m:rPr>
                  <m:sty m:val="p"/>
                </m:rPr>
                <m:t>diag</m:t>
              </m:r>
              <m:r>
                <m:rPr>
                  <m:sty m:val="p"/>
                </m:rPr>
                <m:t>(</m:t>
              </m:r>
              <m:sSub>
                <m:e>
                  <m:r>
                    <m:t>Q</m:t>
                  </m:r>
                </m:e>
                <m:sub>
                  <m:r>
                    <m:t>t</m:t>
                  </m:r>
                </m:sub>
              </m:sSub>
              <m:sSup>
                <m:e>
                  <m:r>
                    <m:rPr>
                      <m:sty m:val="p"/>
                    </m:rPr>
                    <m:t>)</m:t>
                  </m:r>
                </m:e>
                <m:sup>
                  <m:r>
                    <m:rPr>
                      <m:sty m:val="p"/>
                    </m:rPr>
                    <m:t>−</m:t>
                  </m:r>
                  <m:r>
                    <m:t>1</m:t>
                  </m:r>
                  <m:r>
                    <m:rPr>
                      <m:sty m:val="p"/>
                    </m:rPr>
                    <m:t>/</m:t>
                  </m:r>
                  <m:r>
                    <m:t>2</m:t>
                  </m:r>
                </m:sup>
              </m:sSup>
            </m:e>
            <m:e>
              <m:sSub>
                <m:e>
                  <m:r>
                    <m:rPr>
                      <m:sty m:val="p"/>
                    </m:rPr>
                    <m:t>Σ</m:t>
                  </m:r>
                </m:e>
                <m:sub>
                  <m:r>
                    <m:t>t</m:t>
                  </m:r>
                </m:sub>
              </m:sSub>
              <m:r>
                <m:t>&amp;</m:t>
              </m:r>
              <m:r>
                <m:rPr>
                  <m:sty m:val="p"/>
                </m:rPr>
                <m:t>=</m:t>
              </m:r>
              <m:sSub>
                <m:e>
                  <m:r>
                    <m:t>D</m:t>
                  </m:r>
                </m:e>
                <m:sub>
                  <m:r>
                    <m:t>t</m:t>
                  </m:r>
                </m:sub>
              </m:sSub>
              <m:r>
                <m:t> </m:t>
              </m:r>
              <m:sSub>
                <m:e>
                  <m:r>
                    <m:t>R</m:t>
                  </m:r>
                </m:e>
                <m:sub>
                  <m:r>
                    <m:t>t</m:t>
                  </m:r>
                </m:sub>
              </m:sSub>
              <m:r>
                <m:t> </m:t>
              </m:r>
              <m:sSub>
                <m:e>
                  <m:r>
                    <m:t>D</m:t>
                  </m:r>
                </m:e>
                <m:sub>
                  <m:r>
                    <m:t>t</m:t>
                  </m:r>
                </m:sub>
              </m:sSub>
            </m:e>
          </m:eqArr>
        </m:oMath>
      </m:oMathPara>
    </w:p>
    <w:p>
      <w:pPr>
        <w:pStyle w:val="FirstParagraph"/>
      </w:pPr>
      <w:r>
        <w:t xml:space="preserve">Der Aufbau von</w:t>
      </w:r>
      <w:r>
        <w:t xml:space="preserve"> </w:t>
      </w:r>
      <w:hyperlink w:anchor="eq:dcc-1">
        <w:r>
          <w:rPr>
            <w:rStyle w:val="Hyperlink"/>
          </w:rPr>
          <w:t xml:space="preserve">Gleichung </w:t>
        </w:r>
        <w:hyperlink w:anchor="eq:dcc-1">
          <w:r>
            <w:rPr>
              <w:rStyle w:val="Hyperlink"/>
            </w:rPr>
            <w:t xml:space="preserve">[eq:dcc-1]</w:t>
          </w:r>
        </w:hyperlink>
      </w:hyperlink>
      <w:r>
        <w:t xml:space="preserve"> </w:t>
      </w:r>
      <w:r>
        <w:t xml:space="preserve">entspricht dem der GARCH-Rekursion, wobei</w:t>
      </w:r>
      <w:r>
        <w:t xml:space="preserve"> </w:t>
      </w:r>
      <m:oMath>
        <m:acc>
          <m:accPr>
            <m:chr m:val="‾"/>
          </m:accPr>
          <m:e>
            <m:r>
              <m:t>Q</m:t>
            </m:r>
          </m:e>
        </m:acc>
      </m:oMath>
      <w:r>
        <w:t xml:space="preserve"> </w:t>
      </w:r>
      <w:r>
        <w:t xml:space="preserve">die Rolle des langfristigen Niveaus übernimmt und auf die Stichprobenkorrelation der standardisierten Residuen gesetzt wird.</w:t>
      </w:r>
      <w:r>
        <w:t xml:space="preserve"> </w:t>
      </w:r>
      <w:r>
        <w:t xml:space="preserve">Wie stark die Korrelationen auf neue gemeinsame Schocks reagieren, misst der Parameter</w:t>
      </w:r>
      <w:r>
        <w:t xml:space="preserve"> </w:t>
      </w:r>
      <m:oMath>
        <m:r>
          <m:t>a</m:t>
        </m:r>
      </m:oMath>
      <w:r>
        <w:t xml:space="preserve">, während</w:t>
      </w:r>
      <w:r>
        <w:t xml:space="preserve"> </w:t>
      </w:r>
      <m:oMath>
        <m:r>
          <m:t>b</m:t>
        </m:r>
      </m:oMath>
      <w:r>
        <w:t xml:space="preserve"> </w:t>
      </w:r>
      <w:r>
        <w:t xml:space="preserve">deren Persistenz angibt.</w:t>
      </w:r>
      <w:r>
        <w:t xml:space="preserve"> </w:t>
      </w:r>
      <w:r>
        <w:t xml:space="preserve">Analog zum univariaten Fall müssen dafür</w:t>
      </w:r>
      <w:r>
        <w:t xml:space="preserve"> </w:t>
      </w:r>
      <m:oMath>
        <m:r>
          <m:t>a</m:t>
        </m:r>
        <m:r>
          <m:rPr>
            <m:sty m:val="p"/>
          </m:rPr>
          <m:t>,</m:t>
        </m:r>
        <m:r>
          <m:t>b</m:t>
        </m:r>
        <m:r>
          <m:rPr>
            <m:sty m:val="p"/>
          </m:rPr>
          <m:t>≥</m:t>
        </m:r>
        <m:r>
          <m:t>0</m:t>
        </m:r>
      </m:oMath>
      <w:r>
        <w:t xml:space="preserve"> </w:t>
      </w:r>
      <w:r>
        <w:t xml:space="preserve">und</w:t>
      </w:r>
      <w:r>
        <w:t xml:space="preserve"> </w:t>
      </w:r>
      <m:oMath>
        <m:r>
          <m:t>a</m:t>
        </m:r>
        <m:r>
          <m:rPr>
            <m:sty m:val="p"/>
          </m:rPr>
          <m:t>+</m:t>
        </m:r>
        <m:r>
          <m:t>b</m:t>
        </m:r>
        <m:r>
          <m:rPr>
            <m:sty m:val="p"/>
          </m:rPr>
          <m:t>&lt;</m:t>
        </m:r>
        <m:r>
          <m:t>1</m:t>
        </m:r>
      </m:oMath>
      <w:r>
        <w:t xml:space="preserve"> </w:t>
      </w:r>
      <w:r>
        <w:t xml:space="preserve">gelten.</w:t>
      </w:r>
      <w:r>
        <w:t xml:space="preserve"> </w:t>
      </w:r>
      <w:r>
        <w:t xml:space="preserve">Da</w:t>
      </w:r>
      <w:r>
        <w:t xml:space="preserve"> </w:t>
      </w:r>
      <m:oMath>
        <m:sSub>
          <m:e>
            <m:r>
              <m:t>Q</m:t>
            </m:r>
          </m:e>
          <m:sub>
            <m:r>
              <m:t>t</m:t>
            </m:r>
          </m:sub>
        </m:sSub>
      </m:oMath>
      <w:r>
        <w:t xml:space="preserve"> </w:t>
      </w:r>
      <w:r>
        <w:t xml:space="preserve">auf der Diagonale keine Einsen aufweisen muss, ist die Normierung in</w:t>
      </w:r>
      <w:r>
        <w:t xml:space="preserve"> </w:t>
      </w:r>
      <w:hyperlink w:anchor="eq:dcc-2">
        <w:r>
          <w:rPr>
            <w:rStyle w:val="Hyperlink"/>
          </w:rPr>
          <w:t xml:space="preserve">Gleichung </w:t>
        </w:r>
        <w:hyperlink w:anchor="eq:dcc-2">
          <w:r>
            <w:rPr>
              <w:rStyle w:val="Hyperlink"/>
            </w:rPr>
            <w:t xml:space="preserve">[eq:dcc-2]</w:t>
          </w:r>
        </w:hyperlink>
      </w:hyperlink>
      <w:r>
        <w:t xml:space="preserve"> </w:t>
      </w:r>
      <w:r>
        <w:t xml:space="preserve">nötig, um eine Korrelationsmatrix zu erhalten.</w:t>
      </w:r>
      <w:r>
        <w:t xml:space="preserve"> </w:t>
      </w:r>
      <w:r>
        <w:t xml:space="preserve">Aus dieser und den prognostizierten Standardabweichungen ergibt sich die Kovarianzmatrix schließlich nach</w:t>
      </w:r>
      <w:r>
        <w:t xml:space="preserve"> </w:t>
      </w:r>
      <w:hyperlink w:anchor="eq:dcc-3">
        <w:r>
          <w:rPr>
            <w:rStyle w:val="Hyperlink"/>
          </w:rPr>
          <w:t xml:space="preserve">Gleichung </w:t>
        </w:r>
        <w:hyperlink w:anchor="eq:dcc-3">
          <w:r>
            <w:rPr>
              <w:rStyle w:val="Hyperlink"/>
            </w:rPr>
            <w:t xml:space="preserve">[eq:dcc-3]</w:t>
          </w:r>
        </w:hyperlink>
      </w:hyperlink>
      <w:r>
        <w:t xml:space="preserve">.</w:t>
      </w:r>
    </w:p>
    <w:p>
      <w:pPr>
        <w:pStyle w:val="BodyText"/>
      </w:pPr>
      <w:r>
        <w:t xml:space="preserve">Geschätzt wird das Modell in zwei Schritten, indem zuerst die univariaten GARCH-Modelle und anschließend die beiden Parameter</w:t>
      </w:r>
      <w:r>
        <w:t xml:space="preserve"> </w:t>
      </w:r>
      <m:oMath>
        <m:r>
          <m:t>a</m:t>
        </m:r>
      </m:oMath>
      <w:r>
        <w:t xml:space="preserve"> </w:t>
      </w:r>
      <w:r>
        <w:t xml:space="preserve">und</w:t>
      </w:r>
      <w:r>
        <w:t xml:space="preserve"> </w:t>
      </w:r>
      <m:oMath>
        <m:r>
          <m:t>b</m:t>
        </m:r>
      </m:oMath>
      <w:r>
        <w:t xml:space="preserve"> </w:t>
      </w:r>
      <w:r>
        <w:t xml:space="preserve">per Maximum-Likelihood auf den standardisierten Residuen bestimmt werden.</w:t>
      </w:r>
      <w:r>
        <w:t xml:space="preserve"> </w:t>
      </w:r>
      <w:r>
        <w:t xml:space="preserve">Für</w:t>
      </w:r>
      <w:r>
        <w:t xml:space="preserve"> </w:t>
      </w:r>
      <m:oMath>
        <m:r>
          <m:t>h</m:t>
        </m:r>
        <m:r>
          <m:rPr>
            <m:sty m:val="p"/>
          </m:rPr>
          <m:t>&gt;</m:t>
        </m:r>
        <m:r>
          <m:t>1</m:t>
        </m:r>
      </m:oMath>
      <w:r>
        <w:t xml:space="preserve"> </w:t>
      </w:r>
      <w:r>
        <w:t xml:space="preserve">wird die Korrelationsprognose gemäß</w:t>
      </w:r>
      <w:r>
        <w:t xml:space="preserve"> </w:t>
      </w:r>
      <w:r>
        <w:t xml:space="preserve">Engle and Sheppard (2001)</w:t>
      </w:r>
      <w:r>
        <w:t xml:space="preserve"> </w:t>
      </w:r>
      <w:r>
        <w:t xml:space="preserve">auf</w:t>
      </w:r>
      <w:r>
        <w:t xml:space="preserve"> </w:t>
      </w:r>
      <m:oMath>
        <m:acc>
          <m:accPr>
            <m:chr m:val="‾"/>
          </m:accPr>
          <m:e>
            <m:r>
              <m:t>Q</m:t>
            </m:r>
          </m:e>
        </m:acc>
      </m:oMath>
      <w:r>
        <w:t xml:space="preserve"> </w:t>
      </w:r>
      <w:r>
        <w:t xml:space="preserve">zurückgeführt und über den Horizont gemittelt, damit sie zur ebenfalls horizontgemittelten Varianzprognose passt.</w:t>
      </w:r>
    </w:p>
    <w:p>
      <w:pPr>
        <w:pStyle w:val="BodyText"/>
      </w:pPr>
      <w:r>
        <w:t xml:space="preserve">Da GARCH- und DCC-Schätzer dieselben Varianzprognosen und dieselben standardisierten Residuen verwenden, isoliert ihr Vergleich exakt den Beitrag der dynamischen Korrelation.</w:t>
      </w:r>
      <w:r>
        <w:t xml:space="preserve"> </w:t>
      </w:r>
      <w:r>
        <w:t xml:space="preserve">Die drei Schätzer bilden somit die eingangs beschriebene Leiter, deren Stufen sich um jeweils genau eine Annahme unterscheiden.</w:t>
      </w:r>
    </w:p>
    <w:bookmarkEnd w:id="18"/>
    <w:bookmarkEnd w:id="19"/>
    <w:bookmarkStart w:id="24" w:name="subsec:portfolios"/>
    <w:p>
      <w:pPr>
        <w:pStyle w:val="Heading2"/>
      </w:pPr>
      <w:r>
        <w:t xml:space="preserve">Portfoliomodelle</w:t>
      </w:r>
    </w:p>
    <w:p>
      <w:pPr>
        <w:pStyle w:val="FirstParagraph"/>
      </w:pPr>
      <w:r>
        <w:t xml:space="preserve">Allen vier Allokationsverfahren ist gemeinsam, dass in ihre Gewichte ausschließlich die zweiten Momente eingehen und keine Renditeprognose benötigt wird.</w:t>
      </w:r>
      <w:r>
        <w:t xml:space="preserve"> </w:t>
      </w:r>
      <w:r>
        <w:t xml:space="preserve">Damit entfällt die Fehlerquelle, die nach</w:t>
      </w:r>
      <w:r>
        <w:t xml:space="preserve"> </w:t>
      </w:r>
      <w:r>
        <w:t xml:space="preserve">Broadie (1993)</w:t>
      </w:r>
      <w:r>
        <w:t xml:space="preserve"> </w:t>
      </w:r>
      <w:r>
        <w:t xml:space="preserve">die Lage der effizienten Grenze am stärksten verzerrt.</w:t>
      </w:r>
      <w:r>
        <w:t xml:space="preserve"> </w:t>
      </w:r>
      <w:r>
        <w:t xml:space="preserve">Berücksichtigt werden Verfahren mit unterschiedlichen Zielen, die die geschätzte Kovarianzmatrix verschieden intensiv nutzen und deshalb auch verschieden empfindlich auf deren Fehler reagieren.</w:t>
      </w:r>
    </w:p>
    <w:bookmarkStart w:id="20" w:name="minimum-varianz-portfolio-mvp"/>
    <w:p>
      <w:pPr>
        <w:pStyle w:val="Heading4"/>
      </w:pPr>
      <w:r>
        <w:t xml:space="preserve">Minimum-Varianz-Portfolio (MVP)</w:t>
      </w:r>
    </w:p>
    <w:p>
      <w:pPr>
        <w:pStyle w:val="FirstParagraph"/>
      </w:pPr>
      <w:r>
        <w:t xml:space="preserve">Das Minimum-Varianz-Portfolio bildet nach dem Ansatz von</w:t>
      </w:r>
      <w:r>
        <w:t xml:space="preserve"> </w:t>
      </w:r>
      <w:r>
        <w:t xml:space="preserve">Markowitz (1952)</w:t>
      </w:r>
      <w:r>
        <w:t xml:space="preserve"> </w:t>
      </w:r>
      <w:r>
        <w:t xml:space="preserve">das Portfolio, das ohne Berücksichtigung der erwarteten Renditen die geringste Volatilität aufweist.</w:t>
      </w:r>
      <w:r>
        <w:t xml:space="preserve"> </w:t>
      </w:r>
      <w:r>
        <w:t xml:space="preserve">Daraus ergibt sich die folgende Zielfunktion:</w:t>
      </w:r>
    </w:p>
    <w:p>
      <w:pPr>
        <w:pStyle w:val="BodyText"/>
      </w:pPr>
      <m:oMathPara>
        <m:oMathParaPr>
          <m:jc m:val="center"/>
        </m:oMathParaPr>
        <m:oMath>
          <m:limLow>
            <m:e>
              <m:r>
                <m:rPr>
                  <m:sty m:val="p"/>
                </m:rPr>
                <m:t>min</m:t>
              </m:r>
            </m:e>
            <m:lim>
              <m:r>
                <m:t>w</m:t>
              </m:r>
            </m:lim>
          </m:limLow>
          <m:r>
            <m:t> </m:t>
          </m:r>
          <m:sSup>
            <m:e>
              <m:r>
                <m:t>w</m:t>
              </m:r>
            </m:e>
            <m:sup>
              <m:r>
                <m:rPr>
                  <m:sty m:val="p"/>
                </m:rPr>
                <m:t>′</m:t>
              </m:r>
            </m:sup>
          </m:sSup>
          <m:r>
            <m:rPr>
              <m:sty m:val="p"/>
            </m:rPr>
            <m:t>Σ</m:t>
          </m:r>
          <m:r>
            <m:t>w</m:t>
          </m:r>
          <m:r>
            <m:t>  </m:t>
          </m:r>
          <m:r>
            <m:rPr>
              <m:nor/>
              <m:sty m:val="p"/>
            </m:rPr>
            <m:t>unter</m:t>
          </m:r>
          <m:r>
            <m:t>  </m:t>
          </m:r>
          <m:sSup>
            <m:e>
              <m:r>
                <m:rPr>
                  <m:sty m:val="b"/>
                </m:rPr>
                <m:t>1</m:t>
              </m:r>
            </m:e>
            <m:sup>
              <m:r>
                <m:rPr>
                  <m:sty m:val="p"/>
                </m:rPr>
                <m:t>′</m:t>
              </m:r>
            </m:sup>
          </m:sSup>
          <m:r>
            <m:t>w</m:t>
          </m:r>
          <m:r>
            <m:rPr>
              <m:sty m:val="p"/>
            </m:rPr>
            <m:t>=</m:t>
          </m:r>
          <m:r>
            <m:t>1</m:t>
          </m:r>
          <m:r>
            <m:rPr>
              <m:sty m:val="p"/>
            </m:rPr>
            <m:t>,</m:t>
          </m:r>
          <m:r>
            <m:t> </m:t>
          </m:r>
          <m:r>
            <m:t>w</m:t>
          </m:r>
          <m:r>
            <m:rPr>
              <m:sty m:val="p"/>
            </m:rPr>
            <m:t>≥</m:t>
          </m:r>
          <m:r>
            <m:t>0</m:t>
          </m:r>
        </m:oMath>
      </m:oMathPara>
    </w:p>
    <w:p>
      <w:pPr>
        <w:pStyle w:val="FirstParagraph"/>
      </w:pPr>
      <w:r>
        <w:t xml:space="preserve">Der Vektor</w:t>
      </w:r>
      <w:r>
        <w:t xml:space="preserve"> </w:t>
      </w:r>
      <m:oMath>
        <m:r>
          <m:t>w</m:t>
        </m:r>
      </m:oMath>
      <w:r>
        <w:t xml:space="preserve"> </w:t>
      </w:r>
      <w:r>
        <w:t xml:space="preserve">enthält die Portfoliogewichte und</w:t>
      </w:r>
      <w:r>
        <w:t xml:space="preserve"> </w:t>
      </w:r>
      <m:oMath>
        <m:r>
          <m:rPr>
            <m:sty m:val="p"/>
          </m:rPr>
          <m:t>Σ</m:t>
        </m:r>
      </m:oMath>
      <w:r>
        <w:t xml:space="preserve"> </w:t>
      </w:r>
      <w:r>
        <w:t xml:space="preserve">die prognostizierte Kovarianzmatrix, während die Budgetrestriktion</w:t>
      </w:r>
      <w:r>
        <w:t xml:space="preserve"> </w:t>
      </w:r>
      <m:oMath>
        <m:sSup>
          <m:e>
            <m:r>
              <m:rPr>
                <m:sty m:val="b"/>
              </m:rPr>
              <m:t>1</m:t>
            </m:r>
          </m:e>
          <m:sup>
            <m:r>
              <m:rPr>
                <m:sty m:val="p"/>
              </m:rPr>
              <m:t>′</m:t>
            </m:r>
          </m:sup>
        </m:sSup>
        <m:r>
          <m:t>w</m:t>
        </m:r>
        <m:r>
          <m:rPr>
            <m:sty m:val="p"/>
          </m:rPr>
          <m:t>=</m:t>
        </m:r>
        <m:r>
          <m:t>1</m:t>
        </m:r>
      </m:oMath>
      <w:r>
        <w:t xml:space="preserve"> </w:t>
      </w:r>
      <w:r>
        <w:t xml:space="preserve">die Vollinvestition sicherstellt.</w:t>
      </w:r>
      <w:r>
        <w:t xml:space="preserve"> </w:t>
      </w:r>
      <w:r>
        <w:t xml:space="preserve">Zusätzlich wird mit</w:t>
      </w:r>
      <w:r>
        <w:t xml:space="preserve"> </w:t>
      </w:r>
      <m:oMath>
        <m:r>
          <m:t>w</m:t>
        </m:r>
        <m:r>
          <m:rPr>
            <m:sty m:val="p"/>
          </m:rPr>
          <m:t>≥</m:t>
        </m:r>
        <m:r>
          <m:t>0</m:t>
        </m:r>
      </m:oMath>
      <w:r>
        <w:t xml:space="preserve"> </w:t>
      </w:r>
      <w:r>
        <w:t xml:space="preserve">ein Leerverkaufsverbot gesetzt.</w:t>
      </w:r>
      <w:r>
        <w:t xml:space="preserve"> </w:t>
      </w:r>
      <w:r>
        <w:t xml:space="preserve">Nach</w:t>
      </w:r>
      <w:r>
        <w:t xml:space="preserve"> </w:t>
      </w:r>
      <w:r>
        <w:t xml:space="preserve">Behr et al. (2008)</w:t>
      </w:r>
      <w:r>
        <w:t xml:space="preserve"> </w:t>
      </w:r>
      <w:r>
        <w:t xml:space="preserve">überzeugt das MVP besonders in volatilen Marktphasen.</w:t>
      </w:r>
    </w:p>
    <w:p>
      <w:pPr>
        <w:pStyle w:val="BodyText"/>
      </w:pPr>
      <w:r>
        <w:t xml:space="preserve">Zugleich ist es das anfälligste Verfahren, da die Minimierung gezielt die Richtungen kleinster geschätzter Varianz aufsucht, in denen die Schätzfehler relativ am größten sind.</w:t>
      </w:r>
      <w:r>
        <w:t xml:space="preserve"> </w:t>
      </w:r>
      <w:r>
        <w:t xml:space="preserve">Fehler werden dadurch nicht ausgemittelt, sondern verstärkt, weshalb</w:t>
      </w:r>
      <w:r>
        <w:t xml:space="preserve"> </w:t>
      </w:r>
      <w:r>
        <w:t xml:space="preserve">Lee (2011)</w:t>
      </w:r>
      <w:r>
        <w:t xml:space="preserve"> </w:t>
      </w:r>
      <w:r>
        <w:t xml:space="preserve">auf die typischerweise stark konzentrierten MVP-Lösungen hinweist.</w:t>
      </w:r>
    </w:p>
    <w:bookmarkEnd w:id="20"/>
    <w:bookmarkStart w:id="21" w:name="equal-risk-contribution-erc"/>
    <w:p>
      <w:pPr>
        <w:pStyle w:val="Heading4"/>
      </w:pPr>
      <w:r>
        <w:t xml:space="preserve">Equal Risk Contribution (ERC)</w:t>
      </w:r>
    </w:p>
    <w:p>
      <w:pPr>
        <w:pStyle w:val="FirstParagraph"/>
      </w:pPr>
      <w:r>
        <w:t xml:space="preserve">Das Equal-Risk-Contribution-Portfolio verfolgt nach</w:t>
      </w:r>
      <w:r>
        <w:t xml:space="preserve"> </w:t>
      </w:r>
      <w:r>
        <w:t xml:space="preserve">Maillard et al. (2010)</w:t>
      </w:r>
      <w:r>
        <w:t xml:space="preserve"> </w:t>
      </w:r>
      <w:r>
        <w:t xml:space="preserve">das Ziel, das Gesamtrisiko nicht zu minimieren, sondern gleichmäßig auf die Anlagen zu verteilen.</w:t>
      </w:r>
      <w:r>
        <w:t xml:space="preserve"> </w:t>
      </w:r>
      <w:r>
        <w:t xml:space="preserve">Grundlage ist die Zerlegung der Portfoliovolatilität in die Risikobeiträge der einzelnen Anlagen, die sich in der Summe genau zur Gesamtvolatilität ergänzen.</w:t>
      </w:r>
    </w:p>
    <w:p>
      <w:pPr>
        <w:pStyle w:val="BodyText"/>
      </w:pPr>
      <m:oMathPara>
        <m:oMathParaPr>
          <m:jc m:val="center"/>
        </m:oMathParaPr>
        <m:oMath>
          <m:eqArr>
            <m:e>
              <m:sSub>
                <m:e>
                  <m:r>
                    <m:rPr>
                      <m:sty m:val="p"/>
                    </m:rPr>
                    <m:t>R</m:t>
                  </m:r>
                  <m:r>
                    <m:rPr>
                      <m:sty m:val="p"/>
                    </m:rPr>
                    <m:t>C</m:t>
                  </m:r>
                </m:e>
                <m:sub>
                  <m:r>
                    <m:t>i</m:t>
                  </m:r>
                </m:sub>
              </m:sSub>
              <m:r>
                <m:t>&amp;</m:t>
              </m:r>
              <m:r>
                <m:rPr>
                  <m:sty m:val="p"/>
                </m:rPr>
                <m:t>=</m:t>
              </m:r>
              <m:f>
                <m:fPr>
                  <m:type m:val="bar"/>
                </m:fPr>
                <m:num>
                  <m:sSub>
                    <m:e>
                      <m:r>
                        <m:t>w</m:t>
                      </m:r>
                    </m:e>
                    <m:sub>
                      <m:r>
                        <m:t>i</m:t>
                      </m:r>
                    </m:sub>
                  </m:sSub>
                  <m:r>
                    <m:t> </m:t>
                  </m:r>
                  <m:r>
                    <m:rPr>
                      <m:sty m:val="p"/>
                    </m:rPr>
                    <m:t>(</m:t>
                  </m:r>
                  <m:r>
                    <m:rPr>
                      <m:sty m:val="p"/>
                    </m:rPr>
                    <m:t>Σ</m:t>
                  </m:r>
                  <m:r>
                    <m:t>w</m:t>
                  </m:r>
                  <m:sSub>
                    <m:e>
                      <m:r>
                        <m:rPr>
                          <m:sty m:val="p"/>
                        </m:rPr>
                        <m:t>)</m:t>
                      </m:r>
                    </m:e>
                    <m:sub>
                      <m:r>
                        <m:t>i</m:t>
                      </m:r>
                    </m:sub>
                  </m:sSub>
                </m:num>
                <m:den>
                  <m:rad>
                    <m:radPr>
                      <m:degHide m:val="on"/>
                    </m:radPr>
                    <m:deg/>
                    <m:e>
                      <m:sSup>
                        <m:e>
                          <m:r>
                            <m:t>w</m:t>
                          </m:r>
                        </m:e>
                        <m:sup>
                          <m:r>
                            <m:rPr>
                              <m:sty m:val="p"/>
                            </m:rPr>
                            <m:t>′</m:t>
                          </m:r>
                        </m:sup>
                      </m:sSup>
                      <m:r>
                        <m:rPr>
                          <m:sty m:val="p"/>
                        </m:rPr>
                        <m:t>Σ</m:t>
                      </m:r>
                      <m:r>
                        <m:t>w</m:t>
                      </m:r>
                    </m:e>
                  </m:rad>
                </m:den>
              </m:f>
            </m:e>
            <m:e>
              <m:sSub>
                <m:e>
                  <m:r>
                    <m:rPr>
                      <m:sty m:val="p"/>
                    </m:rPr>
                    <m:t>R</m:t>
                  </m:r>
                  <m:r>
                    <m:rPr>
                      <m:sty m:val="p"/>
                    </m:rPr>
                    <m:t>C</m:t>
                  </m:r>
                </m:e>
                <m:sub>
                  <m:r>
                    <m:t>i</m:t>
                  </m:r>
                </m:sub>
              </m:sSub>
              <m:r>
                <m:t>&amp;</m:t>
              </m:r>
              <m:r>
                <m:rPr>
                  <m:sty m:val="p"/>
                </m:rPr>
                <m:t>=</m:t>
              </m:r>
              <m:sSub>
                <m:e>
                  <m:r>
                    <m:rPr>
                      <m:sty m:val="p"/>
                    </m:rPr>
                    <m:t>R</m:t>
                  </m:r>
                  <m:r>
                    <m:rPr>
                      <m:sty m:val="p"/>
                    </m:rPr>
                    <m:t>C</m:t>
                  </m:r>
                </m:e>
                <m:sub>
                  <m:r>
                    <m:t>j</m:t>
                  </m:r>
                </m:sub>
              </m:sSub>
              <m:r>
                <m:t>  </m:t>
              </m:r>
              <m:r>
                <m:rPr>
                  <m:nor/>
                  <m:sty m:val="p"/>
                </m:rPr>
                <m:t>für alle </m:t>
              </m:r>
              <m:r>
                <m:t>i</m:t>
              </m:r>
              <m:r>
                <m:rPr>
                  <m:sty m:val="p"/>
                </m:rPr>
                <m:t>,</m:t>
              </m:r>
              <m:r>
                <m:t>j</m:t>
              </m:r>
            </m:e>
          </m:eqArr>
        </m:oMath>
      </m:oMathPara>
    </w:p>
    <w:p>
      <w:pPr>
        <w:pStyle w:val="FirstParagraph"/>
      </w:pPr>
      <w:r>
        <w:t xml:space="preserve">Der Risikobeitrag</w:t>
      </w:r>
      <w:r>
        <w:t xml:space="preserve"> </w:t>
      </w:r>
      <m:oMath>
        <m:sSub>
          <m:e>
            <m:r>
              <m:rPr>
                <m:sty m:val="p"/>
              </m:rPr>
              <m:t>R</m:t>
            </m:r>
            <m:r>
              <m:rPr>
                <m:sty m:val="p"/>
              </m:rPr>
              <m:t>C</m:t>
            </m:r>
          </m:e>
          <m:sub>
            <m:r>
              <m:t>i</m:t>
            </m:r>
          </m:sub>
        </m:sSub>
      </m:oMath>
      <w:r>
        <w:t xml:space="preserve"> </w:t>
      </w:r>
      <w:r>
        <w:t xml:space="preserve">aus</w:t>
      </w:r>
      <w:r>
        <w:t xml:space="preserve"> </w:t>
      </w:r>
      <w:hyperlink w:anchor="eq:erc-1">
        <w:r>
          <w:rPr>
            <w:rStyle w:val="Hyperlink"/>
          </w:rPr>
          <w:t xml:space="preserve">Gleichung </w:t>
        </w:r>
        <w:hyperlink w:anchor="eq:erc-1">
          <w:r>
            <w:rPr>
              <w:rStyle w:val="Hyperlink"/>
            </w:rPr>
            <w:t xml:space="preserve">[eq:erc-1]</w:t>
          </w:r>
        </w:hyperlink>
      </w:hyperlink>
      <w:r>
        <w:t xml:space="preserve"> </w:t>
      </w:r>
      <w:r>
        <w:t xml:space="preserve">ist das Produkt aus dem Gewicht der Anlage und ihrem Grenzrisikobeitrag, wobei die Gewichte so bestimmt werden, dass alle Beiträge übereinstimmen (</w:t>
      </w:r>
      <w:hyperlink w:anchor="eq:erc-2">
        <w:r>
          <w:rPr>
            <w:rStyle w:val="Hyperlink"/>
          </w:rPr>
          <w:t xml:space="preserve">Gleichung </w:t>
        </w:r>
        <w:hyperlink w:anchor="eq:erc-2">
          <w:r>
            <w:rPr>
              <w:rStyle w:val="Hyperlink"/>
            </w:rPr>
            <w:t xml:space="preserve">[eq:erc-2]</w:t>
          </w:r>
        </w:hyperlink>
      </w:hyperlink>
      <w:r>
        <w:t xml:space="preserve">).</w:t>
      </w:r>
      <w:r>
        <w:t xml:space="preserve"> </w:t>
      </w:r>
      <w:r>
        <w:t xml:space="preserve">Anders als das MVP nutzt ERC die Kovarianzmatrix somit nur über das Produkt</w:t>
      </w:r>
      <w:r>
        <w:t xml:space="preserve"> </w:t>
      </w:r>
      <m:oMath>
        <m:r>
          <m:rPr>
            <m:sty m:val="p"/>
          </m:rPr>
          <m:t>Σ</m:t>
        </m:r>
        <m:r>
          <m:t>w</m:t>
        </m:r>
      </m:oMath>
      <w:r>
        <w:t xml:space="preserve"> </w:t>
      </w:r>
      <w:r>
        <w:t xml:space="preserve">und nicht über ihre Inverse, weshalb Schätzfehler weniger stark durchschlagen und ein robusteres Portfolio entsteht.</w:t>
      </w:r>
    </w:p>
    <w:p>
      <w:pPr>
        <w:pStyle w:val="BodyText"/>
      </w:pPr>
      <w:r>
        <w:t xml:space="preserve">Das Ergebnis liegt konstruktionsbedingt zwischen dem MVP und dem gleichgewichteten Portfolio und ist in der Regel deutlich besser diversifiziert.</w:t>
      </w:r>
      <w:r>
        <w:t xml:space="preserve"> </w:t>
      </w:r>
      <w:r>
        <w:t xml:space="preserve">Dennoch schlägt ERC das naive Portfolio nach</w:t>
      </w:r>
      <w:r>
        <w:t xml:space="preserve"> </w:t>
      </w:r>
      <w:r>
        <w:t xml:space="preserve">Chaves et al. (2011)</w:t>
      </w:r>
      <w:r>
        <w:t xml:space="preserve"> </w:t>
      </w:r>
      <w:r>
        <w:t xml:space="preserve">nicht durchgängig.</w:t>
      </w:r>
    </w:p>
    <w:bookmarkEnd w:id="21"/>
    <w:bookmarkStart w:id="22" w:name="hierarchical-risk-parity-hrp"/>
    <w:p>
      <w:pPr>
        <w:pStyle w:val="Heading4"/>
      </w:pPr>
      <w:r>
        <w:t xml:space="preserve">Hierarchical Risk Parity (HRP)</w:t>
      </w:r>
    </w:p>
    <w:p>
      <w:pPr>
        <w:pStyle w:val="FirstParagraph"/>
      </w:pPr>
      <w:r>
        <w:t xml:space="preserve">Hierarchical Risk Parity wurde von</w:t>
      </w:r>
      <w:r>
        <w:t xml:space="preserve"> </w:t>
      </w:r>
      <w:r>
        <w:t xml:space="preserve">López de Prado (2016)</w:t>
      </w:r>
      <w:r>
        <w:t xml:space="preserve"> </w:t>
      </w:r>
      <w:r>
        <w:t xml:space="preserve">mit dem Ziel entwickelt, die Matrixinversion des MVP durch eine hierarchische Struktur zu ersetzen und das Verfahren dadurch robuster gegenüber schlecht konditionierten Kovarianzmatrizen zu machen.</w:t>
      </w:r>
      <w:r>
        <w:t xml:space="preserve"> </w:t>
      </w:r>
      <w:r>
        <w:t xml:space="preserve">Der Algorithmus läuft in drei Schritten ab, von denen der erste die Korrelationen in eine Distanz überführt.</w:t>
      </w:r>
    </w:p>
    <w:p>
      <w:pPr>
        <w:pStyle w:val="BodyText"/>
      </w:pPr>
      <m:oMathPara>
        <m:oMathParaPr>
          <m:jc m:val="center"/>
        </m:oMathParaPr>
        <m:oMath>
          <m:sSub>
            <m:e>
              <m:r>
                <m:t>d</m:t>
              </m:r>
            </m:e>
            <m:sub>
              <m:r>
                <m:t>i</m:t>
              </m:r>
              <m:r>
                <m:t>j</m:t>
              </m:r>
            </m:sub>
          </m:sSub>
          <m:r>
            <m:rPr>
              <m:sty m:val="p"/>
            </m:rPr>
            <m:t>=</m:t>
          </m:r>
          <m:rad>
            <m:radPr>
              <m:degHide m:val="on"/>
            </m:radPr>
            <m:deg/>
            <m:e>
              <m:r>
                <m:t>0</m:t>
              </m:r>
              <m:r>
                <m:rPr>
                  <m:sty m:val="p"/>
                </m:rPr>
                <m:t>,</m:t>
              </m:r>
              <m:r>
                <m:t>5</m:t>
              </m:r>
              <m:r>
                <m:t> </m:t>
              </m:r>
              <m:r>
                <m:rPr>
                  <m:sty m:val="p"/>
                </m:rPr>
                <m:t>(</m:t>
              </m:r>
              <m:r>
                <m:t>1</m:t>
              </m:r>
              <m:r>
                <m:rPr>
                  <m:sty m:val="p"/>
                </m:rPr>
                <m:t>−</m:t>
              </m:r>
              <m:sSub>
                <m:e>
                  <m:r>
                    <m:t>ρ</m:t>
                  </m:r>
                </m:e>
                <m:sub>
                  <m:r>
                    <m:t>i</m:t>
                  </m:r>
                  <m:r>
                    <m:t>j</m:t>
                  </m:r>
                </m:sub>
              </m:sSub>
              <m:r>
                <m:rPr>
                  <m:sty m:val="p"/>
                </m:rPr>
                <m:t>)</m:t>
              </m:r>
            </m:e>
          </m:rad>
        </m:oMath>
      </m:oMathPara>
    </w:p>
    <w:p>
      <w:pPr>
        <w:pStyle w:val="FirstParagraph"/>
      </w:pPr>
      <w:r>
        <w:t xml:space="preserve">Zwei Sektoren stehen sich nach</w:t>
      </w:r>
      <w:r>
        <w:t xml:space="preserve"> </w:t>
      </w:r>
      <w:hyperlink w:anchor="eq:hrp">
        <w:r>
          <w:rPr>
            <w:rStyle w:val="Hyperlink"/>
          </w:rPr>
          <w:t xml:space="preserve">Gleichung </w:t>
        </w:r>
        <w:hyperlink w:anchor="eq:hrp">
          <w:r>
            <w:rPr>
              <w:rStyle w:val="Hyperlink"/>
            </w:rPr>
            <w:t xml:space="preserve">[eq:hrp]</w:t>
          </w:r>
        </w:hyperlink>
      </w:hyperlink>
      <w:r>
        <w:t xml:space="preserve"> </w:t>
      </w:r>
      <w:r>
        <w:t xml:space="preserve">umso näher, je höher ihre Korrelation</w:t>
      </w:r>
      <w:r>
        <w:t xml:space="preserve"> </w:t>
      </w:r>
      <m:oMath>
        <m:sSub>
          <m:e>
            <m:r>
              <m:t>ρ</m:t>
            </m:r>
          </m:e>
          <m:sub>
            <m:r>
              <m:t>i</m:t>
            </m:r>
            <m:r>
              <m:t>j</m:t>
            </m:r>
          </m:sub>
        </m:sSub>
      </m:oMath>
      <w:r>
        <w:t xml:space="preserve"> </w:t>
      </w:r>
      <w:r>
        <w:t xml:space="preserve">ausfällt.</w:t>
      </w:r>
      <w:r>
        <w:t xml:space="preserve"> </w:t>
      </w:r>
      <w:r>
        <w:t xml:space="preserve">Auf Basis dieser Distanz werden die Sektoren im zweiten Schritt zu einem Binärbaum geclustert und die Kovarianzmatrix quasi-diagonal geordnet, sodass ähnliche Anlagen nebeneinander stehen.</w:t>
      </w:r>
      <w:r>
        <w:t xml:space="preserve"> </w:t>
      </w:r>
      <w:r>
        <w:t xml:space="preserve">Im dritten Schritt wird das Kapital durch rekursive Bisektion verteilt, wobei die geordnete Liste wiederholt halbiert und das Gewicht zwischen beiden Hälften invers zu deren Varianz aufgeteilt wird.</w:t>
      </w:r>
    </w:p>
    <w:p>
      <w:pPr>
        <w:pStyle w:val="BodyText"/>
      </w:pPr>
      <w:r>
        <w:t xml:space="preserve">Entscheidend ist, dass HRP die Kovarianzmatrix nie invertiert und von ihr nur die Ordnungsinformation sowie die Varianzen der Teilcluster nutzt.</w:t>
      </w:r>
      <w:r>
        <w:t xml:space="preserve"> </w:t>
      </w:r>
      <w:r>
        <w:t xml:space="preserve">Das Verfahren ist dadurch robuster als das MVP, verwertet aber im Umkehrschluss eine bessere Schätzung auch nur eingeschränkt.</w:t>
      </w:r>
      <w:r>
        <w:t xml:space="preserve"> </w:t>
      </w:r>
      <w:r>
        <w:t xml:space="preserve">López de Prado (2016)</w:t>
      </w:r>
      <w:r>
        <w:t xml:space="preserve"> </w:t>
      </w:r>
      <w:r>
        <w:t xml:space="preserve">und</w:t>
      </w:r>
      <w:r>
        <w:t xml:space="preserve"> </w:t>
      </w:r>
      <w:r>
        <w:t xml:space="preserve">Sen et al. (2022)</w:t>
      </w:r>
      <w:r>
        <w:t xml:space="preserve"> </w:t>
      </w:r>
      <w:r>
        <w:t xml:space="preserve">berichten entsprechend stabilere Gewichte und eine konkurrenzfähige risikoadjustierte Rendite.</w:t>
      </w:r>
    </w:p>
    <w:bookmarkEnd w:id="22"/>
    <w:bookmarkStart w:id="23" w:name="benchmark"/>
    <w:p>
      <w:pPr>
        <w:pStyle w:val="Heading4"/>
      </w:pPr>
      <w:r>
        <w:t xml:space="preserve">Benchmark</w:t>
      </w:r>
    </w:p>
    <w:p>
      <w:pPr>
        <w:pStyle w:val="FirstParagraph"/>
      </w:pPr>
      <w:r>
        <w:t xml:space="preserve">Als Vergleichsmaßstab dient das gleichgewichtete 1/N-Portfolio, das jeder im Fenster verfügbaren Anlage denselben Anteil zuweist.</w:t>
      </w:r>
      <w:r>
        <w:t xml:space="preserve"> </w:t>
      </w:r>
      <w:r>
        <w:t xml:space="preserve">Es benötigt keine Schätzung der zweiten Momente und ist damit als einziges der vier Verfahren immun gegen Schätzfehler.</w:t>
      </w:r>
    </w:p>
    <w:p>
      <w:pPr>
        <w:pStyle w:val="BodyText"/>
      </w:pPr>
      <w:r>
        <w:t xml:space="preserve">Das naive Portfolio bildet den relevanten Maßstab für die erste Forschungsfrage, da ein Optimierungsverfahren seinen Aufwand nur rechtfertigt, wenn dessen Gewinn den Verlust durch Schätzfehler übersteigt.</w:t>
      </w:r>
      <w:r>
        <w:t xml:space="preserve"> </w:t>
      </w:r>
      <w:r>
        <w:t xml:space="preserve">Wie hoch dieser Maßstab liegt, zeigt der Vergleich von</w:t>
      </w:r>
      <w:r>
        <w:t xml:space="preserve"> </w:t>
      </w:r>
      <w:r>
        <w:t xml:space="preserve">DeMiguel et al. (2009)</w:t>
      </w:r>
      <w:r>
        <w:t xml:space="preserve">, in dem keine der optimierten Strategien das gleichgewichtete Portfolio verlässlich schlagen konnte.</w:t>
      </w:r>
    </w:p>
    <w:bookmarkEnd w:id="23"/>
    <w:bookmarkEnd w:id="24"/>
    <w:bookmarkStart w:id="28" w:name="subsec:kriterien"/>
    <w:p>
      <w:pPr>
        <w:pStyle w:val="Heading2"/>
      </w:pPr>
      <w:r>
        <w:t xml:space="preserve">Bewertungskriterien</w:t>
      </w:r>
    </w:p>
    <w:p>
      <w:pPr>
        <w:pStyle w:val="FirstParagraph"/>
      </w:pPr>
      <w:r>
        <w:t xml:space="preserve">Die Bewertung trennt zwischen der Prognosequalität der Kovarianzmatrix und der ökonomischen Performance der daraus abgeleiteten Portfolios.</w:t>
      </w:r>
    </w:p>
    <w:bookmarkStart w:id="25" w:name="statistische-verlustmaße"/>
    <w:p>
      <w:pPr>
        <w:pStyle w:val="Heading4"/>
      </w:pPr>
      <w:r>
        <w:t xml:space="preserve">Statistische Verlustmaße</w:t>
      </w:r>
    </w:p>
    <w:p>
      <w:pPr>
        <w:pStyle w:val="FirstParagraph"/>
      </w:pPr>
      <w:r>
        <w:t xml:space="preserve">Die Prognosequalität wird über zwei Verlustmaße gemessen, den multivariaten Quasi-Likelihood-Verlust (QLIKE) und den Mean Squared Error (MSE) der Kovarianzeinträge.</w:t>
      </w:r>
      <w:r>
        <w:t xml:space="preserve"> </w:t>
      </w:r>
      <w:r>
        <w:t xml:space="preserve">Da die wahre bedingte Kovarianzmatrix der Testperiode nicht beobachtbar ist, wird die Prognose bei beiden gegen denselben realisierten Proxy gemessen.</w:t>
      </w:r>
    </w:p>
    <w:p>
      <w:pPr>
        <w:pStyle w:val="BodyText"/>
      </w:pPr>
      <m:oMathPara>
        <m:oMathParaPr>
          <m:jc m:val="center"/>
        </m:oMathParaPr>
        <m:oMath>
          <m:eqArr>
            <m:e>
              <m:r>
                <m:t>S</m:t>
              </m:r>
              <m:r>
                <m:t>&amp;</m:t>
              </m:r>
              <m:r>
                <m:rPr>
                  <m:sty m:val="p"/>
                </m:rPr>
                <m:t>=</m:t>
              </m:r>
              <m:f>
                <m:fPr>
                  <m:type m:val="bar"/>
                </m:fPr>
                <m:num>
                  <m:r>
                    <m:t>1</m:t>
                  </m:r>
                </m:num>
                <m:den>
                  <m:r>
                    <m:t>h</m:t>
                  </m:r>
                </m:den>
              </m:f>
              <m:nary>
                <m:naryPr>
                  <m:chr m:val="∑"/>
                  <m:limLoc m:val="undOvr"/>
                  <m:subHide m:val="off"/>
                  <m:supHide m:val="off"/>
                </m:naryPr>
                <m:sub>
                  <m:r>
                    <m:t>t</m:t>
                  </m:r>
                  <m:r>
                    <m:rPr>
                      <m:sty m:val="p"/>
                    </m:rPr>
                    <m:t>=</m:t>
                  </m:r>
                  <m:r>
                    <m:t>1</m:t>
                  </m:r>
                </m:sub>
                <m:sup>
                  <m:r>
                    <m:t>h</m:t>
                  </m:r>
                </m:sup>
                <m:e>
                  <m:sSub>
                    <m:e>
                      <m:r>
                        <m:t>r</m:t>
                      </m:r>
                    </m:e>
                    <m:sub>
                      <m:r>
                        <m:t>t</m:t>
                      </m:r>
                    </m:sub>
                  </m:sSub>
                </m:e>
              </m:nary>
              <m:r>
                <m:t> </m:t>
              </m:r>
              <m:sSub>
                <m:e>
                  <m:r>
                    <m:t>r</m:t>
                  </m:r>
                </m:e>
                <m:sub>
                  <m:sSup>
                    <m:e>
                      <m:r>
                        <m:t>t</m:t>
                      </m:r>
                    </m:e>
                    <m:sup>
                      <m:r>
                        <m:rPr>
                          <m:sty m:val="p"/>
                        </m:rPr>
                        <m:t>′</m:t>
                      </m:r>
                    </m:sup>
                  </m:sSup>
                </m:sub>
              </m:sSub>
            </m:e>
            <m:e>
              <m:r>
                <m:rPr>
                  <m:sty m:val="p"/>
                </m:rPr>
                <m:t>Q</m:t>
              </m:r>
              <m:r>
                <m:rPr>
                  <m:sty m:val="p"/>
                </m:rPr>
                <m:t>L</m:t>
              </m:r>
              <m:r>
                <m:rPr>
                  <m:sty m:val="p"/>
                </m:rPr>
                <m:t>I</m:t>
              </m:r>
              <m:r>
                <m:rPr>
                  <m:sty m:val="p"/>
                </m:rPr>
                <m:t>K</m:t>
              </m:r>
              <m:r>
                <m:rPr>
                  <m:sty m:val="p"/>
                </m:rPr>
                <m:t>E</m:t>
              </m:r>
              <m:r>
                <m:rPr>
                  <m:sty m:val="p"/>
                </m:rPr>
                <m:t>(</m:t>
              </m:r>
              <m:r>
                <m:rPr>
                  <m:sty m:val="p"/>
                </m:rPr>
                <m:t>Σ</m:t>
              </m:r>
              <m:r>
                <m:rPr>
                  <m:sty m:val="p"/>
                </m:rPr>
                <m:t>,</m:t>
              </m:r>
              <m:r>
                <m:t>S</m:t>
              </m:r>
              <m:r>
                <m:rPr>
                  <m:sty m:val="p"/>
                </m:rPr>
                <m:t>)</m:t>
              </m:r>
              <m:r>
                <m:t>&amp;</m:t>
              </m:r>
              <m:r>
                <m:rPr>
                  <m:sty m:val="p"/>
                </m:rPr>
                <m:t>=</m:t>
              </m:r>
              <m:r>
                <m:rPr>
                  <m:sty m:val="p"/>
                </m:rPr>
                <m:t>ln</m:t>
              </m:r>
              <m:r>
                <m:rPr>
                  <m:sty m:val="p"/>
                </m:rPr>
                <m:t>|</m:t>
              </m:r>
              <m:r>
                <m:rPr>
                  <m:sty m:val="p"/>
                </m:rPr>
                <m:t>Σ</m:t>
              </m:r>
              <m:r>
                <m:rPr>
                  <m:sty m:val="p"/>
                </m:rPr>
                <m:t>|</m:t>
              </m:r>
              <m:r>
                <m:rPr>
                  <m:sty m:val="p"/>
                </m:rPr>
                <m:t>+</m:t>
              </m:r>
              <m:r>
                <m:rPr>
                  <m:sty m:val="p"/>
                </m:rPr>
                <m:t>tr</m:t>
              </m:r>
              <m:r>
                <m:rPr>
                  <m:sty m:val="p"/>
                </m:rPr>
                <m:t>(</m:t>
              </m:r>
              <m:sSup>
                <m:e>
                  <m:r>
                    <m:rPr>
                      <m:sty m:val="p"/>
                    </m:rPr>
                    <m:t>Σ</m:t>
                  </m:r>
                </m:e>
                <m:sup>
                  <m:r>
                    <m:rPr>
                      <m:sty m:val="p"/>
                    </m:rPr>
                    <m:t>−</m:t>
                  </m:r>
                  <m:r>
                    <m:t>1</m:t>
                  </m:r>
                </m:sup>
              </m:sSup>
              <m:r>
                <m:t>S</m:t>
              </m:r>
              <m:r>
                <m:rPr>
                  <m:sty m:val="p"/>
                </m:rPr>
                <m:t>)</m:t>
              </m:r>
            </m:e>
            <m:e>
              <m:r>
                <m:rPr>
                  <m:sty m:val="p"/>
                </m:rPr>
                <m:t>M</m:t>
              </m:r>
              <m:r>
                <m:rPr>
                  <m:sty m:val="p"/>
                </m:rPr>
                <m:t>S</m:t>
              </m:r>
              <m:r>
                <m:rPr>
                  <m:sty m:val="p"/>
                </m:rPr>
                <m:t>E</m:t>
              </m:r>
              <m:r>
                <m:rPr>
                  <m:sty m:val="p"/>
                </m:rPr>
                <m:t>(</m:t>
              </m:r>
              <m:r>
                <m:rPr>
                  <m:sty m:val="p"/>
                </m:rPr>
                <m:t>Σ</m:t>
              </m:r>
              <m:r>
                <m:rPr>
                  <m:sty m:val="p"/>
                </m:rPr>
                <m:t>,</m:t>
              </m:r>
              <m:r>
                <m:t>S</m:t>
              </m:r>
              <m:r>
                <m:rPr>
                  <m:sty m:val="p"/>
                </m:rPr>
                <m:t>)</m:t>
              </m:r>
              <m:r>
                <m:t>&amp;</m:t>
              </m:r>
              <m:r>
                <m:rPr>
                  <m:sty m:val="p"/>
                </m:rPr>
                <m:t>=</m:t>
              </m:r>
              <m:f>
                <m:fPr>
                  <m:type m:val="bar"/>
                </m:fPr>
                <m:num>
                  <m:r>
                    <m:t>1</m:t>
                  </m:r>
                </m:num>
                <m:den>
                  <m:sSup>
                    <m:e>
                      <m:r>
                        <m:t>N</m:t>
                      </m:r>
                    </m:e>
                    <m:sup>
                      <m:r>
                        <m:t>2</m:t>
                      </m:r>
                    </m:sup>
                  </m:sSup>
                </m:den>
              </m:f>
              <m:nary>
                <m:naryPr>
                  <m:chr m:val="∑"/>
                  <m:limLoc m:val="undOvr"/>
                  <m:subHide m:val="off"/>
                  <m:supHide m:val="on"/>
                </m:naryPr>
                <m:sub>
                  <m:r>
                    <m:t>i</m:t>
                  </m:r>
                  <m:r>
                    <m:rPr>
                      <m:sty m:val="p"/>
                    </m:rPr>
                    <m:t>,</m:t>
                  </m:r>
                  <m:r>
                    <m:t>j</m:t>
                  </m:r>
                </m:sub>
                <m:sup>
                  <m:r>
                    <m:t>​</m:t>
                  </m:r>
                </m:sup>
                <m:e>
                  <m:sSup>
                    <m:e>
                      <m:d>
                        <m:dPr>
                          <m:begChr m:val="("/>
                          <m:sepChr m:val=""/>
                          <m:endChr m:val=")"/>
                          <m:grow/>
                        </m:dPr>
                        <m:e>
                          <m:sSub>
                            <m:e>
                              <m:r>
                                <m:rPr>
                                  <m:sty m:val="p"/>
                                </m:rPr>
                                <m:t>Σ</m:t>
                              </m:r>
                            </m:e>
                            <m:sub>
                              <m:r>
                                <m:t>i</m:t>
                              </m:r>
                              <m:r>
                                <m:t>j</m:t>
                              </m:r>
                            </m:sub>
                          </m:sSub>
                          <m:r>
                            <m:rPr>
                              <m:sty m:val="p"/>
                            </m:rPr>
                            <m:t>−</m:t>
                          </m:r>
                          <m:sSub>
                            <m:e>
                              <m:r>
                                <m:t>S</m:t>
                              </m:r>
                            </m:e>
                            <m:sub>
                              <m:r>
                                <m:t>i</m:t>
                              </m:r>
                              <m:r>
                                <m:t>j</m:t>
                              </m:r>
                            </m:sub>
                          </m:sSub>
                        </m:e>
                      </m:d>
                    </m:e>
                    <m:sup>
                      <m:r>
                        <m:t>2</m:t>
                      </m:r>
                    </m:sup>
                  </m:sSup>
                </m:e>
              </m:nary>
            </m:e>
          </m:eqArr>
        </m:oMath>
      </m:oMathPara>
    </w:p>
    <w:p>
      <w:pPr>
        <w:pStyle w:val="FirstParagraph"/>
      </w:pPr>
      <w:r>
        <w:t xml:space="preserve">Dabei ist</w:t>
      </w:r>
      <w:r>
        <w:t xml:space="preserve"> </w:t>
      </w:r>
      <m:oMath>
        <m:r>
          <m:rPr>
            <m:sty m:val="p"/>
          </m:rPr>
          <m:t>Σ</m:t>
        </m:r>
      </m:oMath>
      <w:r>
        <w:t xml:space="preserve"> </w:t>
      </w:r>
      <w:r>
        <w:t xml:space="preserve">die prognostizierte und</w:t>
      </w:r>
      <w:r>
        <w:t xml:space="preserve"> </w:t>
      </w:r>
      <m:oMath>
        <m:r>
          <m:t>S</m:t>
        </m:r>
      </m:oMath>
      <w:r>
        <w:t xml:space="preserve"> </w:t>
      </w:r>
      <w:r>
        <w:t xml:space="preserve">die realisierte Kovarianzmatrix,</w:t>
      </w:r>
      <w:r>
        <w:t xml:space="preserve"> </w:t>
      </w:r>
      <m:oMath>
        <m:sSub>
          <m:e>
            <m:r>
              <m:t>r</m:t>
            </m:r>
          </m:e>
          <m:sub>
            <m:r>
              <m:t>t</m:t>
            </m:r>
          </m:sub>
        </m:sSub>
      </m:oMath>
      <w:r>
        <w:t xml:space="preserve"> </w:t>
      </w:r>
      <w:r>
        <w:t xml:space="preserve">der Vektor der logarithmierten Tagesrenditen und</w:t>
      </w:r>
      <w:r>
        <w:t xml:space="preserve"> </w:t>
      </w:r>
      <m:oMath>
        <m:r>
          <m:t>N</m:t>
        </m:r>
      </m:oMath>
      <w:r>
        <w:t xml:space="preserve"> </w:t>
      </w:r>
      <w:r>
        <w:t xml:space="preserve">die Zahl der Anlagen im jeweiligen Fenster.</w:t>
      </w:r>
      <w:r>
        <w:t xml:space="preserve"> </w:t>
      </w:r>
      <w:r>
        <w:t xml:space="preserve">Beide Verluste werden je Rebalancierungsfenster berechnet und anschließend über die Fenster gemittelt, wobei niedrigere Werte eine bessere Prognose bedeuten.</w:t>
      </w:r>
    </w:p>
    <w:p>
      <w:pPr>
        <w:pStyle w:val="BodyText"/>
      </w:pPr>
      <w:r>
        <w:t xml:space="preserve">Die beiden Maße unterscheiden sich darin, wie sie Fehler in beide Richtungen gewichten.</w:t>
      </w:r>
      <w:r>
        <w:t xml:space="preserve"> </w:t>
      </w:r>
      <w:r>
        <w:t xml:space="preserve">Der QLIKE-Verlust aus</w:t>
      </w:r>
      <w:r>
        <w:t xml:space="preserve"> </w:t>
      </w:r>
      <w:hyperlink w:anchor="eq:qlike">
        <w:r>
          <w:rPr>
            <w:rStyle w:val="Hyperlink"/>
          </w:rPr>
          <w:t xml:space="preserve">Gleichung </w:t>
        </w:r>
        <w:hyperlink w:anchor="eq:qlike">
          <w:r>
            <w:rPr>
              <w:rStyle w:val="Hyperlink"/>
            </w:rPr>
            <w:t xml:space="preserve">[eq:qlike]</w:t>
          </w:r>
        </w:hyperlink>
      </w:hyperlink>
      <w:r>
        <w:t xml:space="preserve"> </w:t>
      </w:r>
      <w:r>
        <w:t xml:space="preserve">bestraft eine Unterschätzung des Risikos stärker als eine Überschätzung, da der Term</w:t>
      </w:r>
      <w:r>
        <w:t xml:space="preserve"> </w:t>
      </w:r>
      <m:oMath>
        <m:r>
          <m:rPr>
            <m:sty m:val="p"/>
          </m:rPr>
          <m:t>tr</m:t>
        </m:r>
        <m:r>
          <m:rPr>
            <m:sty m:val="p"/>
          </m:rPr>
          <m:t>(</m:t>
        </m:r>
        <m:sSup>
          <m:e>
            <m:r>
              <m:rPr>
                <m:sty m:val="p"/>
              </m:rPr>
              <m:t>Σ</m:t>
            </m:r>
          </m:e>
          <m:sup>
            <m:r>
              <m:rPr>
                <m:sty m:val="p"/>
              </m:rPr>
              <m:t>−</m:t>
            </m:r>
            <m:r>
              <m:t>1</m:t>
            </m:r>
          </m:sup>
        </m:sSup>
        <m:r>
          <m:t>S</m:t>
        </m:r>
        <m:r>
          <m:rPr>
            <m:sty m:val="p"/>
          </m:rPr>
          <m:t>)</m:t>
        </m:r>
      </m:oMath>
      <w:r>
        <w:t xml:space="preserve"> </w:t>
      </w:r>
      <w:r>
        <w:t xml:space="preserve">stark ansteigt, sobald die Matrix zu klein prognostiziert wurde.</w:t>
      </w:r>
      <w:r>
        <w:t xml:space="preserve"> </w:t>
      </w:r>
      <w:r>
        <w:t xml:space="preserve">Damit ist er ökonomisch besser motiviert als ein symmetrisches Maß.</w:t>
      </w:r>
      <w:r>
        <w:t xml:space="preserve"> </w:t>
      </w:r>
      <w:r>
        <w:t xml:space="preserve">Der MSE aus</w:t>
      </w:r>
      <w:r>
        <w:t xml:space="preserve"> </w:t>
      </w:r>
      <w:hyperlink w:anchor="eq:mse">
        <w:r>
          <w:rPr>
            <w:rStyle w:val="Hyperlink"/>
          </w:rPr>
          <w:t xml:space="preserve">Gleichung </w:t>
        </w:r>
        <w:hyperlink w:anchor="eq:mse">
          <w:r>
            <w:rPr>
              <w:rStyle w:val="Hyperlink"/>
            </w:rPr>
            <w:t xml:space="preserve">[eq:mse]</w:t>
          </w:r>
        </w:hyperlink>
      </w:hyperlink>
      <w:r>
        <w:t xml:space="preserve"> </w:t>
      </w:r>
      <w:r>
        <w:t xml:space="preserve">misst dagegen den quadratischen Abstand über alle Matrixeinträge und gewichtet Über- wie Unterschätzung gleich.</w:t>
      </w:r>
    </w:p>
    <w:p>
      <w:pPr>
        <w:pStyle w:val="BodyText"/>
      </w:pPr>
      <w:r>
        <w:t xml:space="preserve">Die Wahl gerade dieser beiden Maße folgt aus den Eigenschaften des Proxys, der zwar erwartungstreu, aber verrauscht ist.</w:t>
      </w:r>
      <w:r>
        <w:t xml:space="preserve"> </w:t>
      </w:r>
      <w:r>
        <w:t xml:space="preserve">Für</w:t>
      </w:r>
      <w:r>
        <w:t xml:space="preserve"> </w:t>
      </w:r>
      <m:oMath>
        <m:r>
          <m:t>h</m:t>
        </m:r>
        <m:r>
          <m:rPr>
            <m:sty m:val="p"/>
          </m:rPr>
          <m:t>=</m:t>
        </m:r>
        <m:r>
          <m:t>1</m:t>
        </m:r>
      </m:oMath>
      <w:r>
        <w:t xml:space="preserve"> </w:t>
      </w:r>
      <w:r>
        <w:t xml:space="preserve">besteht er aus einem einzigen äußeren Produkt, wodurch insbesondere in diesem Fall das Rauschen des Schätzers zu beachten ist.</w:t>
      </w:r>
      <w:r>
        <w:t xml:space="preserve"> </w:t>
      </w:r>
      <w:r>
        <w:t xml:space="preserve">QLIKE und MSE gehören beide zu den Verlusten, die gegen ein solches Rauschen robust sind.</w:t>
      </w:r>
      <w:r>
        <w:t xml:space="preserve"> </w:t>
      </w:r>
      <w:r>
        <w:t xml:space="preserve">Für die beiden Metriken ist daher die erwartete Rangfolge zweier Prognosen dieselbe, unabhängig davon, ob gegen den verrauschten Proxy oder gegen die unbeobachtbare Wahrheit gemessen wird.</w:t>
      </w:r>
      <w:r>
        <w:t xml:space="preserve"> </w:t>
      </w:r>
      <w:r>
        <w:t xml:space="preserve">Patton (2011)</w:t>
      </w:r>
      <w:r>
        <w:t xml:space="preserve"> </w:t>
      </w:r>
      <w:r>
        <w:t xml:space="preserve">entwickelt dieses Konzept für den univariaten Fall der Varianzprognose, während</w:t>
      </w:r>
      <w:r>
        <w:t xml:space="preserve"> </w:t>
      </w:r>
      <w:r>
        <w:t xml:space="preserve">Laurent et al. (2013)</w:t>
      </w:r>
      <w:r>
        <w:t xml:space="preserve"> </w:t>
      </w:r>
      <w:r>
        <w:t xml:space="preserve">es auf vollständige Kovarianzmatrizen übertragen.</w:t>
      </w:r>
      <w:r>
        <w:t xml:space="preserve"> </w:t>
      </w:r>
      <w:r>
        <w:t xml:space="preserve">Beide hier verwendeten Maße gehören zu den Verlustfunktionen, die</w:t>
      </w:r>
      <w:r>
        <w:t xml:space="preserve"> </w:t>
      </w:r>
      <w:r>
        <w:t xml:space="preserve">Laurent et al. (2012)</w:t>
      </w:r>
      <w:r>
        <w:t xml:space="preserve"> </w:t>
      </w:r>
      <w:r>
        <w:t xml:space="preserve">auf dieser Grundlage für den Vergleich multivariater GARCH-Modelle einsetzen.</w:t>
      </w:r>
      <w:r>
        <w:t xml:space="preserve"> </w:t>
      </w:r>
      <w:r>
        <w:t xml:space="preserve">Folglich ist der absolute Wert der Metriken zwar nur eingeschränkt interpretierbar, jedoch ist die Rangfolge robust, weshalb Qualitätsunterschiede zwischen den Schätzern erkannt werden können.</w:t>
      </w:r>
    </w:p>
    <w:p>
      <w:pPr>
        <w:pStyle w:val="BodyText"/>
      </w:pPr>
      <w:r>
        <w:t xml:space="preserve">Da die Länge des Trainingsfensters die Zahl der investierbaren Anlagen und damit die Dimension der Kovarianzmatrix beeinflusst, sind die Verlustniveaus zwischen den Kombinationen nur mit Vorsicht zu vergleichen.</w:t>
      </w:r>
      <w:r>
        <w:t xml:space="preserve"> </w:t>
      </w:r>
      <w:r>
        <w:t xml:space="preserve">Aussagekräftig ist daher in erster Linie die Differenz zwischen den Schätzern innerhalb einer Spezifikation.</w:t>
      </w:r>
    </w:p>
    <w:bookmarkEnd w:id="25"/>
    <w:bookmarkStart w:id="26" w:name="ökonomische-kennzahlen"/>
    <w:p>
      <w:pPr>
        <w:pStyle w:val="Heading4"/>
      </w:pPr>
      <w:r>
        <w:t xml:space="preserve">Ökonomische Kennzahlen</w:t>
      </w:r>
    </w:p>
    <w:p>
      <w:pPr>
        <w:pStyle w:val="FirstParagraph"/>
      </w:pPr>
      <w:r>
        <w:t xml:space="preserve">Berichtet werden die annualisierte Rendite, die realisierte Volatilität, die Sharpe Ratio und der Turnover.</w:t>
      </w:r>
      <w:r>
        <w:t xml:space="preserve"> </w:t>
      </w:r>
      <w:r>
        <w:t xml:space="preserve">Alle vier Kennzahlen beruhen auf der Tagesrendite des Portfolios</w:t>
      </w:r>
      <w:r>
        <w:t xml:space="preserve"> </w:t>
      </w:r>
      <m:oMath>
        <m:sSub>
          <m:e>
            <m:r>
              <m:t>r</m:t>
            </m:r>
          </m:e>
          <m:sub>
            <m:r>
              <m:t>p</m:t>
            </m:r>
            <m:r>
              <m:rPr>
                <m:sty m:val="p"/>
              </m:rPr>
              <m:t>,</m:t>
            </m:r>
            <m:r>
              <m:t>t</m:t>
            </m:r>
          </m:sub>
        </m:sSub>
      </m:oMath>
      <w:r>
        <w:t xml:space="preserve">, die sich als mit den Portfoliogewichten gewichtete Summe der Sektorrenditen ergibt.</w:t>
      </w:r>
    </w:p>
    <w:p>
      <w:pPr>
        <w:pStyle w:val="BodyText"/>
      </w:pPr>
      <m:oMathPara>
        <m:oMathParaPr>
          <m:jc m:val="center"/>
        </m:oMathParaPr>
        <m:oMath>
          <m:eqArr>
            <m:e>
              <m:sSub>
                <m:e>
                  <m:r>
                    <m:t>R</m:t>
                  </m:r>
                </m:e>
                <m:sub>
                  <m:r>
                    <m:rPr>
                      <m:sty m:val="p"/>
                    </m:rPr>
                    <m:t>a</m:t>
                  </m:r>
                  <m:r>
                    <m:rPr>
                      <m:sty m:val="p"/>
                    </m:rPr>
                    <m:t>n</m:t>
                  </m:r>
                  <m:r>
                    <m:rPr>
                      <m:sty m:val="p"/>
                    </m:rPr>
                    <m:t>n</m:t>
                  </m:r>
                </m:sub>
              </m:sSub>
              <m:r>
                <m:t>&amp;</m:t>
              </m:r>
              <m:r>
                <m:rPr>
                  <m:sty m:val="p"/>
                </m:rPr>
                <m:t>=</m:t>
              </m:r>
              <m:sSup>
                <m:e>
                  <m:d>
                    <m:dPr>
                      <m:begChr m:val="("/>
                      <m:sepChr m:val=""/>
                      <m:endChr m:val=")"/>
                      <m:grow/>
                    </m:dPr>
                    <m:e>
                      <m:nary>
                        <m:naryPr>
                          <m:chr m:val="∏"/>
                          <m:limLoc m:val="undOvr"/>
                          <m:subHide m:val="off"/>
                          <m:supHide m:val="off"/>
                        </m:naryPr>
                        <m:sub>
                          <m:r>
                            <m:t>t</m:t>
                          </m:r>
                          <m:r>
                            <m:rPr>
                              <m:sty m:val="p"/>
                            </m:rPr>
                            <m:t>=</m:t>
                          </m:r>
                          <m:r>
                            <m:t>1</m:t>
                          </m:r>
                        </m:sub>
                        <m:sup>
                          <m:r>
                            <m:t>n</m:t>
                          </m:r>
                        </m:sup>
                        <m:e>
                          <m:d>
                            <m:dPr>
                              <m:begChr m:val="("/>
                              <m:sepChr m:val=""/>
                              <m:endChr m:val=")"/>
                              <m:grow/>
                            </m:dPr>
                            <m:e>
                              <m:r>
                                <m:t>1</m:t>
                              </m:r>
                              <m:r>
                                <m:rPr>
                                  <m:sty m:val="p"/>
                                </m:rPr>
                                <m:t>+</m:t>
                              </m:r>
                              <m:sSub>
                                <m:e>
                                  <m:r>
                                    <m:t>r</m:t>
                                  </m:r>
                                </m:e>
                                <m:sub>
                                  <m:r>
                                    <m:t>p</m:t>
                                  </m:r>
                                  <m:r>
                                    <m:rPr>
                                      <m:sty m:val="p"/>
                                    </m:rPr>
                                    <m:t>,</m:t>
                                  </m:r>
                                  <m:r>
                                    <m:t>t</m:t>
                                  </m:r>
                                </m:sub>
                              </m:sSub>
                            </m:e>
                          </m:d>
                        </m:e>
                      </m:nary>
                    </m:e>
                  </m:d>
                </m:e>
                <m:sup>
                  <m:f>
                    <m:fPr>
                      <m:type m:val="bar"/>
                    </m:fPr>
                    <m:num>
                      <m:r>
                        <m:t>252</m:t>
                      </m:r>
                    </m:num>
                    <m:den>
                      <m:r>
                        <m:t>n</m:t>
                      </m:r>
                    </m:den>
                  </m:f>
                </m:sup>
              </m:sSup>
              <m:r>
                <m:rPr>
                  <m:sty m:val="p"/>
                </m:rPr>
                <m:t>−</m:t>
              </m:r>
              <m:r>
                <m:t>1</m:t>
              </m:r>
            </m:e>
            <m:e>
              <m:sSub>
                <m:e>
                  <m:r>
                    <m:t>σ</m:t>
                  </m:r>
                </m:e>
                <m:sub>
                  <m:r>
                    <m:rPr>
                      <m:sty m:val="p"/>
                    </m:rPr>
                    <m:t>a</m:t>
                  </m:r>
                  <m:r>
                    <m:rPr>
                      <m:sty m:val="p"/>
                    </m:rPr>
                    <m:t>n</m:t>
                  </m:r>
                  <m:r>
                    <m:rPr>
                      <m:sty m:val="p"/>
                    </m:rPr>
                    <m:t>n</m:t>
                  </m:r>
                </m:sub>
              </m:sSub>
              <m:r>
                <m:t>&amp;</m:t>
              </m:r>
              <m:r>
                <m:rPr>
                  <m:sty m:val="p"/>
                </m:rPr>
                <m:t>=</m:t>
              </m:r>
              <m:rad>
                <m:radPr>
                  <m:degHide m:val="on"/>
                </m:radPr>
                <m:deg/>
                <m:e>
                  <m:r>
                    <m:t>252</m:t>
                  </m:r>
                </m:e>
              </m:rad>
              <m:r>
                <m:t> </m:t>
              </m:r>
              <m:r>
                <m:rPr>
                  <m:sty m:val="p"/>
                </m:rPr>
                <m:t>sd</m:t>
              </m:r>
              <m:d>
                <m:dPr>
                  <m:begChr m:val="("/>
                  <m:sepChr m:val=""/>
                  <m:endChr m:val=")"/>
                  <m:grow/>
                </m:dPr>
                <m:e>
                  <m:sSub>
                    <m:e>
                      <m:r>
                        <m:t>r</m:t>
                      </m:r>
                    </m:e>
                    <m:sub>
                      <m:r>
                        <m:t>p</m:t>
                      </m:r>
                      <m:r>
                        <m:rPr>
                          <m:sty m:val="p"/>
                        </m:rPr>
                        <m:t>,</m:t>
                      </m:r>
                      <m:r>
                        <m:t>t</m:t>
                      </m:r>
                    </m:sub>
                  </m:sSub>
                </m:e>
              </m:d>
            </m:e>
            <m:e>
              <m:r>
                <m:rPr>
                  <m:sty m:val="p"/>
                </m:rPr>
                <m:t>S</m:t>
              </m:r>
              <m:r>
                <m:rPr>
                  <m:sty m:val="p"/>
                </m:rPr>
                <m:t>R</m:t>
              </m:r>
              <m:r>
                <m:t>&amp;</m:t>
              </m:r>
              <m:r>
                <m:rPr>
                  <m:sty m:val="p"/>
                </m:rPr>
                <m:t>=</m:t>
              </m:r>
              <m:f>
                <m:fPr>
                  <m:type m:val="bar"/>
                </m:fPr>
                <m:num>
                  <m:r>
                    <m:t>252</m:t>
                  </m:r>
                  <m:r>
                    <m:t> </m:t>
                  </m:r>
                  <m:bar>
                    <m:barPr>
                      <m:pos m:val="top"/>
                    </m:barPr>
                    <m:e>
                      <m:d>
                        <m:dPr>
                          <m:begChr m:val="("/>
                          <m:sepChr m:val=""/>
                          <m:endChr m:val=")"/>
                          <m:grow/>
                        </m:dPr>
                        <m:e>
                          <m:sSub>
                            <m:e>
                              <m:r>
                                <m:t>r</m:t>
                              </m:r>
                            </m:e>
                            <m:sub>
                              <m:r>
                                <m:t>p</m:t>
                              </m:r>
                              <m:r>
                                <m:rPr>
                                  <m:sty m:val="p"/>
                                </m:rPr>
                                <m:t>,</m:t>
                              </m:r>
                              <m:r>
                                <m:t>t</m:t>
                              </m:r>
                            </m:sub>
                          </m:sSub>
                          <m:r>
                            <m:rPr>
                              <m:sty m:val="p"/>
                            </m:rPr>
                            <m:t>−</m:t>
                          </m:r>
                          <m:sSub>
                            <m:e>
                              <m:r>
                                <m:t>r</m:t>
                              </m:r>
                            </m:e>
                            <m:sub>
                              <m:r>
                                <m:t>f</m:t>
                              </m:r>
                              <m:r>
                                <m:rPr>
                                  <m:sty m:val="p"/>
                                </m:rPr>
                                <m:t>,</m:t>
                              </m:r>
                              <m:r>
                                <m:t>t</m:t>
                              </m:r>
                            </m:sub>
                          </m:sSub>
                        </m:e>
                      </m:d>
                    </m:e>
                  </m:bar>
                </m:num>
                <m:den>
                  <m:rad>
                    <m:radPr>
                      <m:degHide m:val="on"/>
                    </m:radPr>
                    <m:deg/>
                    <m:e>
                      <m:r>
                        <m:t>252</m:t>
                      </m:r>
                    </m:e>
                  </m:rad>
                  <m:r>
                    <m:t> </m:t>
                  </m:r>
                  <m:r>
                    <m:rPr>
                      <m:sty m:val="p"/>
                    </m:rPr>
                    <m:t>sd</m:t>
                  </m:r>
                  <m:d>
                    <m:dPr>
                      <m:begChr m:val="("/>
                      <m:sepChr m:val=""/>
                      <m:endChr m:val=")"/>
                      <m:grow/>
                    </m:dPr>
                    <m:e>
                      <m:sSub>
                        <m:e>
                          <m:r>
                            <m:t>r</m:t>
                          </m:r>
                        </m:e>
                        <m:sub>
                          <m:r>
                            <m:t>p</m:t>
                          </m:r>
                          <m:r>
                            <m:rPr>
                              <m:sty m:val="p"/>
                            </m:rPr>
                            <m:t>,</m:t>
                          </m:r>
                          <m:r>
                            <m:t>t</m:t>
                          </m:r>
                        </m:sub>
                      </m:sSub>
                      <m:r>
                        <m:rPr>
                          <m:sty m:val="p"/>
                        </m:rPr>
                        <m:t>−</m:t>
                      </m:r>
                      <m:sSub>
                        <m:e>
                          <m:r>
                            <m:t>r</m:t>
                          </m:r>
                        </m:e>
                        <m:sub>
                          <m:r>
                            <m:t>f</m:t>
                          </m:r>
                          <m:r>
                            <m:rPr>
                              <m:sty m:val="p"/>
                            </m:rPr>
                            <m:t>,</m:t>
                          </m:r>
                          <m:r>
                            <m:t>t</m:t>
                          </m:r>
                        </m:sub>
                      </m:sSub>
                    </m:e>
                  </m:d>
                </m:den>
              </m:f>
            </m:e>
          </m:eqArr>
        </m:oMath>
      </m:oMathPara>
    </w:p>
    <w:p>
      <w:pPr>
        <w:pStyle w:val="FirstParagraph"/>
      </w:pPr>
      <w:r>
        <w:t xml:space="preserve">Die annualisierte Rendite aus</w:t>
      </w:r>
      <w:r>
        <w:t xml:space="preserve"> </w:t>
      </w:r>
      <w:hyperlink w:anchor="eq:annrendite">
        <w:r>
          <w:rPr>
            <w:rStyle w:val="Hyperlink"/>
          </w:rPr>
          <w:t xml:space="preserve">Gleichung </w:t>
        </w:r>
        <w:hyperlink w:anchor="eq:annrendite">
          <w:r>
            <w:rPr>
              <w:rStyle w:val="Hyperlink"/>
            </w:rPr>
            <w:t xml:space="preserve">[eq:annrendite]</w:t>
          </w:r>
        </w:hyperlink>
      </w:hyperlink>
      <w:r>
        <w:t xml:space="preserve"> </w:t>
      </w:r>
      <w:r>
        <w:t xml:space="preserve">ist die geometrische Wachstumsrate über die</w:t>
      </w:r>
      <w:r>
        <w:t xml:space="preserve"> </w:t>
      </w:r>
      <m:oMath>
        <m:r>
          <m:t>n</m:t>
        </m:r>
      </m:oMath>
      <w:r>
        <w:t xml:space="preserve"> </w:t>
      </w:r>
      <w:r>
        <w:t xml:space="preserve">Handelstage des Bewertungszeitraums, während die realisierte Volatilität als annualisierte Standardabweichung derselben Reihe berechnet wird.</w:t>
      </w:r>
      <w:r>
        <w:t xml:space="preserve"> </w:t>
      </w:r>
      <w:r>
        <w:t xml:space="preserve">Bei der Sharpe Ratio beruhen Zähler und Nenner auf derselben Überschussrenditereihe, damit die Annualisierung beider Größen konsistent bleibt.</w:t>
      </w:r>
    </w:p>
    <w:p>
      <w:pPr>
        <w:pStyle w:val="BodyText"/>
      </w:pPr>
      <w:r>
        <w:t xml:space="preserve">Der Turnover misst, wie viel Handel ein Verfahren je Rebalancierung auslöst.</w:t>
      </w:r>
    </w:p>
    <w:p>
      <w:pPr>
        <w:pStyle w:val="BodyText"/>
      </w:pPr>
      <m:oMathPara>
        <m:oMathParaPr>
          <m:jc m:val="center"/>
        </m:oMathParaPr>
        <m:oMath>
          <m:sSub>
            <m:e>
              <m:r>
                <m:rPr>
                  <m:sty m:val="p"/>
                </m:rPr>
                <m:t>T</m:t>
              </m:r>
              <m:r>
                <m:rPr>
                  <m:sty m:val="p"/>
                </m:rPr>
                <m:t>O</m:t>
              </m:r>
            </m:e>
            <m:sub>
              <m:r>
                <m:t>k</m:t>
              </m:r>
            </m:sub>
          </m:sSub>
          <m:r>
            <m:rPr>
              <m:sty m:val="p"/>
            </m:rPr>
            <m:t>=</m:t>
          </m:r>
          <m:nary>
            <m:naryPr>
              <m:chr m:val="∑"/>
              <m:limLoc m:val="undOvr"/>
              <m:subHide m:val="off"/>
              <m:supHide m:val="off"/>
            </m:naryPr>
            <m:sub>
              <m:r>
                <m:t>i</m:t>
              </m:r>
              <m:r>
                <m:rPr>
                  <m:sty m:val="p"/>
                </m:rPr>
                <m:t>=</m:t>
              </m:r>
              <m:r>
                <m:t>1</m:t>
              </m:r>
            </m:sub>
            <m:sup>
              <m:r>
                <m:t>N</m:t>
              </m:r>
            </m:sup>
            <m:e>
              <m:d>
                <m:dPr>
                  <m:begChr m:val="|"/>
                  <m:sepChr m:val=""/>
                  <m:endChr m:val="|"/>
                  <m:grow/>
                </m:dPr>
                <m:e>
                  <m:sSubSup>
                    <m:e>
                      <m:r>
                        <m:t>w</m:t>
                      </m:r>
                    </m:e>
                    <m:sub>
                      <m:r>
                        <m:t>i</m:t>
                      </m:r>
                      <m:r>
                        <m:rPr>
                          <m:sty m:val="p"/>
                        </m:rPr>
                        <m:t>,</m:t>
                      </m:r>
                      <m:r>
                        <m:t>k</m:t>
                      </m:r>
                    </m:sub>
                    <m:sup>
                      <m:r>
                        <m:rPr>
                          <m:sty m:val="p"/>
                        </m:rPr>
                        <m:t>Z</m:t>
                      </m:r>
                      <m:r>
                        <m:rPr>
                          <m:sty m:val="p"/>
                        </m:rPr>
                        <m:t>i</m:t>
                      </m:r>
                      <m:r>
                        <m:rPr>
                          <m:sty m:val="p"/>
                        </m:rPr>
                        <m:t>e</m:t>
                      </m:r>
                      <m:r>
                        <m:rPr>
                          <m:sty m:val="p"/>
                        </m:rPr>
                        <m:t>l</m:t>
                      </m:r>
                    </m:sup>
                  </m:sSubSup>
                  <m:r>
                    <m:rPr>
                      <m:sty m:val="p"/>
                    </m:rPr>
                    <m:t>−</m:t>
                  </m:r>
                  <m:sSubSup>
                    <m:e>
                      <m:r>
                        <m:t>w</m:t>
                      </m:r>
                    </m:e>
                    <m:sub>
                      <m:r>
                        <m:t>i</m:t>
                      </m:r>
                      <m:r>
                        <m:rPr>
                          <m:sty m:val="p"/>
                        </m:rPr>
                        <m:t>,</m:t>
                      </m:r>
                      <m:r>
                        <m:t>k</m:t>
                      </m:r>
                      <m:r>
                        <m:rPr>
                          <m:sty m:val="p"/>
                        </m:rPr>
                        <m:t>−</m:t>
                      </m:r>
                      <m:r>
                        <m:t>1</m:t>
                      </m:r>
                    </m:sub>
                    <m:sup>
                      <m:r>
                        <m:rPr>
                          <m:sty m:val="p"/>
                        </m:rPr>
                        <m:t>E</m:t>
                      </m:r>
                      <m:r>
                        <m:rPr>
                          <m:sty m:val="p"/>
                        </m:rPr>
                        <m:t>n</m:t>
                      </m:r>
                      <m:r>
                        <m:rPr>
                          <m:sty m:val="p"/>
                        </m:rPr>
                        <m:t>d</m:t>
                      </m:r>
                      <m:r>
                        <m:rPr>
                          <m:sty m:val="p"/>
                        </m:rPr>
                        <m:t>e</m:t>
                      </m:r>
                    </m:sup>
                  </m:sSubSup>
                </m:e>
              </m:d>
            </m:e>
          </m:nary>
        </m:oMath>
      </m:oMathPara>
    </w:p>
    <w:p>
      <w:pPr>
        <w:pStyle w:val="FirstParagraph"/>
      </w:pPr>
      <w:r>
        <w:t xml:space="preserve">Dabei sind</w:t>
      </w:r>
      <w:r>
        <w:t xml:space="preserve"> </w:t>
      </w:r>
      <m:oMath>
        <m:sSubSup>
          <m:e>
            <m:r>
              <m:t>w</m:t>
            </m:r>
          </m:e>
          <m:sub>
            <m:r>
              <m:t>i</m:t>
            </m:r>
            <m:r>
              <m:rPr>
                <m:sty m:val="p"/>
              </m:rPr>
              <m:t>,</m:t>
            </m:r>
            <m:r>
              <m:t>k</m:t>
            </m:r>
          </m:sub>
          <m:sup>
            <m:r>
              <m:rPr>
                <m:sty m:val="p"/>
              </m:rPr>
              <m:t>Z</m:t>
            </m:r>
            <m:r>
              <m:rPr>
                <m:sty m:val="p"/>
              </m:rPr>
              <m:t>i</m:t>
            </m:r>
            <m:r>
              <m:rPr>
                <m:sty m:val="p"/>
              </m:rPr>
              <m:t>e</m:t>
            </m:r>
            <m:r>
              <m:rPr>
                <m:sty m:val="p"/>
              </m:rPr>
              <m:t>l</m:t>
            </m:r>
          </m:sup>
        </m:sSubSup>
      </m:oMath>
      <w:r>
        <w:t xml:space="preserve"> </w:t>
      </w:r>
      <w:r>
        <w:t xml:space="preserve">die neuen Zielgewichte der Rebalancierung</w:t>
      </w:r>
      <w:r>
        <w:t xml:space="preserve"> </w:t>
      </w:r>
      <m:oMath>
        <m:r>
          <m:t>k</m:t>
        </m:r>
      </m:oMath>
      <w:r>
        <w:t xml:space="preserve"> </w:t>
      </w:r>
      <w:r>
        <w:t xml:space="preserve">und</w:t>
      </w:r>
      <w:r>
        <w:t xml:space="preserve"> </w:t>
      </w:r>
      <m:oMath>
        <m:sSubSup>
          <m:e>
            <m:r>
              <m:t>w</m:t>
            </m:r>
          </m:e>
          <m:sub>
            <m:r>
              <m:t>i</m:t>
            </m:r>
            <m:r>
              <m:rPr>
                <m:sty m:val="p"/>
              </m:rPr>
              <m:t>,</m:t>
            </m:r>
            <m:r>
              <m:t>k</m:t>
            </m:r>
            <m:r>
              <m:rPr>
                <m:sty m:val="p"/>
              </m:rPr>
              <m:t>−</m:t>
            </m:r>
            <m:r>
              <m:t>1</m:t>
            </m:r>
          </m:sub>
          <m:sup>
            <m:r>
              <m:rPr>
                <m:sty m:val="p"/>
              </m:rPr>
              <m:t>E</m:t>
            </m:r>
            <m:r>
              <m:rPr>
                <m:sty m:val="p"/>
              </m:rPr>
              <m:t>n</m:t>
            </m:r>
            <m:r>
              <m:rPr>
                <m:sty m:val="p"/>
              </m:rPr>
              <m:t>d</m:t>
            </m:r>
            <m:r>
              <m:rPr>
                <m:sty m:val="p"/>
              </m:rPr>
              <m:t>e</m:t>
            </m:r>
          </m:sup>
        </m:sSubSup>
      </m:oMath>
      <w:r>
        <w:t xml:space="preserve"> </w:t>
      </w:r>
      <w:r>
        <w:t xml:space="preserve">die über die vorangegangene Halteperiode gedrifteten Endgewichte.</w:t>
      </w:r>
      <w:r>
        <w:t xml:space="preserve"> </w:t>
      </w:r>
      <w:r>
        <w:t xml:space="preserve">Bestimmt wird damit der Anteil des Portfolios, der umgeschichtet werden muss, um die neue Zielallokation zu erreichen, weshalb der Turnover als Proxy für Transaktionskosten verstanden werden kann.</w:t>
      </w:r>
      <w:r>
        <w:t xml:space="preserve"> </w:t>
      </w:r>
      <w:r>
        <w:t xml:space="preserve">In dieser Studie werden die Transaktionskosten beim Rebalancing zwar nicht berücksichtigt, jedoch würde ein deutlich höherer Turnover die Rendite und somit auch die Sharpe Ratio stark negativ beeinflussen.</w:t>
      </w:r>
    </w:p>
    <w:bookmarkEnd w:id="26"/>
    <w:bookmarkStart w:id="27" w:name="signifikanztests"/>
    <w:p>
      <w:pPr>
        <w:pStyle w:val="Heading4"/>
      </w:pPr>
      <w:r>
        <w:t xml:space="preserve">Signifikanztests</w:t>
      </w:r>
    </w:p>
    <w:p>
      <w:pPr>
        <w:pStyle w:val="FirstParagraph"/>
      </w:pPr>
      <w:r>
        <w:t xml:space="preserve">Signifikanzaussagen beruhen auf zwei Tests.</w:t>
      </w:r>
      <w:r>
        <w:t xml:space="preserve"> </w:t>
      </w:r>
      <w:r>
        <w:t xml:space="preserve">Unterschiede in der Prognosegüte werden mit dem Test von</w:t>
      </w:r>
      <w:r>
        <w:t xml:space="preserve"> </w:t>
      </w:r>
      <w:r>
        <w:t xml:space="preserve">Diebold and Mariano (1995)</w:t>
      </w:r>
      <w:r>
        <w:t xml:space="preserve"> </w:t>
      </w:r>
      <w:r>
        <w:t xml:space="preserve">auf die Verlustdifferenzen geprüft</w:t>
      </w:r>
      <w:r>
        <w:t xml:space="preserve">, wobei auf eine Korrektur für die sechs paarweisen Vergleiche verzichtet wird, da die Aussagen unter QLIKE weit unter dem 1-%-Niveau liegen und nur die MSE-Vergleiche nahe der 5-%-Grenze davon berührt wären</w:t>
      </w:r>
      <w:r>
        <w:t xml:space="preserve">.</w:t>
      </w:r>
      <w:r>
        <w:t xml:space="preserve"> </w:t>
      </w:r>
      <w:r>
        <w:t xml:space="preserve">Für Unterschiede in den Sharpe Ratios dient der Test von</w:t>
      </w:r>
      <w:r>
        <w:t xml:space="preserve"> </w:t>
      </w:r>
      <w:r>
        <w:t xml:space="preserve">Jobson and Korkie (1981)</w:t>
      </w:r>
      <w:r>
        <w:t xml:space="preserve"> </w:t>
      </w:r>
      <w:r>
        <w:t xml:space="preserve">in der Korrektur von</w:t>
      </w:r>
      <w:r>
        <w:t xml:space="preserve"> </w:t>
      </w:r>
      <w:r>
        <w:t xml:space="preserve">Memmel (2003)</w:t>
      </w:r>
      <w:r>
        <w:t xml:space="preserve">, der die Korrelation der beiden Renditereihen berücksichtigt.</w:t>
      </w:r>
      <w:r>
        <w:t xml:space="preserve"> </w:t>
      </w:r>
      <w:r>
        <w:t xml:space="preserve">Ohne die Berücksichtigung dieser Korrelation fiele der Test zu großzügig aus, da die Renditereihen zweier risikobasierter Portfolios auf demselben Universum hoch korreliert sind</w:t>
      </w:r>
      <w:r>
        <w:t xml:space="preserve"> </w:t>
      </w:r>
      <w:r>
        <w:t xml:space="preserve">(Memmel 2003)</w:t>
      </w:r>
      <w:r>
        <w:t xml:space="preserve">.</w:t>
      </w:r>
    </w:p>
    <w:bookmarkEnd w:id="27"/>
    <w:bookmarkEnd w:id="28"/>
    <w:bookmarkEnd w:id="29"/>
    <w:bookmarkStart w:id="48" w:name="sec:ergebnisse"/>
    <w:p>
      <w:pPr>
        <w:pStyle w:val="Heading1"/>
      </w:pPr>
      <w:r>
        <w:t xml:space="preserve">Ergebnisse</w:t>
      </w:r>
    </w:p>
    <w:p>
      <w:pPr>
        <w:pStyle w:val="FirstParagraph"/>
      </w:pPr>
      <w:r>
        <w:t xml:space="preserve">Zunächst wird geprüft, ob die GARCH-basierten Schätzer die Kovarianzmatrix besser prognostizieren, bevor untersucht wird, ob sich ein solcher Vorteil auch in der Portfolioperformance niederschlägt.</w:t>
      </w:r>
      <w:r>
        <w:t xml:space="preserve"> </w:t>
      </w:r>
      <w:r>
        <w:t xml:space="preserve">Diese Reihenfolge folgt dem Einwand von</w:t>
      </w:r>
      <w:r>
        <w:t xml:space="preserve"> </w:t>
      </w:r>
      <w:r>
        <w:t xml:space="preserve">Engle and Colacito (2006)</w:t>
      </w:r>
      <w:r>
        <w:t xml:space="preserve">, wonach die Sharpe Ratio von den realisierten Renditen dominiert wird, auf die die Kovarianzmatrix nur mittelbar wirkt, was sich ebenso auf andere renditebasierte Kennzahlen übertragen lässt.</w:t>
      </w:r>
      <w:r>
        <w:t xml:space="preserve"> </w:t>
      </w:r>
      <w:r>
        <w:t xml:space="preserve">Anschließend wird die Stabilität beider Befunde über Trainingsfenster, Prognosehorizonte und Teilperioden betrachtet.</w:t>
      </w:r>
    </w:p>
    <w:bookmarkStart w:id="33" w:name="sec:statistisch"/>
    <w:p>
      <w:pPr>
        <w:pStyle w:val="Heading2"/>
      </w:pPr>
      <w:r>
        <w:t xml:space="preserve">Statistische Prognosequalität</w:t>
      </w:r>
    </w:p>
    <w:p>
      <w:pPr>
        <w:pStyle w:val="FirstParagraph"/>
      </w:pPr>
      <w:r>
        <w:t xml:space="preserve">Im Basisfall ordnet sich die Prognosegüte unter beiden Verlustmaßen nach der Modellkomplexität, wie</w:t>
      </w:r>
      <w:r>
        <w:t xml:space="preserve"> </w:t>
      </w:r>
      <w:hyperlink w:anchor="tab:statistik_basis">
        <w:r>
          <w:rPr>
            <w:rStyle w:val="Hyperlink"/>
          </w:rPr>
          <w:t xml:space="preserve">Tabelle </w:t>
        </w:r>
        <w:hyperlink w:anchor="tab:statistik_basis">
          <w:r>
            <w:rPr>
              <w:rStyle w:val="Hyperlink"/>
            </w:rPr>
            <w:t xml:space="preserve">2</w:t>
          </w:r>
        </w:hyperlink>
      </w:hyperlink>
      <w:r>
        <w:t xml:space="preserve"> </w:t>
      </w:r>
      <w:r>
        <w:t xml:space="preserve">zeigt.</w:t>
      </w:r>
      <w:r>
        <w:t xml:space="preserve"> </w:t>
      </w:r>
      <w:r>
        <w:t xml:space="preserve">Die historische Matrix schneidet am schlechtesten ab, während der GARCH-Schätzer sie deutlich verbessert und DCC-GARCH nochmals einen kleinen Zusatzgewinn liefert.</w:t>
      </w:r>
      <w:r>
        <w:t xml:space="preserve"> </w:t>
      </w:r>
      <w:r>
        <w:t xml:space="preserve">QLIKE und MSE stimmen in dieser Reihenfolge überein.</w:t>
      </w:r>
    </w:p>
    <w:bookmarkStart w:id="30" w:name="tab:statistik_basis"/>
    <w:p>
      <w:pPr>
        <w:pStyle w:val="TableCaption"/>
      </w:pPr>
      <w:r>
        <w:t xml:space="preserve">Prognosequalität der Kovarianzschätzer im Basisfall</w:t>
      </w:r>
    </w:p>
    <w:tbl>
      <w:tblPr>
        <w:tblStyle w:val="Table"/>
        <w:tblW w:type="auto" w:w="0"/>
        <w:tblLook w:firstRow="1" w:lastRow="0" w:firstColumn="0" w:lastColumn="0" w:noHBand="0" w:noVBand="0" w:val="0020"/>
        <w:tblCaption w:val="Prognosequalität der Kovarianzschätzer im Basisfall"/>
      </w:tblPr>
      <w:tblGrid>
        <w:gridCol w:w="2640"/>
        <w:gridCol w:w="2640"/>
        <w:gridCol w:w="2640"/>
      </w:tblGrid>
      <w:tr>
        <w:trPr>
          <w:tblHeader w:val="on"/>
        </w:trPr>
        <w:tc>
          <w:tcPr/>
          <w:p>
            <w:pPr>
              <w:pStyle w:val="Compact"/>
              <w:jc w:val="left"/>
            </w:pPr>
            <w:r>
              <w:t xml:space="preserve">Kovarianzschätzer</w:t>
            </w:r>
          </w:p>
        </w:tc>
        <w:tc>
          <w:tcPr/>
          <w:p>
            <w:pPr>
              <w:pStyle w:val="Compact"/>
              <w:jc w:val="right"/>
            </w:pPr>
            <w:r>
              <w:t xml:space="preserve">QLIKE</w:t>
            </w:r>
          </w:p>
        </w:tc>
        <w:tc>
          <w:tcPr/>
          <w:p>
            <w:pPr>
              <w:pStyle w:val="Compact"/>
              <w:jc w:val="right"/>
            </w:pPr>
            <w:r>
              <w:t xml:space="preserve">MSE (</w:t>
            </w:r>
            <m:oMath>
              <m:r>
                <m:rPr>
                  <m:sty m:val="p"/>
                </m:rPr>
                <m:t>×</m:t>
              </m:r>
              <m:sSup>
                <m:e>
                  <m:r>
                    <m:t>10</m:t>
                  </m:r>
                </m:e>
                <m:sup>
                  <m:r>
                    <m:rPr>
                      <m:sty m:val="p"/>
                    </m:rPr>
                    <m:t>−</m:t>
                  </m:r>
                  <m:r>
                    <m:t>7</m:t>
                  </m:r>
                </m:sup>
              </m:sSup>
            </m:oMath>
            <w:r>
              <w:t xml:space="preserve">)</w:t>
            </w:r>
          </w:p>
        </w:tc>
      </w:tr>
      <w:tr>
        <w:tc>
          <w:tcPr/>
          <w:p>
            <w:pPr>
              <w:pStyle w:val="Compact"/>
              <w:jc w:val="left"/>
            </w:pPr>
            <w:r>
              <w:t xml:space="preserve">Historisch</w:t>
            </w:r>
          </w:p>
        </w:tc>
        <w:tc>
          <w:tcPr/>
          <w:p>
            <w:pPr>
              <w:pStyle w:val="Compact"/>
              <w:jc w:val="right"/>
            </w:pPr>
            <w:r>
              <w:t xml:space="preserve">-152,81</w:t>
            </w:r>
          </w:p>
        </w:tc>
        <w:tc>
          <w:tcPr/>
          <w:p>
            <w:pPr>
              <w:pStyle w:val="Compact"/>
              <w:jc w:val="right"/>
            </w:pPr>
            <w:r>
              <w:t xml:space="preserve">4,28</w:t>
            </w:r>
          </w:p>
        </w:tc>
      </w:tr>
      <w:tr>
        <w:tc>
          <w:tcPr/>
          <w:p>
            <w:pPr>
              <w:pStyle w:val="Compact"/>
              <w:jc w:val="left"/>
            </w:pPr>
            <w:r>
              <w:t xml:space="preserve">GARCH</w:t>
            </w:r>
          </w:p>
        </w:tc>
        <w:tc>
          <w:tcPr/>
          <w:p>
            <w:pPr>
              <w:pStyle w:val="Compact"/>
              <w:jc w:val="right"/>
            </w:pPr>
            <w:r>
              <w:t xml:space="preserve">-155,94</w:t>
            </w:r>
          </w:p>
        </w:tc>
        <w:tc>
          <w:tcPr/>
          <w:p>
            <w:pPr>
              <w:pStyle w:val="Compact"/>
              <w:jc w:val="right"/>
            </w:pPr>
            <w:r>
              <w:t xml:space="preserve">3,52</w:t>
            </w:r>
          </w:p>
        </w:tc>
      </w:tr>
      <w:tr>
        <w:tc>
          <w:tcPr/>
          <w:p>
            <w:pPr>
              <w:pStyle w:val="Compact"/>
              <w:jc w:val="left"/>
            </w:pPr>
            <w:r>
              <w:t xml:space="preserve">DCC-GARCH</w:t>
            </w:r>
          </w:p>
        </w:tc>
        <w:tc>
          <w:tcPr/>
          <w:p>
            <w:pPr>
              <w:pStyle w:val="Compact"/>
              <w:jc w:val="right"/>
            </w:pPr>
            <w:r>
              <w:t xml:space="preserve">-156,68</w:t>
            </w:r>
          </w:p>
        </w:tc>
        <w:tc>
          <w:tcPr/>
          <w:p>
            <w:pPr>
              <w:pStyle w:val="Compact"/>
              <w:jc w:val="right"/>
            </w:pPr>
            <w:r>
              <w:t xml:space="preserve">3,44</w:t>
            </w:r>
          </w:p>
        </w:tc>
      </w:tr>
    </w:tbl>
    <w:bookmarkEnd w:id="30"/>
    <w:p>
      <w:pPr>
        <w:pStyle w:val="BodyText"/>
      </w:pPr>
      <w:r>
        <w:t xml:space="preserve">TRBC, Training 1008 Handelstage, Prognosehorizont 1 Tag; niedrigere Werte bedeuten eine bessere Prognose.</w:t>
      </w:r>
    </w:p>
    <w:p>
      <w:pPr>
        <w:pStyle w:val="BodyText"/>
      </w:pPr>
      <w:r>
        <w:t xml:space="preserve">Wie scharf die beiden Verlustmaße trennen, unterscheidet sich allerdings erheblich.</w:t>
      </w:r>
      <w:r>
        <w:t xml:space="preserve"> </w:t>
      </w:r>
      <w:r>
        <w:t xml:space="preserve">Der DM-Test in</w:t>
      </w:r>
      <w:r>
        <w:t xml:space="preserve"> </w:t>
      </w:r>
      <w:hyperlink w:anchor="tab:dmw">
        <w:r>
          <w:rPr>
            <w:rStyle w:val="Hyperlink"/>
          </w:rPr>
          <w:t xml:space="preserve">Tabelle </w:t>
        </w:r>
        <w:hyperlink w:anchor="tab:dmw">
          <w:r>
            <w:rPr>
              <w:rStyle w:val="Hyperlink"/>
            </w:rPr>
            <w:t xml:space="preserve">3</w:t>
          </w:r>
        </w:hyperlink>
      </w:hyperlink>
      <w:r>
        <w:t xml:space="preserve"> </w:t>
      </w:r>
      <w:r>
        <w:t xml:space="preserve">verwirft die Nullhypothese gleicher erwarteter Verluste unter QLIKE in allen drei paarweisen Vergleichen auf dem 1-%-Niveau, wobei dies trotz der insgesamt geringen Differenz auch für den Vergleich von DCC-GARCH und GARCH gilt.</w:t>
      </w:r>
      <w:r>
        <w:t xml:space="preserve"> </w:t>
      </w:r>
      <w:r>
        <w:t xml:space="preserve">Der Grund hierfür liegt darin, dass beide Schätzer dieselben Varianzprognosen verwenden, wodurch die Verlustdifferenz kaum streut und fast ausschließlich aus dem Korrelationsbeitrag stammt.</w:t>
      </w:r>
      <w:r>
        <w:t xml:space="preserve"> </w:t>
      </w:r>
      <w:r>
        <w:t xml:space="preserve">Unter dem MSE sind die Abstände zur historischen Matrix hingegen nur auf dem 5-%-Niveau signifikant, während der Unterschied zwischen DCC und GARCH nicht mehr von null zu trennen ist.</w:t>
      </w:r>
      <w:r>
        <w:t xml:space="preserve"> </w:t>
      </w:r>
      <w:r>
        <w:t xml:space="preserve">Belastbar ist somit, dass beide dynamischen Schätzer die historische Matrix unter beiden Maßen schlagen, während sich der Zusatznutzen der dynamischen Korrelation nur unter QLIKE nachweisen lässt.</w:t>
      </w:r>
    </w:p>
    <w:bookmarkStart w:id="31" w:name="tab:dmw"/>
    <w:p>
      <w:pPr>
        <w:pStyle w:val="TableCaption"/>
      </w:pPr>
      <w:r>
        <w:t xml:space="preserve">Diebold-Mariano-Tests auf die Verlustdifferenzen (Basisfall)</w:t>
      </w:r>
    </w:p>
    <w:tbl>
      <w:tblPr>
        <w:tblStyle w:val="Table"/>
        <w:tblW w:type="auto" w:w="0"/>
        <w:tblLook w:firstRow="1" w:lastRow="0" w:firstColumn="0" w:lastColumn="0" w:noHBand="0" w:noVBand="0" w:val="0020"/>
        <w:tblCaption w:val="Diebold-Mariano-Tests auf die Verlustdifferenzen (Basisfall)"/>
      </w:tblPr>
      <w:tblGrid>
        <w:gridCol w:w="1320"/>
        <w:gridCol w:w="1320"/>
        <w:gridCol w:w="1320"/>
        <w:gridCol w:w="1320"/>
        <w:gridCol w:w="1320"/>
        <w:gridCol w:w="1320"/>
      </w:tblGrid>
      <w:tr>
        <w:trPr>
          <w:tblHeader w:val="on"/>
        </w:trPr>
        <w:tc>
          <w:tcPr/>
          <w:p>
            <w:pPr>
              <w:pStyle w:val="Compact"/>
              <w:jc w:val="left"/>
            </w:pPr>
            <w:r>
              <w:t xml:space="preserve">Vergleich</w:t>
            </w:r>
          </w:p>
        </w:tc>
        <w:tc>
          <w:tcPr/>
          <w:p>
            <w:pPr>
              <w:pStyle w:val="Compact"/>
              <w:jc w:val="right"/>
            </w:pPr>
            <m:oMath>
              <m:r>
                <m:rPr>
                  <m:sty m:val="p"/>
                </m:rPr>
                <m:t>⌀</m:t>
              </m:r>
              <m:r>
                <m:t> </m:t>
              </m:r>
              <m:r>
                <m:rPr>
                  <m:sty m:val="p"/>
                </m:rPr>
                <m:t>Δ</m:t>
              </m:r>
            </m:oMath>
            <w:r>
              <w:t xml:space="preserve"> </w:t>
            </w:r>
            <w:r>
              <w:t xml:space="preserve">Verlust</w:t>
            </w:r>
          </w:p>
        </w:tc>
        <w:tc>
          <w:tcPr/>
          <w:p>
            <w:pPr>
              <w:pStyle w:val="Compact"/>
              <w:jc w:val="right"/>
            </w:pPr>
            <m:oMath>
              <m:r>
                <m:t>t</m:t>
              </m:r>
            </m:oMath>
            <w:r>
              <w:t xml:space="preserve">-Statistik</w:t>
            </w:r>
          </w:p>
        </w:tc>
        <w:tc>
          <w:tcPr>
            <w:gridSpan w:val="2"/>
          </w:tcPr>
          <w:p>
            <w:pPr>
              <w:pStyle w:val="Compact"/>
              <w:jc w:val="center"/>
            </w:pPr>
            <m:oMath>
              <m:r>
                <m:t>p</m:t>
              </m:r>
            </m:oMath>
            <w:r>
              <w:t xml:space="preserve">-Wert</w:t>
            </w:r>
          </w:p>
        </w:tc>
        <w:tc>
          <w:tcPr/>
          <w:p>
            <w:pPr>
              <w:pStyle w:val="Compact"/>
              <w:jc w:val="right"/>
            </w:pPr>
            <w:r>
              <w:t xml:space="preserve">Termine</w:t>
            </w:r>
          </w:p>
        </w:tc>
      </w:tr>
      <w:tr>
        <w:tc>
          <w:tcPr>
            <w:gridSpan w:val="6"/>
          </w:tcPr>
          <w:p>
            <w:pPr>
              <w:pStyle w:val="Compact"/>
              <w:jc w:val="left"/>
            </w:pPr>
            <w:r>
              <w:rPr>
                <w:i/>
                <w:iCs/>
              </w:rPr>
              <w:t xml:space="preserve">QLIKE</w:t>
            </w:r>
          </w:p>
        </w:tc>
      </w:tr>
      <w:tr>
        <w:tc>
          <w:tcPr/>
          <w:p>
            <w:pPr>
              <w:pStyle w:val="Compact"/>
              <w:jc w:val="left"/>
            </w:pPr>
            <w:r>
              <w:t xml:space="preserve">GARCH vs. Historisch</w:t>
            </w:r>
          </w:p>
        </w:tc>
        <w:tc>
          <w:tcPr/>
          <w:p>
            <w:pPr>
              <w:pStyle w:val="Compact"/>
              <w:jc w:val="right"/>
            </w:pPr>
            <w:r>
              <w:t xml:space="preserve">-2,563</w:t>
            </w:r>
          </w:p>
        </w:tc>
        <w:tc>
          <w:tcPr/>
          <w:p>
            <w:pPr>
              <w:pStyle w:val="Compact"/>
              <w:jc w:val="right"/>
            </w:pPr>
            <w:r>
              <w:t xml:space="preserve">-4,18</w:t>
            </w:r>
          </w:p>
        </w:tc>
        <w:tc>
          <w:tcPr/>
          <w:p>
            <w:pPr>
              <w:pStyle w:val="Compact"/>
              <w:jc w:val="right"/>
            </w:pPr>
            <m:oMath>
              <m:r>
                <m:rPr>
                  <m:sty m:val="p"/>
                </m:rPr>
                <m:t>&lt;</m:t>
              </m:r>
            </m:oMath>
            <w:r>
              <w:t xml:space="preserve">0,001</w:t>
            </w:r>
          </w:p>
        </w:tc>
        <w:tc>
          <w:tcPr/>
          <w:p>
            <w:pPr>
              <w:pStyle w:val="Compact"/>
              <w:jc w:val="left"/>
            </w:pPr>
            <m:oMath>
              <m:sSup>
                <m:e>
                  <m:r>
                    <m:t>​</m:t>
                  </m:r>
                </m:e>
                <m:sup>
                  <m:r>
                    <m:rPr>
                      <m:sty m:val="p"/>
                    </m:rPr>
                    <m:t>*</m:t>
                  </m:r>
                  <m:r>
                    <m:rPr>
                      <m:sty m:val="p"/>
                    </m:rPr>
                    <m:t>*</m:t>
                  </m:r>
                  <m:r>
                    <m:rPr>
                      <m:sty m:val="p"/>
                    </m:rPr>
                    <m:t>*</m:t>
                  </m:r>
                </m:sup>
              </m:sSup>
            </m:oMath>
          </w:p>
        </w:tc>
        <w:tc>
          <w:tcPr/>
          <w:p>
            <w:pPr>
              <w:pStyle w:val="Compact"/>
              <w:jc w:val="right"/>
            </w:pPr>
            <w:r>
              <w:t xml:space="preserve">6013</w:t>
            </w:r>
          </w:p>
        </w:tc>
      </w:tr>
      <w:tr>
        <w:tc>
          <w:tcPr/>
          <w:p>
            <w:pPr>
              <w:pStyle w:val="Compact"/>
              <w:jc w:val="left"/>
            </w:pPr>
            <w:r>
              <w:t xml:space="preserve">DCC-GARCH vs. Historisch</w:t>
            </w:r>
          </w:p>
        </w:tc>
        <w:tc>
          <w:tcPr/>
          <w:p>
            <w:pPr>
              <w:pStyle w:val="Compact"/>
              <w:jc w:val="right"/>
            </w:pPr>
            <w:r>
              <w:t xml:space="preserve">-3,308</w:t>
            </w:r>
          </w:p>
        </w:tc>
        <w:tc>
          <w:tcPr/>
          <w:p>
            <w:pPr>
              <w:pStyle w:val="Compact"/>
              <w:jc w:val="right"/>
            </w:pPr>
            <w:r>
              <w:t xml:space="preserve">-5,28</w:t>
            </w:r>
          </w:p>
        </w:tc>
        <w:tc>
          <w:tcPr/>
          <w:p>
            <w:pPr>
              <w:pStyle w:val="Compact"/>
              <w:jc w:val="right"/>
            </w:pPr>
            <m:oMath>
              <m:r>
                <m:rPr>
                  <m:sty m:val="p"/>
                </m:rPr>
                <m:t>&lt;</m:t>
              </m:r>
            </m:oMath>
            <w:r>
              <w:t xml:space="preserve">0,001</w:t>
            </w:r>
          </w:p>
        </w:tc>
        <w:tc>
          <w:tcPr/>
          <w:p>
            <w:pPr>
              <w:pStyle w:val="Compact"/>
              <w:jc w:val="left"/>
            </w:pPr>
            <m:oMath>
              <m:sSup>
                <m:e>
                  <m:r>
                    <m:t>​</m:t>
                  </m:r>
                </m:e>
                <m:sup>
                  <m:r>
                    <m:rPr>
                      <m:sty m:val="p"/>
                    </m:rPr>
                    <m:t>*</m:t>
                  </m:r>
                  <m:r>
                    <m:rPr>
                      <m:sty m:val="p"/>
                    </m:rPr>
                    <m:t>*</m:t>
                  </m:r>
                  <m:r>
                    <m:rPr>
                      <m:sty m:val="p"/>
                    </m:rPr>
                    <m:t>*</m:t>
                  </m:r>
                </m:sup>
              </m:sSup>
            </m:oMath>
          </w:p>
        </w:tc>
        <w:tc>
          <w:tcPr/>
          <w:p>
            <w:pPr>
              <w:pStyle w:val="Compact"/>
              <w:jc w:val="right"/>
            </w:pPr>
            <w:r>
              <w:t xml:space="preserve">6013</w:t>
            </w:r>
          </w:p>
        </w:tc>
      </w:tr>
      <w:tr>
        <w:tc>
          <w:tcPr/>
          <w:p>
            <w:pPr>
              <w:pStyle w:val="Compact"/>
              <w:jc w:val="left"/>
            </w:pPr>
            <w:r>
              <w:t xml:space="preserve">DCC-GARCH vs. GARCH</w:t>
            </w:r>
          </w:p>
        </w:tc>
        <w:tc>
          <w:tcPr/>
          <w:p>
            <w:pPr>
              <w:pStyle w:val="Compact"/>
              <w:jc w:val="right"/>
            </w:pPr>
            <w:r>
              <w:t xml:space="preserve">-0,744</w:t>
            </w:r>
          </w:p>
        </w:tc>
        <w:tc>
          <w:tcPr/>
          <w:p>
            <w:pPr>
              <w:pStyle w:val="Compact"/>
              <w:jc w:val="right"/>
            </w:pPr>
            <w:r>
              <w:t xml:space="preserve">-13,86</w:t>
            </w:r>
          </w:p>
        </w:tc>
        <w:tc>
          <w:tcPr/>
          <w:p>
            <w:pPr>
              <w:pStyle w:val="Compact"/>
              <w:jc w:val="right"/>
            </w:pPr>
            <m:oMath>
              <m:r>
                <m:rPr>
                  <m:sty m:val="p"/>
                </m:rPr>
                <m:t>&lt;</m:t>
              </m:r>
            </m:oMath>
            <w:r>
              <w:t xml:space="preserve">0,001</w:t>
            </w:r>
          </w:p>
        </w:tc>
        <w:tc>
          <w:tcPr/>
          <w:p>
            <w:pPr>
              <w:pStyle w:val="Compact"/>
              <w:jc w:val="left"/>
            </w:pPr>
            <m:oMath>
              <m:sSup>
                <m:e>
                  <m:r>
                    <m:t>​</m:t>
                  </m:r>
                </m:e>
                <m:sup>
                  <m:r>
                    <m:rPr>
                      <m:sty m:val="p"/>
                    </m:rPr>
                    <m:t>*</m:t>
                  </m:r>
                  <m:r>
                    <m:rPr>
                      <m:sty m:val="p"/>
                    </m:rPr>
                    <m:t>*</m:t>
                  </m:r>
                  <m:r>
                    <m:rPr>
                      <m:sty m:val="p"/>
                    </m:rPr>
                    <m:t>*</m:t>
                  </m:r>
                </m:sup>
              </m:sSup>
            </m:oMath>
          </w:p>
        </w:tc>
        <w:tc>
          <w:tcPr/>
          <w:p>
            <w:pPr>
              <w:pStyle w:val="Compact"/>
              <w:jc w:val="right"/>
            </w:pPr>
            <w:r>
              <w:t xml:space="preserve">6079</w:t>
            </w:r>
          </w:p>
        </w:tc>
      </w:tr>
      <w:tr>
        <w:tc>
          <w:tcPr>
            <w:gridSpan w:val="6"/>
          </w:tcPr>
          <w:p>
            <w:pPr>
              <w:pStyle w:val="Compact"/>
              <w:jc w:val="left"/>
            </w:pPr>
            <w:r>
              <w:rPr>
                <w:i/>
                <w:iCs/>
              </w:rPr>
              <w:t xml:space="preserve">MSE (</w:t>
            </w:r>
            <m:oMath>
              <m:r>
                <m:rPr>
                  <m:sty m:val="p"/>
                </m:rPr>
                <m:t>×</m:t>
              </m:r>
              <m:sSup>
                <m:e>
                  <m:r>
                    <m:t>10</m:t>
                  </m:r>
                </m:e>
                <m:sup>
                  <m:r>
                    <m:rPr>
                      <m:sty m:val="p"/>
                    </m:rPr>
                    <m:t>−</m:t>
                  </m:r>
                  <m:r>
                    <m:t>7</m:t>
                  </m:r>
                </m:sup>
              </m:sSup>
            </m:oMath>
            <w:r>
              <w:rPr>
                <w:i/>
                <w:iCs/>
              </w:rPr>
              <w:t xml:space="preserve">)</w:t>
            </w:r>
          </w:p>
        </w:tc>
      </w:tr>
      <w:tr>
        <w:tc>
          <w:tcPr/>
          <w:p>
            <w:pPr>
              <w:pStyle w:val="Compact"/>
              <w:jc w:val="left"/>
            </w:pPr>
            <w:r>
              <w:t xml:space="preserve">GARCH vs. Historisch</w:t>
            </w:r>
          </w:p>
        </w:tc>
        <w:tc>
          <w:tcPr/>
          <w:p>
            <w:pPr>
              <w:pStyle w:val="Compact"/>
              <w:jc w:val="right"/>
            </w:pPr>
            <w:r>
              <w:t xml:space="preserve">-0,764</w:t>
            </w:r>
          </w:p>
        </w:tc>
        <w:tc>
          <w:tcPr/>
          <w:p>
            <w:pPr>
              <w:pStyle w:val="Compact"/>
              <w:jc w:val="right"/>
            </w:pPr>
            <w:r>
              <w:t xml:space="preserve">-2,23</w:t>
            </w:r>
          </w:p>
        </w:tc>
        <w:tc>
          <w:tcPr/>
          <w:p>
            <w:pPr>
              <w:pStyle w:val="Compact"/>
              <w:jc w:val="right"/>
            </w:pPr>
            <w:r>
              <w:t xml:space="preserve">0,026</w:t>
            </w:r>
          </w:p>
        </w:tc>
        <w:tc>
          <w:tcPr/>
          <w:p>
            <w:pPr>
              <w:pStyle w:val="Compact"/>
              <w:jc w:val="left"/>
            </w:pPr>
            <m:oMath>
              <m:sSup>
                <m:e>
                  <m:r>
                    <m:t>​</m:t>
                  </m:r>
                </m:e>
                <m:sup>
                  <m:r>
                    <m:rPr>
                      <m:sty m:val="p"/>
                    </m:rPr>
                    <m:t>*</m:t>
                  </m:r>
                  <m:r>
                    <m:rPr>
                      <m:sty m:val="p"/>
                    </m:rPr>
                    <m:t>*</m:t>
                  </m:r>
                </m:sup>
              </m:sSup>
            </m:oMath>
          </w:p>
        </w:tc>
        <w:tc>
          <w:tcPr/>
          <w:p>
            <w:pPr>
              <w:pStyle w:val="Compact"/>
              <w:jc w:val="right"/>
            </w:pPr>
            <w:r>
              <w:t xml:space="preserve">6079</w:t>
            </w:r>
          </w:p>
        </w:tc>
      </w:tr>
      <w:tr>
        <w:tc>
          <w:tcPr/>
          <w:p>
            <w:pPr>
              <w:pStyle w:val="Compact"/>
              <w:jc w:val="left"/>
            </w:pPr>
            <w:r>
              <w:t xml:space="preserve">DCC-GARCH vs. Historisch</w:t>
            </w:r>
          </w:p>
        </w:tc>
        <w:tc>
          <w:tcPr/>
          <w:p>
            <w:pPr>
              <w:pStyle w:val="Compact"/>
              <w:jc w:val="right"/>
            </w:pPr>
            <w:r>
              <w:t xml:space="preserve">-0,846</w:t>
            </w:r>
          </w:p>
        </w:tc>
        <w:tc>
          <w:tcPr/>
          <w:p>
            <w:pPr>
              <w:pStyle w:val="Compact"/>
              <w:jc w:val="right"/>
            </w:pPr>
            <w:r>
              <w:t xml:space="preserve">-2,11</w:t>
            </w:r>
          </w:p>
        </w:tc>
        <w:tc>
          <w:tcPr/>
          <w:p>
            <w:pPr>
              <w:pStyle w:val="Compact"/>
              <w:jc w:val="right"/>
            </w:pPr>
            <w:r>
              <w:t xml:space="preserve">0,035</w:t>
            </w:r>
          </w:p>
        </w:tc>
        <w:tc>
          <w:tcPr/>
          <w:p>
            <w:pPr>
              <w:pStyle w:val="Compact"/>
              <w:jc w:val="left"/>
            </w:pPr>
            <m:oMath>
              <m:sSup>
                <m:e>
                  <m:r>
                    <m:t>​</m:t>
                  </m:r>
                </m:e>
                <m:sup>
                  <m:r>
                    <m:rPr>
                      <m:sty m:val="p"/>
                    </m:rPr>
                    <m:t>*</m:t>
                  </m:r>
                  <m:r>
                    <m:rPr>
                      <m:sty m:val="p"/>
                    </m:rPr>
                    <m:t>*</m:t>
                  </m:r>
                </m:sup>
              </m:sSup>
            </m:oMath>
          </w:p>
        </w:tc>
        <w:tc>
          <w:tcPr/>
          <w:p>
            <w:pPr>
              <w:pStyle w:val="Compact"/>
              <w:jc w:val="right"/>
            </w:pPr>
            <w:r>
              <w:t xml:space="preserve">6079</w:t>
            </w:r>
          </w:p>
        </w:tc>
      </w:tr>
      <w:tr>
        <w:tc>
          <w:tcPr/>
          <w:p>
            <w:pPr>
              <w:pStyle w:val="Compact"/>
              <w:jc w:val="left"/>
            </w:pPr>
            <w:r>
              <w:t xml:space="preserve">DCC-GARCH vs. GARCH</w:t>
            </w:r>
          </w:p>
        </w:tc>
        <w:tc>
          <w:tcPr/>
          <w:p>
            <w:pPr>
              <w:pStyle w:val="Compact"/>
              <w:jc w:val="right"/>
            </w:pPr>
            <w:r>
              <w:t xml:space="preserve">-0,082</w:t>
            </w:r>
          </w:p>
        </w:tc>
        <w:tc>
          <w:tcPr/>
          <w:p>
            <w:pPr>
              <w:pStyle w:val="Compact"/>
              <w:jc w:val="right"/>
            </w:pPr>
            <w:r>
              <w:t xml:space="preserve">-1,26</w:t>
            </w:r>
          </w:p>
        </w:tc>
        <w:tc>
          <w:tcPr/>
          <w:p>
            <w:pPr>
              <w:pStyle w:val="Compact"/>
              <w:jc w:val="right"/>
            </w:pPr>
            <w:r>
              <w:t xml:space="preserve">0,207</w:t>
            </w:r>
          </w:p>
        </w:tc>
        <w:tc>
          <w:tcPr/>
          <w:p>
            <w:pPr>
              <w:pStyle w:val="Compact"/>
            </w:pPr>
          </w:p>
        </w:tc>
        <w:tc>
          <w:tcPr/>
          <w:p>
            <w:pPr>
              <w:pStyle w:val="Compact"/>
              <w:jc w:val="right"/>
            </w:pPr>
            <w:r>
              <w:t xml:space="preserve">6079</w:t>
            </w:r>
          </w:p>
        </w:tc>
      </w:tr>
    </w:tbl>
    <w:bookmarkEnd w:id="31"/>
    <w:p>
      <w:pPr>
        <w:pStyle w:val="BodyText"/>
      </w:pPr>
      <w:r>
        <w:t xml:space="preserve">Negative Differenzen bedeuten, dass der erstgenannte Schätzer besser prognostiziert;</w:t>
      </w:r>
      <w:r>
        <w:t xml:space="preserve"> </w:t>
      </w:r>
      <m:oMath>
        <m:sSup>
          <m:e>
            <m:r>
              <m:t>​</m:t>
            </m:r>
          </m:e>
          <m:sup>
            <m:r>
              <m:rPr>
                <m:sty m:val="p"/>
              </m:rPr>
              <m:t>*</m:t>
            </m:r>
            <m:r>
              <m:rPr>
                <m:sty m:val="p"/>
              </m:rPr>
              <m:t>*</m:t>
            </m:r>
            <m:r>
              <m:rPr>
                <m:sty m:val="p"/>
              </m:rPr>
              <m:t>*</m:t>
            </m:r>
          </m:sup>
        </m:sSup>
      </m:oMath>
      <w:r>
        <w:t xml:space="preserve">,</w:t>
      </w:r>
      <w:r>
        <w:t xml:space="preserve"> </w:t>
      </w:r>
      <m:oMath>
        <m:sSup>
          <m:e>
            <m:r>
              <m:t>​</m:t>
            </m:r>
          </m:e>
          <m:sup>
            <m:r>
              <m:rPr>
                <m:sty m:val="p"/>
              </m:rPr>
              <m:t>*</m:t>
            </m:r>
            <m:r>
              <m:rPr>
                <m:sty m:val="p"/>
              </m:rPr>
              <m:t>*</m:t>
            </m:r>
          </m:sup>
        </m:sSup>
      </m:oMath>
      <w:r>
        <w:t xml:space="preserve">,</w:t>
      </w:r>
      <w:r>
        <w:t xml:space="preserve"> </w:t>
      </w:r>
      <m:oMath>
        <m:sSup>
          <m:e>
            <m:r>
              <m:t>​</m:t>
            </m:r>
          </m:e>
          <m:sup>
            <m:r>
              <m:rPr>
                <m:sty m:val="p"/>
              </m:rPr>
              <m:t>*</m:t>
            </m:r>
          </m:sup>
        </m:sSup>
      </m:oMath>
      <w:r>
        <w:t xml:space="preserve"> </w:t>
      </w:r>
      <w:r>
        <w:t xml:space="preserve">= 1-, 5-, 10-%-Niveau.</w:t>
      </w:r>
    </w:p>
    <w:p>
      <w:pPr>
        <w:pStyle w:val="BodyText"/>
      </w:pPr>
      <w:r>
        <w:t xml:space="preserve">Über das gesamte Untersuchungsdesign hinweg ist der statistische Vorsprung nahezu vollständig, da DCC-GARCH unter dem MSE in sämtlichen 40 Kombinationen besser prognostiziert als die historische Matrix und unter QLIKE in nahezu allen.</w:t>
      </w:r>
      <w:r>
        <w:t xml:space="preserve"> </w:t>
      </w:r>
      <w:r>
        <w:t xml:space="preserve">Wie stark der Vorsprung ausfällt, hängt jedoch von der Spezifikation ab, wie</w:t>
      </w:r>
      <w:r>
        <w:t xml:space="preserve"> </w:t>
      </w:r>
      <w:hyperlink w:anchor="tab:qlike_grid">
        <w:r>
          <w:rPr>
            <w:rStyle w:val="Hyperlink"/>
          </w:rPr>
          <w:t xml:space="preserve">Tabelle </w:t>
        </w:r>
        <w:hyperlink w:anchor="tab:qlike_grid">
          <w:r>
            <w:rPr>
              <w:rStyle w:val="Hyperlink"/>
            </w:rPr>
            <w:t xml:space="preserve">4</w:t>
          </w:r>
        </w:hyperlink>
      </w:hyperlink>
      <w:r>
        <w:t xml:space="preserve"> </w:t>
      </w:r>
      <w:r>
        <w:t xml:space="preserve">zeigt.</w:t>
      </w:r>
      <w:r>
        <w:t xml:space="preserve"> </w:t>
      </w:r>
      <w:r>
        <w:t xml:space="preserve">Mit der Länge des Trainingsfensters nimmt er</w:t>
      </w:r>
      <w:r>
        <w:t xml:space="preserve"> </w:t>
      </w:r>
      <w:r>
        <w:rPr>
          <w:strike/>
        </w:rPr>
        <w:t xml:space="preserve">monoton zu</w:t>
      </w:r>
      <w:r>
        <w:t xml:space="preserve">bis etwa fünf Jahren zu und stabilisiert sich danach</w:t>
      </w:r>
      <w:r>
        <w:t xml:space="preserve">, wobei bei einjährigem Training unter QLIKE kein Vorteil vorliegt und der GARCH-Schätzer sogar schlechter abschneidet als die historische Matrix.</w:t>
      </w:r>
      <w:r>
        <w:t xml:space="preserve"> </w:t>
      </w:r>
      <w:r>
        <w:t xml:space="preserve">Eine mögliche Erklärung hierfür ist, dass die dynamischen Modelle insgesamt mehr Parameter schätzen müssen und deshalb bei einer geringen Datenbasis schlechter abschneiden, obwohl ihre Annahmen näher an der Realität liegen.</w:t>
      </w:r>
      <w:r>
        <w:t xml:space="preserve"> </w:t>
      </w:r>
      <w:r>
        <w:rPr>
          <w:strike/>
        </w:rPr>
        <w:t xml:space="preserve">Über den Prognosehorizont fällt der Vorsprung dagegen ab, da Varianz- wie Korrelationsprognose mit wachsendem Horizont gegen ihre unbedingten Werte konvergieren und die Dynamik entsprechend weniger abbilden können.</w:t>
      </w:r>
      <w:r>
        <w:t xml:space="preserve"> </w:t>
      </w:r>
      <w:r>
        <w:t xml:space="preserve">Über den Prognosehorizont bleibt der Vorsprung unter QLIKE dagegen nahezu konstant, während er unter dem MSE relativ zum Verlustniveau sogar zunimmt.</w:t>
      </w:r>
      <w:r>
        <w:t xml:space="preserve"> </w:t>
      </w:r>
      <w:r>
        <w:t xml:space="preserve">Der MSE zeigt</w:t>
      </w:r>
      <w:r>
        <w:t xml:space="preserve"> </w:t>
      </w:r>
      <w:r>
        <w:t xml:space="preserve">über die Trainingsfenster</w:t>
      </w:r>
      <w:r>
        <w:t xml:space="preserve"> </w:t>
      </w:r>
      <w:r>
        <w:t xml:space="preserve">dasselbe Muster, ordnet beide dynamischen Schätzer aber auch im kürzesten Fenster vor der historischen Matrix ein.</w:t>
      </w:r>
    </w:p>
    <w:bookmarkStart w:id="32" w:name="tab:qlike_grid"/>
    <w:p>
      <w:pPr>
        <w:pStyle w:val="TableCaption"/>
      </w:pPr>
      <w:r>
        <w:t xml:space="preserve">Prognosequalität über Trainingsfenster und Prognosehorizonte (TRBC)</w:t>
      </w:r>
    </w:p>
    <w:tbl>
      <w:tblPr>
        <w:tblStyle w:val="Table"/>
        <w:tblW w:type="auto" w:w="0"/>
        <w:tblLook w:firstRow="1" w:lastRow="0" w:firstColumn="0" w:lastColumn="0" w:noHBand="0" w:noVBand="0" w:val="0020"/>
        <w:tblCaption w:val="Prognosequalität über Trainingsfenster und Prognosehorizonte (TRBC)"/>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QLIKE</w:t>
            </w:r>
          </w:p>
        </w:tc>
        <w:tc>
          <w:tcPr>
            <w:gridSpan w:val="3"/>
          </w:tcPr>
          <w:p>
            <w:pPr>
              <w:pStyle w:val="Compact"/>
              <w:jc w:val="center"/>
            </w:pPr>
            <w:r>
              <w:t xml:space="preserve">MSE (</w:t>
            </w:r>
            <m:oMath>
              <m:r>
                <m:rPr>
                  <m:sty m:val="p"/>
                </m:rPr>
                <m:t>×</m:t>
              </m:r>
              <m:sSup>
                <m:e>
                  <m:r>
                    <m:t>10</m:t>
                  </m:r>
                </m:e>
                <m:sup>
                  <m:r>
                    <m:rPr>
                      <m:sty m:val="p"/>
                    </m:rPr>
                    <m:t>−</m:t>
                  </m:r>
                  <m:r>
                    <m:t>7</m:t>
                  </m:r>
                </m:sup>
              </m:sSup>
            </m:oMath>
            <w:r>
              <w:t xml:space="preserve">)</w:t>
            </w:r>
          </w:p>
        </w:tc>
      </w:tr>
      <w:tr>
        <w:tc>
          <w:tcPr/>
          <w:p>
            <w:pPr>
              <w:pStyle w:val="Compact"/>
              <w:jc w:val="left"/>
            </w:pPr>
            <w:r>
              <w:t xml:space="preserve">2-4</w:t>
            </w:r>
            <w:r>
              <w:t xml:space="preserve">(lr)</w:t>
            </w:r>
            <w:r>
              <w:t xml:space="preserve">5-7</w:t>
            </w:r>
            <w:r>
              <w:t xml:space="preserve"> </w:t>
            </w:r>
            <w:r>
              <w:t xml:space="preserve">Spezifikation</w:t>
            </w:r>
          </w:p>
        </w:tc>
        <w:tc>
          <w:tcPr/>
          <w:p>
            <w:pPr>
              <w:pStyle w:val="Compact"/>
              <w:jc w:val="right"/>
            </w:pPr>
            <w:r>
              <w:t xml:space="preserve">Historisch</w:t>
            </w:r>
          </w:p>
        </w:tc>
        <w:tc>
          <w:tcPr/>
          <w:p>
            <w:pPr>
              <w:pStyle w:val="Compact"/>
              <w:jc w:val="right"/>
            </w:pPr>
            <w:r>
              <w:t xml:space="preserve">GARCH</w:t>
            </w:r>
          </w:p>
        </w:tc>
        <w:tc>
          <w:tcPr/>
          <w:p>
            <w:pPr>
              <w:pStyle w:val="Compact"/>
              <w:jc w:val="right"/>
            </w:pPr>
            <w:r>
              <w:t xml:space="preserve">DCC-GARCH</w:t>
            </w:r>
          </w:p>
        </w:tc>
        <w:tc>
          <w:tcPr/>
          <w:p>
            <w:pPr>
              <w:pStyle w:val="Compact"/>
              <w:jc w:val="right"/>
            </w:pPr>
            <w:r>
              <w:t xml:space="preserve">Historisch</w:t>
            </w:r>
          </w:p>
        </w:tc>
        <w:tc>
          <w:tcPr/>
          <w:p>
            <w:pPr>
              <w:pStyle w:val="Compact"/>
              <w:jc w:val="right"/>
            </w:pPr>
            <w:r>
              <w:t xml:space="preserve">GARCH</w:t>
            </w:r>
          </w:p>
        </w:tc>
        <w:tc>
          <w:tcPr/>
          <w:p>
            <w:pPr>
              <w:pStyle w:val="Compact"/>
              <w:jc w:val="right"/>
            </w:pPr>
            <w:r>
              <w:t xml:space="preserve">DCC-GARCH</w:t>
            </w:r>
          </w:p>
        </w:tc>
      </w:tr>
      <w:tr>
        <w:tc>
          <w:tcPr/>
          <w:p>
            <w:pPr>
              <w:pStyle w:val="Compact"/>
              <w:jc w:val="left"/>
            </w:pPr>
            <w:r>
              <w:t xml:space="preserve">252</w:t>
            </w:r>
          </w:p>
        </w:tc>
        <w:tc>
          <w:tcPr/>
          <w:p>
            <w:pPr>
              <w:pStyle w:val="Compact"/>
              <w:jc w:val="right"/>
            </w:pPr>
            <w:r>
              <w:t xml:space="preserve">-176,1</w:t>
            </w:r>
          </w:p>
        </w:tc>
        <w:tc>
          <w:tcPr/>
          <w:p>
            <w:pPr>
              <w:pStyle w:val="Compact"/>
              <w:jc w:val="right"/>
            </w:pPr>
            <w:r>
              <w:t xml:space="preserve">-175,9</w:t>
            </w:r>
          </w:p>
        </w:tc>
        <w:tc>
          <w:tcPr/>
          <w:p>
            <w:pPr>
              <w:pStyle w:val="Compact"/>
              <w:jc w:val="right"/>
            </w:pPr>
            <w:r>
              <w:t xml:space="preserve">-176,1</w:t>
            </w:r>
          </w:p>
        </w:tc>
        <w:tc>
          <w:tcPr/>
          <w:p>
            <w:pPr>
              <w:pStyle w:val="Compact"/>
              <w:jc w:val="right"/>
            </w:pPr>
            <w:r>
              <w:t xml:space="preserve">2,99</w:t>
            </w:r>
          </w:p>
        </w:tc>
        <w:tc>
          <w:tcPr/>
          <w:p>
            <w:pPr>
              <w:pStyle w:val="Compact"/>
              <w:jc w:val="right"/>
            </w:pPr>
            <w:r>
              <w:t xml:space="preserve">2,48</w:t>
            </w:r>
          </w:p>
        </w:tc>
        <w:tc>
          <w:tcPr/>
          <w:p>
            <w:pPr>
              <w:pStyle w:val="Compact"/>
              <w:jc w:val="right"/>
            </w:pPr>
            <w:r>
              <w:t xml:space="preserve">2,47</w:t>
            </w:r>
          </w:p>
        </w:tc>
      </w:tr>
      <w:tr>
        <w:tc>
          <w:tcPr/>
          <w:p>
            <w:pPr>
              <w:pStyle w:val="Compact"/>
              <w:jc w:val="left"/>
            </w:pPr>
            <w:r>
              <w:t xml:space="preserve">504</w:t>
            </w:r>
          </w:p>
        </w:tc>
        <w:tc>
          <w:tcPr/>
          <w:p>
            <w:pPr>
              <w:pStyle w:val="Compact"/>
              <w:jc w:val="right"/>
            </w:pPr>
            <w:r>
              <w:t xml:space="preserve">-171,0</w:t>
            </w:r>
          </w:p>
        </w:tc>
        <w:tc>
          <w:tcPr/>
          <w:p>
            <w:pPr>
              <w:pStyle w:val="Compact"/>
              <w:jc w:val="right"/>
            </w:pPr>
            <w:r>
              <w:t xml:space="preserve">-171,7</w:t>
            </w:r>
          </w:p>
        </w:tc>
        <w:tc>
          <w:tcPr/>
          <w:p>
            <w:pPr>
              <w:pStyle w:val="Compact"/>
              <w:jc w:val="right"/>
            </w:pPr>
            <w:r>
              <w:t xml:space="preserve">-172,1</w:t>
            </w:r>
          </w:p>
        </w:tc>
        <w:tc>
          <w:tcPr/>
          <w:p>
            <w:pPr>
              <w:pStyle w:val="Compact"/>
              <w:jc w:val="right"/>
            </w:pPr>
            <w:r>
              <w:t xml:space="preserve">3,42</w:t>
            </w:r>
          </w:p>
        </w:tc>
        <w:tc>
          <w:tcPr/>
          <w:p>
            <w:pPr>
              <w:pStyle w:val="Compact"/>
              <w:jc w:val="right"/>
            </w:pPr>
            <w:r>
              <w:t xml:space="preserve">2,81</w:t>
            </w:r>
          </w:p>
        </w:tc>
        <w:tc>
          <w:tcPr/>
          <w:p>
            <w:pPr>
              <w:pStyle w:val="Compact"/>
              <w:jc w:val="right"/>
            </w:pPr>
            <w:r>
              <w:t xml:space="preserve">2,74</w:t>
            </w:r>
          </w:p>
        </w:tc>
      </w:tr>
      <w:tr>
        <w:tc>
          <w:tcPr/>
          <w:p>
            <w:pPr>
              <w:pStyle w:val="Compact"/>
              <w:jc w:val="left"/>
            </w:pPr>
            <w:r>
              <w:t xml:space="preserve">756</w:t>
            </w:r>
          </w:p>
        </w:tc>
        <w:tc>
          <w:tcPr/>
          <w:p>
            <w:pPr>
              <w:pStyle w:val="Compact"/>
              <w:jc w:val="right"/>
            </w:pPr>
            <w:r>
              <w:t xml:space="preserve">-165,2</w:t>
            </w:r>
          </w:p>
        </w:tc>
        <w:tc>
          <w:tcPr/>
          <w:p>
            <w:pPr>
              <w:pStyle w:val="Compact"/>
              <w:jc w:val="right"/>
            </w:pPr>
            <w:r>
              <w:t xml:space="preserve">-166,7</w:t>
            </w:r>
          </w:p>
        </w:tc>
        <w:tc>
          <w:tcPr/>
          <w:p>
            <w:pPr>
              <w:pStyle w:val="Compact"/>
              <w:jc w:val="right"/>
            </w:pPr>
            <w:r>
              <w:t xml:space="preserve">-167,3</w:t>
            </w:r>
          </w:p>
        </w:tc>
        <w:tc>
          <w:tcPr/>
          <w:p>
            <w:pPr>
              <w:pStyle w:val="Compact"/>
              <w:jc w:val="right"/>
            </w:pPr>
            <w:r>
              <w:t xml:space="preserve">3,41</w:t>
            </w:r>
          </w:p>
        </w:tc>
        <w:tc>
          <w:tcPr/>
          <w:p>
            <w:pPr>
              <w:pStyle w:val="Compact"/>
              <w:jc w:val="right"/>
            </w:pPr>
            <w:r>
              <w:t xml:space="preserve">2,84</w:t>
            </w:r>
          </w:p>
        </w:tc>
        <w:tc>
          <w:tcPr/>
          <w:p>
            <w:pPr>
              <w:pStyle w:val="Compact"/>
              <w:jc w:val="right"/>
            </w:pPr>
            <w:r>
              <w:t xml:space="preserve">2,75</w:t>
            </w:r>
          </w:p>
        </w:tc>
      </w:tr>
      <w:tr>
        <w:tc>
          <w:tcPr/>
          <w:p>
            <w:pPr>
              <w:pStyle w:val="Compact"/>
              <w:jc w:val="left"/>
            </w:pPr>
            <w:r>
              <w:t xml:space="preserve">1008</w:t>
            </w:r>
          </w:p>
        </w:tc>
        <w:tc>
          <w:tcPr/>
          <w:p>
            <w:pPr>
              <w:pStyle w:val="Compact"/>
              <w:jc w:val="right"/>
            </w:pPr>
            <w:r>
              <w:t xml:space="preserve">-159,7</w:t>
            </w:r>
          </w:p>
        </w:tc>
        <w:tc>
          <w:tcPr/>
          <w:p>
            <w:pPr>
              <w:pStyle w:val="Compact"/>
              <w:jc w:val="right"/>
            </w:pPr>
            <w:r>
              <w:t xml:space="preserve">-161,8</w:t>
            </w:r>
          </w:p>
        </w:tc>
        <w:tc>
          <w:tcPr/>
          <w:p>
            <w:pPr>
              <w:pStyle w:val="Compact"/>
              <w:jc w:val="right"/>
            </w:pPr>
            <w:r>
              <w:t xml:space="preserve">-162,6</w:t>
            </w:r>
          </w:p>
        </w:tc>
        <w:tc>
          <w:tcPr/>
          <w:p>
            <w:pPr>
              <w:pStyle w:val="Compact"/>
              <w:jc w:val="right"/>
            </w:pPr>
            <w:r>
              <w:t xml:space="preserve">3,43</w:t>
            </w:r>
          </w:p>
        </w:tc>
        <w:tc>
          <w:tcPr/>
          <w:p>
            <w:pPr>
              <w:pStyle w:val="Compact"/>
              <w:jc w:val="right"/>
            </w:pPr>
            <w:r>
              <w:t xml:space="preserve">2,87</w:t>
            </w:r>
          </w:p>
        </w:tc>
        <w:tc>
          <w:tcPr/>
          <w:p>
            <w:pPr>
              <w:pStyle w:val="Compact"/>
              <w:jc w:val="right"/>
            </w:pPr>
            <w:r>
              <w:t xml:space="preserve">2,77</w:t>
            </w:r>
          </w:p>
        </w:tc>
      </w:tr>
      <w:tr>
        <w:tc>
          <w:tcPr/>
          <w:p>
            <w:pPr>
              <w:pStyle w:val="Compact"/>
              <w:jc w:val="left"/>
            </w:pPr>
            <w:r>
              <w:t xml:space="preserve">1260</w:t>
            </w:r>
          </w:p>
        </w:tc>
        <w:tc>
          <w:tcPr/>
          <w:p>
            <w:pPr>
              <w:pStyle w:val="Compact"/>
              <w:jc w:val="right"/>
            </w:pPr>
            <w:r>
              <w:t xml:space="preserve">-154,3</w:t>
            </w:r>
          </w:p>
        </w:tc>
        <w:tc>
          <w:tcPr/>
          <w:p>
            <w:pPr>
              <w:pStyle w:val="Compact"/>
              <w:jc w:val="right"/>
            </w:pPr>
            <w:r>
              <w:t xml:space="preserve">-156,8</w:t>
            </w:r>
          </w:p>
        </w:tc>
        <w:tc>
          <w:tcPr/>
          <w:p>
            <w:pPr>
              <w:pStyle w:val="Compact"/>
              <w:jc w:val="right"/>
            </w:pPr>
            <w:r>
              <w:t xml:space="preserve">-157,7</w:t>
            </w:r>
          </w:p>
        </w:tc>
        <w:tc>
          <w:tcPr/>
          <w:p>
            <w:pPr>
              <w:pStyle w:val="Compact"/>
              <w:jc w:val="right"/>
            </w:pPr>
            <w:r>
              <w:t xml:space="preserve">3,42</w:t>
            </w:r>
          </w:p>
        </w:tc>
        <w:tc>
          <w:tcPr/>
          <w:p>
            <w:pPr>
              <w:pStyle w:val="Compact"/>
              <w:jc w:val="right"/>
            </w:pPr>
            <w:r>
              <w:t xml:space="preserve">2,83</w:t>
            </w:r>
          </w:p>
        </w:tc>
        <w:tc>
          <w:tcPr/>
          <w:p>
            <w:pPr>
              <w:pStyle w:val="Compact"/>
              <w:jc w:val="right"/>
            </w:pPr>
            <w:r>
              <w:t xml:space="preserve">2,75</w:t>
            </w:r>
          </w:p>
        </w:tc>
      </w:tr>
      <w:tr>
        <w:tc>
          <w:tcPr/>
          <w:p>
            <w:pPr>
              <w:pStyle w:val="Compact"/>
              <w:jc w:val="left"/>
            </w:pPr>
            <w:r>
              <w:t xml:space="preserve">1512</w:t>
            </w:r>
          </w:p>
        </w:tc>
        <w:tc>
          <w:tcPr/>
          <w:p>
            <w:pPr>
              <w:pStyle w:val="Compact"/>
              <w:jc w:val="right"/>
            </w:pPr>
            <w:r>
              <w:t xml:space="preserve">-150,1</w:t>
            </w:r>
          </w:p>
        </w:tc>
        <w:tc>
          <w:tcPr/>
          <w:p>
            <w:pPr>
              <w:pStyle w:val="Compact"/>
              <w:jc w:val="right"/>
            </w:pPr>
            <w:r>
              <w:t xml:space="preserve">-151,9</w:t>
            </w:r>
          </w:p>
        </w:tc>
        <w:tc>
          <w:tcPr/>
          <w:p>
            <w:pPr>
              <w:pStyle w:val="Compact"/>
              <w:jc w:val="right"/>
            </w:pPr>
            <w:r>
              <w:t xml:space="preserve">-152,9</w:t>
            </w:r>
          </w:p>
        </w:tc>
        <w:tc>
          <w:tcPr/>
          <w:p>
            <w:pPr>
              <w:pStyle w:val="Compact"/>
              <w:jc w:val="right"/>
            </w:pPr>
            <w:r>
              <w:t xml:space="preserve">3,18</w:t>
            </w:r>
          </w:p>
        </w:tc>
        <w:tc>
          <w:tcPr/>
          <w:p>
            <w:pPr>
              <w:pStyle w:val="Compact"/>
              <w:jc w:val="right"/>
            </w:pPr>
            <w:r>
              <w:t xml:space="preserve">2,60</w:t>
            </w:r>
          </w:p>
        </w:tc>
        <w:tc>
          <w:tcPr/>
          <w:p>
            <w:pPr>
              <w:pStyle w:val="Compact"/>
              <w:jc w:val="right"/>
            </w:pPr>
            <w:r>
              <w:t xml:space="preserve">2,52</w:t>
            </w:r>
          </w:p>
        </w:tc>
      </w:tr>
      <w:tr>
        <w:tc>
          <w:tcPr/>
          <w:p>
            <w:pPr>
              <w:pStyle w:val="Compact"/>
              <w:jc w:val="left"/>
            </w:pPr>
            <w:r>
              <w:t xml:space="preserve">1764</w:t>
            </w:r>
          </w:p>
        </w:tc>
        <w:tc>
          <w:tcPr/>
          <w:p>
            <w:pPr>
              <w:pStyle w:val="Compact"/>
              <w:jc w:val="right"/>
            </w:pPr>
            <w:r>
              <w:t xml:space="preserve">-146,0</w:t>
            </w:r>
          </w:p>
        </w:tc>
        <w:tc>
          <w:tcPr/>
          <w:p>
            <w:pPr>
              <w:pStyle w:val="Compact"/>
              <w:jc w:val="right"/>
            </w:pPr>
            <w:r>
              <w:t xml:space="preserve">-147,7</w:t>
            </w:r>
          </w:p>
        </w:tc>
        <w:tc>
          <w:tcPr/>
          <w:p>
            <w:pPr>
              <w:pStyle w:val="Compact"/>
              <w:jc w:val="right"/>
            </w:pPr>
            <w:r>
              <w:t xml:space="preserve">-148,8</w:t>
            </w:r>
          </w:p>
        </w:tc>
        <w:tc>
          <w:tcPr/>
          <w:p>
            <w:pPr>
              <w:pStyle w:val="Compact"/>
              <w:jc w:val="right"/>
            </w:pPr>
            <w:r>
              <w:t xml:space="preserve">3,11</w:t>
            </w:r>
          </w:p>
        </w:tc>
        <w:tc>
          <w:tcPr/>
          <w:p>
            <w:pPr>
              <w:pStyle w:val="Compact"/>
              <w:jc w:val="right"/>
            </w:pPr>
            <w:r>
              <w:t xml:space="preserve">2,53</w:t>
            </w:r>
          </w:p>
        </w:tc>
        <w:tc>
          <w:tcPr/>
          <w:p>
            <w:pPr>
              <w:pStyle w:val="Compact"/>
              <w:jc w:val="right"/>
            </w:pPr>
            <w:r>
              <w:t xml:space="preserve">2,45</w:t>
            </w:r>
          </w:p>
        </w:tc>
      </w:tr>
      <w:tr>
        <w:tc>
          <w:tcPr/>
          <w:p>
            <w:pPr>
              <w:pStyle w:val="Compact"/>
              <w:jc w:val="left"/>
            </w:pPr>
            <w:r>
              <w:t xml:space="preserve">2016</w:t>
            </w:r>
          </w:p>
        </w:tc>
        <w:tc>
          <w:tcPr/>
          <w:p>
            <w:pPr>
              <w:pStyle w:val="Compact"/>
              <w:jc w:val="right"/>
            </w:pPr>
            <w:r>
              <w:t xml:space="preserve">-142,0</w:t>
            </w:r>
          </w:p>
        </w:tc>
        <w:tc>
          <w:tcPr/>
          <w:p>
            <w:pPr>
              <w:pStyle w:val="Compact"/>
              <w:jc w:val="right"/>
            </w:pPr>
            <w:r>
              <w:t xml:space="preserve">-143,8</w:t>
            </w:r>
          </w:p>
        </w:tc>
        <w:tc>
          <w:tcPr/>
          <w:p>
            <w:pPr>
              <w:pStyle w:val="Compact"/>
              <w:jc w:val="right"/>
            </w:pPr>
            <w:r>
              <w:t xml:space="preserve">-144,9</w:t>
            </w:r>
          </w:p>
        </w:tc>
        <w:tc>
          <w:tcPr/>
          <w:p>
            <w:pPr>
              <w:pStyle w:val="Compact"/>
              <w:jc w:val="right"/>
            </w:pPr>
            <w:r>
              <w:t xml:space="preserve">3,09</w:t>
            </w:r>
          </w:p>
        </w:tc>
        <w:tc>
          <w:tcPr/>
          <w:p>
            <w:pPr>
              <w:pStyle w:val="Compact"/>
              <w:jc w:val="right"/>
            </w:pPr>
            <w:r>
              <w:t xml:space="preserve">2,52</w:t>
            </w:r>
          </w:p>
        </w:tc>
        <w:tc>
          <w:tcPr/>
          <w:p>
            <w:pPr>
              <w:pStyle w:val="Compact"/>
              <w:jc w:val="right"/>
            </w:pPr>
            <w:r>
              <w:t xml:space="preserve">2,45</w:t>
            </w:r>
          </w:p>
        </w:tc>
      </w:tr>
      <w:tr>
        <w:tc>
          <w:tcPr/>
          <w:p>
            <w:pPr>
              <w:pStyle w:val="Compact"/>
              <w:jc w:val="left"/>
            </w:pPr>
            <w:r>
              <w:t xml:space="preserve">2268</w:t>
            </w:r>
          </w:p>
        </w:tc>
        <w:tc>
          <w:tcPr/>
          <w:p>
            <w:pPr>
              <w:pStyle w:val="Compact"/>
              <w:jc w:val="right"/>
            </w:pPr>
            <w:r>
              <w:t xml:space="preserve">-140,6</w:t>
            </w:r>
          </w:p>
        </w:tc>
        <w:tc>
          <w:tcPr/>
          <w:p>
            <w:pPr>
              <w:pStyle w:val="Compact"/>
              <w:jc w:val="right"/>
            </w:pPr>
            <w:r>
              <w:t xml:space="preserve">-142,5</w:t>
            </w:r>
          </w:p>
        </w:tc>
        <w:tc>
          <w:tcPr/>
          <w:p>
            <w:pPr>
              <w:pStyle w:val="Compact"/>
              <w:jc w:val="right"/>
            </w:pPr>
            <w:r>
              <w:t xml:space="preserve">-143,7</w:t>
            </w:r>
          </w:p>
        </w:tc>
        <w:tc>
          <w:tcPr/>
          <w:p>
            <w:pPr>
              <w:pStyle w:val="Compact"/>
              <w:jc w:val="right"/>
            </w:pPr>
            <w:r>
              <w:t xml:space="preserve">3,05</w:t>
            </w:r>
          </w:p>
        </w:tc>
        <w:tc>
          <w:tcPr/>
          <w:p>
            <w:pPr>
              <w:pStyle w:val="Compact"/>
              <w:jc w:val="right"/>
            </w:pPr>
            <w:r>
              <w:t xml:space="preserve">2,46</w:t>
            </w:r>
          </w:p>
        </w:tc>
        <w:tc>
          <w:tcPr/>
          <w:p>
            <w:pPr>
              <w:pStyle w:val="Compact"/>
              <w:jc w:val="right"/>
            </w:pPr>
            <w:r>
              <w:t xml:space="preserve">2,41</w:t>
            </w:r>
          </w:p>
        </w:tc>
      </w:tr>
      <w:tr>
        <w:tc>
          <w:tcPr/>
          <w:p>
            <w:pPr>
              <w:pStyle w:val="Compact"/>
              <w:jc w:val="left"/>
            </w:pPr>
            <w:r>
              <w:t xml:space="preserve">2520</w:t>
            </w:r>
          </w:p>
        </w:tc>
        <w:tc>
          <w:tcPr/>
          <w:p>
            <w:pPr>
              <w:pStyle w:val="Compact"/>
              <w:jc w:val="right"/>
            </w:pPr>
            <w:r>
              <w:t xml:space="preserve">-140,0</w:t>
            </w:r>
          </w:p>
        </w:tc>
        <w:tc>
          <w:tcPr/>
          <w:p>
            <w:pPr>
              <w:pStyle w:val="Compact"/>
              <w:jc w:val="right"/>
            </w:pPr>
            <w:r>
              <w:t xml:space="preserve">-142,0</w:t>
            </w:r>
          </w:p>
        </w:tc>
        <w:tc>
          <w:tcPr/>
          <w:p>
            <w:pPr>
              <w:pStyle w:val="Compact"/>
              <w:jc w:val="right"/>
            </w:pPr>
            <w:r>
              <w:t xml:space="preserve">-143,3</w:t>
            </w:r>
          </w:p>
        </w:tc>
        <w:tc>
          <w:tcPr/>
          <w:p>
            <w:pPr>
              <w:pStyle w:val="Compact"/>
              <w:jc w:val="right"/>
            </w:pPr>
            <w:r>
              <w:t xml:space="preserve">3,02</w:t>
            </w:r>
          </w:p>
        </w:tc>
        <w:tc>
          <w:tcPr/>
          <w:p>
            <w:pPr>
              <w:pStyle w:val="Compact"/>
              <w:jc w:val="right"/>
            </w:pPr>
            <w:r>
              <w:t xml:space="preserve">2,45</w:t>
            </w:r>
          </w:p>
        </w:tc>
        <w:tc>
          <w:tcPr/>
          <w:p>
            <w:pPr>
              <w:pStyle w:val="Compact"/>
              <w:jc w:val="right"/>
            </w:pPr>
            <w:r>
              <w:t xml:space="preserve">2,40</w:t>
            </w:r>
          </w:p>
        </w:tc>
      </w:tr>
      <w:tr>
        <w:tc>
          <w:tcPr/>
          <w:p>
            <w:pPr>
              <w:pStyle w:val="Compact"/>
              <w:jc w:val="left"/>
            </w:pPr>
            <m:oMath>
              <m:r>
                <m:t>h</m:t>
              </m:r>
              <m:r>
                <m:rPr>
                  <m:sty m:val="p"/>
                </m:rPr>
                <m:t>=</m:t>
              </m:r>
              <m:r>
                <m:t>1</m:t>
              </m:r>
            </m:oMath>
          </w:p>
        </w:tc>
        <w:tc>
          <w:tcPr/>
          <w:p>
            <w:pPr>
              <w:pStyle w:val="Compact"/>
              <w:jc w:val="right"/>
            </w:pPr>
            <w:r>
              <w:t xml:space="preserve">-159,7</w:t>
            </w:r>
          </w:p>
        </w:tc>
        <w:tc>
          <w:tcPr/>
          <w:p>
            <w:pPr>
              <w:pStyle w:val="Compact"/>
              <w:jc w:val="right"/>
            </w:pPr>
            <w:r>
              <w:t xml:space="preserve">-161,8</w:t>
            </w:r>
          </w:p>
        </w:tc>
        <w:tc>
          <w:tcPr/>
          <w:p>
            <w:pPr>
              <w:pStyle w:val="Compact"/>
              <w:jc w:val="right"/>
            </w:pPr>
            <w:r>
              <w:t xml:space="preserve">-162,6</w:t>
            </w:r>
          </w:p>
        </w:tc>
        <w:tc>
          <w:tcPr/>
          <w:p>
            <w:pPr>
              <w:pStyle w:val="Compact"/>
              <w:jc w:val="right"/>
            </w:pPr>
            <w:r>
              <w:t xml:space="preserve">3,43</w:t>
            </w:r>
          </w:p>
        </w:tc>
        <w:tc>
          <w:tcPr/>
          <w:p>
            <w:pPr>
              <w:pStyle w:val="Compact"/>
              <w:jc w:val="right"/>
            </w:pPr>
            <w:r>
              <w:t xml:space="preserve">2,87</w:t>
            </w:r>
          </w:p>
        </w:tc>
        <w:tc>
          <w:tcPr/>
          <w:p>
            <w:pPr>
              <w:pStyle w:val="Compact"/>
              <w:jc w:val="right"/>
            </w:pPr>
            <w:r>
              <w:t xml:space="preserve">2,77</w:t>
            </w:r>
          </w:p>
        </w:tc>
      </w:tr>
      <w:tr>
        <w:tc>
          <w:tcPr/>
          <w:p>
            <w:pPr>
              <w:pStyle w:val="Compact"/>
              <w:jc w:val="left"/>
            </w:pPr>
            <m:oMath>
              <m:r>
                <m:t>h</m:t>
              </m:r>
              <m:r>
                <m:rPr>
                  <m:sty m:val="p"/>
                </m:rPr>
                <m:t>=</m:t>
              </m:r>
              <m:r>
                <m:t>5</m:t>
              </m:r>
            </m:oMath>
          </w:p>
        </w:tc>
        <w:tc>
          <w:tcPr/>
          <w:p>
            <w:pPr>
              <w:pStyle w:val="Compact"/>
              <w:jc w:val="right"/>
            </w:pPr>
            <w:r>
              <w:t xml:space="preserve">-159,5</w:t>
            </w:r>
          </w:p>
        </w:tc>
        <w:tc>
          <w:tcPr/>
          <w:p>
            <w:pPr>
              <w:pStyle w:val="Compact"/>
              <w:jc w:val="right"/>
            </w:pPr>
            <w:r>
              <w:t xml:space="preserve">-161,7</w:t>
            </w:r>
          </w:p>
        </w:tc>
        <w:tc>
          <w:tcPr/>
          <w:p>
            <w:pPr>
              <w:pStyle w:val="Compact"/>
              <w:jc w:val="right"/>
            </w:pPr>
            <w:r>
              <w:t xml:space="preserve">-162,3</w:t>
            </w:r>
          </w:p>
        </w:tc>
        <w:tc>
          <w:tcPr/>
          <w:p>
            <w:pPr>
              <w:pStyle w:val="Compact"/>
              <w:jc w:val="right"/>
            </w:pPr>
            <w:r>
              <w:t xml:space="preserve">1,68</w:t>
            </w:r>
          </w:p>
        </w:tc>
        <w:tc>
          <w:tcPr/>
          <w:p>
            <w:pPr>
              <w:pStyle w:val="Compact"/>
              <w:jc w:val="right"/>
            </w:pPr>
            <w:r>
              <w:t xml:space="preserve">1,23</w:t>
            </w:r>
          </w:p>
        </w:tc>
        <w:tc>
          <w:tcPr/>
          <w:p>
            <w:pPr>
              <w:pStyle w:val="Compact"/>
              <w:jc w:val="right"/>
            </w:pPr>
            <w:r>
              <w:t xml:space="preserve">1,17</w:t>
            </w:r>
          </w:p>
        </w:tc>
      </w:tr>
      <w:tr>
        <w:tc>
          <w:tcPr/>
          <w:p>
            <w:pPr>
              <w:pStyle w:val="Compact"/>
              <w:jc w:val="left"/>
            </w:pPr>
            <m:oMath>
              <m:r>
                <m:t>h</m:t>
              </m:r>
              <m:r>
                <m:rPr>
                  <m:sty m:val="p"/>
                </m:rPr>
                <m:t>=</m:t>
              </m:r>
              <m:r>
                <m:t>10</m:t>
              </m:r>
            </m:oMath>
          </w:p>
        </w:tc>
        <w:tc>
          <w:tcPr/>
          <w:p>
            <w:pPr>
              <w:pStyle w:val="Compact"/>
              <w:jc w:val="right"/>
            </w:pPr>
            <w:r>
              <w:t xml:space="preserve">-159,3</w:t>
            </w:r>
          </w:p>
        </w:tc>
        <w:tc>
          <w:tcPr/>
          <w:p>
            <w:pPr>
              <w:pStyle w:val="Compact"/>
              <w:jc w:val="right"/>
            </w:pPr>
            <w:r>
              <w:t xml:space="preserve">-161,6</w:t>
            </w:r>
          </w:p>
        </w:tc>
        <w:tc>
          <w:tcPr/>
          <w:p>
            <w:pPr>
              <w:pStyle w:val="Compact"/>
              <w:jc w:val="right"/>
            </w:pPr>
            <w:r>
              <w:t xml:space="preserve">-162,2</w:t>
            </w:r>
          </w:p>
        </w:tc>
        <w:tc>
          <w:tcPr/>
          <w:p>
            <w:pPr>
              <w:pStyle w:val="Compact"/>
              <w:jc w:val="right"/>
            </w:pPr>
            <w:r>
              <w:t xml:space="preserve">1,32</w:t>
            </w:r>
          </w:p>
        </w:tc>
        <w:tc>
          <w:tcPr/>
          <w:p>
            <w:pPr>
              <w:pStyle w:val="Compact"/>
              <w:jc w:val="right"/>
            </w:pPr>
            <w:r>
              <w:t xml:space="preserve">0,95</w:t>
            </w:r>
          </w:p>
        </w:tc>
        <w:tc>
          <w:tcPr/>
          <w:p>
            <w:pPr>
              <w:pStyle w:val="Compact"/>
              <w:jc w:val="right"/>
            </w:pPr>
            <w:r>
              <w:t xml:space="preserve">0,90</w:t>
            </w:r>
          </w:p>
        </w:tc>
      </w:tr>
      <w:tr>
        <w:tc>
          <w:tcPr/>
          <w:p>
            <w:pPr>
              <w:pStyle w:val="Compact"/>
              <w:jc w:val="left"/>
            </w:pPr>
            <m:oMath>
              <m:r>
                <m:t>h</m:t>
              </m:r>
              <m:r>
                <m:rPr>
                  <m:sty m:val="p"/>
                </m:rPr>
                <m:t>=</m:t>
              </m:r>
              <m:r>
                <m:t>21</m:t>
              </m:r>
            </m:oMath>
          </w:p>
        </w:tc>
        <w:tc>
          <w:tcPr/>
          <w:p>
            <w:pPr>
              <w:pStyle w:val="Compact"/>
              <w:jc w:val="right"/>
            </w:pPr>
            <w:r>
              <w:t xml:space="preserve">-158,9</w:t>
            </w:r>
          </w:p>
        </w:tc>
        <w:tc>
          <w:tcPr/>
          <w:p>
            <w:pPr>
              <w:pStyle w:val="Compact"/>
              <w:jc w:val="right"/>
            </w:pPr>
            <w:r>
              <w:t xml:space="preserve">-160,9</w:t>
            </w:r>
          </w:p>
        </w:tc>
        <w:tc>
          <w:tcPr/>
          <w:p>
            <w:pPr>
              <w:pStyle w:val="Compact"/>
              <w:jc w:val="right"/>
            </w:pPr>
            <w:r>
              <w:t xml:space="preserve">-161,4</w:t>
            </w:r>
          </w:p>
        </w:tc>
        <w:tc>
          <w:tcPr/>
          <w:p>
            <w:pPr>
              <w:pStyle w:val="Compact"/>
              <w:jc w:val="right"/>
            </w:pPr>
            <w:r>
              <w:t xml:space="preserve">0,82</w:t>
            </w:r>
          </w:p>
        </w:tc>
        <w:tc>
          <w:tcPr/>
          <w:p>
            <w:pPr>
              <w:pStyle w:val="Compact"/>
              <w:jc w:val="right"/>
            </w:pPr>
            <w:r>
              <w:t xml:space="preserve">0,49</w:t>
            </w:r>
          </w:p>
        </w:tc>
        <w:tc>
          <w:tcPr/>
          <w:p>
            <w:pPr>
              <w:pStyle w:val="Compact"/>
              <w:jc w:val="right"/>
            </w:pPr>
            <w:r>
              <w:t xml:space="preserve">0,46</w:t>
            </w:r>
          </w:p>
        </w:tc>
      </w:tr>
    </w:tbl>
    <w:bookmarkEnd w:id="32"/>
    <w:p>
      <w:pPr>
        <w:pStyle w:val="BodyText"/>
      </w:pPr>
      <w:r>
        <w:t xml:space="preserve">Oberer Block: Trainingsfenster in Handelstagen (</w:t>
      </w:r>
      <m:oMath>
        <m:r>
          <m:t>h</m:t>
        </m:r>
        <m:r>
          <m:rPr>
            <m:sty m:val="p"/>
          </m:rPr>
          <m:t>=</m:t>
        </m:r>
        <m:r>
          <m:t>1</m:t>
        </m:r>
      </m:oMath>
      <w:r>
        <w:t xml:space="preserve">), unterer Block: Prognosehorizonte, bewertet ab 01.01.2010.</w:t>
      </w:r>
    </w:p>
    <w:p>
      <w:pPr>
        <w:pStyle w:val="BodyText"/>
      </w:pPr>
      <w:r>
        <w:t xml:space="preserve">Neben der bereits genannten Dimensionsabhängigkeit des QLIKE ist im unteren Block zu beachten, dass der Proxy über</w:t>
      </w:r>
      <w:r>
        <w:t xml:space="preserve"> </w:t>
      </w:r>
      <m:oMath>
        <m:r>
          <m:t>h</m:t>
        </m:r>
      </m:oMath>
      <w:r>
        <w:t xml:space="preserve"> </w:t>
      </w:r>
      <w:r>
        <w:t xml:space="preserve">Tage mittelt und damit umso weniger streut, je länger der Horizont ist.</w:t>
      </w:r>
      <w:r>
        <w:t xml:space="preserve"> </w:t>
      </w:r>
      <w:r>
        <w:t xml:space="preserve">Das MSE-Niveau fällt deshalb über die Horizonte, ohne dass die Prognosen dort besser wären.</w:t>
      </w:r>
      <w:r>
        <w:t xml:space="preserve"> </w:t>
      </w:r>
      <w:r>
        <w:t xml:space="preserve">Für die zweite Forschungsfrage fällt die statistische Antwort dennoch eindeutig aus, da beide dynamischen Modelle die Prognose der Kovarianzmatrix im Basisfall signifikant verbessern und DCC-GARCH die historische Schätzung unter dem MSE in sämtlichen 40 Kombinationen schlägt.</w:t>
      </w:r>
    </w:p>
    <w:bookmarkEnd w:id="33"/>
    <w:bookmarkStart w:id="42" w:name="sec:oekonomisch"/>
    <w:p>
      <w:pPr>
        <w:pStyle w:val="Heading2"/>
      </w:pPr>
      <w:r>
        <w:t xml:space="preserve">Ökonomische Performance</w:t>
      </w:r>
    </w:p>
    <w:p>
      <w:pPr>
        <w:pStyle w:val="FirstParagraph"/>
      </w:pPr>
      <w:r>
        <w:t xml:space="preserve">Die ökonomische Auswertung führt zu einem differenzierteren Bild.</w:t>
      </w:r>
      <w:r>
        <w:t xml:space="preserve"> </w:t>
      </w:r>
      <w:r>
        <w:t xml:space="preserve">Für die erste Forschungsfrage zeigt</w:t>
      </w:r>
      <w:r>
        <w:t xml:space="preserve"> </w:t>
      </w:r>
      <w:hyperlink w:anchor="tab:oekonomie_basis">
        <w:r>
          <w:rPr>
            <w:rStyle w:val="Hyperlink"/>
          </w:rPr>
          <w:t xml:space="preserve">Tabelle </w:t>
        </w:r>
        <w:hyperlink w:anchor="tab:oekonomie_basis">
          <w:r>
            <w:rPr>
              <w:rStyle w:val="Hyperlink"/>
            </w:rPr>
            <w:t xml:space="preserve">5</w:t>
          </w:r>
        </w:hyperlink>
      </w:hyperlink>
      <w:r>
        <w:t xml:space="preserve"> </w:t>
      </w:r>
      <w:r>
        <w:t xml:space="preserve">zunächst, dass alle neun risikobasierten Kombinationen im Basisfall eine höhere Sharpe Ratio erreichen als das naive 1/N-Portfolio.</w:t>
      </w:r>
      <w:r>
        <w:t xml:space="preserve"> </w:t>
      </w:r>
      <w:r>
        <w:t xml:space="preserve">Vorne liegt dabei das MVP, gefolgt von HRP und ERC.</w:t>
      </w:r>
      <w:r>
        <w:t xml:space="preserve"> </w:t>
      </w:r>
      <w:r>
        <w:t xml:space="preserve">Der Vorsprung entsteht vollständig auf der Risikoseite, da das 1/N-Portfolio zwar die höchste Rendite im Feld erzielt, diese aber mit der mit Abstand höchsten Volatilität erkauft.</w:t>
      </w:r>
    </w:p>
    <w:bookmarkStart w:id="34" w:name="tab:oekonomie_basis"/>
    <w:p>
      <w:pPr>
        <w:pStyle w:val="TableCaption"/>
      </w:pPr>
      <w:r>
        <w:t xml:space="preserve">Out-of-Sample-Performance im Basisfall</w:t>
      </w:r>
    </w:p>
    <w:tbl>
      <w:tblPr>
        <w:tblStyle w:val="Table"/>
        <w:tblW w:type="auto" w:w="0"/>
        <w:tblLook w:firstRow="1" w:lastRow="0" w:firstColumn="0" w:lastColumn="0" w:noHBand="0" w:noVBand="0" w:val="0020"/>
        <w:tblCaption w:val="Out-of-Sample-Performance im Basisfall"/>
      </w:tblPr>
      <w:tblGrid>
        <w:gridCol w:w="1320"/>
        <w:gridCol w:w="1320"/>
        <w:gridCol w:w="1320"/>
        <w:gridCol w:w="1320"/>
        <w:gridCol w:w="1320"/>
        <w:gridCol w:w="1320"/>
      </w:tblGrid>
      <w:tr>
        <w:trPr>
          <w:tblHeader w:val="on"/>
        </w:trPr>
        <w:tc>
          <w:tcPr/>
          <w:p>
            <w:pPr>
              <w:pStyle w:val="Compact"/>
              <w:jc w:val="left"/>
            </w:pPr>
            <w:r>
              <w:t xml:space="preserve">Modell</w:t>
            </w:r>
          </w:p>
        </w:tc>
        <w:tc>
          <w:tcPr/>
          <w:p>
            <w:pPr>
              <w:pStyle w:val="Compact"/>
              <w:jc w:val="left"/>
            </w:pPr>
            <w:r>
              <w:t xml:space="preserve">Kovarianz</w:t>
            </w:r>
          </w:p>
        </w:tc>
        <w:tc>
          <w:tcPr/>
          <w:p>
            <w:pPr>
              <w:pStyle w:val="Compact"/>
              <w:jc w:val="right"/>
            </w:pPr>
            <w:r>
              <w:t xml:space="preserve">Rendite (%)</w:t>
            </w:r>
          </w:p>
        </w:tc>
        <w:tc>
          <w:tcPr/>
          <w:p>
            <w:pPr>
              <w:pStyle w:val="Compact"/>
              <w:jc w:val="right"/>
            </w:pPr>
            <w:r>
              <w:t xml:space="preserve">Vola (%)</w:t>
            </w:r>
          </w:p>
        </w:tc>
        <w:tc>
          <w:tcPr/>
          <w:p>
            <w:pPr>
              <w:pStyle w:val="Compact"/>
              <w:jc w:val="right"/>
            </w:pPr>
            <w:r>
              <w:t xml:space="preserve">Sharpe</w:t>
            </w:r>
          </w:p>
        </w:tc>
        <w:tc>
          <w:tcPr/>
          <w:p>
            <w:pPr>
              <w:pStyle w:val="Compact"/>
              <w:jc w:val="right"/>
            </w:pPr>
            <w:r>
              <w:t xml:space="preserve">Turnover</w:t>
            </w:r>
          </w:p>
        </w:tc>
      </w:tr>
      <w:tr>
        <w:tc>
          <w:tcPr/>
          <w:p>
            <w:pPr>
              <w:pStyle w:val="Compact"/>
              <w:jc w:val="left"/>
            </w:pPr>
            <w:r>
              <w:t xml:space="preserve">MVP</w:t>
            </w:r>
          </w:p>
        </w:tc>
        <w:tc>
          <w:tcPr/>
          <w:p>
            <w:pPr>
              <w:pStyle w:val="Compact"/>
              <w:jc w:val="left"/>
            </w:pPr>
            <w:r>
              <w:t xml:space="preserve">Historisch</w:t>
            </w:r>
          </w:p>
        </w:tc>
        <w:tc>
          <w:tcPr/>
          <w:p>
            <w:pPr>
              <w:pStyle w:val="Compact"/>
              <w:jc w:val="right"/>
            </w:pPr>
            <w:r>
              <w:t xml:space="preserve">9,03</w:t>
            </w:r>
          </w:p>
        </w:tc>
        <w:tc>
          <w:tcPr/>
          <w:p>
            <w:pPr>
              <w:pStyle w:val="Compact"/>
              <w:jc w:val="right"/>
            </w:pPr>
            <w:r>
              <w:t xml:space="preserve">13,82</w:t>
            </w:r>
          </w:p>
        </w:tc>
        <w:tc>
          <w:tcPr/>
          <w:p>
            <w:pPr>
              <w:pStyle w:val="Compact"/>
              <w:jc w:val="right"/>
            </w:pPr>
            <w:r>
              <w:t xml:space="preserve">0,567</w:t>
            </w:r>
          </w:p>
        </w:tc>
        <w:tc>
          <w:tcPr/>
          <w:p>
            <w:pPr>
              <w:pStyle w:val="Compact"/>
              <w:jc w:val="right"/>
            </w:pPr>
            <w:r>
              <w:t xml:space="preserve">0,008</w:t>
            </w:r>
          </w:p>
        </w:tc>
      </w:tr>
      <w:tr>
        <w:tc>
          <w:tcPr/>
          <w:p>
            <w:pPr>
              <w:pStyle w:val="Compact"/>
              <w:jc w:val="left"/>
            </w:pPr>
            <w:r>
              <w:t xml:space="preserve">MVP</w:t>
            </w:r>
          </w:p>
        </w:tc>
        <w:tc>
          <w:tcPr/>
          <w:p>
            <w:pPr>
              <w:pStyle w:val="Compact"/>
              <w:jc w:val="left"/>
            </w:pPr>
            <w:r>
              <w:t xml:space="preserve">GARCH</w:t>
            </w:r>
          </w:p>
        </w:tc>
        <w:tc>
          <w:tcPr/>
          <w:p>
            <w:pPr>
              <w:pStyle w:val="Compact"/>
              <w:jc w:val="right"/>
            </w:pPr>
            <w:r>
              <w:t xml:space="preserve">8,55</w:t>
            </w:r>
          </w:p>
        </w:tc>
        <w:tc>
          <w:tcPr/>
          <w:p>
            <w:pPr>
              <w:pStyle w:val="Compact"/>
              <w:jc w:val="right"/>
            </w:pPr>
            <w:r>
              <w:t xml:space="preserve">13,94</w:t>
            </w:r>
          </w:p>
        </w:tc>
        <w:tc>
          <w:tcPr/>
          <w:p>
            <w:pPr>
              <w:pStyle w:val="Compact"/>
              <w:jc w:val="right"/>
            </w:pPr>
            <w:r>
              <w:t xml:space="preserve">0,532</w:t>
            </w:r>
          </w:p>
        </w:tc>
        <w:tc>
          <w:tcPr/>
          <w:p>
            <w:pPr>
              <w:pStyle w:val="Compact"/>
              <w:jc w:val="right"/>
            </w:pPr>
            <w:r>
              <w:t xml:space="preserve">0,258</w:t>
            </w:r>
          </w:p>
        </w:tc>
      </w:tr>
      <w:tr>
        <w:tc>
          <w:tcPr/>
          <w:p>
            <w:pPr>
              <w:pStyle w:val="Compact"/>
              <w:jc w:val="left"/>
            </w:pPr>
            <w:r>
              <w:t xml:space="preserve">MVP</w:t>
            </w:r>
          </w:p>
        </w:tc>
        <w:tc>
          <w:tcPr/>
          <w:p>
            <w:pPr>
              <w:pStyle w:val="Compact"/>
              <w:jc w:val="left"/>
            </w:pPr>
            <w:r>
              <w:t xml:space="preserve">DCC-GARCH</w:t>
            </w:r>
          </w:p>
        </w:tc>
        <w:tc>
          <w:tcPr/>
          <w:p>
            <w:pPr>
              <w:pStyle w:val="Compact"/>
              <w:jc w:val="right"/>
            </w:pPr>
            <w:r>
              <w:t xml:space="preserve">8,65</w:t>
            </w:r>
          </w:p>
        </w:tc>
        <w:tc>
          <w:tcPr/>
          <w:p>
            <w:pPr>
              <w:pStyle w:val="Compact"/>
              <w:jc w:val="right"/>
            </w:pPr>
            <w:r>
              <w:t xml:space="preserve">13,81</w:t>
            </w:r>
          </w:p>
        </w:tc>
        <w:tc>
          <w:tcPr/>
          <w:p>
            <w:pPr>
              <w:pStyle w:val="Compact"/>
              <w:jc w:val="right"/>
            </w:pPr>
            <w:r>
              <w:t xml:space="preserve">0,543</w:t>
            </w:r>
          </w:p>
        </w:tc>
        <w:tc>
          <w:tcPr/>
          <w:p>
            <w:pPr>
              <w:pStyle w:val="Compact"/>
              <w:jc w:val="right"/>
            </w:pPr>
            <w:r>
              <w:t xml:space="preserve">0,255</w:t>
            </w:r>
          </w:p>
        </w:tc>
      </w:tr>
      <w:tr>
        <w:tc>
          <w:tcPr/>
          <w:p>
            <w:pPr>
              <w:pStyle w:val="Compact"/>
              <w:jc w:val="left"/>
            </w:pPr>
            <w:r>
              <w:t xml:space="preserve">HRP</w:t>
            </w:r>
          </w:p>
        </w:tc>
        <w:tc>
          <w:tcPr/>
          <w:p>
            <w:pPr>
              <w:pStyle w:val="Compact"/>
              <w:jc w:val="left"/>
            </w:pPr>
            <w:r>
              <w:t xml:space="preserve">Historisch</w:t>
            </w:r>
          </w:p>
        </w:tc>
        <w:tc>
          <w:tcPr/>
          <w:p>
            <w:pPr>
              <w:pStyle w:val="Compact"/>
              <w:jc w:val="right"/>
            </w:pPr>
            <w:r>
              <w:t xml:space="preserve">9,27</w:t>
            </w:r>
          </w:p>
        </w:tc>
        <w:tc>
          <w:tcPr/>
          <w:p>
            <w:pPr>
              <w:pStyle w:val="Compact"/>
              <w:jc w:val="right"/>
            </w:pPr>
            <w:r>
              <w:t xml:space="preserve">16,74</w:t>
            </w:r>
          </w:p>
        </w:tc>
        <w:tc>
          <w:tcPr/>
          <w:p>
            <w:pPr>
              <w:pStyle w:val="Compact"/>
              <w:jc w:val="right"/>
            </w:pPr>
            <w:r>
              <w:t xml:space="preserve">0,509</w:t>
            </w:r>
          </w:p>
        </w:tc>
        <w:tc>
          <w:tcPr/>
          <w:p>
            <w:pPr>
              <w:pStyle w:val="Compact"/>
              <w:jc w:val="right"/>
            </w:pPr>
            <w:r>
              <w:t xml:space="preserve">0,012</w:t>
            </w:r>
          </w:p>
        </w:tc>
      </w:tr>
      <w:tr>
        <w:tc>
          <w:tcPr/>
          <w:p>
            <w:pPr>
              <w:pStyle w:val="Compact"/>
              <w:jc w:val="left"/>
            </w:pPr>
            <w:r>
              <w:t xml:space="preserve">HRP</w:t>
            </w:r>
          </w:p>
        </w:tc>
        <w:tc>
          <w:tcPr/>
          <w:p>
            <w:pPr>
              <w:pStyle w:val="Compact"/>
              <w:jc w:val="left"/>
            </w:pPr>
            <w:r>
              <w:t xml:space="preserve">GARCH</w:t>
            </w:r>
          </w:p>
        </w:tc>
        <w:tc>
          <w:tcPr/>
          <w:p>
            <w:pPr>
              <w:pStyle w:val="Compact"/>
              <w:jc w:val="right"/>
            </w:pPr>
            <w:r>
              <w:t xml:space="preserve">8,96</w:t>
            </w:r>
          </w:p>
        </w:tc>
        <w:tc>
          <w:tcPr/>
          <w:p>
            <w:pPr>
              <w:pStyle w:val="Compact"/>
              <w:jc w:val="right"/>
            </w:pPr>
            <w:r>
              <w:t xml:space="preserve">16,21</w:t>
            </w:r>
          </w:p>
        </w:tc>
        <w:tc>
          <w:tcPr/>
          <w:p>
            <w:pPr>
              <w:pStyle w:val="Compact"/>
              <w:jc w:val="right"/>
            </w:pPr>
            <w:r>
              <w:t xml:space="preserve">0,502</w:t>
            </w:r>
          </w:p>
        </w:tc>
        <w:tc>
          <w:tcPr/>
          <w:p>
            <w:pPr>
              <w:pStyle w:val="Compact"/>
              <w:jc w:val="right"/>
            </w:pPr>
            <w:r>
              <w:t xml:space="preserve">0,072</w:t>
            </w:r>
          </w:p>
        </w:tc>
      </w:tr>
      <w:tr>
        <w:tc>
          <w:tcPr/>
          <w:p>
            <w:pPr>
              <w:pStyle w:val="Compact"/>
              <w:jc w:val="left"/>
            </w:pPr>
            <w:r>
              <w:t xml:space="preserve">HRP</w:t>
            </w:r>
          </w:p>
        </w:tc>
        <w:tc>
          <w:tcPr/>
          <w:p>
            <w:pPr>
              <w:pStyle w:val="Compact"/>
              <w:jc w:val="left"/>
            </w:pPr>
            <w:r>
              <w:t xml:space="preserve">DCC-GARCH</w:t>
            </w:r>
          </w:p>
        </w:tc>
        <w:tc>
          <w:tcPr/>
          <w:p>
            <w:pPr>
              <w:pStyle w:val="Compact"/>
              <w:jc w:val="right"/>
            </w:pPr>
            <w:r>
              <w:t xml:space="preserve">9,13</w:t>
            </w:r>
          </w:p>
        </w:tc>
        <w:tc>
          <w:tcPr/>
          <w:p>
            <w:pPr>
              <w:pStyle w:val="Compact"/>
              <w:jc w:val="right"/>
            </w:pPr>
            <w:r>
              <w:t xml:space="preserve">16,17</w:t>
            </w:r>
          </w:p>
        </w:tc>
        <w:tc>
          <w:tcPr/>
          <w:p>
            <w:pPr>
              <w:pStyle w:val="Compact"/>
              <w:jc w:val="right"/>
            </w:pPr>
            <w:r>
              <w:t xml:space="preserve">0,513</w:t>
            </w:r>
          </w:p>
        </w:tc>
        <w:tc>
          <w:tcPr/>
          <w:p>
            <w:pPr>
              <w:pStyle w:val="Compact"/>
              <w:jc w:val="right"/>
            </w:pPr>
            <w:r>
              <w:t xml:space="preserve">0,094</w:t>
            </w:r>
          </w:p>
        </w:tc>
      </w:tr>
      <w:tr>
        <w:tc>
          <w:tcPr/>
          <w:p>
            <w:pPr>
              <w:pStyle w:val="Compact"/>
              <w:jc w:val="left"/>
            </w:pPr>
            <w:r>
              <w:t xml:space="preserve">ERC</w:t>
            </w:r>
          </w:p>
        </w:tc>
        <w:tc>
          <w:tcPr/>
          <w:p>
            <w:pPr>
              <w:pStyle w:val="Compact"/>
              <w:jc w:val="left"/>
            </w:pPr>
            <w:r>
              <w:t xml:space="preserve">Historisch</w:t>
            </w:r>
          </w:p>
        </w:tc>
        <w:tc>
          <w:tcPr/>
          <w:p>
            <w:pPr>
              <w:pStyle w:val="Compact"/>
              <w:jc w:val="right"/>
            </w:pPr>
            <w:r>
              <w:t xml:space="preserve">9,46</w:t>
            </w:r>
          </w:p>
        </w:tc>
        <w:tc>
          <w:tcPr/>
          <w:p>
            <w:pPr>
              <w:pStyle w:val="Compact"/>
              <w:jc w:val="right"/>
            </w:pPr>
            <w:r>
              <w:t xml:space="preserve">17,67</w:t>
            </w:r>
          </w:p>
        </w:tc>
        <w:tc>
          <w:tcPr/>
          <w:p>
            <w:pPr>
              <w:pStyle w:val="Compact"/>
              <w:jc w:val="right"/>
            </w:pPr>
            <w:r>
              <w:t xml:space="preserve">0,501</w:t>
            </w:r>
          </w:p>
        </w:tc>
        <w:tc>
          <w:tcPr/>
          <w:p>
            <w:pPr>
              <w:pStyle w:val="Compact"/>
              <w:jc w:val="right"/>
            </w:pPr>
            <w:r>
              <w:t xml:space="preserve">0,006</w:t>
            </w:r>
          </w:p>
        </w:tc>
      </w:tr>
      <w:tr>
        <w:tc>
          <w:tcPr/>
          <w:p>
            <w:pPr>
              <w:pStyle w:val="Compact"/>
              <w:jc w:val="left"/>
            </w:pPr>
            <w:r>
              <w:t xml:space="preserve">ERC</w:t>
            </w:r>
          </w:p>
        </w:tc>
        <w:tc>
          <w:tcPr/>
          <w:p>
            <w:pPr>
              <w:pStyle w:val="Compact"/>
              <w:jc w:val="left"/>
            </w:pPr>
            <w:r>
              <w:t xml:space="preserve">GARCH</w:t>
            </w:r>
          </w:p>
        </w:tc>
        <w:tc>
          <w:tcPr/>
          <w:p>
            <w:pPr>
              <w:pStyle w:val="Compact"/>
              <w:jc w:val="right"/>
            </w:pPr>
            <w:r>
              <w:t xml:space="preserve">9,14</w:t>
            </w:r>
          </w:p>
        </w:tc>
        <w:tc>
          <w:tcPr/>
          <w:p>
            <w:pPr>
              <w:pStyle w:val="Compact"/>
              <w:jc w:val="right"/>
            </w:pPr>
            <w:r>
              <w:t xml:space="preserve">17,32</w:t>
            </w:r>
          </w:p>
        </w:tc>
        <w:tc>
          <w:tcPr/>
          <w:p>
            <w:pPr>
              <w:pStyle w:val="Compact"/>
              <w:jc w:val="right"/>
            </w:pPr>
            <w:r>
              <w:t xml:space="preserve">0,490</w:t>
            </w:r>
          </w:p>
        </w:tc>
        <w:tc>
          <w:tcPr/>
          <w:p>
            <w:pPr>
              <w:pStyle w:val="Compact"/>
              <w:jc w:val="right"/>
            </w:pPr>
            <w:r>
              <w:t xml:space="preserve">0,034</w:t>
            </w:r>
          </w:p>
        </w:tc>
      </w:tr>
      <w:tr>
        <w:tc>
          <w:tcPr/>
          <w:p>
            <w:pPr>
              <w:pStyle w:val="Compact"/>
              <w:jc w:val="left"/>
            </w:pPr>
            <w:r>
              <w:t xml:space="preserve">ERC</w:t>
            </w:r>
          </w:p>
        </w:tc>
        <w:tc>
          <w:tcPr/>
          <w:p>
            <w:pPr>
              <w:pStyle w:val="Compact"/>
              <w:jc w:val="left"/>
            </w:pPr>
            <w:r>
              <w:t xml:space="preserve">DCC-GARCH</w:t>
            </w:r>
          </w:p>
        </w:tc>
        <w:tc>
          <w:tcPr/>
          <w:p>
            <w:pPr>
              <w:pStyle w:val="Compact"/>
              <w:jc w:val="right"/>
            </w:pPr>
            <w:r>
              <w:t xml:space="preserve">9,13</w:t>
            </w:r>
          </w:p>
        </w:tc>
        <w:tc>
          <w:tcPr/>
          <w:p>
            <w:pPr>
              <w:pStyle w:val="Compact"/>
              <w:jc w:val="right"/>
            </w:pPr>
            <w:r>
              <w:t xml:space="preserve">17,31</w:t>
            </w:r>
          </w:p>
        </w:tc>
        <w:tc>
          <w:tcPr/>
          <w:p>
            <w:pPr>
              <w:pStyle w:val="Compact"/>
              <w:jc w:val="right"/>
            </w:pPr>
            <w:r>
              <w:t xml:space="preserve">0,490</w:t>
            </w:r>
          </w:p>
        </w:tc>
        <w:tc>
          <w:tcPr/>
          <w:p>
            <w:pPr>
              <w:pStyle w:val="Compact"/>
              <w:jc w:val="right"/>
            </w:pPr>
            <w:r>
              <w:t xml:space="preserve">0,034</w:t>
            </w:r>
          </w:p>
        </w:tc>
      </w:tr>
      <w:tr>
        <w:tc>
          <w:tcPr/>
          <w:p>
            <w:pPr>
              <w:pStyle w:val="Compact"/>
              <w:jc w:val="left"/>
            </w:pPr>
            <w:r>
              <w:t xml:space="preserve">1/N</w:t>
            </w:r>
          </w:p>
        </w:tc>
        <w:tc>
          <w:tcPr/>
          <w:p>
            <w:pPr>
              <w:pStyle w:val="Compact"/>
              <w:jc w:val="left"/>
            </w:pPr>
            <w:r>
              <w:t xml:space="preserve">–</w:t>
            </w:r>
          </w:p>
        </w:tc>
        <w:tc>
          <w:tcPr/>
          <w:p>
            <w:pPr>
              <w:pStyle w:val="Compact"/>
              <w:jc w:val="right"/>
            </w:pPr>
            <w:r>
              <w:t xml:space="preserve">9,58</w:t>
            </w:r>
          </w:p>
        </w:tc>
        <w:tc>
          <w:tcPr/>
          <w:p>
            <w:pPr>
              <w:pStyle w:val="Compact"/>
              <w:jc w:val="right"/>
            </w:pPr>
            <w:r>
              <w:t xml:space="preserve">18,79</w:t>
            </w:r>
          </w:p>
        </w:tc>
        <w:tc>
          <w:tcPr/>
          <w:p>
            <w:pPr>
              <w:pStyle w:val="Compact"/>
              <w:jc w:val="right"/>
            </w:pPr>
            <w:r>
              <w:t xml:space="preserve">0,488</w:t>
            </w:r>
          </w:p>
        </w:tc>
        <w:tc>
          <w:tcPr/>
          <w:p>
            <w:pPr>
              <w:pStyle w:val="Compact"/>
              <w:jc w:val="right"/>
            </w:pPr>
            <w:r>
              <w:t xml:space="preserve">0,006</w:t>
            </w:r>
          </w:p>
        </w:tc>
      </w:tr>
    </w:tbl>
    <w:bookmarkEnd w:id="34"/>
    <w:p>
      <w:pPr>
        <w:pStyle w:val="BodyText"/>
      </w:pPr>
      <w:r>
        <w:t xml:space="preserve">TRBC, Training 1008 Handelstage, Prognosehorizont 1 Tag; Rendite, Volatilität und Sharpe Ratio annualisiert, Turnover ohne Kosten.</w:t>
      </w:r>
    </w:p>
    <w:p>
      <w:pPr>
        <w:pStyle w:val="BodyText"/>
      </w:pPr>
      <w:r>
        <w:t xml:space="preserve">Innerhalb der Portfoliomodelle kehrt sich die statistische Rangfolge im Basisfall weitgehend um, da bei MVP und ERC die historische Matrix vorne liegt und allein beim HRP der DCC-Schätzer marginal besser abschneidet.</w:t>
      </w:r>
      <w:r>
        <w:t xml:space="preserve"> </w:t>
      </w:r>
      <w:r>
        <w:t xml:space="preserve">Der GARCH-Schätzer bleibt dabei in allen drei Modellen hinter der historischen Matrix zurück.</w:t>
      </w:r>
      <w:r>
        <w:t xml:space="preserve"> </w:t>
      </w:r>
      <w:r>
        <w:t xml:space="preserve">Hierbei ist jedoch zu beachten, dass beim MVP der DCC-Schätzer die niedrigste Volatilität und damit die beste modellspezifische Performance liefert, wobei dieser kleine Vorteil in der Sharpe Ratio durch die Einbindung der Rendite vollständig verschwindet.</w:t>
      </w:r>
      <w:r>
        <w:t xml:space="preserve"> </w:t>
      </w:r>
      <w:r>
        <w:t xml:space="preserve">Genau diese Größe schlagen</w:t>
      </w:r>
      <w:r>
        <w:t xml:space="preserve"> </w:t>
      </w:r>
      <w:r>
        <w:t xml:space="preserve">Engle and Colacito (2006)</w:t>
      </w:r>
      <w:r>
        <w:t xml:space="preserve"> </w:t>
      </w:r>
      <w:r>
        <w:t xml:space="preserve">als ökonomisches Auswahlkriterium vor, da die realisierte Volatilität des Minimum-Varianz-Portfolios unmittelbar von der Kovarianzmatrix abhängt und nicht von den Renditen überlagert wird.</w:t>
      </w:r>
    </w:p>
    <w:p>
      <w:pPr>
        <w:pStyle w:val="BodyText"/>
      </w:pPr>
      <w:r>
        <w:t xml:space="preserve">Gleichzeitig fällt der mittlere Turnover des MVP mit der DCC- wie auch mit der GARCH-Kovarianz rund 32-mal so hoch aus wie mit der historischen, wodurch beide dynamischen Schätzer bei einer realen Umsetzung nochmals schlechter abschneiden würden.</w:t>
      </w:r>
      <w:r>
        <w:t xml:space="preserve"> </w:t>
      </w:r>
      <w:r>
        <w:t xml:space="preserve">Grund für den hohen Turnover ist, dass die beiden dynamischen Modelle deutlich schneller auf Änderungen in der Volatilität reagieren, wodurch auch die Gewichtsverteilung der Portfolios angepasst wird, während die träge Stichprobenkovarianz die Gewichte nahezu unverändert lässt.</w:t>
      </w:r>
      <w:r>
        <w:t xml:space="preserve"> </w:t>
      </w:r>
      <w:r>
        <w:t xml:space="preserve">Bei HRP und ERC fällt der Anstieg mit dem Faktor acht beziehungsweise sechs erheblich geringer aus, was auf die robustere Konstruktion der beiden Modelle zurückzuführen ist.</w:t>
      </w:r>
    </w:p>
    <w:p>
      <w:pPr>
        <w:pStyle w:val="BodyText"/>
      </w:pPr>
      <w:r>
        <w:t xml:space="preserve">Statistisch abgesichert sind die Unterschiede in der Sharpe Ratio allerdings nicht, da</w:t>
      </w:r>
      <w:r>
        <w:t xml:space="preserve"> </w:t>
      </w:r>
      <w:hyperlink w:anchor="tab:jobson_korkie">
        <w:r>
          <w:rPr>
            <w:rStyle w:val="Hyperlink"/>
          </w:rPr>
          <w:t xml:space="preserve">Tabelle </w:t>
        </w:r>
        <w:hyperlink w:anchor="tab:jobson_korkie">
          <w:r>
            <w:rPr>
              <w:rStyle w:val="Hyperlink"/>
            </w:rPr>
            <w:t xml:space="preserve">6</w:t>
          </w:r>
        </w:hyperlink>
      </w:hyperlink>
      <w:r>
        <w:t xml:space="preserve"> </w:t>
      </w:r>
      <w:r>
        <w:t xml:space="preserve">für keinen der relevanten Vergleiche einen auch nur annähernd signifikanten</w:t>
      </w:r>
      <w:r>
        <w:t xml:space="preserve"> </w:t>
      </w:r>
      <m:oMath>
        <m:r>
          <m:t>p</m:t>
        </m:r>
      </m:oMath>
      <w:r>
        <w:t xml:space="preserve">-Wert ausweist.</w:t>
      </w:r>
      <w:r>
        <w:t xml:space="preserve"> </w:t>
      </w:r>
      <w:r>
        <w:t xml:space="preserve">Dies gilt sowohl zwischen den Kovarianzschätzern als auch gegenüber dem 1/N-Portfolio.</w:t>
      </w:r>
      <w:r>
        <w:t xml:space="preserve"> </w:t>
      </w:r>
      <w:r>
        <w:t xml:space="preserve">Legt man dagegen die von</w:t>
      </w:r>
      <w:r>
        <w:t xml:space="preserve"> </w:t>
      </w:r>
      <w:r>
        <w:t xml:space="preserve">Engle and Colacito (2006)</w:t>
      </w:r>
      <w:r>
        <w:t xml:space="preserve"> </w:t>
      </w:r>
      <w:r>
        <w:t xml:space="preserve">favorisierte realisierte Volatilität an, kehrt sich das Bild um, da der DCC-Schätzer sie in allen drei Portfoliomodellen senkt.</w:t>
      </w:r>
    </w:p>
    <w:bookmarkStart w:id="35" w:name="tab:jobson_korkie"/>
    <w:p>
      <w:pPr>
        <w:pStyle w:val="TableCaption"/>
      </w:pPr>
      <w:r>
        <w:t xml:space="preserve">Tests auf Unterschiede der Sharpe Ratios (Basisfall)</w:t>
      </w:r>
    </w:p>
    <w:tbl>
      <w:tblPr>
        <w:tblStyle w:val="Table"/>
        <w:tblW w:type="auto" w:w="0"/>
        <w:tblLook w:firstRow="1" w:lastRow="0" w:firstColumn="0" w:lastColumn="0" w:noHBand="0" w:noVBand="0" w:val="0020"/>
        <w:tblCaption w:val="Tests auf Unterschiede der Sharpe Ratios (Basisfall)"/>
      </w:tblPr>
      <w:tblGrid>
        <w:gridCol w:w="1584"/>
        <w:gridCol w:w="1584"/>
        <w:gridCol w:w="1584"/>
        <w:gridCol w:w="1584"/>
        <w:gridCol w:w="1584"/>
      </w:tblGrid>
      <w:tr>
        <w:trPr>
          <w:tblHeader w:val="on"/>
        </w:trPr>
        <w:tc>
          <w:tcPr/>
          <w:p>
            <w:pPr>
              <w:pStyle w:val="Compact"/>
              <w:jc w:val="left"/>
            </w:pPr>
            <w:r>
              <w:t xml:space="preserve">Vergleich</w:t>
            </w:r>
          </w:p>
        </w:tc>
        <w:tc>
          <w:tcPr/>
          <w:p>
            <w:pPr>
              <w:pStyle w:val="Compact"/>
              <w:jc w:val="right"/>
            </w:pPr>
            <m:oMath>
              <m:r>
                <m:rPr>
                  <m:sty m:val="p"/>
                </m:rPr>
                <m:t>Δ</m:t>
              </m:r>
            </m:oMath>
            <w:r>
              <w:t xml:space="preserve"> </w:t>
            </w:r>
            <w:r>
              <w:t xml:space="preserve">Sharpe</w:t>
            </w:r>
          </w:p>
        </w:tc>
        <w:tc>
          <w:tcPr/>
          <w:p>
            <w:pPr>
              <w:pStyle w:val="Compact"/>
              <w:jc w:val="right"/>
            </w:pPr>
            <m:oMath>
              <m:r>
                <m:t>z</m:t>
              </m:r>
            </m:oMath>
            <w:r>
              <w:t xml:space="preserve">-Statistik</w:t>
            </w:r>
          </w:p>
        </w:tc>
        <w:tc>
          <w:tcPr>
            <w:gridSpan w:val="2"/>
          </w:tcPr>
          <w:p>
            <w:pPr>
              <w:pStyle w:val="Compact"/>
              <w:jc w:val="center"/>
            </w:pPr>
            <m:oMath>
              <m:r>
                <m:t>p</m:t>
              </m:r>
            </m:oMath>
            <w:r>
              <w:t xml:space="preserve">-Wert</w:t>
            </w:r>
          </w:p>
        </w:tc>
      </w:tr>
      <w:tr>
        <w:tc>
          <w:tcPr/>
          <w:p>
            <w:pPr>
              <w:pStyle w:val="Compact"/>
              <w:jc w:val="left"/>
            </w:pPr>
            <w:r>
              <w:t xml:space="preserve">MVP Historical vs. MVP GARCH</w:t>
            </w:r>
          </w:p>
        </w:tc>
        <w:tc>
          <w:tcPr/>
          <w:p>
            <w:pPr>
              <w:pStyle w:val="Compact"/>
              <w:jc w:val="right"/>
            </w:pPr>
            <w:r>
              <w:t xml:space="preserve">0,0352</w:t>
            </w:r>
          </w:p>
        </w:tc>
        <w:tc>
          <w:tcPr/>
          <w:p>
            <w:pPr>
              <w:pStyle w:val="Compact"/>
              <w:jc w:val="right"/>
            </w:pPr>
            <w:r>
              <w:t xml:space="preserve">0,55</w:t>
            </w:r>
          </w:p>
        </w:tc>
        <w:tc>
          <w:tcPr/>
          <w:p>
            <w:pPr>
              <w:pStyle w:val="Compact"/>
              <w:jc w:val="right"/>
            </w:pPr>
            <w:r>
              <w:t xml:space="preserve">0,584</w:t>
            </w:r>
          </w:p>
        </w:tc>
        <w:tc>
          <w:tcPr/>
          <w:p>
            <w:pPr>
              <w:pStyle w:val="Compact"/>
            </w:pPr>
          </w:p>
        </w:tc>
      </w:tr>
      <w:tr>
        <w:tc>
          <w:tcPr/>
          <w:p>
            <w:pPr>
              <w:pStyle w:val="Compact"/>
              <w:jc w:val="left"/>
            </w:pPr>
            <w:r>
              <w:t xml:space="preserve">MVP Historical vs. MVP DCC</w:t>
            </w:r>
          </w:p>
        </w:tc>
        <w:tc>
          <w:tcPr/>
          <w:p>
            <w:pPr>
              <w:pStyle w:val="Compact"/>
              <w:jc w:val="right"/>
            </w:pPr>
            <w:r>
              <w:t xml:space="preserve">0,0243</w:t>
            </w:r>
          </w:p>
        </w:tc>
        <w:tc>
          <w:tcPr/>
          <w:p>
            <w:pPr>
              <w:pStyle w:val="Compact"/>
              <w:jc w:val="right"/>
            </w:pPr>
            <w:r>
              <w:t xml:space="preserve">0,37</w:t>
            </w:r>
          </w:p>
        </w:tc>
        <w:tc>
          <w:tcPr/>
          <w:p>
            <w:pPr>
              <w:pStyle w:val="Compact"/>
              <w:jc w:val="right"/>
            </w:pPr>
            <w:r>
              <w:t xml:space="preserve">0,709</w:t>
            </w:r>
          </w:p>
        </w:tc>
        <w:tc>
          <w:tcPr/>
          <w:p>
            <w:pPr>
              <w:pStyle w:val="Compact"/>
            </w:pPr>
          </w:p>
        </w:tc>
      </w:tr>
      <w:tr>
        <w:tc>
          <w:tcPr/>
          <w:p>
            <w:pPr>
              <w:pStyle w:val="Compact"/>
              <w:jc w:val="left"/>
            </w:pPr>
            <w:r>
              <w:t xml:space="preserve">MVP GARCH vs. MVP DCC</w:t>
            </w:r>
          </w:p>
        </w:tc>
        <w:tc>
          <w:tcPr/>
          <w:p>
            <w:pPr>
              <w:pStyle w:val="Compact"/>
              <w:jc w:val="right"/>
            </w:pPr>
            <w:r>
              <w:t xml:space="preserve">-0,0109</w:t>
            </w:r>
          </w:p>
        </w:tc>
        <w:tc>
          <w:tcPr/>
          <w:p>
            <w:pPr>
              <w:pStyle w:val="Compact"/>
              <w:jc w:val="right"/>
            </w:pPr>
            <w:r>
              <w:t xml:space="preserve">-0,78</w:t>
            </w:r>
          </w:p>
        </w:tc>
        <w:tc>
          <w:tcPr/>
          <w:p>
            <w:pPr>
              <w:pStyle w:val="Compact"/>
              <w:jc w:val="right"/>
            </w:pPr>
            <w:r>
              <w:t xml:space="preserve">0,435</w:t>
            </w:r>
          </w:p>
        </w:tc>
        <w:tc>
          <w:tcPr/>
          <w:p>
            <w:pPr>
              <w:pStyle w:val="Compact"/>
            </w:pPr>
          </w:p>
        </w:tc>
      </w:tr>
      <w:tr>
        <w:tc>
          <w:tcPr/>
          <w:p>
            <w:pPr>
              <w:pStyle w:val="Compact"/>
              <w:jc w:val="left"/>
            </w:pPr>
            <w:r>
              <w:t xml:space="preserve">HRP Historical vs. HRP GARCH</w:t>
            </w:r>
          </w:p>
        </w:tc>
        <w:tc>
          <w:tcPr/>
          <w:p>
            <w:pPr>
              <w:pStyle w:val="Compact"/>
              <w:jc w:val="right"/>
            </w:pPr>
            <w:r>
              <w:t xml:space="preserve">0,0063</w:t>
            </w:r>
          </w:p>
        </w:tc>
        <w:tc>
          <w:tcPr/>
          <w:p>
            <w:pPr>
              <w:pStyle w:val="Compact"/>
              <w:jc w:val="right"/>
            </w:pPr>
            <w:r>
              <w:t xml:space="preserve">0,30</w:t>
            </w:r>
          </w:p>
        </w:tc>
        <w:tc>
          <w:tcPr/>
          <w:p>
            <w:pPr>
              <w:pStyle w:val="Compact"/>
              <w:jc w:val="right"/>
            </w:pPr>
            <w:r>
              <w:t xml:space="preserve">0,764</w:t>
            </w:r>
          </w:p>
        </w:tc>
        <w:tc>
          <w:tcPr/>
          <w:p>
            <w:pPr>
              <w:pStyle w:val="Compact"/>
            </w:pPr>
          </w:p>
        </w:tc>
      </w:tr>
      <w:tr>
        <w:tc>
          <w:tcPr/>
          <w:p>
            <w:pPr>
              <w:pStyle w:val="Compact"/>
              <w:jc w:val="left"/>
            </w:pPr>
            <w:r>
              <w:t xml:space="preserve">HRP Historical vs. HRP DCC</w:t>
            </w:r>
          </w:p>
        </w:tc>
        <w:tc>
          <w:tcPr/>
          <w:p>
            <w:pPr>
              <w:pStyle w:val="Compact"/>
              <w:jc w:val="right"/>
            </w:pPr>
            <w:r>
              <w:t xml:space="preserve">-0,0041</w:t>
            </w:r>
          </w:p>
        </w:tc>
        <w:tc>
          <w:tcPr/>
          <w:p>
            <w:pPr>
              <w:pStyle w:val="Compact"/>
              <w:jc w:val="right"/>
            </w:pPr>
            <w:r>
              <w:t xml:space="preserve">-0,18</w:t>
            </w:r>
          </w:p>
        </w:tc>
        <w:tc>
          <w:tcPr/>
          <w:p>
            <w:pPr>
              <w:pStyle w:val="Compact"/>
              <w:jc w:val="right"/>
            </w:pPr>
            <w:r>
              <w:t xml:space="preserve">0,859</w:t>
            </w:r>
          </w:p>
        </w:tc>
        <w:tc>
          <w:tcPr/>
          <w:p>
            <w:pPr>
              <w:pStyle w:val="Compact"/>
            </w:pPr>
          </w:p>
        </w:tc>
      </w:tr>
      <w:tr>
        <w:tc>
          <w:tcPr/>
          <w:p>
            <w:pPr>
              <w:pStyle w:val="Compact"/>
              <w:jc w:val="left"/>
            </w:pPr>
            <w:r>
              <w:t xml:space="preserve">HRP GARCH vs. HRP DCC</w:t>
            </w:r>
          </w:p>
        </w:tc>
        <w:tc>
          <w:tcPr/>
          <w:p>
            <w:pPr>
              <w:pStyle w:val="Compact"/>
              <w:jc w:val="right"/>
            </w:pPr>
            <w:r>
              <w:t xml:space="preserve">-0,0104</w:t>
            </w:r>
          </w:p>
        </w:tc>
        <w:tc>
          <w:tcPr/>
          <w:p>
            <w:pPr>
              <w:pStyle w:val="Compact"/>
              <w:jc w:val="right"/>
            </w:pPr>
            <w:r>
              <w:t xml:space="preserve">-1,23</w:t>
            </w:r>
          </w:p>
        </w:tc>
        <w:tc>
          <w:tcPr/>
          <w:p>
            <w:pPr>
              <w:pStyle w:val="Compact"/>
              <w:jc w:val="right"/>
            </w:pPr>
            <w:r>
              <w:t xml:space="preserve">0,220</w:t>
            </w:r>
          </w:p>
        </w:tc>
        <w:tc>
          <w:tcPr/>
          <w:p>
            <w:pPr>
              <w:pStyle w:val="Compact"/>
            </w:pPr>
          </w:p>
        </w:tc>
      </w:tr>
      <w:tr>
        <w:tc>
          <w:tcPr/>
          <w:p>
            <w:pPr>
              <w:pStyle w:val="Compact"/>
              <w:jc w:val="left"/>
            </w:pPr>
            <w:r>
              <w:t xml:space="preserve">ERC Historical vs. ERC GARCH</w:t>
            </w:r>
          </w:p>
        </w:tc>
        <w:tc>
          <w:tcPr/>
          <w:p>
            <w:pPr>
              <w:pStyle w:val="Compact"/>
              <w:jc w:val="right"/>
            </w:pPr>
            <w:r>
              <w:t xml:space="preserve">0,0105</w:t>
            </w:r>
          </w:p>
        </w:tc>
        <w:tc>
          <w:tcPr/>
          <w:p>
            <w:pPr>
              <w:pStyle w:val="Compact"/>
              <w:jc w:val="right"/>
            </w:pPr>
            <w:r>
              <w:t xml:space="preserve">0,95</w:t>
            </w:r>
          </w:p>
        </w:tc>
        <w:tc>
          <w:tcPr/>
          <w:p>
            <w:pPr>
              <w:pStyle w:val="Compact"/>
              <w:jc w:val="right"/>
            </w:pPr>
            <w:r>
              <w:t xml:space="preserve">0,342</w:t>
            </w:r>
          </w:p>
        </w:tc>
        <w:tc>
          <w:tcPr/>
          <w:p>
            <w:pPr>
              <w:pStyle w:val="Compact"/>
            </w:pPr>
          </w:p>
        </w:tc>
      </w:tr>
      <w:tr>
        <w:tc>
          <w:tcPr/>
          <w:p>
            <w:pPr>
              <w:pStyle w:val="Compact"/>
              <w:jc w:val="left"/>
            </w:pPr>
            <w:r>
              <w:t xml:space="preserve">ERC Historical vs. ERC DCC</w:t>
            </w:r>
          </w:p>
        </w:tc>
        <w:tc>
          <w:tcPr/>
          <w:p>
            <w:pPr>
              <w:pStyle w:val="Compact"/>
              <w:jc w:val="right"/>
            </w:pPr>
            <w:r>
              <w:t xml:space="preserve">0,0111</w:t>
            </w:r>
          </w:p>
        </w:tc>
        <w:tc>
          <w:tcPr/>
          <w:p>
            <w:pPr>
              <w:pStyle w:val="Compact"/>
              <w:jc w:val="right"/>
            </w:pPr>
            <w:r>
              <w:t xml:space="preserve">0,98</w:t>
            </w:r>
          </w:p>
        </w:tc>
        <w:tc>
          <w:tcPr/>
          <w:p>
            <w:pPr>
              <w:pStyle w:val="Compact"/>
              <w:jc w:val="right"/>
            </w:pPr>
            <w:r>
              <w:t xml:space="preserve">0,329</w:t>
            </w:r>
          </w:p>
        </w:tc>
        <w:tc>
          <w:tcPr/>
          <w:p>
            <w:pPr>
              <w:pStyle w:val="Compact"/>
            </w:pPr>
          </w:p>
        </w:tc>
      </w:tr>
      <w:tr>
        <w:tc>
          <w:tcPr/>
          <w:p>
            <w:pPr>
              <w:pStyle w:val="Compact"/>
              <w:jc w:val="left"/>
            </w:pPr>
            <w:r>
              <w:t xml:space="preserve">ERC GARCH vs. ERC DCC</w:t>
            </w:r>
          </w:p>
        </w:tc>
        <w:tc>
          <w:tcPr/>
          <w:p>
            <w:pPr>
              <w:pStyle w:val="Compact"/>
              <w:jc w:val="right"/>
            </w:pPr>
            <w:r>
              <w:t xml:space="preserve">0,0006</w:t>
            </w:r>
          </w:p>
        </w:tc>
        <w:tc>
          <w:tcPr/>
          <w:p>
            <w:pPr>
              <w:pStyle w:val="Compact"/>
              <w:jc w:val="right"/>
            </w:pPr>
            <w:r>
              <w:t xml:space="preserve">0,27</w:t>
            </w:r>
          </w:p>
        </w:tc>
        <w:tc>
          <w:tcPr/>
          <w:p>
            <w:pPr>
              <w:pStyle w:val="Compact"/>
              <w:jc w:val="right"/>
            </w:pPr>
            <w:r>
              <w:t xml:space="preserve">0,784</w:t>
            </w:r>
          </w:p>
        </w:tc>
        <w:tc>
          <w:tcPr/>
          <w:p>
            <w:pPr>
              <w:pStyle w:val="Compact"/>
            </w:pPr>
          </w:p>
        </w:tc>
      </w:tr>
      <w:tr>
        <w:tc>
          <w:tcPr/>
          <w:p>
            <w:pPr>
              <w:pStyle w:val="Compact"/>
              <w:jc w:val="left"/>
            </w:pPr>
            <w:r>
              <w:t xml:space="preserve">MVP Historical vs. Naive</w:t>
            </w:r>
          </w:p>
        </w:tc>
        <w:tc>
          <w:tcPr/>
          <w:p>
            <w:pPr>
              <w:pStyle w:val="Compact"/>
              <w:jc w:val="right"/>
            </w:pPr>
            <w:r>
              <w:t xml:space="preserve">0,0797</w:t>
            </w:r>
          </w:p>
        </w:tc>
        <w:tc>
          <w:tcPr/>
          <w:p>
            <w:pPr>
              <w:pStyle w:val="Compact"/>
              <w:jc w:val="right"/>
            </w:pPr>
            <w:r>
              <w:t xml:space="preserve">0,69</w:t>
            </w:r>
          </w:p>
        </w:tc>
        <w:tc>
          <w:tcPr/>
          <w:p>
            <w:pPr>
              <w:pStyle w:val="Compact"/>
              <w:jc w:val="right"/>
            </w:pPr>
            <w:r>
              <w:t xml:space="preserve">0,487</w:t>
            </w:r>
          </w:p>
        </w:tc>
        <w:tc>
          <w:tcPr/>
          <w:p>
            <w:pPr>
              <w:pStyle w:val="Compact"/>
            </w:pPr>
          </w:p>
        </w:tc>
      </w:tr>
      <w:tr>
        <w:tc>
          <w:tcPr/>
          <w:p>
            <w:pPr>
              <w:pStyle w:val="Compact"/>
              <w:jc w:val="left"/>
            </w:pPr>
            <w:r>
              <w:t xml:space="preserve">HRP Historical vs. Naive</w:t>
            </w:r>
          </w:p>
        </w:tc>
        <w:tc>
          <w:tcPr/>
          <w:p>
            <w:pPr>
              <w:pStyle w:val="Compact"/>
              <w:jc w:val="right"/>
            </w:pPr>
            <w:r>
              <w:t xml:space="preserve">0,0210</w:t>
            </w:r>
          </w:p>
        </w:tc>
        <w:tc>
          <w:tcPr/>
          <w:p>
            <w:pPr>
              <w:pStyle w:val="Compact"/>
              <w:jc w:val="right"/>
            </w:pPr>
            <w:r>
              <w:t xml:space="preserve">0,66</w:t>
            </w:r>
          </w:p>
        </w:tc>
        <w:tc>
          <w:tcPr/>
          <w:p>
            <w:pPr>
              <w:pStyle w:val="Compact"/>
              <w:jc w:val="right"/>
            </w:pPr>
            <w:r>
              <w:t xml:space="preserve">0,509</w:t>
            </w:r>
          </w:p>
        </w:tc>
        <w:tc>
          <w:tcPr/>
          <w:p>
            <w:pPr>
              <w:pStyle w:val="Compact"/>
            </w:pPr>
          </w:p>
        </w:tc>
      </w:tr>
      <w:tr>
        <w:tc>
          <w:tcPr/>
          <w:p>
            <w:pPr>
              <w:pStyle w:val="Compact"/>
              <w:jc w:val="left"/>
            </w:pPr>
            <w:r>
              <w:t xml:space="preserve">ERC Historical vs. Naive</w:t>
            </w:r>
          </w:p>
        </w:tc>
        <w:tc>
          <w:tcPr/>
          <w:p>
            <w:pPr>
              <w:pStyle w:val="Compact"/>
              <w:jc w:val="right"/>
            </w:pPr>
            <w:r>
              <w:t xml:space="preserve">0,0132</w:t>
            </w:r>
          </w:p>
        </w:tc>
        <w:tc>
          <w:tcPr/>
          <w:p>
            <w:pPr>
              <w:pStyle w:val="Compact"/>
              <w:jc w:val="right"/>
            </w:pPr>
            <w:r>
              <w:t xml:space="preserve">0,85</w:t>
            </w:r>
          </w:p>
        </w:tc>
        <w:tc>
          <w:tcPr/>
          <w:p>
            <w:pPr>
              <w:pStyle w:val="Compact"/>
              <w:jc w:val="right"/>
            </w:pPr>
            <w:r>
              <w:t xml:space="preserve">0,395</w:t>
            </w:r>
          </w:p>
        </w:tc>
        <w:tc>
          <w:tcPr/>
          <w:p>
            <w:pPr>
              <w:pStyle w:val="Compact"/>
            </w:pPr>
          </w:p>
        </w:tc>
      </w:tr>
    </w:tbl>
    <w:bookmarkEnd w:id="35"/>
    <w:p>
      <w:pPr>
        <w:pStyle w:val="BodyText"/>
      </w:pPr>
      <w:r>
        <w:t xml:space="preserve">Auf Überschussrenditen über die Fed Funds Rate;</w:t>
      </w:r>
      <w:r>
        <w:t xml:space="preserve"> </w:t>
      </w:r>
      <m:oMath>
        <m:sSup>
          <m:e>
            <m:r>
              <m:t>​</m:t>
            </m:r>
          </m:e>
          <m:sup>
            <m:r>
              <m:rPr>
                <m:sty m:val="p"/>
              </m:rPr>
              <m:t>*</m:t>
            </m:r>
            <m:r>
              <m:rPr>
                <m:sty m:val="p"/>
              </m:rPr>
              <m:t>*</m:t>
            </m:r>
            <m:r>
              <m:rPr>
                <m:sty m:val="p"/>
              </m:rPr>
              <m:t>*</m:t>
            </m:r>
          </m:sup>
        </m:sSup>
      </m:oMath>
      <w:r>
        <w:t xml:space="preserve">,</w:t>
      </w:r>
      <w:r>
        <w:t xml:space="preserve"> </w:t>
      </w:r>
      <m:oMath>
        <m:sSup>
          <m:e>
            <m:r>
              <m:t>​</m:t>
            </m:r>
          </m:e>
          <m:sup>
            <m:r>
              <m:rPr>
                <m:sty m:val="p"/>
              </m:rPr>
              <m:t>*</m:t>
            </m:r>
            <m:r>
              <m:rPr>
                <m:sty m:val="p"/>
              </m:rPr>
              <m:t>*</m:t>
            </m:r>
          </m:sup>
        </m:sSup>
      </m:oMath>
      <w:r>
        <w:t xml:space="preserve">,</w:t>
      </w:r>
      <w:r>
        <w:t xml:space="preserve"> </w:t>
      </w:r>
      <m:oMath>
        <m:sSup>
          <m:e>
            <m:r>
              <m:t>​</m:t>
            </m:r>
          </m:e>
          <m:sup>
            <m:r>
              <m:rPr>
                <m:sty m:val="p"/>
              </m:rPr>
              <m:t>*</m:t>
            </m:r>
          </m:sup>
        </m:sSup>
      </m:oMath>
      <w:r>
        <w:t xml:space="preserve"> </w:t>
      </w:r>
      <w:r>
        <w:t xml:space="preserve">= 1-, 5-, 10-%-Niveau.</w:t>
      </w:r>
    </w:p>
    <w:p>
      <w:pPr>
        <w:pStyle w:val="BodyText"/>
      </w:pPr>
      <w:r>
        <w:t xml:space="preserve">Die Auswirkungen proportionaler Transaktionskosten sind in</w:t>
      </w:r>
      <w:r>
        <w:t xml:space="preserve"> </w:t>
      </w:r>
      <w:hyperlink w:anchor="tab:transaktionskosten">
        <w:r>
          <w:rPr>
            <w:rStyle w:val="Hyperlink"/>
          </w:rPr>
          <w:t xml:space="preserve">Tabelle </w:t>
        </w:r>
        <w:hyperlink w:anchor="tab:transaktionskosten">
          <w:r>
            <w:rPr>
              <w:rStyle w:val="Hyperlink"/>
            </w:rPr>
            <w:t xml:space="preserve">12</w:t>
          </w:r>
        </w:hyperlink>
      </w:hyperlink>
      <w:r>
        <w:t xml:space="preserve"> </w:t>
      </w:r>
      <w:r>
        <w:t xml:space="preserve">im</w:t>
      </w:r>
      <w:r>
        <w:t xml:space="preserve"> </w:t>
      </w:r>
      <w:hyperlink w:anchor="sec:anhang_kosten">
        <w:r>
          <w:rPr>
            <w:rStyle w:val="Hyperlink"/>
          </w:rPr>
          <w:t xml:space="preserve">Anhang </w:t>
        </w:r>
        <w:hyperlink w:anchor="sec:anhang_kosten">
          <w:r>
            <w:rPr>
              <w:rStyle w:val="Hyperlink"/>
            </w:rPr>
            <w:t xml:space="preserve">11</w:t>
          </w:r>
        </w:hyperlink>
      </w:hyperlink>
      <w:r>
        <w:t xml:space="preserve"> </w:t>
      </w:r>
      <w:r>
        <w:t xml:space="preserve">dargestellt.</w:t>
      </w:r>
      <w:r>
        <w:t xml:space="preserve"> </w:t>
      </w:r>
      <w:r>
        <w:t xml:space="preserve">Bereits bei 5 Basispunkten auf das umgeschlagene Volumen fällt die Sharpe Ratio des MVP mit DCC-Kovarianz von 0,671 auf 0,438 und liegt damit deutlich unter dem naiven Portfolio mit 0,577, während die historische Variante mit 0,688 nahezu unverändert bleibt.</w:t>
      </w:r>
      <w:r>
        <w:t xml:space="preserve"> </w:t>
      </w:r>
      <w:r>
        <w:t xml:space="preserve">Bei 20 Basispunkten werden beide dynamischen MVP-Varianten negativ.</w:t>
      </w:r>
    </w:p>
    <w:p>
      <w:pPr>
        <w:pStyle w:val="BodyText"/>
      </w:pPr>
      <w:hyperlink w:anchor="tab:bilanz">
        <w:r>
          <w:rPr>
            <w:rStyle w:val="Hyperlink"/>
          </w:rPr>
          <w:t xml:space="preserve">Tabelle </w:t>
        </w:r>
        <w:hyperlink w:anchor="tab:bilanz">
          <w:r>
            <w:rPr>
              <w:rStyle w:val="Hyperlink"/>
            </w:rPr>
            <w:t xml:space="preserve">7</w:t>
          </w:r>
        </w:hyperlink>
      </w:hyperlink>
      <w:r>
        <w:t xml:space="preserve"> </w:t>
      </w:r>
      <w:r>
        <w:t xml:space="preserve">fasst die Ergebnisse über alle 40 Kombinationen aus Trainingsfenster und Prognosehorizont zusammen, wobei je Portfoliomodell angegeben wird, wie oft das 1/N-Portfolio geschlagen wird und wie oft die dynamischen Schätzer die historische Matrix übertreffen.</w:t>
      </w:r>
      <w:r>
        <w:t xml:space="preserve"> </w:t>
      </w:r>
      <w:r>
        <w:t xml:space="preserve">Bewertungsmaßstab ist dabei die Sharpe Ratio, wobei der Befund je nach Portfoliomodell unterschiedlich ausfällt.</w:t>
      </w:r>
      <w:r>
        <w:t xml:space="preserve"> </w:t>
      </w:r>
      <w:r>
        <w:t xml:space="preserve">Zur ersten Forschungsfrage zeigt sich, dass HRP und ERC mit historischer Kovarianz das 1/N-Portfolio in rund neun von zehn Konstellationen schlagen, das MVP dagegen nur in einem Fünftel der Fälle.</w:t>
      </w:r>
      <w:r>
        <w:t xml:space="preserve"> </w:t>
      </w:r>
      <w:r>
        <w:t xml:space="preserve">Ausschlaggebend ist die bereits angelegte Anfälligkeit des MVP, dessen Varianzminimierung Schätzfehler in den kleinsten Eigenwerten der Kovarianzmatrix maximal ausnutzt und zu konzentrierten Portfolios führt.</w:t>
      </w:r>
      <w:r>
        <w:t xml:space="preserve"> </w:t>
      </w:r>
      <w:r>
        <w:t xml:space="preserve">Die im Basisfall beste Sharpe Ratio des MVP ist insofern nicht repräsentativ.</w:t>
      </w:r>
    </w:p>
    <w:p>
      <w:pPr>
        <w:pStyle w:val="BodyText"/>
      </w:pPr>
      <w:r>
        <w:t xml:space="preserve">Zur zweiten Forschungsfrage zeigt sich ein klares Muster entlang der Portfoliomodelle, da die dynamischen Schätzer die historische Matrix beim MVP in gut der Hälfte der Läufe schlagen, beim HRP nur vereinzelt und beim ERC in keinem einzigen.</w:t>
      </w:r>
      <w:r>
        <w:t xml:space="preserve"> </w:t>
      </w:r>
      <w:r>
        <w:t xml:space="preserve">Ökonomisch ist das gut erklärbar, weil das MVP als einziges Verfahren die Kovarianzmatrix vollständig einschließlich ihrer Inversen ausnutzt, während HRP lediglich die Clusterordnung und die Varianzen der Teilcluster verwendet und ERC die Risikobeiträge ausbalanciert.</w:t>
      </w:r>
      <w:r>
        <w:t xml:space="preserve"> </w:t>
      </w:r>
      <w:r>
        <w:t xml:space="preserve">Eine bessere Kovarianzprognose zahlt sich folglich dort aus, wo sie am intensivsten genutzt wird, und bleibt folgenlos, wo das Verfahren die Matrix nur grob verwendet.</w:t>
      </w:r>
      <w:r>
        <w:t xml:space="preserve"> </w:t>
      </w:r>
      <w:r>
        <w:t xml:space="preserve">Somit steht das ökonomische Ergebnis im Gegensatz zum statistischen Befund.</w:t>
      </w:r>
    </w:p>
    <w:bookmarkStart w:id="36" w:name="tab:bilanz"/>
    <w:p>
      <w:pPr>
        <w:pStyle w:val="TableCaption"/>
      </w:pPr>
      <w:r>
        <w:t xml:space="preserve">Ergebnisse über alle empirischen Läufe</w:t>
      </w:r>
    </w:p>
    <w:tbl>
      <w:tblPr>
        <w:tblStyle w:val="Table"/>
        <w:tblW w:type="auto" w:w="0"/>
        <w:tblLook w:firstRow="1" w:lastRow="0" w:firstColumn="0" w:lastColumn="0" w:noHBand="0" w:noVBand="0" w:val="0020"/>
        <w:tblCaption w:val="Ergebnisse über alle empirischen Läufe"/>
      </w:tblPr>
      <w:tblGrid>
        <w:gridCol w:w="1980"/>
        <w:gridCol w:w="1980"/>
        <w:gridCol w:w="1980"/>
        <w:gridCol w:w="1980"/>
      </w:tblGrid>
      <w:tr>
        <w:trPr>
          <w:tblHeader w:val="on"/>
        </w:trPr>
        <w:tc>
          <w:tcPr/>
          <w:p>
            <w:pPr>
              <w:pStyle w:val="Compact"/>
              <w:jc w:val="left"/>
            </w:pPr>
            <w:r>
              <w:t xml:space="preserve">Modell</w:t>
            </w:r>
          </w:p>
        </w:tc>
        <w:tc>
          <w:tcPr/>
          <w:p>
            <w:pPr>
              <w:pStyle w:val="Compact"/>
              <w:jc w:val="left"/>
            </w:pPr>
            <w:r>
              <w:t xml:space="preserve">Kovarianz</w:t>
            </w:r>
          </w:p>
        </w:tc>
        <w:tc>
          <w:tcPr/>
          <w:p>
            <w:pPr>
              <w:pStyle w:val="Compact"/>
              <w:jc w:val="right"/>
            </w:pPr>
            <w:r>
              <w:t xml:space="preserve">vs. 1/N</w:t>
            </w:r>
          </w:p>
        </w:tc>
        <w:tc>
          <w:tcPr/>
          <w:p>
            <w:pPr>
              <w:pStyle w:val="Compact"/>
              <w:jc w:val="right"/>
            </w:pPr>
            <w:r>
              <w:t xml:space="preserve">vs. historischer Matrix</w:t>
            </w:r>
          </w:p>
        </w:tc>
      </w:tr>
      <w:tr>
        <w:tc>
          <w:tcPr/>
          <w:p>
            <w:pPr>
              <w:pStyle w:val="Compact"/>
              <w:jc w:val="left"/>
            </w:pPr>
            <w:r>
              <w:t xml:space="preserve">MVP</w:t>
            </w:r>
          </w:p>
        </w:tc>
        <w:tc>
          <w:tcPr/>
          <w:p>
            <w:pPr>
              <w:pStyle w:val="Compact"/>
              <w:jc w:val="left"/>
            </w:pPr>
            <w:r>
              <w:t xml:space="preserve">Historisch</w:t>
            </w:r>
          </w:p>
        </w:tc>
        <w:tc>
          <w:tcPr/>
          <w:p>
            <w:pPr>
              <w:pStyle w:val="Compact"/>
              <w:jc w:val="right"/>
            </w:pPr>
            <w:r>
              <w:t xml:space="preserve">8/40</w:t>
            </w:r>
          </w:p>
        </w:tc>
        <w:tc>
          <w:tcPr/>
          <w:p>
            <w:pPr>
              <w:pStyle w:val="Compact"/>
              <w:jc w:val="right"/>
            </w:pPr>
            <w:r>
              <w:t xml:space="preserve">–</w:t>
            </w:r>
          </w:p>
        </w:tc>
      </w:tr>
      <w:tr>
        <w:tc>
          <w:tcPr/>
          <w:p>
            <w:pPr>
              <w:pStyle w:val="Compact"/>
              <w:jc w:val="left"/>
            </w:pPr>
            <w:r>
              <w:t xml:space="preserve">MVP</w:t>
            </w:r>
          </w:p>
        </w:tc>
        <w:tc>
          <w:tcPr/>
          <w:p>
            <w:pPr>
              <w:pStyle w:val="Compact"/>
              <w:jc w:val="left"/>
            </w:pPr>
            <w:r>
              <w:t xml:space="preserve">GARCH</w:t>
            </w:r>
          </w:p>
        </w:tc>
        <w:tc>
          <w:tcPr/>
          <w:p>
            <w:pPr>
              <w:pStyle w:val="Compact"/>
              <w:jc w:val="right"/>
            </w:pPr>
            <w:r>
              <w:t xml:space="preserve">15/40</w:t>
            </w:r>
          </w:p>
        </w:tc>
        <w:tc>
          <w:tcPr/>
          <w:p>
            <w:pPr>
              <w:pStyle w:val="Compact"/>
              <w:jc w:val="right"/>
            </w:pPr>
            <w:r>
              <w:t xml:space="preserve">22/40</w:t>
            </w:r>
          </w:p>
        </w:tc>
      </w:tr>
      <w:tr>
        <w:tc>
          <w:tcPr/>
          <w:p>
            <w:pPr>
              <w:pStyle w:val="Compact"/>
              <w:jc w:val="left"/>
            </w:pPr>
            <w:r>
              <w:t xml:space="preserve">MVP</w:t>
            </w:r>
          </w:p>
        </w:tc>
        <w:tc>
          <w:tcPr/>
          <w:p>
            <w:pPr>
              <w:pStyle w:val="Compact"/>
              <w:jc w:val="left"/>
            </w:pPr>
            <w:r>
              <w:t xml:space="preserve">DCC-GARCH</w:t>
            </w:r>
          </w:p>
        </w:tc>
        <w:tc>
          <w:tcPr/>
          <w:p>
            <w:pPr>
              <w:pStyle w:val="Compact"/>
              <w:jc w:val="right"/>
            </w:pPr>
            <w:r>
              <w:t xml:space="preserve">17/40</w:t>
            </w:r>
          </w:p>
        </w:tc>
        <w:tc>
          <w:tcPr/>
          <w:p>
            <w:pPr>
              <w:pStyle w:val="Compact"/>
              <w:jc w:val="right"/>
            </w:pPr>
            <w:r>
              <w:t xml:space="preserve">26/40</w:t>
            </w:r>
          </w:p>
        </w:tc>
      </w:tr>
      <w:tr>
        <w:tc>
          <w:tcPr/>
          <w:p>
            <w:pPr>
              <w:pStyle w:val="Compact"/>
              <w:jc w:val="left"/>
            </w:pPr>
            <w:r>
              <w:t xml:space="preserve">HRP</w:t>
            </w:r>
          </w:p>
        </w:tc>
        <w:tc>
          <w:tcPr/>
          <w:p>
            <w:pPr>
              <w:pStyle w:val="Compact"/>
              <w:jc w:val="left"/>
            </w:pPr>
            <w:r>
              <w:t xml:space="preserve">Historisch</w:t>
            </w:r>
          </w:p>
        </w:tc>
        <w:tc>
          <w:tcPr/>
          <w:p>
            <w:pPr>
              <w:pStyle w:val="Compact"/>
              <w:jc w:val="right"/>
            </w:pPr>
            <w:r>
              <w:t xml:space="preserve">35/40</w:t>
            </w:r>
          </w:p>
        </w:tc>
        <w:tc>
          <w:tcPr/>
          <w:p>
            <w:pPr>
              <w:pStyle w:val="Compact"/>
              <w:jc w:val="right"/>
            </w:pPr>
            <w:r>
              <w:t xml:space="preserve">–</w:t>
            </w:r>
          </w:p>
        </w:tc>
      </w:tr>
      <w:tr>
        <w:tc>
          <w:tcPr/>
          <w:p>
            <w:pPr>
              <w:pStyle w:val="Compact"/>
              <w:jc w:val="left"/>
            </w:pPr>
            <w:r>
              <w:t xml:space="preserve">HRP</w:t>
            </w:r>
          </w:p>
        </w:tc>
        <w:tc>
          <w:tcPr/>
          <w:p>
            <w:pPr>
              <w:pStyle w:val="Compact"/>
              <w:jc w:val="left"/>
            </w:pPr>
            <w:r>
              <w:t xml:space="preserve">GARCH</w:t>
            </w:r>
          </w:p>
        </w:tc>
        <w:tc>
          <w:tcPr/>
          <w:p>
            <w:pPr>
              <w:pStyle w:val="Compact"/>
              <w:jc w:val="right"/>
            </w:pPr>
            <w:r>
              <w:t xml:space="preserve">16/40</w:t>
            </w:r>
          </w:p>
        </w:tc>
        <w:tc>
          <w:tcPr/>
          <w:p>
            <w:pPr>
              <w:pStyle w:val="Compact"/>
              <w:jc w:val="right"/>
            </w:pPr>
            <w:r>
              <w:t xml:space="preserve">2/40</w:t>
            </w:r>
          </w:p>
        </w:tc>
      </w:tr>
      <w:tr>
        <w:tc>
          <w:tcPr/>
          <w:p>
            <w:pPr>
              <w:pStyle w:val="Compact"/>
              <w:jc w:val="left"/>
            </w:pPr>
            <w:r>
              <w:t xml:space="preserve">HRP</w:t>
            </w:r>
          </w:p>
        </w:tc>
        <w:tc>
          <w:tcPr/>
          <w:p>
            <w:pPr>
              <w:pStyle w:val="Compact"/>
              <w:jc w:val="left"/>
            </w:pPr>
            <w:r>
              <w:t xml:space="preserve">DCC-GARCH</w:t>
            </w:r>
          </w:p>
        </w:tc>
        <w:tc>
          <w:tcPr/>
          <w:p>
            <w:pPr>
              <w:pStyle w:val="Compact"/>
              <w:jc w:val="right"/>
            </w:pPr>
            <w:r>
              <w:t xml:space="preserve">19/40</w:t>
            </w:r>
          </w:p>
        </w:tc>
        <w:tc>
          <w:tcPr/>
          <w:p>
            <w:pPr>
              <w:pStyle w:val="Compact"/>
              <w:jc w:val="right"/>
            </w:pPr>
            <w:r>
              <w:t xml:space="preserve">3/40</w:t>
            </w:r>
          </w:p>
        </w:tc>
      </w:tr>
      <w:tr>
        <w:tc>
          <w:tcPr/>
          <w:p>
            <w:pPr>
              <w:pStyle w:val="Compact"/>
              <w:jc w:val="left"/>
            </w:pPr>
            <w:r>
              <w:t xml:space="preserve">ERC</w:t>
            </w:r>
          </w:p>
        </w:tc>
        <w:tc>
          <w:tcPr/>
          <w:p>
            <w:pPr>
              <w:pStyle w:val="Compact"/>
              <w:jc w:val="left"/>
            </w:pPr>
            <w:r>
              <w:t xml:space="preserve">Historisch</w:t>
            </w:r>
          </w:p>
        </w:tc>
        <w:tc>
          <w:tcPr/>
          <w:p>
            <w:pPr>
              <w:pStyle w:val="Compact"/>
              <w:jc w:val="right"/>
            </w:pPr>
            <w:r>
              <w:t xml:space="preserve">36/40</w:t>
            </w:r>
          </w:p>
        </w:tc>
        <w:tc>
          <w:tcPr/>
          <w:p>
            <w:pPr>
              <w:pStyle w:val="Compact"/>
              <w:jc w:val="right"/>
            </w:pPr>
            <w:r>
              <w:t xml:space="preserve">–</w:t>
            </w:r>
          </w:p>
        </w:tc>
      </w:tr>
      <w:tr>
        <w:tc>
          <w:tcPr/>
          <w:p>
            <w:pPr>
              <w:pStyle w:val="Compact"/>
              <w:jc w:val="left"/>
            </w:pPr>
            <w:r>
              <w:t xml:space="preserve">ERC</w:t>
            </w:r>
          </w:p>
        </w:tc>
        <w:tc>
          <w:tcPr/>
          <w:p>
            <w:pPr>
              <w:pStyle w:val="Compact"/>
              <w:jc w:val="left"/>
            </w:pPr>
            <w:r>
              <w:t xml:space="preserve">GARCH</w:t>
            </w:r>
          </w:p>
        </w:tc>
        <w:tc>
          <w:tcPr/>
          <w:p>
            <w:pPr>
              <w:pStyle w:val="Compact"/>
              <w:jc w:val="right"/>
            </w:pPr>
            <w:r>
              <w:t xml:space="preserve">17/40</w:t>
            </w:r>
          </w:p>
        </w:tc>
        <w:tc>
          <w:tcPr/>
          <w:p>
            <w:pPr>
              <w:pStyle w:val="Compact"/>
              <w:jc w:val="right"/>
            </w:pPr>
            <w:r>
              <w:t xml:space="preserve">0/40</w:t>
            </w:r>
          </w:p>
        </w:tc>
      </w:tr>
      <w:tr>
        <w:tc>
          <w:tcPr/>
          <w:p>
            <w:pPr>
              <w:pStyle w:val="Compact"/>
              <w:jc w:val="left"/>
            </w:pPr>
            <w:r>
              <w:t xml:space="preserve">ERC</w:t>
            </w:r>
          </w:p>
        </w:tc>
        <w:tc>
          <w:tcPr/>
          <w:p>
            <w:pPr>
              <w:pStyle w:val="Compact"/>
              <w:jc w:val="left"/>
            </w:pPr>
            <w:r>
              <w:t xml:space="preserve">DCC-GARCH</w:t>
            </w:r>
          </w:p>
        </w:tc>
        <w:tc>
          <w:tcPr/>
          <w:p>
            <w:pPr>
              <w:pStyle w:val="Compact"/>
              <w:jc w:val="right"/>
            </w:pPr>
            <w:r>
              <w:t xml:space="preserve">20/40</w:t>
            </w:r>
          </w:p>
        </w:tc>
        <w:tc>
          <w:tcPr/>
          <w:p>
            <w:pPr>
              <w:pStyle w:val="Compact"/>
              <w:jc w:val="right"/>
            </w:pPr>
            <w:r>
              <w:t xml:space="preserve">0/40</w:t>
            </w:r>
          </w:p>
        </w:tc>
      </w:tr>
    </w:tbl>
    <w:bookmarkEnd w:id="36"/>
    <w:p>
      <w:pPr>
        <w:pStyle w:val="BodyText"/>
      </w:pPr>
      <w:r>
        <w:t xml:space="preserve">Alle 40 Kombinationen aus Trainingsfenster und Prognosehorizont, bewertet ab 01.01.2010; ausgewiesen ist, wie oft die Sharpe Ratio höher ausfällt als beim jeweiligen Vergleichsmaßstab.</w:t>
      </w:r>
    </w:p>
    <w:p>
      <w:pPr>
        <w:pStyle w:val="BodyText"/>
      </w:pPr>
      <w:r>
        <w:t xml:space="preserve">Auch über die Trainingsfenster hinweg bleibt dieses Muster erhalten (</w:t>
      </w:r>
      <w:hyperlink w:anchor="abb:sharpe_train">
        <w:r>
          <w:rPr>
            <w:rStyle w:val="Hyperlink"/>
          </w:rPr>
          <w:t xml:space="preserve">siehe Abb. </w:t>
        </w:r>
        <w:hyperlink w:anchor="abb:sharpe_train">
          <w:r>
            <w:rPr>
              <w:rStyle w:val="Hyperlink"/>
            </w:rPr>
            <w:t xml:space="preserve">1</w:t>
          </w:r>
        </w:hyperlink>
      </w:hyperlink>
      <w:r>
        <w:t xml:space="preserve">).</w:t>
      </w:r>
      <w:r>
        <w:t xml:space="preserve"> </w:t>
      </w:r>
      <w:r>
        <w:t xml:space="preserve">Beim MVP liegt DCC in neun von zehn Fenstern über der historischen Matrix, bei HRP in einem und bei ERC in keinem, wobei sich GARCH jeweils nahezu identisch verhält.</w:t>
      </w:r>
      <w:r>
        <w:t xml:space="preserve"> </w:t>
      </w:r>
      <w:r>
        <w:t xml:space="preserve">Dass DCC hier beim MVP vorne liegt, während im Basisfall die historische Matrix führt, ist kein Widerspruch, sondern ein Zeitraumeffekt, da diese Vergleiche auf dem gemeinsamen Zeitraum ab 2010 beruhen und das MVP mit dynamischer Kovarianz gerade in der Phase 2010–2019 vorne liegt (</w:t>
      </w:r>
      <w:hyperlink w:anchor="sec:anhang_strukturbruch">
        <w:r>
          <w:rPr>
            <w:rStyle w:val="Hyperlink"/>
          </w:rPr>
          <w:t xml:space="preserve">siehe Anhang </w:t>
        </w:r>
        <w:hyperlink w:anchor="sec:anhang_strukturbruch">
          <w:r>
            <w:rPr>
              <w:rStyle w:val="Hyperlink"/>
            </w:rPr>
            <w:t xml:space="preserve">9</w:t>
          </w:r>
        </w:hyperlink>
      </w:hyperlink>
      <w:r>
        <w:t xml:space="preserve">).</w:t>
      </w:r>
      <w:r>
        <w:t xml:space="preserve"> </w:t>
      </w:r>
      <w:r>
        <w:t xml:space="preserve">Die absoluten Unterschiede fallen dabei klein aus, weshalb angesichts der insignifikanten Tests auf Sharpe-Differenzen keine belastbare Rangfolge abgeleitet werden sollte.</w:t>
      </w:r>
    </w:p>
    <w:bookmarkStart w:id="40" w:name="abb:sharpe_train"/>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093126"/>
                  <wp:effectExtent b="0" l="0" r="0" t="0"/>
                  <wp:docPr descr="" title="" id="38" name="Picture"/>
                  <a:graphic>
                    <a:graphicData uri="http://schemas.openxmlformats.org/drawingml/2006/picture">
                      <pic:pic>
                        <pic:nvPicPr>
                          <pic:cNvPr descr="Abbildungen/abb_sharpe_train.pdf" id="39" name="Picture"/>
                          <pic:cNvPicPr>
                            <a:picLocks noChangeArrowheads="1" noChangeAspect="1"/>
                          </pic:cNvPicPr>
                        </pic:nvPicPr>
                        <pic:blipFill>
                          <a:blip r:embed="rId37"/>
                          <a:stretch>
                            <a:fillRect/>
                          </a:stretch>
                        </pic:blipFill>
                        <pic:spPr bwMode="auto">
                          <a:xfrm>
                            <a:off x="0" y="0"/>
                            <a:ext cx="2667000" cy="1093126"/>
                          </a:xfrm>
                          <a:prstGeom prst="rect">
                            <a:avLst/>
                          </a:prstGeom>
                          <a:noFill/>
                          <a:ln w="9525">
                            <a:noFill/>
                            <a:headEnd/>
                            <a:tailEnd/>
                          </a:ln>
                        </pic:spPr>
                      </pic:pic>
                    </a:graphicData>
                  </a:graphic>
                </wp:inline>
              </w:drawing>
            </w:r>
          </w:p>
        </w:tc>
        <w:tc>
          <w:tcPr/>
          <w:p>
            <w:pPr>
              <w:jc w:val="center"/>
            </w:pPr>
            <w:r>
              <w:t xml:space="preserve">TRBC, Prognosehorizont 1 Tag, Bewertung ab 01.01.2010 für alle Fenster.</w:t>
            </w:r>
          </w:p>
        </w:tc>
      </w:tr>
    </w:tbl>
    <w:p>
      <w:pPr>
        <w:pStyle w:val="ImageCaption"/>
      </w:pPr>
      <w:r>
        <w:t xml:space="preserve">Sharpe Ratio über die Trainingsfenster</w:t>
      </w:r>
    </w:p>
    <w:bookmarkEnd w:id="40"/>
    <w:p>
      <w:pPr>
        <w:pStyle w:val="BodyText"/>
      </w:pPr>
      <w:r>
        <w:t xml:space="preserve">Deutlicher ist der Befund über den Prognosehorizont in</w:t>
      </w:r>
      <w:r>
        <w:t xml:space="preserve"> </w:t>
      </w:r>
      <w:hyperlink w:anchor="tab:sharpe_horizont">
        <w:r>
          <w:rPr>
            <w:rStyle w:val="Hyperlink"/>
          </w:rPr>
          <w:t xml:space="preserve">Tabelle </w:t>
        </w:r>
        <w:hyperlink w:anchor="tab:sharpe_horizont">
          <w:r>
            <w:rPr>
              <w:rStyle w:val="Hyperlink"/>
            </w:rPr>
            <w:t xml:space="preserve">8</w:t>
          </w:r>
        </w:hyperlink>
      </w:hyperlink>
      <w:r>
        <w:t xml:space="preserve">.</w:t>
      </w:r>
      <w:r>
        <w:t xml:space="preserve"> </w:t>
      </w:r>
      <w:r>
        <w:t xml:space="preserve">Wird seltener rebalanciert, bleibt die Sharpe Ratio der historischen Matrix beim MVP praktisch konstant, während sie für DCC und ebenso für GARCH bei den beiden längeren Horizonten deutlich fällt und der Turnover je Rebalancierung gleichzeitig auf mehr als das Doppelte steigt.</w:t>
      </w:r>
      <w:r>
        <w:t xml:space="preserve"> </w:t>
      </w:r>
      <w:r>
        <w:t xml:space="preserve">Eine Erklärung hierfür ist, dass sich die historisch geschätzte Kovarianzmatrix nur langsam mit der Zeit verändert, weshalb ihre Prognose schon bei kurzen Vorhersagezeiträumen keine aktuelle Dynamik abbildet und über eine längere Halteperiode entsprechend wenig veraltet.</w:t>
      </w:r>
      <w:r>
        <w:t xml:space="preserve"> </w:t>
      </w:r>
      <w:r>
        <w:t xml:space="preserve">Die GARCH-Modelle hingegen reflektieren Abweichungen nahezu sofort, weshalb ihre Prognose zwar den Formationszeitpunkt genau trifft, über die Halteperiode hinweg aber schnell veraltet.</w:t>
      </w:r>
      <w:r>
        <w:t xml:space="preserve"> </w:t>
      </w:r>
      <w:r>
        <w:t xml:space="preserve">Erkennbar ist das auch am Turnover, da dessen hohes Niveau anzeigt, wie stark sich die Kovarianzmatrix der dynamischen Modelle über eine längere Halteperiode verändert.</w:t>
      </w:r>
      <w:r>
        <w:t xml:space="preserve"> </w:t>
      </w:r>
      <w:r>
        <w:t xml:space="preserve">Aufgrund des selteneren Rebalancings fällt der über die gesamte Historie kumulierte Turnover trotz des höheren Werts je Rebalancierung jedoch geringer aus, womit auch die Kostenbelastung einer realen Umsetzung sinken würde.</w:t>
      </w:r>
    </w:p>
    <w:bookmarkStart w:id="41" w:name="tab:sharpe_horizont"/>
    <w:p>
      <w:pPr>
        <w:pStyle w:val="TableCaption"/>
      </w:pPr>
      <w:r>
        <w:t xml:space="preserve">Sharpe Ratios und Turnover über die Prognosehorizonte (TRBC, Training 1008 Tage)</w:t>
      </w:r>
    </w:p>
    <w:tbl>
      <w:tblPr>
        <w:tblStyle w:val="Table"/>
        <w:tblW w:type="auto" w:w="0"/>
        <w:tblLook w:firstRow="1" w:lastRow="0" w:firstColumn="0" w:lastColumn="0" w:noHBand="0" w:noVBand="0" w:val="0020"/>
        <w:tblCaption w:val="Sharpe Ratios und Turnover über die Prognosehorizonte (TRBC, Training 1008 Tage)"/>
      </w:tblPr>
      <w:tblGrid>
        <w:gridCol w:w="1131"/>
        <w:gridCol w:w="1131"/>
        <w:gridCol w:w="1131"/>
        <w:gridCol w:w="1131"/>
        <w:gridCol w:w="1131"/>
        <w:gridCol w:w="1131"/>
        <w:gridCol w:w="1131"/>
      </w:tblGrid>
      <w:tr>
        <w:trPr>
          <w:tblHeader w:val="on"/>
        </w:trPr>
        <w:tc>
          <w:tcPr/>
          <w:p>
            <w:pPr>
              <w:pStyle w:val="Compact"/>
              <w:jc w:val="right"/>
            </w:pPr>
            <m:oMath>
              <m:r>
                <m:t>h</m:t>
              </m:r>
            </m:oMath>
            <w:r>
              <w:t xml:space="preserve"> </w:t>
            </w:r>
            <w:r>
              <w:t xml:space="preserve">(Tage)</w:t>
            </w:r>
          </w:p>
        </w:tc>
        <w:tc>
          <w:tcPr/>
          <w:p>
            <w:pPr>
              <w:pStyle w:val="Compact"/>
              <w:jc w:val="right"/>
            </w:pPr>
            <w:r>
              <w:t xml:space="preserve">1/N</w:t>
            </w:r>
          </w:p>
        </w:tc>
        <w:tc>
          <w:tcPr/>
          <w:p>
            <w:pPr>
              <w:pStyle w:val="Compact"/>
              <w:jc w:val="left"/>
            </w:pPr>
            <w:r>
              <w:t xml:space="preserve">Kovarianz</w:t>
            </w:r>
          </w:p>
        </w:tc>
        <w:tc>
          <w:tcPr/>
          <w:p>
            <w:pPr>
              <w:pStyle w:val="Compact"/>
              <w:jc w:val="right"/>
            </w:pPr>
            <w:r>
              <w:t xml:space="preserve">MVP</w:t>
            </w:r>
          </w:p>
        </w:tc>
        <w:tc>
          <w:tcPr/>
          <w:p>
            <w:pPr>
              <w:pStyle w:val="Compact"/>
              <w:jc w:val="right"/>
            </w:pPr>
            <w:r>
              <w:t xml:space="preserve">HRP</w:t>
            </w:r>
          </w:p>
        </w:tc>
        <w:tc>
          <w:tcPr/>
          <w:p>
            <w:pPr>
              <w:pStyle w:val="Compact"/>
              <w:jc w:val="right"/>
            </w:pPr>
            <w:r>
              <w:t xml:space="preserve">ERC</w:t>
            </w:r>
          </w:p>
        </w:tc>
        <w:tc>
          <w:tcPr/>
          <w:p>
            <w:pPr>
              <w:pStyle w:val="Compact"/>
              <w:jc w:val="right"/>
            </w:pPr>
            <w:r>
              <w:t xml:space="preserve">Turnover MVP</w:t>
            </w:r>
          </w:p>
        </w:tc>
      </w:tr>
      <w:tr>
        <w:tc>
          <w:tcPr/>
          <w:p>
            <w:pPr>
              <w:pStyle w:val="Compact"/>
              <w:jc w:val="right"/>
            </w:pPr>
            <w:r>
              <w:t xml:space="preserve">1</w:t>
            </w:r>
          </w:p>
        </w:tc>
        <w:tc>
          <w:tcPr/>
          <w:p>
            <w:pPr>
              <w:pStyle w:val="Compact"/>
              <w:jc w:val="right"/>
            </w:pPr>
            <w:r>
              <w:t xml:space="preserve">0,594</w:t>
            </w:r>
          </w:p>
        </w:tc>
        <w:tc>
          <w:tcPr/>
          <w:p>
            <w:pPr>
              <w:pStyle w:val="Compact"/>
              <w:jc w:val="left"/>
            </w:pPr>
            <w:r>
              <w:t xml:space="preserve">Historisch</w:t>
            </w:r>
          </w:p>
        </w:tc>
        <w:tc>
          <w:tcPr/>
          <w:p>
            <w:pPr>
              <w:pStyle w:val="Compact"/>
              <w:jc w:val="right"/>
            </w:pPr>
            <w:r>
              <w:t xml:space="preserve">0,606</w:t>
            </w:r>
          </w:p>
        </w:tc>
        <w:tc>
          <w:tcPr/>
          <w:p>
            <w:pPr>
              <w:pStyle w:val="Compact"/>
              <w:jc w:val="right"/>
            </w:pPr>
            <w:r>
              <w:t xml:space="preserve">0,592</w:t>
            </w:r>
          </w:p>
        </w:tc>
        <w:tc>
          <w:tcPr/>
          <w:p>
            <w:pPr>
              <w:pStyle w:val="Compact"/>
              <w:jc w:val="right"/>
            </w:pPr>
            <w:r>
              <w:t xml:space="preserve">0,604</w:t>
            </w:r>
          </w:p>
        </w:tc>
        <w:tc>
          <w:tcPr/>
          <w:p>
            <w:pPr>
              <w:pStyle w:val="Compact"/>
              <w:jc w:val="right"/>
            </w:pPr>
            <w:r>
              <w:t xml:space="preserve">0,008</w:t>
            </w:r>
          </w:p>
        </w:tc>
      </w:tr>
      <w:tr>
        <w:tc>
          <w:tcPr/>
          <w:p>
            <w:pPr>
              <w:pStyle w:val="Compact"/>
            </w:pPr>
          </w:p>
        </w:tc>
        <w:tc>
          <w:tcPr/>
          <w:p>
            <w:pPr>
              <w:pStyle w:val="Compact"/>
            </w:pPr>
          </w:p>
        </w:tc>
        <w:tc>
          <w:tcPr/>
          <w:p>
            <w:pPr>
              <w:pStyle w:val="Compact"/>
              <w:jc w:val="left"/>
            </w:pPr>
            <w:r>
              <w:t xml:space="preserve">GARCH</w:t>
            </w:r>
          </w:p>
        </w:tc>
        <w:tc>
          <w:tcPr/>
          <w:p>
            <w:pPr>
              <w:pStyle w:val="Compact"/>
              <w:jc w:val="right"/>
            </w:pPr>
            <w:r>
              <w:t xml:space="preserve">0,599</w:t>
            </w:r>
          </w:p>
        </w:tc>
        <w:tc>
          <w:tcPr/>
          <w:p>
            <w:pPr>
              <w:pStyle w:val="Compact"/>
              <w:jc w:val="right"/>
            </w:pPr>
            <w:r>
              <w:t xml:space="preserve">0,592</w:t>
            </w:r>
          </w:p>
        </w:tc>
        <w:tc>
          <w:tcPr/>
          <w:p>
            <w:pPr>
              <w:pStyle w:val="Compact"/>
              <w:jc w:val="right"/>
            </w:pPr>
            <w:r>
              <w:t xml:space="preserve">0,591</w:t>
            </w:r>
          </w:p>
        </w:tc>
        <w:tc>
          <w:tcPr/>
          <w:p>
            <w:pPr>
              <w:pStyle w:val="Compact"/>
              <w:jc w:val="right"/>
            </w:pPr>
            <w:r>
              <w:t xml:space="preserve">0,258</w:t>
            </w:r>
          </w:p>
        </w:tc>
      </w:tr>
      <w:tr>
        <w:tc>
          <w:tcPr/>
          <w:p>
            <w:pPr>
              <w:pStyle w:val="Compact"/>
            </w:pPr>
          </w:p>
        </w:tc>
        <w:tc>
          <w:tcPr/>
          <w:p>
            <w:pPr>
              <w:pStyle w:val="Compact"/>
            </w:pPr>
          </w:p>
        </w:tc>
        <w:tc>
          <w:tcPr/>
          <w:p>
            <w:pPr>
              <w:pStyle w:val="Compact"/>
              <w:jc w:val="left"/>
            </w:pPr>
            <w:r>
              <w:t xml:space="preserve">DCC-GARCH</w:t>
            </w:r>
          </w:p>
        </w:tc>
        <w:tc>
          <w:tcPr/>
          <w:p>
            <w:pPr>
              <w:pStyle w:val="Compact"/>
              <w:jc w:val="right"/>
            </w:pPr>
            <w:r>
              <w:t xml:space="preserve">0,620</w:t>
            </w:r>
          </w:p>
        </w:tc>
        <w:tc>
          <w:tcPr/>
          <w:p>
            <w:pPr>
              <w:pStyle w:val="Compact"/>
              <w:jc w:val="right"/>
            </w:pPr>
            <w:r>
              <w:t xml:space="preserve">0,611</w:t>
            </w:r>
          </w:p>
        </w:tc>
        <w:tc>
          <w:tcPr/>
          <w:p>
            <w:pPr>
              <w:pStyle w:val="Compact"/>
              <w:jc w:val="right"/>
            </w:pPr>
            <w:r>
              <w:t xml:space="preserve">0,592</w:t>
            </w:r>
          </w:p>
        </w:tc>
        <w:tc>
          <w:tcPr/>
          <w:p>
            <w:pPr>
              <w:pStyle w:val="Compact"/>
              <w:jc w:val="right"/>
            </w:pPr>
            <w:r>
              <w:t xml:space="preserve">0,255</w:t>
            </w:r>
          </w:p>
        </w:tc>
      </w:tr>
      <w:tr>
        <w:tc>
          <w:tcPr/>
          <w:p>
            <w:pPr>
              <w:pStyle w:val="Compact"/>
              <w:jc w:val="right"/>
            </w:pPr>
            <w:r>
              <w:t xml:space="preserve">5</w:t>
            </w:r>
          </w:p>
        </w:tc>
        <w:tc>
          <w:tcPr/>
          <w:p>
            <w:pPr>
              <w:pStyle w:val="Compact"/>
              <w:jc w:val="right"/>
            </w:pPr>
            <w:r>
              <w:t xml:space="preserve">0,597</w:t>
            </w:r>
          </w:p>
        </w:tc>
        <w:tc>
          <w:tcPr/>
          <w:p>
            <w:pPr>
              <w:pStyle w:val="Compact"/>
              <w:jc w:val="left"/>
            </w:pPr>
            <w:r>
              <w:t xml:space="preserve">Historisch</w:t>
            </w:r>
          </w:p>
        </w:tc>
        <w:tc>
          <w:tcPr/>
          <w:p>
            <w:pPr>
              <w:pStyle w:val="Compact"/>
              <w:jc w:val="right"/>
            </w:pPr>
            <w:r>
              <w:t xml:space="preserve">0,597</w:t>
            </w:r>
          </w:p>
        </w:tc>
        <w:tc>
          <w:tcPr/>
          <w:p>
            <w:pPr>
              <w:pStyle w:val="Compact"/>
              <w:jc w:val="right"/>
            </w:pPr>
            <w:r>
              <w:t xml:space="preserve">0,588</w:t>
            </w:r>
          </w:p>
        </w:tc>
        <w:tc>
          <w:tcPr/>
          <w:p>
            <w:pPr>
              <w:pStyle w:val="Compact"/>
              <w:jc w:val="right"/>
            </w:pPr>
            <w:r>
              <w:t xml:space="preserve">0,605</w:t>
            </w:r>
          </w:p>
        </w:tc>
        <w:tc>
          <w:tcPr/>
          <w:p>
            <w:pPr>
              <w:pStyle w:val="Compact"/>
              <w:jc w:val="right"/>
            </w:pPr>
            <w:r>
              <w:t xml:space="preserve">0,021</w:t>
            </w:r>
          </w:p>
        </w:tc>
      </w:tr>
      <w:tr>
        <w:tc>
          <w:tcPr/>
          <w:p>
            <w:pPr>
              <w:pStyle w:val="Compact"/>
            </w:pPr>
          </w:p>
        </w:tc>
        <w:tc>
          <w:tcPr/>
          <w:p>
            <w:pPr>
              <w:pStyle w:val="Compact"/>
            </w:pPr>
          </w:p>
        </w:tc>
        <w:tc>
          <w:tcPr/>
          <w:p>
            <w:pPr>
              <w:pStyle w:val="Compact"/>
              <w:jc w:val="left"/>
            </w:pPr>
            <w:r>
              <w:t xml:space="preserve">GARCH</w:t>
            </w:r>
          </w:p>
        </w:tc>
        <w:tc>
          <w:tcPr/>
          <w:p>
            <w:pPr>
              <w:pStyle w:val="Compact"/>
              <w:jc w:val="right"/>
            </w:pPr>
            <w:r>
              <w:t xml:space="preserve">0,639</w:t>
            </w:r>
          </w:p>
        </w:tc>
        <w:tc>
          <w:tcPr/>
          <w:p>
            <w:pPr>
              <w:pStyle w:val="Compact"/>
              <w:jc w:val="right"/>
            </w:pPr>
            <w:r>
              <w:t xml:space="preserve">0,587</w:t>
            </w:r>
          </w:p>
        </w:tc>
        <w:tc>
          <w:tcPr/>
          <w:p>
            <w:pPr>
              <w:pStyle w:val="Compact"/>
              <w:jc w:val="right"/>
            </w:pPr>
            <w:r>
              <w:t xml:space="preserve">0,592</w:t>
            </w:r>
          </w:p>
        </w:tc>
        <w:tc>
          <w:tcPr/>
          <w:p>
            <w:pPr>
              <w:pStyle w:val="Compact"/>
              <w:jc w:val="right"/>
            </w:pPr>
            <w:r>
              <w:t xml:space="preserve">0,527</w:t>
            </w:r>
          </w:p>
        </w:tc>
      </w:tr>
      <w:tr>
        <w:tc>
          <w:tcPr/>
          <w:p>
            <w:pPr>
              <w:pStyle w:val="Compact"/>
            </w:pPr>
          </w:p>
        </w:tc>
        <w:tc>
          <w:tcPr/>
          <w:p>
            <w:pPr>
              <w:pStyle w:val="Compact"/>
            </w:pPr>
          </w:p>
        </w:tc>
        <w:tc>
          <w:tcPr/>
          <w:p>
            <w:pPr>
              <w:pStyle w:val="Compact"/>
              <w:jc w:val="left"/>
            </w:pPr>
            <w:r>
              <w:t xml:space="preserve">DCC-GARCH</w:t>
            </w:r>
          </w:p>
        </w:tc>
        <w:tc>
          <w:tcPr/>
          <w:p>
            <w:pPr>
              <w:pStyle w:val="Compact"/>
              <w:jc w:val="right"/>
            </w:pPr>
            <w:r>
              <w:t xml:space="preserve">0,654</w:t>
            </w:r>
          </w:p>
        </w:tc>
        <w:tc>
          <w:tcPr/>
          <w:p>
            <w:pPr>
              <w:pStyle w:val="Compact"/>
              <w:jc w:val="right"/>
            </w:pPr>
            <w:r>
              <w:t xml:space="preserve">0,596</w:t>
            </w:r>
          </w:p>
        </w:tc>
        <w:tc>
          <w:tcPr/>
          <w:p>
            <w:pPr>
              <w:pStyle w:val="Compact"/>
              <w:jc w:val="right"/>
            </w:pPr>
            <w:r>
              <w:t xml:space="preserve">0,594</w:t>
            </w:r>
          </w:p>
        </w:tc>
        <w:tc>
          <w:tcPr/>
          <w:p>
            <w:pPr>
              <w:pStyle w:val="Compact"/>
              <w:jc w:val="right"/>
            </w:pPr>
            <w:r>
              <w:t xml:space="preserve">0,522</w:t>
            </w:r>
          </w:p>
        </w:tc>
      </w:tr>
      <w:tr>
        <w:tc>
          <w:tcPr/>
          <w:p>
            <w:pPr>
              <w:pStyle w:val="Compact"/>
              <w:jc w:val="right"/>
            </w:pPr>
            <w:r>
              <w:t xml:space="preserve">10</w:t>
            </w:r>
          </w:p>
        </w:tc>
        <w:tc>
          <w:tcPr/>
          <w:p>
            <w:pPr>
              <w:pStyle w:val="Compact"/>
              <w:jc w:val="right"/>
            </w:pPr>
            <w:r>
              <w:t xml:space="preserve">0,601</w:t>
            </w:r>
          </w:p>
        </w:tc>
        <w:tc>
          <w:tcPr/>
          <w:p>
            <w:pPr>
              <w:pStyle w:val="Compact"/>
              <w:jc w:val="left"/>
            </w:pPr>
            <w:r>
              <w:t xml:space="preserve">Historisch</w:t>
            </w:r>
          </w:p>
        </w:tc>
        <w:tc>
          <w:tcPr/>
          <w:p>
            <w:pPr>
              <w:pStyle w:val="Compact"/>
              <w:jc w:val="right"/>
            </w:pPr>
            <w:r>
              <w:t xml:space="preserve">0,610</w:t>
            </w:r>
          </w:p>
        </w:tc>
        <w:tc>
          <w:tcPr/>
          <w:p>
            <w:pPr>
              <w:pStyle w:val="Compact"/>
              <w:jc w:val="right"/>
            </w:pPr>
            <w:r>
              <w:t xml:space="preserve">0,600</w:t>
            </w:r>
          </w:p>
        </w:tc>
        <w:tc>
          <w:tcPr/>
          <w:p>
            <w:pPr>
              <w:pStyle w:val="Compact"/>
              <w:jc w:val="right"/>
            </w:pPr>
            <w:r>
              <w:t xml:space="preserve">0,610</w:t>
            </w:r>
          </w:p>
        </w:tc>
        <w:tc>
          <w:tcPr/>
          <w:p>
            <w:pPr>
              <w:pStyle w:val="Compact"/>
              <w:jc w:val="right"/>
            </w:pPr>
            <w:r>
              <w:t xml:space="preserve">0,033</w:t>
            </w:r>
          </w:p>
        </w:tc>
      </w:tr>
      <w:tr>
        <w:tc>
          <w:tcPr/>
          <w:p>
            <w:pPr>
              <w:pStyle w:val="Compact"/>
            </w:pPr>
          </w:p>
        </w:tc>
        <w:tc>
          <w:tcPr/>
          <w:p>
            <w:pPr>
              <w:pStyle w:val="Compact"/>
            </w:pPr>
          </w:p>
        </w:tc>
        <w:tc>
          <w:tcPr/>
          <w:p>
            <w:pPr>
              <w:pStyle w:val="Compact"/>
              <w:jc w:val="left"/>
            </w:pPr>
            <w:r>
              <w:t xml:space="preserve">GARCH</w:t>
            </w:r>
          </w:p>
        </w:tc>
        <w:tc>
          <w:tcPr/>
          <w:p>
            <w:pPr>
              <w:pStyle w:val="Compact"/>
              <w:jc w:val="right"/>
            </w:pPr>
            <w:r>
              <w:t xml:space="preserve">0,524</w:t>
            </w:r>
          </w:p>
        </w:tc>
        <w:tc>
          <w:tcPr/>
          <w:p>
            <w:pPr>
              <w:pStyle w:val="Compact"/>
              <w:jc w:val="right"/>
            </w:pPr>
            <w:r>
              <w:t xml:space="preserve">0,578</w:t>
            </w:r>
          </w:p>
        </w:tc>
        <w:tc>
          <w:tcPr/>
          <w:p>
            <w:pPr>
              <w:pStyle w:val="Compact"/>
              <w:jc w:val="right"/>
            </w:pPr>
            <w:r>
              <w:t xml:space="preserve">0,589</w:t>
            </w:r>
          </w:p>
        </w:tc>
        <w:tc>
          <w:tcPr/>
          <w:p>
            <w:pPr>
              <w:pStyle w:val="Compact"/>
              <w:jc w:val="right"/>
            </w:pPr>
            <w:r>
              <w:t xml:space="preserve">0,603</w:t>
            </w:r>
          </w:p>
        </w:tc>
      </w:tr>
      <w:tr>
        <w:tc>
          <w:tcPr/>
          <w:p>
            <w:pPr>
              <w:pStyle w:val="Compact"/>
            </w:pPr>
          </w:p>
        </w:tc>
        <w:tc>
          <w:tcPr/>
          <w:p>
            <w:pPr>
              <w:pStyle w:val="Compact"/>
            </w:pPr>
          </w:p>
        </w:tc>
        <w:tc>
          <w:tcPr/>
          <w:p>
            <w:pPr>
              <w:pStyle w:val="Compact"/>
              <w:jc w:val="left"/>
            </w:pPr>
            <w:r>
              <w:t xml:space="preserve">DCC-GARCH</w:t>
            </w:r>
          </w:p>
        </w:tc>
        <w:tc>
          <w:tcPr/>
          <w:p>
            <w:pPr>
              <w:pStyle w:val="Compact"/>
              <w:jc w:val="right"/>
            </w:pPr>
            <w:r>
              <w:t xml:space="preserve">0,545</w:t>
            </w:r>
          </w:p>
        </w:tc>
        <w:tc>
          <w:tcPr/>
          <w:p>
            <w:pPr>
              <w:pStyle w:val="Compact"/>
              <w:jc w:val="right"/>
            </w:pPr>
            <w:r>
              <w:t xml:space="preserve">0,575</w:t>
            </w:r>
          </w:p>
        </w:tc>
        <w:tc>
          <w:tcPr/>
          <w:p>
            <w:pPr>
              <w:pStyle w:val="Compact"/>
              <w:jc w:val="right"/>
            </w:pPr>
            <w:r>
              <w:t xml:space="preserve">0,590</w:t>
            </w:r>
          </w:p>
        </w:tc>
        <w:tc>
          <w:tcPr/>
          <w:p>
            <w:pPr>
              <w:pStyle w:val="Compact"/>
              <w:jc w:val="right"/>
            </w:pPr>
            <w:r>
              <w:t xml:space="preserve">0,598</w:t>
            </w:r>
          </w:p>
        </w:tc>
      </w:tr>
      <w:tr>
        <w:tc>
          <w:tcPr/>
          <w:p>
            <w:pPr>
              <w:pStyle w:val="Compact"/>
              <w:jc w:val="right"/>
            </w:pPr>
            <w:r>
              <w:t xml:space="preserve">21</w:t>
            </w:r>
          </w:p>
        </w:tc>
        <w:tc>
          <w:tcPr/>
          <w:p>
            <w:pPr>
              <w:pStyle w:val="Compact"/>
              <w:jc w:val="right"/>
            </w:pPr>
            <w:r>
              <w:t xml:space="preserve">0,602</w:t>
            </w:r>
          </w:p>
        </w:tc>
        <w:tc>
          <w:tcPr/>
          <w:p>
            <w:pPr>
              <w:pStyle w:val="Compact"/>
              <w:jc w:val="left"/>
            </w:pPr>
            <w:r>
              <w:t xml:space="preserve">Historisch</w:t>
            </w:r>
          </w:p>
        </w:tc>
        <w:tc>
          <w:tcPr/>
          <w:p>
            <w:pPr>
              <w:pStyle w:val="Compact"/>
              <w:jc w:val="right"/>
            </w:pPr>
            <w:r>
              <w:t xml:space="preserve">0,615</w:t>
            </w:r>
          </w:p>
        </w:tc>
        <w:tc>
          <w:tcPr/>
          <w:p>
            <w:pPr>
              <w:pStyle w:val="Compact"/>
              <w:jc w:val="right"/>
            </w:pPr>
            <w:r>
              <w:t xml:space="preserve">0,605</w:t>
            </w:r>
          </w:p>
        </w:tc>
        <w:tc>
          <w:tcPr/>
          <w:p>
            <w:pPr>
              <w:pStyle w:val="Compact"/>
              <w:jc w:val="right"/>
            </w:pPr>
            <w:r>
              <w:t xml:space="preserve">0,612</w:t>
            </w:r>
          </w:p>
        </w:tc>
        <w:tc>
          <w:tcPr/>
          <w:p>
            <w:pPr>
              <w:pStyle w:val="Compact"/>
              <w:jc w:val="right"/>
            </w:pPr>
            <w:r>
              <w:t xml:space="preserve">0,058</w:t>
            </w:r>
          </w:p>
        </w:tc>
      </w:tr>
      <w:tr>
        <w:tc>
          <w:tcPr/>
          <w:p>
            <w:pPr>
              <w:pStyle w:val="Compact"/>
            </w:pPr>
          </w:p>
        </w:tc>
        <w:tc>
          <w:tcPr/>
          <w:p>
            <w:pPr>
              <w:pStyle w:val="Compact"/>
            </w:pPr>
          </w:p>
        </w:tc>
        <w:tc>
          <w:tcPr/>
          <w:p>
            <w:pPr>
              <w:pStyle w:val="Compact"/>
              <w:jc w:val="left"/>
            </w:pPr>
            <w:r>
              <w:t xml:space="preserve">GARCH</w:t>
            </w:r>
          </w:p>
        </w:tc>
        <w:tc>
          <w:tcPr/>
          <w:p>
            <w:pPr>
              <w:pStyle w:val="Compact"/>
              <w:jc w:val="right"/>
            </w:pPr>
            <w:r>
              <w:t xml:space="preserve">0,524</w:t>
            </w:r>
          </w:p>
        </w:tc>
        <w:tc>
          <w:tcPr/>
          <w:p>
            <w:pPr>
              <w:pStyle w:val="Compact"/>
              <w:jc w:val="right"/>
            </w:pPr>
            <w:r>
              <w:t xml:space="preserve">0,598</w:t>
            </w:r>
          </w:p>
        </w:tc>
        <w:tc>
          <w:tcPr/>
          <w:p>
            <w:pPr>
              <w:pStyle w:val="Compact"/>
              <w:jc w:val="right"/>
            </w:pPr>
            <w:r>
              <w:t xml:space="preserve">0,598</w:t>
            </w:r>
          </w:p>
        </w:tc>
        <w:tc>
          <w:tcPr/>
          <w:p>
            <w:pPr>
              <w:pStyle w:val="Compact"/>
              <w:jc w:val="right"/>
            </w:pPr>
            <w:r>
              <w:t xml:space="preserve">0,587</w:t>
            </w:r>
          </w:p>
        </w:tc>
      </w:tr>
      <w:tr>
        <w:tc>
          <w:tcPr/>
          <w:p>
            <w:pPr>
              <w:pStyle w:val="Compact"/>
            </w:pPr>
          </w:p>
        </w:tc>
        <w:tc>
          <w:tcPr/>
          <w:p>
            <w:pPr>
              <w:pStyle w:val="Compact"/>
            </w:pPr>
          </w:p>
        </w:tc>
        <w:tc>
          <w:tcPr/>
          <w:p>
            <w:pPr>
              <w:pStyle w:val="Compact"/>
              <w:jc w:val="left"/>
            </w:pPr>
            <w:r>
              <w:t xml:space="preserve">DCC-GARCH</w:t>
            </w:r>
          </w:p>
        </w:tc>
        <w:tc>
          <w:tcPr/>
          <w:p>
            <w:pPr>
              <w:pStyle w:val="Compact"/>
              <w:jc w:val="right"/>
            </w:pPr>
            <w:r>
              <w:t xml:space="preserve">0,532</w:t>
            </w:r>
          </w:p>
        </w:tc>
        <w:tc>
          <w:tcPr/>
          <w:p>
            <w:pPr>
              <w:pStyle w:val="Compact"/>
              <w:jc w:val="right"/>
            </w:pPr>
            <w:r>
              <w:t xml:space="preserve">0,595</w:t>
            </w:r>
          </w:p>
        </w:tc>
        <w:tc>
          <w:tcPr/>
          <w:p>
            <w:pPr>
              <w:pStyle w:val="Compact"/>
              <w:jc w:val="right"/>
            </w:pPr>
            <w:r>
              <w:t xml:space="preserve">0,600</w:t>
            </w:r>
          </w:p>
        </w:tc>
        <w:tc>
          <w:tcPr/>
          <w:p>
            <w:pPr>
              <w:pStyle w:val="Compact"/>
              <w:jc w:val="right"/>
            </w:pPr>
            <w:r>
              <w:t xml:space="preserve">0,587</w:t>
            </w:r>
          </w:p>
        </w:tc>
      </w:tr>
    </w:tbl>
    <w:bookmarkEnd w:id="41"/>
    <w:p>
      <w:pPr>
        <w:pStyle w:val="BodyText"/>
      </w:pPr>
      <w:r>
        <w:t xml:space="preserve">Annualisierte Sharpe Ratio, bewertet ab 01.01.2010; Turnover je Rebalancierung, also nicht auf gleiche Frequenz normiert.</w:t>
      </w:r>
    </w:p>
    <w:bookmarkEnd w:id="42"/>
    <w:bookmarkStart w:id="47" w:name="sec:strukturbruch"/>
    <w:p>
      <w:pPr>
        <w:pStyle w:val="Heading2"/>
      </w:pPr>
      <w:r>
        <w:t xml:space="preserve">Robustheit über Zeiträume und Anlageuniversen</w:t>
      </w:r>
    </w:p>
    <w:p>
      <w:pPr>
        <w:pStyle w:val="FirstParagraph"/>
      </w:pPr>
      <w:r>
        <w:t xml:space="preserve">Sämtliche bisher berichteten Vergleiche über Trainingsfenster hinweg wurden bereits auf dem gemeinsamen Zeitraum ab 2010 gerechnet.</w:t>
      </w:r>
      <w:r>
        <w:t xml:space="preserve"> </w:t>
      </w:r>
      <w:r>
        <w:t xml:space="preserve">Dieser Abschnitt begründet, warum diese Einschränkung nötig ist, und zeigt, was ohne sie gemessen würde.</w:t>
      </w:r>
    </w:p>
    <w:p>
      <w:pPr>
        <w:pStyle w:val="BodyText"/>
      </w:pPr>
      <w:r>
        <w:t xml:space="preserve">Ohne die Einschränkung bewertet jedes Trainingsfenster einen anderen Zeitraum, da der Out-of-Sample-Beginn von März 2000 beim kürzesten auf November 2008 beim längsten Fenster wandert.</w:t>
      </w:r>
      <w:r>
        <w:t xml:space="preserve"> </w:t>
      </w:r>
      <w:r>
        <w:t xml:space="preserve">Der Lauf mit einem Jahr Training enthält damit das Platzen der Dotcom-Blase, während der Lauf mit zehn Jahren Training erst nach der Finanzkrise beginnt und nur die Erholung abdeckt, wodurch dessen Kennzahlen angehoben werden, ohne dass dies etwas über die Schätzqualität aussagt.</w:t>
      </w:r>
      <w:r>
        <w:t xml:space="preserve"> </w:t>
      </w:r>
      <w:r>
        <w:t xml:space="preserve">Wie stark der Effekt wiegt, zeigt</w:t>
      </w:r>
      <w:r>
        <w:t xml:space="preserve"> </w:t>
      </w:r>
      <w:hyperlink w:anchor="abb:sharpe_zeitraum">
        <w:r>
          <w:rPr>
            <w:rStyle w:val="Hyperlink"/>
          </w:rPr>
          <w:t xml:space="preserve">Abbildung </w:t>
        </w:r>
        <w:hyperlink w:anchor="abb:sharpe_zeitraum">
          <w:r>
            <w:rPr>
              <w:rStyle w:val="Hyperlink"/>
            </w:rPr>
            <w:t xml:space="preserve">2</w:t>
          </w:r>
        </w:hyperlink>
      </w:hyperlink>
      <w:r>
        <w:t xml:space="preserve">, in der die Sharpe Ratio über die Trainingsfenster einmal über die volle Historie und einmal über den gemeinsamen Zeitraum aufgetragen ist.</w:t>
      </w:r>
      <w:r>
        <w:t xml:space="preserve"> </w:t>
      </w:r>
      <w:r>
        <w:t xml:space="preserve">Der Sprung beim längsten Fenster tritt links auch beim 1/N-Portfolio auf, obwohl dieses überhaupt keine Schätzung vornimmt, und verschwindet rechts vollständig.</w:t>
      </w:r>
      <w:r>
        <w:t xml:space="preserve"> </w:t>
      </w:r>
      <w:r>
        <w:t xml:space="preserve">Es handelt sich somit um einen reinen Stichprobeneffekt, dessen Werte je Trainingsfenster im</w:t>
      </w:r>
      <w:r>
        <w:t xml:space="preserve"> </w:t>
      </w:r>
      <w:hyperlink w:anchor="sec:anhang_strukturbruch">
        <w:r>
          <w:rPr>
            <w:rStyle w:val="Hyperlink"/>
          </w:rPr>
          <w:t xml:space="preserve">Anhang </w:t>
        </w:r>
        <w:hyperlink w:anchor="sec:anhang_strukturbruch">
          <w:r>
            <w:rPr>
              <w:rStyle w:val="Hyperlink"/>
            </w:rPr>
            <w:t xml:space="preserve">9</w:t>
          </w:r>
        </w:hyperlink>
      </w:hyperlink>
      <w:r>
        <w:t xml:space="preserve"> </w:t>
      </w:r>
      <w:r>
        <w:t xml:space="preserve">ausgewiesen sind.</w:t>
      </w:r>
    </w:p>
    <w:bookmarkStart w:id="46" w:name="abb:sharpe_zeitraum"/>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166090"/>
                  <wp:effectExtent b="0" l="0" r="0" t="0"/>
                  <wp:docPr descr="" title="" id="44" name="Picture"/>
                  <a:graphic>
                    <a:graphicData uri="http://schemas.openxmlformats.org/drawingml/2006/picture">
                      <pic:pic>
                        <pic:nvPicPr>
                          <pic:cNvPr descr="Abbildungen/abb_sharpe_zeitraum.pdf" id="45" name="Picture"/>
                          <pic:cNvPicPr>
                            <a:picLocks noChangeArrowheads="1" noChangeAspect="1"/>
                          </pic:cNvPicPr>
                        </pic:nvPicPr>
                        <pic:blipFill>
                          <a:blip r:embed="rId43"/>
                          <a:stretch>
                            <a:fillRect/>
                          </a:stretch>
                        </pic:blipFill>
                        <pic:spPr bwMode="auto">
                          <a:xfrm>
                            <a:off x="0" y="0"/>
                            <a:ext cx="2667000" cy="1166090"/>
                          </a:xfrm>
                          <a:prstGeom prst="rect">
                            <a:avLst/>
                          </a:prstGeom>
                          <a:noFill/>
                          <a:ln w="9525">
                            <a:noFill/>
                            <a:headEnd/>
                            <a:tailEnd/>
                          </a:ln>
                        </pic:spPr>
                      </pic:pic>
                    </a:graphicData>
                  </a:graphic>
                </wp:inline>
              </w:drawing>
            </w:r>
          </w:p>
        </w:tc>
        <w:tc>
          <w:tcPr/>
          <w:p>
            <w:pPr>
              <w:jc w:val="center"/>
            </w:pPr>
            <w:r>
              <w:t xml:space="preserve">TRBC, Prognosehorizont 1 Tag, links die volle Historie des jeweiligen Fensters, rechts der für alle Fenster identische Zeitraum ab 01.01.2010.</w:t>
            </w:r>
          </w:p>
        </w:tc>
      </w:tr>
    </w:tbl>
    <w:p>
      <w:pPr>
        <w:pStyle w:val="ImageCaption"/>
      </w:pPr>
      <w:r>
        <w:t xml:space="preserve">Sharpe Ratio über die Trainingsfenster, voller und gemeinsamer Bewertungszeitraum</w:t>
      </w:r>
    </w:p>
    <w:bookmarkEnd w:id="46"/>
    <w:p>
      <w:pPr>
        <w:pStyle w:val="BodyText"/>
      </w:pPr>
      <w:r>
        <w:t xml:space="preserve">Dass die Rangfolge der Schätzer nicht am Basisfall hängt, zeigt die Auszählung über alle 40 Kombinationen in</w:t>
      </w:r>
      <w:r>
        <w:t xml:space="preserve"> </w:t>
      </w:r>
      <w:hyperlink w:anchor="tab:bestzaehlung">
        <w:r>
          <w:rPr>
            <w:rStyle w:val="Hyperlink"/>
          </w:rPr>
          <w:t xml:space="preserve">Tabelle </w:t>
        </w:r>
        <w:hyperlink w:anchor="tab:bestzaehlung">
          <w:r>
            <w:rPr>
              <w:rStyle w:val="Hyperlink"/>
            </w:rPr>
            <w:t xml:space="preserve">9</w:t>
          </w:r>
        </w:hyperlink>
      </w:hyperlink>
      <w:r>
        <w:t xml:space="preserve"> </w:t>
      </w:r>
      <w:r>
        <w:t xml:space="preserve">im</w:t>
      </w:r>
      <w:r>
        <w:t xml:space="preserve"> </w:t>
      </w:r>
      <w:hyperlink w:anchor="sec:anhang_strukturbruch">
        <w:r>
          <w:rPr>
            <w:rStyle w:val="Hyperlink"/>
          </w:rPr>
          <w:t xml:space="preserve">Anhang </w:t>
        </w:r>
        <w:hyperlink w:anchor="sec:anhang_strukturbruch">
          <w:r>
            <w:rPr>
              <w:rStyle w:val="Hyperlink"/>
            </w:rPr>
            <w:t xml:space="preserve">9</w:t>
          </w:r>
        </w:hyperlink>
      </w:hyperlink>
      <w:r>
        <w:t xml:space="preserve">.</w:t>
      </w:r>
      <w:r>
        <w:t xml:space="preserve"> </w:t>
      </w:r>
      <w:r>
        <w:t xml:space="preserve">Unter beiden Verlustmaßen liegt DCC-GARCH nahezu durchgängig vorne, während ökonomisch bei HRP und ERC die historische Matrix dominiert.</w:t>
      </w:r>
    </w:p>
    <w:bookmarkEnd w:id="47"/>
    <w:bookmarkEnd w:id="48"/>
    <w:bookmarkStart w:id="49" w:name="sec:literatur"/>
    <w:p>
      <w:pPr>
        <w:pStyle w:val="Heading1"/>
      </w:pPr>
      <w:r>
        <w:t xml:space="preserve">Einordnung in die Literatur</w:t>
      </w:r>
    </w:p>
    <w:p>
      <w:pPr>
        <w:pStyle w:val="FirstParagraph"/>
      </w:pPr>
      <w:r>
        <w:t xml:space="preserve">In diesem Abschnitt werden die Befunde in die eingangs skizzierte Literatur eingeordnet.</w:t>
      </w:r>
    </w:p>
    <w:p>
      <w:pPr>
        <w:pStyle w:val="BodyText"/>
      </w:pPr>
      <w:r>
        <w:t xml:space="preserve">Der Befund, dass alle drei risikobasierten Verfahren das naive Portfolio im Basisfall übertreffen, steht in Spannung zu</w:t>
      </w:r>
      <w:r>
        <w:t xml:space="preserve"> </w:t>
      </w:r>
      <w:r>
        <w:t xml:space="preserve">DeMiguel et al. (2009)</w:t>
      </w:r>
      <w:r>
        <w:t xml:space="preserve">, die 1/N gegenüber optimierten Strategien als schwer zu schlagen ausweisen.</w:t>
      </w:r>
      <w:r>
        <w:t xml:space="preserve"> </w:t>
      </w:r>
      <w:r>
        <w:t xml:space="preserve">Die Ursache dürfte weniger in den Verfahren als im Untersuchungsobjekt liegen, da hier über breit diversifizierte Sektorindizes statt über Einzeltitel optimiert wird und die Kovarianzmatrix dadurch stabiler zu schätzen ist.</w:t>
      </w:r>
      <w:r>
        <w:t xml:space="preserve"> </w:t>
      </w:r>
      <w:r>
        <w:t xml:space="preserve">Innerhalb der risikobasierten Verfahren fügen sich die Ergebnisse dagegen gut in die vorliegende Evidenz ein.</w:t>
      </w:r>
      <w:r>
        <w:t xml:space="preserve"> </w:t>
      </w:r>
      <w:r>
        <w:t xml:space="preserve">Die hohe Robustheit von HRP mit 35 von 40 Läufen über 1/N entspricht den Aussagen von</w:t>
      </w:r>
      <w:r>
        <w:t xml:space="preserve"> </w:t>
      </w:r>
      <w:r>
        <w:t xml:space="preserve">López de Prado (2016)</w:t>
      </w:r>
      <w:r>
        <w:t xml:space="preserve"> </w:t>
      </w:r>
      <w:r>
        <w:t xml:space="preserve">und</w:t>
      </w:r>
      <w:r>
        <w:t xml:space="preserve"> </w:t>
      </w:r>
      <w:r>
        <w:t xml:space="preserve">Sen et al. (2022)</w:t>
      </w:r>
      <w:r>
        <w:t xml:space="preserve">.</w:t>
      </w:r>
      <w:r>
        <w:t xml:space="preserve"> </w:t>
      </w:r>
      <w:r>
        <w:t xml:space="preserve">Mit</w:t>
      </w:r>
      <w:r>
        <w:t xml:space="preserve"> </w:t>
      </w:r>
      <w:r>
        <w:t xml:space="preserve">Chaves et al. (2011)</w:t>
      </w:r>
      <w:r>
        <w:t xml:space="preserve"> </w:t>
      </w:r>
      <w:r>
        <w:t xml:space="preserve">deckt sich zudem die Beobachtung, dass ERC zwar besser diversifiziert, das naive Portfolio aber nicht durchgängig schlägt.</w:t>
      </w:r>
      <w:r>
        <w:t xml:space="preserve"> </w:t>
      </w:r>
      <w:r>
        <w:t xml:space="preserve">Dass das MVP im Basisfall dennoch die höchste Sharpe Ratio erzielt, über alle Läufe hinweg aber nur in einem Fünftel der Fälle über 1/N liegt, illustriert genau die Instabilität, die</w:t>
      </w:r>
      <w:r>
        <w:t xml:space="preserve"> </w:t>
      </w:r>
      <w:r>
        <w:t xml:space="preserve">Lee (2011)</w:t>
      </w:r>
      <w:r>
        <w:t xml:space="preserve"> </w:t>
      </w:r>
      <w:r>
        <w:t xml:space="preserve">und</w:t>
      </w:r>
      <w:r>
        <w:t xml:space="preserve"> </w:t>
      </w:r>
      <w:r>
        <w:t xml:space="preserve">Behr et al. (2008)</w:t>
      </w:r>
      <w:r>
        <w:t xml:space="preserve"> </w:t>
      </w:r>
      <w:r>
        <w:t xml:space="preserve">beschreiben.</w:t>
      </w:r>
    </w:p>
    <w:p>
      <w:pPr>
        <w:pStyle w:val="BodyText"/>
      </w:pPr>
      <w:r>
        <w:t xml:space="preserve">Das zentrale Ergebnis dieser Arbeit ist ein nahezu vollständiger statistischer, aber nur beim MVP nennenswerter ökonomischer Vorsprung der GARCH-Modelle.</w:t>
      </w:r>
      <w:r>
        <w:t xml:space="preserve"> </w:t>
      </w:r>
      <w:r>
        <w:t xml:space="preserve">Die durchweg insignifikanten Tests in</w:t>
      </w:r>
      <w:r>
        <w:t xml:space="preserve"> </w:t>
      </w:r>
      <w:hyperlink w:anchor="tab:jobson_korkie">
        <w:r>
          <w:rPr>
            <w:rStyle w:val="Hyperlink"/>
          </w:rPr>
          <w:t xml:space="preserve">Tabelle </w:t>
        </w:r>
        <w:hyperlink w:anchor="tab:jobson_korkie">
          <w:r>
            <w:rPr>
              <w:rStyle w:val="Hyperlink"/>
            </w:rPr>
            <w:t xml:space="preserve">6</w:t>
          </w:r>
        </w:hyperlink>
      </w:hyperlink>
      <w:r>
        <w:t xml:space="preserve"> </w:t>
      </w:r>
      <w:r>
        <w:t xml:space="preserve">bestätigen den Einwand von</w:t>
      </w:r>
      <w:r>
        <w:t xml:space="preserve"> </w:t>
      </w:r>
      <w:r>
        <w:t xml:space="preserve">Engle and Colacito (2006)</w:t>
      </w:r>
      <w:r>
        <w:t xml:space="preserve"> </w:t>
      </w:r>
      <w:r>
        <w:t xml:space="preserve">für den vorliegenden Datensatz unmittelbar, während die von</w:t>
      </w:r>
      <w:r>
        <w:t xml:space="preserve"> </w:t>
      </w:r>
      <w:r>
        <w:t xml:space="preserve">Patton (2011)</w:t>
      </w:r>
      <w:r>
        <w:t xml:space="preserve"> </w:t>
      </w:r>
      <w:r>
        <w:t xml:space="preserve">und</w:t>
      </w:r>
      <w:r>
        <w:t xml:space="preserve"> </w:t>
      </w:r>
      <w:r>
        <w:t xml:space="preserve">Laurent et al. (2012)</w:t>
      </w:r>
      <w:r>
        <w:t xml:space="preserve"> </w:t>
      </w:r>
      <w:r>
        <w:t xml:space="preserve">vorgeschlagenen robusten Verluste im selben Datensatz sehr wohl trennscharf sind.</w:t>
      </w:r>
      <w:r>
        <w:t xml:space="preserve"> </w:t>
      </w:r>
      <w:r>
        <w:t xml:space="preserve">Nur scheinbar im Widerspruch dazu stehen</w:t>
      </w:r>
      <w:r>
        <w:t xml:space="preserve"> </w:t>
      </w:r>
      <w:r>
        <w:t xml:space="preserve">Ardia et al. (2017)</w:t>
      </w:r>
      <w:r>
        <w:t xml:space="preserve">, die eine Fehlspezifikation der Kovarianzmatrix als spürbare Verzerrung der Portfoliogewichte ausweisen.</w:t>
      </w:r>
      <w:r>
        <w:t xml:space="preserve"> </w:t>
      </w:r>
      <w:r>
        <w:t xml:space="preserve">Verzerrte Gewichte schlagen sich hier nur dort in der Performance nieder, wo ein Verfahren die Matrix intensiv nutzt, sodass sich beide Befunde nicht ausschließen, sondern die Verzerrung je nach Allokationsverfahren unterschiedlich teuer ist.</w:t>
      </w:r>
      <w:r>
        <w:t xml:space="preserve"> </w:t>
      </w:r>
      <w:r>
        <w:t xml:space="preserve">Am nächsten liegt jedoch</w:t>
      </w:r>
      <w:r>
        <w:t xml:space="preserve"> </w:t>
      </w:r>
      <w:r>
        <w:t xml:space="preserve">Moura et al. (2020)</w:t>
      </w:r>
      <w:r>
        <w:t xml:space="preserve">, da die Autoren für hochdimensionale bedingte Kovarianzmatrizen ebenfalls finden, dass die statistisch beste Spezifikation nicht die ökonomisch beste sein muss und Transaktionskosten den Ausschlag geben.</w:t>
      </w:r>
      <w:r>
        <w:t xml:space="preserve"> </w:t>
      </w:r>
      <w:r>
        <w:t xml:space="preserve">Der um ein Vielfaches erhöhte Turnover der dynamischen Schätzer zeigt denselben Mechanismus in einem Sektoruniversum.</w:t>
      </w:r>
    </w:p>
    <w:bookmarkEnd w:id="49"/>
    <w:bookmarkStart w:id="50" w:name="sec:limitationen"/>
    <w:p>
      <w:pPr>
        <w:pStyle w:val="Heading1"/>
      </w:pPr>
      <w:r>
        <w:t xml:space="preserve">Limitationen</w:t>
      </w:r>
    </w:p>
    <w:p>
      <w:pPr>
        <w:pStyle w:val="FirstParagraph"/>
      </w:pPr>
      <w:r>
        <w:t xml:space="preserve">Die Aussagekraft der Ergebnisse ist in mehrfacher Hinsicht begrenzt, wobei die Einschränkungen im Folgenden nach ihrem Gewicht für die Interpretation geordnet werden.</w:t>
      </w:r>
    </w:p>
    <w:p>
      <w:pPr>
        <w:pStyle w:val="BodyText"/>
      </w:pPr>
      <w:r>
        <w:t xml:space="preserve">Eine zentrale Limitation ist dabei, dass der Backtest ohne Handelskosten rechnet</w:t>
      </w:r>
      <w:r>
        <w:t xml:space="preserve"> </w:t>
      </w:r>
      <w:r>
        <w:t xml:space="preserve">und Kosten nur nachträglich als proportionaler Abschlag berücksichtigt werden</w:t>
      </w:r>
      <w:r>
        <w:t xml:space="preserve">, obwohl sich die Verfahren im Turnover um den Faktor 32 unterscheiden.</w:t>
      </w:r>
      <w:r>
        <w:t xml:space="preserve"> </w:t>
      </w:r>
      <w:r>
        <w:t xml:space="preserve">Die berichteten Kennzahlen begünstigen damit die dynamischen Schätzer, deren Nachteil unter realen Kosten größer ausfiele als ausgewiesen.</w:t>
      </w:r>
      <w:r>
        <w:t xml:space="preserve"> </w:t>
      </w:r>
      <w:r>
        <w:t xml:space="preserve">Umgekehrt wird die Aussage des</w:t>
      </w:r>
      <w:r>
        <w:t xml:space="preserve"> </w:t>
      </w:r>
      <w:hyperlink w:anchor="sec:oekonomisch">
        <w:r>
          <w:rPr>
            <w:rStyle w:val="Hyperlink"/>
          </w:rPr>
          <w:t xml:space="preserve">Abschnitts zur ökonomischen Performance</w:t>
        </w:r>
      </w:hyperlink>
      <w:r>
        <w:t xml:space="preserve"> </w:t>
      </w:r>
      <w:r>
        <w:t xml:space="preserve">dadurch nicht geschwächt, sondern verschärft, da dieser Nachteil bereits ohne Kosten vorhanden ist.</w:t>
      </w:r>
    </w:p>
    <w:p>
      <w:pPr>
        <w:pStyle w:val="BodyText"/>
      </w:pPr>
      <w:r>
        <w:t xml:space="preserve">Auf der Messseite ist der realisierte Proxy die wesentliche Einschränkung, da er für</w:t>
      </w:r>
      <w:r>
        <w:t xml:space="preserve"> </w:t>
      </w:r>
      <m:oMath>
        <m:r>
          <m:t>h</m:t>
        </m:r>
        <m:r>
          <m:rPr>
            <m:sty m:val="p"/>
          </m:rPr>
          <m:t>=</m:t>
        </m:r>
        <m:r>
          <m:t>1</m:t>
        </m:r>
      </m:oMath>
      <w:r>
        <w:t xml:space="preserve"> </w:t>
      </w:r>
      <w:r>
        <w:t xml:space="preserve">aus einem einzigen äußeren Produkt besteht und damit den Rang eins hat.</w:t>
      </w:r>
      <w:r>
        <w:t xml:space="preserve"> </w:t>
      </w:r>
      <w:r>
        <w:t xml:space="preserve">Beide Verlustfunktionen bleiben nach</w:t>
      </w:r>
      <w:r>
        <w:t xml:space="preserve"> </w:t>
      </w:r>
      <w:r>
        <w:t xml:space="preserve">Patton (2011)</w:t>
      </w:r>
      <w:r>
        <w:t xml:space="preserve"> </w:t>
      </w:r>
      <w:r>
        <w:t xml:space="preserve">und</w:t>
      </w:r>
      <w:r>
        <w:t xml:space="preserve"> </w:t>
      </w:r>
      <w:r>
        <w:t xml:space="preserve">Laurent et al. (2013)</w:t>
      </w:r>
      <w:r>
        <w:t xml:space="preserve"> </w:t>
      </w:r>
      <w:r>
        <w:t xml:space="preserve">unabhängig von der Genauigkeit des Proxys rangerhaltend, jedoch begrenzt das geringe Signal-Rausch-Verhältnis die Teststärke des DM-Tests, wobei der MSE stärker betroffen ist als der QLIKE-Verlust.</w:t>
      </w:r>
      <w:r>
        <w:t xml:space="preserve"> </w:t>
      </w:r>
      <w:r>
        <w:t xml:space="preserve">Intraday-Daten würden einen erheblich präziseren Proxy liefern, standen für diese Arbeit aber nicht zur Verfügung.</w:t>
      </w:r>
      <w:r>
        <w:t xml:space="preserve"> </w:t>
      </w:r>
      <w:r>
        <w:t xml:space="preserve">Hinzu kommt, dass ausschließlich die relative Prognosegüte bewertet wurde und nicht die absolute Kalibrierung der prognostizierten Volatilität.</w:t>
      </w:r>
      <w:r>
        <w:t xml:space="preserve"> </w:t>
      </w:r>
      <w:r>
        <w:t xml:space="preserve">Ob die Modelle das Risikoniveau im Mittel treffen, bleibt damit offen.</w:t>
      </w:r>
    </w:p>
    <w:p>
      <w:pPr>
        <w:pStyle w:val="BodyText"/>
      </w:pPr>
      <w:r>
        <w:t xml:space="preserve">Des Weiteren beruht die gesamte Auswertung auf einem einzigen Universum, dessen Sektorindizes rechnerische Größen sind und sich nicht unmittelbar handeln lassen, weshalb eine direkte Replikation der optimierten Portfolios nicht möglich ist.</w:t>
      </w:r>
      <w:r>
        <w:t xml:space="preserve"> </w:t>
      </w:r>
      <w:r>
        <w:t xml:space="preserve">Gezeigt ist damit, dass die Befunde für diese Datengrundlage gelten, nicht aber, ob sie sich auf andere Märkte übertragen lassen.</w:t>
      </w:r>
    </w:p>
    <w:bookmarkEnd w:id="50"/>
    <w:bookmarkStart w:id="51" w:name="sec:fazit"/>
    <w:p>
      <w:pPr>
        <w:pStyle w:val="Heading1"/>
      </w:pPr>
      <w:r>
        <w:t xml:space="preserve">Fazit</w:t>
      </w:r>
    </w:p>
    <w:p>
      <w:pPr>
        <w:pStyle w:val="FirstParagraph"/>
      </w:pPr>
      <w:r>
        <w:t xml:space="preserve">Die Arbeit hat zwei Fragen getrennt untersucht, nämlich ob risikobasierte Portfoliomodelle das naive 1/N-Portfolio schlagen und ob GARCH-basierte Kovarianzprognosen gegenüber der historischen Schätzung einen Mehrwert stiften.</w:t>
      </w:r>
    </w:p>
    <w:p>
      <w:pPr>
        <w:pStyle w:val="BodyText"/>
      </w:pPr>
      <w:r>
        <w:t xml:space="preserve">Zur ersten Frage hängt die Antwort stark vom gewählten Verfahren ab.</w:t>
      </w:r>
      <w:r>
        <w:t xml:space="preserve"> </w:t>
      </w:r>
      <w:r>
        <w:t xml:space="preserve">HRP und ERC mit historischer Kovarianz übertreffen das 1/N-Portfolio in rund neun von zehn untersuchten Konstellationen und erweisen sich als robust gegenüber Variationen von Trainings- und Prognosefenster.</w:t>
      </w:r>
      <w:r>
        <w:t xml:space="preserve"> </w:t>
      </w:r>
      <w:r>
        <w:t xml:space="preserve">Das Minimum-Varianz-Portfolio erzielt im Basisfall zwar die höchste Sharpe Ratio, schlägt 1/N über alle Läufe hinweg aber nur in einem Fünftel der Fälle und reagiert am empfindlichsten auf Schätzfehler.</w:t>
      </w:r>
      <w:r>
        <w:t xml:space="preserve"> </w:t>
      </w:r>
      <w:r>
        <w:t xml:space="preserve">Für die Praxis sprechen diese Ergebnisse damit eher für die robusteren Verfahren als für die Varianzminimierung, wobei einschränkend gilt, dass keiner der Vorsprünge gegenüber 1/N statistisch signifikant ist.</w:t>
      </w:r>
    </w:p>
    <w:p>
      <w:pPr>
        <w:pStyle w:val="BodyText"/>
      </w:pPr>
      <w:r>
        <w:t xml:space="preserve">Zur zweiten Frage entscheidet das angelegte Kriterium über die Antwort, worin zugleich der Hauptbefund liegt.</w:t>
      </w:r>
      <w:r>
        <w:t xml:space="preserve"> </w:t>
      </w:r>
      <w:r>
        <w:t xml:space="preserve">Statistisch ist das Ergebnis eindeutig, da DCC-GARCH die Kovarianzmatrix in allen 40 Läufen unter dem MSE und in nahezu allen unter dem QLIKE-Verlust besser prognostiziert als die historische Schätzung und die Abstände zur historischen Matrix im DM-Test signifikant sind.</w:t>
      </w:r>
      <w:r>
        <w:t xml:space="preserve"> </w:t>
      </w:r>
      <w:r>
        <w:t xml:space="preserve">Ökonomisch schlägt sich dieser Vorsprung jedoch nur dort nieder, wo die Kovarianzmatrix tatsächlich intensiv genutzt wird, also beim MVP und nicht bei HRP oder ERC.</w:t>
      </w:r>
      <w:r>
        <w:t xml:space="preserve"> </w:t>
      </w:r>
      <w:r>
        <w:t xml:space="preserve">Das ist konsistent mit der Konstruktion der Verfahren, da beide die Matrix nur grob nutzen und gerade deshalb robust, zugleich aber auch unempfindlich gegenüber ihrer Verbesserung sind.</w:t>
      </w:r>
      <w:r>
        <w:t xml:space="preserve"> </w:t>
      </w:r>
      <w:r>
        <w:t xml:space="preserve">Der Preis der Dynamik ist der Turnover, der beim MVP um den Faktor 32 höher liegt und den ohnehin geringen Vorsprung unter realen Handelskosten aufzehren würde.</w:t>
      </w:r>
    </w:p>
    <w:p>
      <w:pPr>
        <w:pStyle w:val="BodyText"/>
      </w:pPr>
      <w:r>
        <w:t xml:space="preserve">Der übergreifende Schluss lautet damit, dass eine bessere Risikoprognose nicht automatisch eine bessere Anlageentscheidung ist.</w:t>
      </w:r>
      <w:r>
        <w:t xml:space="preserve"> </w:t>
      </w:r>
      <w:r>
        <w:t xml:space="preserve">Die GARCH-Modelle leisten das, wofür sie konstruiert sind, und die synthetische Validierung zeigt, dass sie genau dann einen Mehrwert liefern, wenn der datengenerierende Prozess ihre Annahmen erfüllt.</w:t>
      </w:r>
      <w:r>
        <w:t xml:space="preserve"> </w:t>
      </w:r>
      <w:r>
        <w:t xml:space="preserve">Auf realen Sektordaten ist die verwertbare Struktur jedoch zu schwach, um die Kosten der laufenden Umschichtung zu rechtfertigen.</w:t>
      </w:r>
      <w:r>
        <w:t xml:space="preserve"> </w:t>
      </w:r>
      <w:r>
        <w:t xml:space="preserve">Nicht die Prognosegüte ist folglich die bindende Restriktion, sondern der Handel, den ihre Nutzung auslöst.</w:t>
      </w:r>
    </w:p>
    <w:bookmarkEnd w:id="51"/>
    <w:bookmarkStart w:id="52" w:name="sec:forschung"/>
    <w:p>
      <w:pPr>
        <w:pStyle w:val="Heading1"/>
      </w:pPr>
      <w:r>
        <w:t xml:space="preserve">Weitergehende Forschung</w:t>
      </w:r>
    </w:p>
    <w:p>
      <w:pPr>
        <w:pStyle w:val="FirstParagraph"/>
      </w:pPr>
      <w:r>
        <w:t xml:space="preserve">Aus den Ergebnissen und den genannten Einschränkungen ergeben sich vier Ansatzpunkte für weitere Untersuchungen.</w:t>
      </w:r>
    </w:p>
    <w:p>
      <w:pPr>
        <w:pStyle w:val="BodyText"/>
      </w:pPr>
      <w:r>
        <w:t xml:space="preserve">Auf der Modellseite wird ausschließlich ein GARCH(1,1) unter Normalverteilungsannahme geschätzt, obwohl diese Annahme in der Realität nicht standhält.</w:t>
      </w:r>
      <w:r>
        <w:t xml:space="preserve"> </w:t>
      </w:r>
      <w:r>
        <w:t xml:space="preserve">Zudem zeigt sich in empirischen Untersuchungen, dass negative Schocks in der Regel einen stärkeren Einfluss auf die nachfolgende Volatilität haben als positive.</w:t>
      </w:r>
      <w:r>
        <w:t xml:space="preserve"> </w:t>
      </w:r>
      <w:r>
        <w:t xml:space="preserve">Anders als das einfache GARCH-Modell binden Modelle wie GJR-GARCH und EGARCH diese Asymmetrie ein und sind somit realitätsnäher, während sich über höhere Ordnungen oder ein GARCH-MIDAS zusätzlich längerfristige Komponenten der Volatilität erfassen lassen.</w:t>
      </w:r>
      <w:r>
        <w:t xml:space="preserve"> </w:t>
      </w:r>
      <w:r>
        <w:t xml:space="preserve">Da der ökonomische Nachteil der dynamischen Schätzer hier aus dem Turnover und nicht aus der Prognosegüte stammt, wäre allerdings zu prüfen, ob eine realitätsnähere Varianzdynamik daran überhaupt etwas ändert.</w:t>
      </w:r>
    </w:p>
    <w:p>
      <w:pPr>
        <w:pStyle w:val="BodyText"/>
      </w:pPr>
      <w:r>
        <w:t xml:space="preserve">Auf der Allokationsseite ließe sich das Feld um Verfahren wie Hierarchical Equal Risk Contribution oder Nested Clustered Optimization erweitern, die die hierarchische Struktur von HRP anders auswerten.</w:t>
      </w:r>
      <w:r>
        <w:t xml:space="preserve"> </w:t>
      </w:r>
      <w:r>
        <w:t xml:space="preserve">Interessant ist das vor allem, weil sich der Mehrwert einer besseren Kovarianzprognose in dieser Arbeit genau danach richtet, wie intensiv ein Verfahren die Matrix nutzt.</w:t>
      </w:r>
      <w:r>
        <w:t xml:space="preserve"> </w:t>
      </w:r>
      <w:r>
        <w:t xml:space="preserve">Offen bleibt zudem, ob eine bessere Kovarianzmatrix in Verfahren, die zusätzlich eine Renditeprognose verwenden, einen größeren Vorteil liefert, da die Matrix dort nicht nur das Risiko begrenzt, sondern auch die Gewichtung der erwarteten Renditen bestimmt.</w:t>
      </w:r>
    </w:p>
    <w:p>
      <w:pPr>
        <w:pStyle w:val="BodyText"/>
      </w:pPr>
      <w:r>
        <w:t xml:space="preserve">Der dritte Ansatzpunkt betrifft die Transaktionskosten, die hier weder im Backtest noch in der Optimierung berücksichtigt werden.</w:t>
      </w:r>
      <w:r>
        <w:t xml:space="preserve"> </w:t>
      </w:r>
      <w:r>
        <w:t xml:space="preserve">Ein kostenbewusster Optimierer würde den Turnover in die Zielfunktion aufnehmen und dadurch einen Teil der Belastung vermeiden, statt sie nur zu erleiden.</w:t>
      </w:r>
      <w:r>
        <w:t xml:space="preserve"> </w:t>
      </w:r>
      <w:r>
        <w:t xml:space="preserve">Ob die dynamischen Schätzer unter einer solchen Nebenbedingung weiterhin zurückfallen, ist offen und wäre für die praktische Bewertung der entscheidende Test.</w:t>
      </w:r>
    </w:p>
    <w:p>
      <w:pPr>
        <w:pStyle w:val="BodyText"/>
      </w:pPr>
      <w:r>
        <w:t xml:space="preserve">Schließlich sollten die Befunde an weiteren Datensätzen überprüft werden, etwa an Einzeltiteln, anderen Regionen oder Anlageklassen mit geringerer durchschnittlicher Korrelation.</w:t>
      </w:r>
      <w:r>
        <w:t xml:space="preserve"> </w:t>
      </w:r>
      <w:r>
        <w:t xml:space="preserve">Gerade die hohe paarweise Korrelation des hier verwendeten Universums begrenzt die Diversifikationsmöglichkeiten von vornherein und könnte den Spielraum für eine bessere Kovarianzprognose systematisch verengen.</w:t>
      </w:r>
    </w:p>
    <w:bookmarkEnd w:id="52"/>
    <w:bookmarkStart w:id="54" w:name="sec:anhang_strukturbruch"/>
    <w:p>
      <w:pPr>
        <w:pStyle w:val="Heading1"/>
      </w:pPr>
      <w:r>
        <w:t xml:space="preserve">Voller und gemeinsamer Bewertungszeitraum</w:t>
      </w:r>
    </w:p>
    <w:p>
      <w:pPr>
        <w:pStyle w:val="FirstParagraph"/>
      </w:pPr>
      <w:hyperlink w:anchor="tab:strukturbruch_gemeinsam">
        <w:r>
          <w:rPr>
            <w:rStyle w:val="Hyperlink"/>
          </w:rPr>
          <w:t xml:space="preserve">Tabelle </w:t>
        </w:r>
        <w:hyperlink w:anchor="tab:strukturbruch_gemeinsam">
          <w:r>
            <w:rPr>
              <w:rStyle w:val="Hyperlink"/>
            </w:rPr>
            <w:t xml:space="preserve">[tab:strukturbruch_gemeinsam]</w:t>
          </w:r>
        </w:hyperlink>
      </w:hyperlink>
      <w:r>
        <w:t xml:space="preserve"> </w:t>
      </w:r>
      <w:r>
        <w:t xml:space="preserve">stellt je Trainingsfenster die Kennzahlen über die volle Historie denen über den gemeinsamen Zeitraum ab 2010 gegenüber.</w:t>
      </w:r>
      <w:r>
        <w:t xml:space="preserve"> </w:t>
      </w:r>
      <w:r>
        <w:t xml:space="preserve">Angegeben werden die mittlere Größe des Anlageuniversums, der QLIKE-Verlust des GARCH- und des DCC-GARCH-Schätzers sowie die Sharpe Ratio des MVP mit historischer und mit GARCH-Kovarianz und des 1/N-Portfolios.</w:t>
      </w:r>
      <w:r>
        <w:t xml:space="preserve"> </w:t>
      </w:r>
      <w:r>
        <w:t xml:space="preserve">Die 90-%-Verfügbarkeitsregel lässt die zuletzt hinzugekommenen Sektoren in langen Fenstern erst spät oder gar nicht zu, weshalb die Fensterlänge über die Dimension der Kovarianzmatrix auch das QLIKE-Niveau mitbestimmt.</w:t>
      </w:r>
    </w:p>
    <w:p>
      <w:pPr>
        <w:pStyle w:val="BodyText"/>
      </w:pPr>
      <w:r>
        <w:rPr>
          <w:i/>
          <w:iCs/>
        </w:rPr>
        <w:t xml:space="preserve">voll</w:t>
      </w:r>
      <w:r>
        <w:t xml:space="preserve"> </w:t>
      </w:r>
      <w:r>
        <w:t xml:space="preserve">bezeichnet die volle Historie des jeweiligen Fensters,</w:t>
      </w:r>
      <w:r>
        <w:t xml:space="preserve"> </w:t>
      </w:r>
      <w:r>
        <w:rPr>
          <w:i/>
          <w:iCs/>
        </w:rPr>
        <w:t xml:space="preserve">gem.</w:t>
      </w:r>
      <w:r>
        <w:t xml:space="preserve"> </w:t>
      </w:r>
      <w:r>
        <w:t xml:space="preserve">den gemeinsamen Zeitraum ab 01.01.2010.</w:t>
      </w:r>
    </w:p>
    <w:p>
      <w:pPr>
        <w:pStyle w:val="BodyText"/>
      </w:pPr>
      <w:r>
        <w:t xml:space="preserve">Wie oft welcher Schätzer über alle 40 Kombinationen vorne liegt, weist</w:t>
      </w:r>
      <w:r>
        <w:t xml:space="preserve"> </w:t>
      </w:r>
      <w:hyperlink w:anchor="tab:bestzaehlung">
        <w:r>
          <w:rPr>
            <w:rStyle w:val="Hyperlink"/>
          </w:rPr>
          <w:t xml:space="preserve">Tabelle </w:t>
        </w:r>
        <w:hyperlink w:anchor="tab:bestzaehlung">
          <w:r>
            <w:rPr>
              <w:rStyle w:val="Hyperlink"/>
            </w:rPr>
            <w:t xml:space="preserve">9</w:t>
          </w:r>
        </w:hyperlink>
      </w:hyperlink>
      <w:r>
        <w:t xml:space="preserve"> </w:t>
      </w:r>
      <w:r>
        <w:t xml:space="preserve">aus, getrennt nach der Sharpe Ratio je Portfoliomodell und den beiden Verlustmaßen.</w:t>
      </w:r>
    </w:p>
    <w:bookmarkStart w:id="53" w:name="tab:bestzaehlung"/>
    <w:p>
      <w:pPr>
        <w:pStyle w:val="TableCaption"/>
      </w:pPr>
      <w:r>
        <w:t xml:space="preserve">Häufigkeit des besten Kovarianzschätzers je Kennzahl</w:t>
      </w:r>
    </w:p>
    <w:tbl>
      <w:tblPr>
        <w:tblStyle w:val="Table"/>
        <w:tblW w:type="auto" w:w="0"/>
        <w:tblLook w:firstRow="1" w:lastRow="0" w:firstColumn="0" w:lastColumn="0" w:noHBand="0" w:noVBand="0" w:val="0020"/>
        <w:tblCaption w:val="Häufigkeit des besten Kovarianzschätzers je Kennzahl"/>
      </w:tblPr>
      <w:tblGrid>
        <w:gridCol w:w="1980"/>
        <w:gridCol w:w="1980"/>
        <w:gridCol w:w="1980"/>
        <w:gridCol w:w="1980"/>
      </w:tblGrid>
      <w:tr>
        <w:trPr>
          <w:tblHeader w:val="on"/>
        </w:trPr>
        <w:tc>
          <w:tcPr/>
          <w:p>
            <w:pPr>
              <w:pStyle w:val="Compact"/>
              <w:jc w:val="left"/>
            </w:pPr>
            <w:r>
              <w:t xml:space="preserve">Kennzahl</w:t>
            </w:r>
          </w:p>
        </w:tc>
        <w:tc>
          <w:tcPr/>
          <w:p>
            <w:pPr>
              <w:pStyle w:val="Compact"/>
              <w:jc w:val="right"/>
            </w:pPr>
            <w:r>
              <w:t xml:space="preserve">Historisch</w:t>
            </w:r>
          </w:p>
        </w:tc>
        <w:tc>
          <w:tcPr/>
          <w:p>
            <w:pPr>
              <w:pStyle w:val="Compact"/>
              <w:jc w:val="right"/>
            </w:pPr>
            <w:r>
              <w:t xml:space="preserve">GARCH</w:t>
            </w:r>
          </w:p>
        </w:tc>
        <w:tc>
          <w:tcPr/>
          <w:p>
            <w:pPr>
              <w:pStyle w:val="Compact"/>
              <w:jc w:val="right"/>
            </w:pPr>
            <w:r>
              <w:t xml:space="preserve">DCC-GARCH</w:t>
            </w:r>
          </w:p>
        </w:tc>
      </w:tr>
      <w:tr>
        <w:tc>
          <w:tcPr/>
          <w:p>
            <w:pPr>
              <w:pStyle w:val="Compact"/>
              <w:jc w:val="left"/>
            </w:pPr>
            <w:r>
              <w:t xml:space="preserve">Sharpe MVP</w:t>
            </w:r>
          </w:p>
        </w:tc>
        <w:tc>
          <w:tcPr/>
          <w:p>
            <w:pPr>
              <w:pStyle w:val="Compact"/>
              <w:jc w:val="right"/>
            </w:pPr>
            <w:r>
              <w:t xml:space="preserve">14/40</w:t>
            </w:r>
          </w:p>
        </w:tc>
        <w:tc>
          <w:tcPr/>
          <w:p>
            <w:pPr>
              <w:pStyle w:val="Compact"/>
              <w:jc w:val="right"/>
            </w:pPr>
            <w:r>
              <w:t xml:space="preserve">6/40</w:t>
            </w:r>
          </w:p>
        </w:tc>
        <w:tc>
          <w:tcPr/>
          <w:p>
            <w:pPr>
              <w:pStyle w:val="Compact"/>
              <w:jc w:val="right"/>
            </w:pPr>
            <w:r>
              <w:t xml:space="preserve">20/40</w:t>
            </w:r>
          </w:p>
        </w:tc>
      </w:tr>
      <w:tr>
        <w:tc>
          <w:tcPr/>
          <w:p>
            <w:pPr>
              <w:pStyle w:val="Compact"/>
              <w:jc w:val="left"/>
            </w:pPr>
            <w:r>
              <w:t xml:space="preserve">Sharpe HRP</w:t>
            </w:r>
          </w:p>
        </w:tc>
        <w:tc>
          <w:tcPr/>
          <w:p>
            <w:pPr>
              <w:pStyle w:val="Compact"/>
              <w:jc w:val="right"/>
            </w:pPr>
            <w:r>
              <w:t xml:space="preserve">36/40</w:t>
            </w:r>
          </w:p>
        </w:tc>
        <w:tc>
          <w:tcPr/>
          <w:p>
            <w:pPr>
              <w:pStyle w:val="Compact"/>
              <w:jc w:val="right"/>
            </w:pPr>
            <w:r>
              <w:t xml:space="preserve">1/40</w:t>
            </w:r>
          </w:p>
        </w:tc>
        <w:tc>
          <w:tcPr/>
          <w:p>
            <w:pPr>
              <w:pStyle w:val="Compact"/>
              <w:jc w:val="right"/>
            </w:pPr>
            <w:r>
              <w:t xml:space="preserve">3/40</w:t>
            </w:r>
          </w:p>
        </w:tc>
      </w:tr>
      <w:tr>
        <w:tc>
          <w:tcPr/>
          <w:p>
            <w:pPr>
              <w:pStyle w:val="Compact"/>
              <w:jc w:val="left"/>
            </w:pPr>
            <w:r>
              <w:t xml:space="preserve">Sharpe ERC</w:t>
            </w:r>
          </w:p>
        </w:tc>
        <w:tc>
          <w:tcPr/>
          <w:p>
            <w:pPr>
              <w:pStyle w:val="Compact"/>
              <w:jc w:val="right"/>
            </w:pPr>
            <w:r>
              <w:t xml:space="preserve">40/40</w:t>
            </w:r>
          </w:p>
        </w:tc>
        <w:tc>
          <w:tcPr/>
          <w:p>
            <w:pPr>
              <w:pStyle w:val="Compact"/>
              <w:jc w:val="right"/>
            </w:pPr>
            <w:r>
              <w:t xml:space="preserve">0/40</w:t>
            </w:r>
          </w:p>
        </w:tc>
        <w:tc>
          <w:tcPr/>
          <w:p>
            <w:pPr>
              <w:pStyle w:val="Compact"/>
              <w:jc w:val="right"/>
            </w:pPr>
            <w:r>
              <w:t xml:space="preserve">0/40</w:t>
            </w:r>
          </w:p>
        </w:tc>
      </w:tr>
      <w:tr>
        <w:tc>
          <w:tcPr/>
          <w:p>
            <w:pPr>
              <w:pStyle w:val="Compact"/>
              <w:jc w:val="left"/>
            </w:pPr>
            <w:r>
              <w:t xml:space="preserve">QLIKE</w:t>
            </w:r>
          </w:p>
        </w:tc>
        <w:tc>
          <w:tcPr/>
          <w:p>
            <w:pPr>
              <w:pStyle w:val="Compact"/>
              <w:jc w:val="right"/>
            </w:pPr>
            <w:r>
              <w:t xml:space="preserve">3/40</w:t>
            </w:r>
          </w:p>
        </w:tc>
        <w:tc>
          <w:tcPr/>
          <w:p>
            <w:pPr>
              <w:pStyle w:val="Compact"/>
              <w:jc w:val="right"/>
            </w:pPr>
            <w:r>
              <w:t xml:space="preserve">0/40</w:t>
            </w:r>
          </w:p>
        </w:tc>
        <w:tc>
          <w:tcPr/>
          <w:p>
            <w:pPr>
              <w:pStyle w:val="Compact"/>
              <w:jc w:val="right"/>
            </w:pPr>
            <w:r>
              <w:t xml:space="preserve">37/40</w:t>
            </w:r>
          </w:p>
        </w:tc>
      </w:tr>
      <w:tr>
        <w:tc>
          <w:tcPr/>
          <w:p>
            <w:pPr>
              <w:pStyle w:val="Compact"/>
              <w:jc w:val="left"/>
            </w:pPr>
            <w:r>
              <w:t xml:space="preserve">Kovarianz-MSE</w:t>
            </w:r>
          </w:p>
        </w:tc>
        <w:tc>
          <w:tcPr/>
          <w:p>
            <w:pPr>
              <w:pStyle w:val="Compact"/>
              <w:jc w:val="right"/>
            </w:pPr>
            <w:r>
              <w:t xml:space="preserve">0/40</w:t>
            </w:r>
          </w:p>
        </w:tc>
        <w:tc>
          <w:tcPr/>
          <w:p>
            <w:pPr>
              <w:pStyle w:val="Compact"/>
              <w:jc w:val="right"/>
            </w:pPr>
            <w:r>
              <w:t xml:space="preserve">1/40</w:t>
            </w:r>
          </w:p>
        </w:tc>
        <w:tc>
          <w:tcPr/>
          <w:p>
            <w:pPr>
              <w:pStyle w:val="Compact"/>
              <w:jc w:val="right"/>
            </w:pPr>
            <w:r>
              <w:t xml:space="preserve">39/40</w:t>
            </w:r>
          </w:p>
        </w:tc>
      </w:tr>
    </w:tbl>
    <w:bookmarkEnd w:id="53"/>
    <w:p>
      <w:pPr>
        <w:pStyle w:val="BodyText"/>
      </w:pPr>
      <w:r>
        <w:t xml:space="preserve">Alle 40 Kombinationen aus Trainingsfenster und Prognosehorizont, bewertet ab 01.01.2010. Ausgewiesen ist, wie oft der jeweilige Schätzer die höchste Sharpe Ratio beziehungsweise den niedrigsten Verlust liefert.</w:t>
      </w:r>
    </w:p>
    <w:p>
      <w:pPr>
        <w:pStyle w:val="BodyText"/>
      </w:pPr>
      <w:r>
        <w:t xml:space="preserve">Zeitlich lokalisieren lässt sich der Bruch über die Teilperioden des Basisfalls in</w:t>
      </w:r>
      <w:r>
        <w:t xml:space="preserve"> </w:t>
      </w:r>
      <w:hyperlink w:anchor="tab:strukturbruch_teilperioden">
        <w:r>
          <w:rPr>
            <w:rStyle w:val="Hyperlink"/>
          </w:rPr>
          <w:t xml:space="preserve">Tabelle </w:t>
        </w:r>
        <w:hyperlink w:anchor="tab:strukturbruch_teilperioden">
          <w:r>
            <w:rPr>
              <w:rStyle w:val="Hyperlink"/>
            </w:rPr>
            <w:t xml:space="preserve">[tab:strukturbruch_teilperioden]</w:t>
          </w:r>
        </w:hyperlink>
      </w:hyperlink>
      <w:r>
        <w:t xml:space="preserve">.</w:t>
      </w:r>
      <w:r>
        <w:t xml:space="preserve"> </w:t>
      </w:r>
      <w:r>
        <w:t xml:space="preserve">Das QLIKE-Niveau springt ab 2022 deutlich nach unten, wobei dieser Sprung exakt mit der Erweiterung des Universums von 17 auf 25 Sektoren im September 2022 zusammenfällt.</w:t>
      </w:r>
      <w:r>
        <w:t xml:space="preserve"> </w:t>
      </w:r>
      <w:r>
        <w:t xml:space="preserve">Der MSE zeigt an dieser Stelle keinen vergleichbaren Bruch, folgt dafür aber dem Volatilitätsniveau der Periode und steigt in der Finanzkrise auf mehr als das Siebzigfache des Werts der ruhigen Phase 2003–2007.</w:t>
      </w:r>
      <w:r>
        <w:t xml:space="preserve"> </w:t>
      </w:r>
      <w:r>
        <w:t xml:space="preserve">Beide Kennzahlen sind über Perioden hinweg somit nur eingeschränkt vergleichbar, wenn auch aus unterschiedlichen Gründen.</w:t>
      </w:r>
    </w:p>
    <w:p>
      <w:pPr>
        <w:pStyle w:val="BodyText"/>
      </w:pPr>
      <m:oMath>
        <m:r>
          <m:t>N</m:t>
        </m:r>
      </m:oMath>
      <w:r>
        <w:t xml:space="preserve"> </w:t>
      </w:r>
      <w:r>
        <w:t xml:space="preserve">ist die Spannweite der investierbaren Sektoren; QLIKE-Niveaus sind zwischen Perioden mit unterschiedlichem</w:t>
      </w:r>
      <w:r>
        <w:t xml:space="preserve"> </w:t>
      </w:r>
      <m:oMath>
        <m:r>
          <m:t>N</m:t>
        </m:r>
      </m:oMath>
      <w:r>
        <w:t xml:space="preserve"> </w:t>
      </w:r>
      <w:r>
        <w:t xml:space="preserve">nicht vergleichbar.</w:t>
      </w:r>
    </w:p>
    <w:p>
      <w:pPr>
        <w:pStyle w:val="BodyText"/>
      </w:pPr>
      <w:r>
        <w:t xml:space="preserve">Aussagekräftig bleibt die Differenz zwischen den Schätzern innerhalb einer Periode, die erheblich variiert.</w:t>
      </w:r>
      <w:r>
        <w:t xml:space="preserve"> </w:t>
      </w:r>
      <w:r>
        <w:t xml:space="preserve">In der Finanzkrise 2008/09 und im COVID-Zeitraum fällt sie um ein Vielfaches größer aus als in den ruhigen Phasen.</w:t>
      </w:r>
      <w:r>
        <w:t xml:space="preserve"> </w:t>
      </w:r>
      <w:r>
        <w:t xml:space="preserve">Der Mehrwert der dynamischen Modellierung konzentriert sich damit auf Phasen mit ausgeprägten Volatilitätsschocks, in denen eine statische Matrix dem Risikoniveau am stärksten nachläuft.</w:t>
      </w:r>
    </w:p>
    <w:p>
      <w:pPr>
        <w:pStyle w:val="BodyText"/>
      </w:pPr>
      <w:r>
        <w:t xml:space="preserve">Ökonomisch ist die Rangfolge ebenfalls periodenabhängig, da das MVP mit DCC-Kovarianz und ebenso mit GARCH-Kovarianz die historische Variante in der Phase 2010–2019 klar schlägt, in allen übrigen Teilperioden jedoch zurückliegt.</w:t>
      </w:r>
      <w:r>
        <w:t xml:space="preserve"> </w:t>
      </w:r>
      <w:r>
        <w:t xml:space="preserve">Der Basisfall umfasst die volle Historie ab 2003 und mittelt über gegenläufige Teilperioden, weshalb dort die historische Matrix vorne liegt, während die auf 2010 eingeschränkten Tabellen für das MVP zugunsten von DCC ausfallen.</w:t>
      </w:r>
      <w:r>
        <w:t xml:space="preserve"> </w:t>
      </w:r>
      <w:r>
        <w:t xml:space="preserve">Beide Rechnungen sind korrekt, messen aber Unterschiedliches, wobei die Unterschiede in beide Richtungen durchgängig insignifikant sind und daher keine starke Aussage zulassen.</w:t>
      </w:r>
    </w:p>
    <w:bookmarkEnd w:id="54"/>
    <w:bookmarkStart w:id="57" w:name="sec:anhang_synth"/>
    <w:p>
      <w:pPr>
        <w:pStyle w:val="Heading1"/>
      </w:pPr>
      <w:r>
        <w:t xml:space="preserve">Synthetische Validierung</w:t>
      </w:r>
    </w:p>
    <w:p>
      <w:pPr>
        <w:pStyle w:val="FirstParagraph"/>
      </w:pPr>
      <w:r>
        <w:t xml:space="preserve">Ob die Modelle korrekt implementiert sind, lässt sich an echten Daten nicht prüfen, da der wahre datengenerierende Prozess unbekannt ist.</w:t>
      </w:r>
      <w:r>
        <w:t xml:space="preserve"> </w:t>
      </w:r>
      <w:r>
        <w:t xml:space="preserve">Stattdessen werden drei simulierte Datensätze mit jeweils 20 Anlagen und 6.000 Handelstagen verwendet, die dieselbe unbedingte Risikostruktur besitzen und sich ausschließlich in der Dynamik der zweiten Momente unterscheiden.</w:t>
      </w:r>
      <w:r>
        <w:t xml:space="preserve"> </w:t>
      </w:r>
      <w:r>
        <w:t xml:space="preserve">Die annualisierten Volatilitäten liegen dabei zwischen 15 % und 35 % bei einer durchschnittlichen Korrelation von 0,35.</w:t>
      </w:r>
      <w:r>
        <w:t xml:space="preserve"> </w:t>
      </w:r>
      <w:r>
        <w:t xml:space="preserve">Der Monte-Carlo-Datensatz enthält unabhängige Ziehungen mit konstanter Kovarianz und bildet den Nullfall ab, in dem die historische Matrix korrekt spezifiziert ist.</w:t>
      </w:r>
      <w:r>
        <w:t xml:space="preserve"> </w:t>
      </w:r>
      <w:r>
        <w:t xml:space="preserve">Beim GARCH-Datensatz kommt eine GARCH(1,1)-Dynamik je Anlage mit</w:t>
      </w:r>
      <w:r>
        <w:t xml:space="preserve"> </w:t>
      </w:r>
      <m:oMath>
        <m:r>
          <m:t>α</m:t>
        </m:r>
        <m:r>
          <m:rPr>
            <m:sty m:val="p"/>
          </m:rPr>
          <m:t>=</m:t>
        </m:r>
        <m:r>
          <m:t>0</m:t>
        </m:r>
        <m:r>
          <m:rPr>
            <m:sty m:val="p"/>
          </m:rPr>
          <m:t>,</m:t>
        </m:r>
        <m:r>
          <m:t>08</m:t>
        </m:r>
      </m:oMath>
      <w:r>
        <w:t xml:space="preserve"> </w:t>
      </w:r>
      <w:r>
        <w:t xml:space="preserve">und</w:t>
      </w:r>
      <w:r>
        <w:t xml:space="preserve"> </w:t>
      </w:r>
      <m:oMath>
        <m:r>
          <m:t>β</m:t>
        </m:r>
        <m:r>
          <m:rPr>
            <m:sty m:val="p"/>
          </m:rPr>
          <m:t>=</m:t>
        </m:r>
        <m:r>
          <m:t>0</m:t>
        </m:r>
        <m:r>
          <m:rPr>
            <m:sty m:val="p"/>
          </m:rPr>
          <m:t>,</m:t>
        </m:r>
        <m:r>
          <m:t>90</m:t>
        </m:r>
      </m:oMath>
      <w:r>
        <w:t xml:space="preserve"> </w:t>
      </w:r>
      <w:r>
        <w:t xml:space="preserve">bei konstanter Korrelation hinzu, während der DCC-Datensatz zusätzlich eine DCC-Rekursion mit</w:t>
      </w:r>
      <w:r>
        <w:t xml:space="preserve"> </w:t>
      </w:r>
      <m:oMath>
        <m:r>
          <m:t>a</m:t>
        </m:r>
        <m:r>
          <m:rPr>
            <m:sty m:val="p"/>
          </m:rPr>
          <m:t>=</m:t>
        </m:r>
        <m:r>
          <m:t>0</m:t>
        </m:r>
        <m:r>
          <m:rPr>
            <m:sty m:val="p"/>
          </m:rPr>
          <m:t>,</m:t>
        </m:r>
        <m:r>
          <m:t>03</m:t>
        </m:r>
      </m:oMath>
      <w:r>
        <w:t xml:space="preserve"> </w:t>
      </w:r>
      <w:r>
        <w:t xml:space="preserve">und</w:t>
      </w:r>
      <w:r>
        <w:t xml:space="preserve"> </w:t>
      </w:r>
      <m:oMath>
        <m:r>
          <m:t>b</m:t>
        </m:r>
        <m:r>
          <m:rPr>
            <m:sty m:val="p"/>
          </m:rPr>
          <m:t>=</m:t>
        </m:r>
        <m:r>
          <m:t>0</m:t>
        </m:r>
        <m:r>
          <m:rPr>
            <m:sty m:val="p"/>
          </m:rPr>
          <m:t>,</m:t>
        </m:r>
        <m:r>
          <m:t>96</m:t>
        </m:r>
      </m:oMath>
      <w:r>
        <w:t xml:space="preserve"> </w:t>
      </w:r>
      <w:r>
        <w:t xml:space="preserve">enthält.</w:t>
      </w:r>
      <w:r>
        <w:t xml:space="preserve"> </w:t>
      </w:r>
      <w:r>
        <w:t xml:space="preserve">Die drei Datensätze bilden damit eine Leiter, auf der jeweils ein anderer Schätzer korrekt spezifiziert ist.</w:t>
      </w:r>
    </w:p>
    <w:p>
      <w:pPr>
        <w:pStyle w:val="BodyText"/>
      </w:pPr>
      <w:r>
        <w:t xml:space="preserve">Dass die Modelle dieser Leiter folgen, zeigt</w:t>
      </w:r>
      <w:r>
        <w:t xml:space="preserve"> </w:t>
      </w:r>
      <w:hyperlink w:anchor="tab:synth_basis">
        <w:r>
          <w:rPr>
            <w:rStyle w:val="Hyperlink"/>
          </w:rPr>
          <w:t xml:space="preserve">Tabelle </w:t>
        </w:r>
        <w:hyperlink w:anchor="tab:synth_basis">
          <w:r>
            <w:rPr>
              <w:rStyle w:val="Hyperlink"/>
            </w:rPr>
            <w:t xml:space="preserve">10</w:t>
          </w:r>
        </w:hyperlink>
      </w:hyperlink>
      <w:r>
        <w:t xml:space="preserve">.</w:t>
      </w:r>
      <w:r>
        <w:t xml:space="preserve"> </w:t>
      </w:r>
      <w:r>
        <w:t xml:space="preserve">Im Monte-Carlo-Fall unterscheiden sich die drei Schätzer unter beiden Verlustmaßen praktisch nicht, wobei die historische Matrix beim MVP eine minimal höhere Sharpe Ratio erzielt.</w:t>
      </w:r>
      <w:r>
        <w:t xml:space="preserve"> </w:t>
      </w:r>
      <w:r>
        <w:t xml:space="preserve">Wo keine Struktur vorhanden ist, bringt das komplexere Modell folglich nichts.</w:t>
      </w:r>
      <w:r>
        <w:t xml:space="preserve"> </w:t>
      </w:r>
      <w:r>
        <w:t xml:space="preserve">Im GARCH-Fall schlagen beide dynamischen Schätzer die historische Matrix deutlich, sowohl in der Prognosegüte als auch in Sharpe Ratio und realisierter Volatilität.</w:t>
      </w:r>
      <w:r>
        <w:t xml:space="preserve"> </w:t>
      </w:r>
      <w:r>
        <w:t xml:space="preserve">Sobald mit dem DCC-Prozess auch die Korrelation dynamisch ist, schlägt DCC schließlich den GARCH-Schätzer klar.</w:t>
      </w:r>
    </w:p>
    <w:bookmarkStart w:id="55" w:name="tab:synth_basis"/>
    <w:p>
      <w:pPr>
        <w:pStyle w:val="TableCaption"/>
      </w:pPr>
      <w:r>
        <w:t xml:space="preserve">Synthetische Validierung: Basisfall je Datengenerierungsprozess</w:t>
      </w:r>
    </w:p>
    <w:tbl>
      <w:tblPr>
        <w:tblStyle w:val="Table"/>
        <w:tblW w:type="auto" w:w="0"/>
        <w:tblLook w:firstRow="1" w:lastRow="0" w:firstColumn="0" w:lastColumn="0" w:noHBand="0" w:noVBand="0" w:val="0020"/>
        <w:tblCaption w:val="Synthetische Validierung: Basisfall je Datengenerierungsprozess"/>
      </w:tblPr>
      <w:tblGrid>
        <w:gridCol w:w="1131"/>
        <w:gridCol w:w="1131"/>
        <w:gridCol w:w="1131"/>
        <w:gridCol w:w="1131"/>
        <w:gridCol w:w="1131"/>
        <w:gridCol w:w="1131"/>
        <w:gridCol w:w="1131"/>
      </w:tblGrid>
      <w:tr>
        <w:trPr>
          <w:tblHeader w:val="on"/>
        </w:trPr>
        <w:tc>
          <w:tcPr/>
          <w:p>
            <w:pPr>
              <w:pStyle w:val="Compact"/>
              <w:jc w:val="left"/>
            </w:pPr>
            <w:r>
              <w:t xml:space="preserve">Datensatz</w:t>
            </w:r>
          </w:p>
        </w:tc>
        <w:tc>
          <w:tcPr/>
          <w:p>
            <w:pPr>
              <w:pStyle w:val="Compact"/>
              <w:jc w:val="left"/>
            </w:pPr>
            <w:r>
              <w:t xml:space="preserve">Kovarianz</w:t>
            </w:r>
          </w:p>
        </w:tc>
        <w:tc>
          <w:tcPr/>
          <w:p>
            <w:pPr>
              <w:pStyle w:val="Compact"/>
              <w:jc w:val="right"/>
            </w:pPr>
            <w:r>
              <w:t xml:space="preserve">QLIKE</w:t>
            </w:r>
          </w:p>
        </w:tc>
        <w:tc>
          <w:tcPr/>
          <w:p>
            <w:pPr>
              <w:pStyle w:val="Compact"/>
              <w:jc w:val="right"/>
            </w:pPr>
            <w:r>
              <w:t xml:space="preserve">MSE (</w:t>
            </w:r>
            <m:oMath>
              <m:r>
                <m:rPr>
                  <m:sty m:val="p"/>
                </m:rPr>
                <m:t>×</m:t>
              </m:r>
              <m:sSup>
                <m:e>
                  <m:r>
                    <m:t>10</m:t>
                  </m:r>
                </m:e>
                <m:sup>
                  <m:r>
                    <m:rPr>
                      <m:sty m:val="p"/>
                    </m:rPr>
                    <m:t>−</m:t>
                  </m:r>
                  <m:r>
                    <m:t>8</m:t>
                  </m:r>
                </m:sup>
              </m:sSup>
            </m:oMath>
            <w:r>
              <w:t xml:space="preserve">)</w:t>
            </w:r>
          </w:p>
        </w:tc>
        <w:tc>
          <w:tcPr/>
          <w:p>
            <w:pPr>
              <w:pStyle w:val="Compact"/>
              <w:jc w:val="right"/>
            </w:pPr>
            <w:r>
              <w:t xml:space="preserve">Vola (%)</w:t>
            </w:r>
          </w:p>
        </w:tc>
        <w:tc>
          <w:tcPr/>
          <w:p>
            <w:pPr>
              <w:pStyle w:val="Compact"/>
              <w:jc w:val="right"/>
            </w:pPr>
            <w:r>
              <w:t xml:space="preserve">Sharpe</w:t>
            </w:r>
          </w:p>
        </w:tc>
        <w:tc>
          <w:tcPr/>
          <w:p>
            <w:pPr>
              <w:pStyle w:val="Compact"/>
              <w:jc w:val="right"/>
            </w:pPr>
            <w:r>
              <w:t xml:space="preserve">Turnover</w:t>
            </w:r>
          </w:p>
        </w:tc>
      </w:tr>
      <w:tr>
        <w:tc>
          <w:tcPr/>
          <w:p>
            <w:pPr>
              <w:pStyle w:val="Compact"/>
              <w:jc w:val="left"/>
            </w:pPr>
            <w:r>
              <w:t xml:space="preserve">Monte Carlo</w:t>
            </w:r>
          </w:p>
        </w:tc>
        <w:tc>
          <w:tcPr/>
          <w:p>
            <w:pPr>
              <w:pStyle w:val="Compact"/>
              <w:jc w:val="left"/>
            </w:pPr>
            <w:r>
              <w:t xml:space="preserve">Historisch</w:t>
            </w:r>
          </w:p>
        </w:tc>
        <w:tc>
          <w:tcPr/>
          <w:p>
            <w:pPr>
              <w:pStyle w:val="Compact"/>
              <w:jc w:val="right"/>
            </w:pPr>
            <w:r>
              <w:t xml:space="preserve">-154,50</w:t>
            </w:r>
          </w:p>
        </w:tc>
        <w:tc>
          <w:tcPr/>
          <w:p>
            <w:pPr>
              <w:pStyle w:val="Compact"/>
              <w:jc w:val="right"/>
            </w:pPr>
            <w:r>
              <w:t xml:space="preserve">7,04</w:t>
            </w:r>
          </w:p>
        </w:tc>
        <w:tc>
          <w:tcPr/>
          <w:p>
            <w:pPr>
              <w:pStyle w:val="Compact"/>
              <w:jc w:val="right"/>
            </w:pPr>
            <w:r>
              <w:t xml:space="preserve">11,92</w:t>
            </w:r>
          </w:p>
        </w:tc>
        <w:tc>
          <w:tcPr/>
          <w:p>
            <w:pPr>
              <w:pStyle w:val="Compact"/>
              <w:jc w:val="right"/>
            </w:pPr>
            <w:r>
              <w:t xml:space="preserve">0,903</w:t>
            </w:r>
          </w:p>
        </w:tc>
        <w:tc>
          <w:tcPr/>
          <w:p>
            <w:pPr>
              <w:pStyle w:val="Compact"/>
              <w:jc w:val="right"/>
            </w:pPr>
            <w:r>
              <w:t xml:space="preserve">0,011</w:t>
            </w:r>
          </w:p>
        </w:tc>
      </w:tr>
      <w:tr>
        <w:tc>
          <w:tcPr/>
          <w:p>
            <w:pPr>
              <w:pStyle w:val="Compact"/>
            </w:pPr>
          </w:p>
        </w:tc>
        <w:tc>
          <w:tcPr/>
          <w:p>
            <w:pPr>
              <w:pStyle w:val="Compact"/>
              <w:jc w:val="left"/>
            </w:pPr>
            <w:r>
              <w:t xml:space="preserve">GARCH</w:t>
            </w:r>
          </w:p>
        </w:tc>
        <w:tc>
          <w:tcPr/>
          <w:p>
            <w:pPr>
              <w:pStyle w:val="Compact"/>
              <w:jc w:val="right"/>
            </w:pPr>
            <w:r>
              <w:t xml:space="preserve">-154,47</w:t>
            </w:r>
          </w:p>
        </w:tc>
        <w:tc>
          <w:tcPr/>
          <w:p>
            <w:pPr>
              <w:pStyle w:val="Compact"/>
              <w:jc w:val="right"/>
            </w:pPr>
            <w:r>
              <w:t xml:space="preserve">7,04</w:t>
            </w:r>
          </w:p>
        </w:tc>
        <w:tc>
          <w:tcPr/>
          <w:p>
            <w:pPr>
              <w:pStyle w:val="Compact"/>
              <w:jc w:val="right"/>
            </w:pPr>
            <w:r>
              <w:t xml:space="preserve">11,95</w:t>
            </w:r>
          </w:p>
        </w:tc>
        <w:tc>
          <w:tcPr/>
          <w:p>
            <w:pPr>
              <w:pStyle w:val="Compact"/>
              <w:jc w:val="right"/>
            </w:pPr>
            <w:r>
              <w:t xml:space="preserve">0,896</w:t>
            </w:r>
          </w:p>
        </w:tc>
        <w:tc>
          <w:tcPr/>
          <w:p>
            <w:pPr>
              <w:pStyle w:val="Compact"/>
              <w:jc w:val="right"/>
            </w:pPr>
            <w:r>
              <w:t xml:space="preserve">0,074</w:t>
            </w:r>
          </w:p>
        </w:tc>
      </w:tr>
      <w:tr>
        <w:tc>
          <w:tcPr/>
          <w:p>
            <w:pPr>
              <w:pStyle w:val="Compact"/>
            </w:pPr>
          </w:p>
        </w:tc>
        <w:tc>
          <w:tcPr/>
          <w:p>
            <w:pPr>
              <w:pStyle w:val="Compact"/>
              <w:jc w:val="left"/>
            </w:pPr>
            <w:r>
              <w:t xml:space="preserve">DCC-GARCH</w:t>
            </w:r>
          </w:p>
        </w:tc>
        <w:tc>
          <w:tcPr/>
          <w:p>
            <w:pPr>
              <w:pStyle w:val="Compact"/>
              <w:jc w:val="right"/>
            </w:pPr>
            <w:r>
              <w:t xml:space="preserve">-154,47</w:t>
            </w:r>
          </w:p>
        </w:tc>
        <w:tc>
          <w:tcPr/>
          <w:p>
            <w:pPr>
              <w:pStyle w:val="Compact"/>
              <w:jc w:val="right"/>
            </w:pPr>
            <w:r>
              <w:t xml:space="preserve">7,04</w:t>
            </w:r>
          </w:p>
        </w:tc>
        <w:tc>
          <w:tcPr/>
          <w:p>
            <w:pPr>
              <w:pStyle w:val="Compact"/>
              <w:jc w:val="right"/>
            </w:pPr>
            <w:r>
              <w:t xml:space="preserve">11,95</w:t>
            </w:r>
          </w:p>
        </w:tc>
        <w:tc>
          <w:tcPr/>
          <w:p>
            <w:pPr>
              <w:pStyle w:val="Compact"/>
              <w:jc w:val="right"/>
            </w:pPr>
            <w:r>
              <w:t xml:space="preserve">0,896</w:t>
            </w:r>
          </w:p>
        </w:tc>
        <w:tc>
          <w:tcPr/>
          <w:p>
            <w:pPr>
              <w:pStyle w:val="Compact"/>
              <w:jc w:val="right"/>
            </w:pPr>
            <w:r>
              <w:t xml:space="preserve">0,075</w:t>
            </w:r>
          </w:p>
        </w:tc>
      </w:tr>
      <w:tr>
        <w:tc>
          <w:tcPr/>
          <w:p>
            <w:pPr>
              <w:pStyle w:val="Compact"/>
              <w:jc w:val="left"/>
            </w:pPr>
            <w:r>
              <w:t xml:space="preserve">GARCH-Sim.</w:t>
            </w:r>
          </w:p>
        </w:tc>
        <w:tc>
          <w:tcPr/>
          <w:p>
            <w:pPr>
              <w:pStyle w:val="Compact"/>
              <w:jc w:val="left"/>
            </w:pPr>
            <w:r>
              <w:t xml:space="preserve">Historisch</w:t>
            </w:r>
          </w:p>
        </w:tc>
        <w:tc>
          <w:tcPr/>
          <w:p>
            <w:pPr>
              <w:pStyle w:val="Compact"/>
              <w:jc w:val="right"/>
            </w:pPr>
            <w:r>
              <w:t xml:space="preserve">-154,23</w:t>
            </w:r>
          </w:p>
        </w:tc>
        <w:tc>
          <w:tcPr/>
          <w:p>
            <w:pPr>
              <w:pStyle w:val="Compact"/>
              <w:jc w:val="right"/>
            </w:pPr>
            <w:r>
              <w:t xml:space="preserve">7,84</w:t>
            </w:r>
          </w:p>
        </w:tc>
        <w:tc>
          <w:tcPr/>
          <w:p>
            <w:pPr>
              <w:pStyle w:val="Compact"/>
              <w:jc w:val="right"/>
            </w:pPr>
            <w:r>
              <w:t xml:space="preserve">11,37</w:t>
            </w:r>
          </w:p>
        </w:tc>
        <w:tc>
          <w:tcPr/>
          <w:p>
            <w:pPr>
              <w:pStyle w:val="Compact"/>
              <w:jc w:val="right"/>
            </w:pPr>
            <w:r>
              <w:t xml:space="preserve">0,756</w:t>
            </w:r>
          </w:p>
        </w:tc>
        <w:tc>
          <w:tcPr/>
          <w:p>
            <w:pPr>
              <w:pStyle w:val="Compact"/>
              <w:jc w:val="right"/>
            </w:pPr>
            <w:r>
              <w:t xml:space="preserve">0,010</w:t>
            </w:r>
          </w:p>
        </w:tc>
      </w:tr>
      <w:tr>
        <w:tc>
          <w:tcPr/>
          <w:p>
            <w:pPr>
              <w:pStyle w:val="Compact"/>
            </w:pPr>
          </w:p>
        </w:tc>
        <w:tc>
          <w:tcPr/>
          <w:p>
            <w:pPr>
              <w:pStyle w:val="Compact"/>
              <w:jc w:val="left"/>
            </w:pPr>
            <w:r>
              <w:t xml:space="preserve">GARCH</w:t>
            </w:r>
          </w:p>
        </w:tc>
        <w:tc>
          <w:tcPr/>
          <w:p>
            <w:pPr>
              <w:pStyle w:val="Compact"/>
              <w:jc w:val="right"/>
            </w:pPr>
            <w:r>
              <w:t xml:space="preserve">-157,25</w:t>
            </w:r>
          </w:p>
        </w:tc>
        <w:tc>
          <w:tcPr/>
          <w:p>
            <w:pPr>
              <w:pStyle w:val="Compact"/>
              <w:jc w:val="right"/>
            </w:pPr>
            <w:r>
              <w:t xml:space="preserve">7,57</w:t>
            </w:r>
          </w:p>
        </w:tc>
        <w:tc>
          <w:tcPr/>
          <w:p>
            <w:pPr>
              <w:pStyle w:val="Compact"/>
              <w:jc w:val="right"/>
            </w:pPr>
            <w:r>
              <w:t xml:space="preserve">9,85</w:t>
            </w:r>
          </w:p>
        </w:tc>
        <w:tc>
          <w:tcPr/>
          <w:p>
            <w:pPr>
              <w:pStyle w:val="Compact"/>
              <w:jc w:val="right"/>
            </w:pPr>
            <w:r>
              <w:t xml:space="preserve">0,854</w:t>
            </w:r>
          </w:p>
        </w:tc>
        <w:tc>
          <w:tcPr/>
          <w:p>
            <w:pPr>
              <w:pStyle w:val="Compact"/>
              <w:jc w:val="right"/>
            </w:pPr>
            <w:r>
              <w:t xml:space="preserve">0,154</w:t>
            </w:r>
          </w:p>
        </w:tc>
      </w:tr>
      <w:tr>
        <w:tc>
          <w:tcPr/>
          <w:p>
            <w:pPr>
              <w:pStyle w:val="Compact"/>
            </w:pPr>
          </w:p>
        </w:tc>
        <w:tc>
          <w:tcPr/>
          <w:p>
            <w:pPr>
              <w:pStyle w:val="Compact"/>
              <w:jc w:val="left"/>
            </w:pPr>
            <w:r>
              <w:t xml:space="preserve">DCC-GARCH</w:t>
            </w:r>
          </w:p>
        </w:tc>
        <w:tc>
          <w:tcPr/>
          <w:p>
            <w:pPr>
              <w:pStyle w:val="Compact"/>
              <w:jc w:val="right"/>
            </w:pPr>
            <w:r>
              <w:t xml:space="preserve">-157,25</w:t>
            </w:r>
          </w:p>
        </w:tc>
        <w:tc>
          <w:tcPr/>
          <w:p>
            <w:pPr>
              <w:pStyle w:val="Compact"/>
              <w:jc w:val="right"/>
            </w:pPr>
            <w:r>
              <w:t xml:space="preserve">7,57</w:t>
            </w:r>
          </w:p>
        </w:tc>
        <w:tc>
          <w:tcPr/>
          <w:p>
            <w:pPr>
              <w:pStyle w:val="Compact"/>
              <w:jc w:val="right"/>
            </w:pPr>
            <w:r>
              <w:t xml:space="preserve">9,85</w:t>
            </w:r>
          </w:p>
        </w:tc>
        <w:tc>
          <w:tcPr/>
          <w:p>
            <w:pPr>
              <w:pStyle w:val="Compact"/>
              <w:jc w:val="right"/>
            </w:pPr>
            <w:r>
              <w:t xml:space="preserve">0,854</w:t>
            </w:r>
          </w:p>
        </w:tc>
        <w:tc>
          <w:tcPr/>
          <w:p>
            <w:pPr>
              <w:pStyle w:val="Compact"/>
              <w:jc w:val="right"/>
            </w:pPr>
            <w:r>
              <w:t xml:space="preserve">0,154</w:t>
            </w:r>
          </w:p>
        </w:tc>
      </w:tr>
      <w:tr>
        <w:tc>
          <w:tcPr/>
          <w:p>
            <w:pPr>
              <w:pStyle w:val="Compact"/>
              <w:jc w:val="left"/>
            </w:pPr>
            <w:r>
              <w:t xml:space="preserve">DCC-Sim.</w:t>
            </w:r>
          </w:p>
        </w:tc>
        <w:tc>
          <w:tcPr/>
          <w:p>
            <w:pPr>
              <w:pStyle w:val="Compact"/>
              <w:jc w:val="left"/>
            </w:pPr>
            <w:r>
              <w:t xml:space="preserve">Historisch</w:t>
            </w:r>
          </w:p>
        </w:tc>
        <w:tc>
          <w:tcPr/>
          <w:p>
            <w:pPr>
              <w:pStyle w:val="Compact"/>
              <w:jc w:val="right"/>
            </w:pPr>
            <w:r>
              <w:t xml:space="preserve">-154,13</w:t>
            </w:r>
          </w:p>
        </w:tc>
        <w:tc>
          <w:tcPr/>
          <w:p>
            <w:pPr>
              <w:pStyle w:val="Compact"/>
              <w:jc w:val="right"/>
            </w:pPr>
            <w:r>
              <w:t xml:space="preserve">9,86</w:t>
            </w:r>
          </w:p>
        </w:tc>
        <w:tc>
          <w:tcPr/>
          <w:p>
            <w:pPr>
              <w:pStyle w:val="Compact"/>
              <w:jc w:val="right"/>
            </w:pPr>
            <w:r>
              <w:t xml:space="preserve">11,93</w:t>
            </w:r>
          </w:p>
        </w:tc>
        <w:tc>
          <w:tcPr/>
          <w:p>
            <w:pPr>
              <w:pStyle w:val="Compact"/>
              <w:jc w:val="right"/>
            </w:pPr>
            <w:r>
              <w:t xml:space="preserve">0,561</w:t>
            </w:r>
          </w:p>
        </w:tc>
        <w:tc>
          <w:tcPr/>
          <w:p>
            <w:pPr>
              <w:pStyle w:val="Compact"/>
              <w:jc w:val="right"/>
            </w:pPr>
            <w:r>
              <w:t xml:space="preserve">0,011</w:t>
            </w:r>
          </w:p>
        </w:tc>
      </w:tr>
      <w:tr>
        <w:tc>
          <w:tcPr/>
          <w:p>
            <w:pPr>
              <w:pStyle w:val="Compact"/>
            </w:pPr>
          </w:p>
        </w:tc>
        <w:tc>
          <w:tcPr/>
          <w:p>
            <w:pPr>
              <w:pStyle w:val="Compact"/>
              <w:jc w:val="left"/>
            </w:pPr>
            <w:r>
              <w:t xml:space="preserve">GARCH</w:t>
            </w:r>
          </w:p>
        </w:tc>
        <w:tc>
          <w:tcPr/>
          <w:p>
            <w:pPr>
              <w:pStyle w:val="Compact"/>
              <w:jc w:val="right"/>
            </w:pPr>
            <w:r>
              <w:t xml:space="preserve">-157,02</w:t>
            </w:r>
          </w:p>
        </w:tc>
        <w:tc>
          <w:tcPr/>
          <w:p>
            <w:pPr>
              <w:pStyle w:val="Compact"/>
              <w:jc w:val="right"/>
            </w:pPr>
            <w:r>
              <w:t xml:space="preserve">9,19</w:t>
            </w:r>
          </w:p>
        </w:tc>
        <w:tc>
          <w:tcPr/>
          <w:p>
            <w:pPr>
              <w:pStyle w:val="Compact"/>
              <w:jc w:val="right"/>
            </w:pPr>
            <w:r>
              <w:t xml:space="preserve">9,62</w:t>
            </w:r>
          </w:p>
        </w:tc>
        <w:tc>
          <w:tcPr/>
          <w:p>
            <w:pPr>
              <w:pStyle w:val="Compact"/>
              <w:jc w:val="right"/>
            </w:pPr>
            <w:r>
              <w:t xml:space="preserve">0,773</w:t>
            </w:r>
          </w:p>
        </w:tc>
        <w:tc>
          <w:tcPr/>
          <w:p>
            <w:pPr>
              <w:pStyle w:val="Compact"/>
              <w:jc w:val="right"/>
            </w:pPr>
            <w:r>
              <w:t xml:space="preserve">0,160</w:t>
            </w:r>
          </w:p>
        </w:tc>
      </w:tr>
      <w:tr>
        <w:tc>
          <w:tcPr/>
          <w:p>
            <w:pPr>
              <w:pStyle w:val="Compact"/>
            </w:pPr>
          </w:p>
        </w:tc>
        <w:tc>
          <w:tcPr/>
          <w:p>
            <w:pPr>
              <w:pStyle w:val="Compact"/>
              <w:jc w:val="left"/>
            </w:pPr>
            <w:r>
              <w:t xml:space="preserve">DCC-GARCH</w:t>
            </w:r>
          </w:p>
        </w:tc>
        <w:tc>
          <w:tcPr/>
          <w:p>
            <w:pPr>
              <w:pStyle w:val="Compact"/>
              <w:jc w:val="right"/>
            </w:pPr>
            <w:r>
              <w:t xml:space="preserve">-162,13</w:t>
            </w:r>
          </w:p>
        </w:tc>
        <w:tc>
          <w:tcPr/>
          <w:p>
            <w:pPr>
              <w:pStyle w:val="Compact"/>
              <w:jc w:val="right"/>
            </w:pPr>
            <w:r>
              <w:t xml:space="preserve">8,98</w:t>
            </w:r>
          </w:p>
        </w:tc>
        <w:tc>
          <w:tcPr/>
          <w:p>
            <w:pPr>
              <w:pStyle w:val="Compact"/>
              <w:jc w:val="right"/>
            </w:pPr>
            <w:r>
              <w:t xml:space="preserve">8,99</w:t>
            </w:r>
          </w:p>
        </w:tc>
        <w:tc>
          <w:tcPr/>
          <w:p>
            <w:pPr>
              <w:pStyle w:val="Compact"/>
              <w:jc w:val="right"/>
            </w:pPr>
            <w:r>
              <w:t xml:space="preserve">0,783</w:t>
            </w:r>
          </w:p>
        </w:tc>
        <w:tc>
          <w:tcPr/>
          <w:p>
            <w:pPr>
              <w:pStyle w:val="Compact"/>
              <w:jc w:val="right"/>
            </w:pPr>
            <w:r>
              <w:t xml:space="preserve">0,152</w:t>
            </w:r>
          </w:p>
        </w:tc>
      </w:tr>
    </w:tbl>
    <w:bookmarkEnd w:id="55"/>
    <w:p>
      <w:pPr>
        <w:pStyle w:val="BodyText"/>
      </w:pPr>
      <w:r>
        <w:t xml:space="preserve">20 simulierte Anlagen, Training 1008 Handelstage, Prognosehorizont 1 Tag; Performancekennzahlen für das MVP.</w:t>
      </w:r>
    </w:p>
    <w:p>
      <w:pPr>
        <w:pStyle w:val="BodyText"/>
      </w:pPr>
      <w:r>
        <w:t xml:space="preserve">Die DM-Tests in</w:t>
      </w:r>
      <w:r>
        <w:t xml:space="preserve"> </w:t>
      </w:r>
      <w:hyperlink w:anchor="tab:synth_dmw">
        <w:r>
          <w:rPr>
            <w:rStyle w:val="Hyperlink"/>
          </w:rPr>
          <w:t xml:space="preserve">Tabelle </w:t>
        </w:r>
        <w:hyperlink w:anchor="tab:synth_dmw">
          <w:r>
            <w:rPr>
              <w:rStyle w:val="Hyperlink"/>
            </w:rPr>
            <w:t xml:space="preserve">11</w:t>
          </w:r>
        </w:hyperlink>
      </w:hyperlink>
      <w:r>
        <w:t xml:space="preserve"> </w:t>
      </w:r>
      <w:r>
        <w:t xml:space="preserve">bestätigen dieses Muster formal.</w:t>
      </w:r>
      <w:r>
        <w:t xml:space="preserve"> </w:t>
      </w:r>
      <w:r>
        <w:t xml:space="preserve">Im Monte-Carlo-Prozess ist die Verlustdifferenz der dynamischen Schätzer gegenüber der historischen Matrix positiv</w:t>
      </w:r>
      <w:r>
        <w:t xml:space="preserve"> </w:t>
      </w:r>
      <w:r>
        <w:t xml:space="preserve">und mit</w:t>
      </w:r>
      <w:r>
        <w:t xml:space="preserve"> </w:t>
      </w:r>
      <m:oMath>
        <m:r>
          <m:t>t</m:t>
        </m:r>
        <m:r>
          <m:rPr>
            <m:sty m:val="p"/>
          </m:rPr>
          <m:t>≈</m:t>
        </m:r>
        <m:r>
          <m:t>6</m:t>
        </m:r>
      </m:oMath>
      <w:r>
        <w:t xml:space="preserve"> </w:t>
      </w:r>
      <w:r>
        <w:t xml:space="preserve">zwar signifikant, in der Höhe aber verschwindend gering</w:t>
      </w:r>
      <w:r>
        <w:rPr>
          <w:strike/>
        </w:rPr>
        <w:t xml:space="preserve">, also minimal schlechter</w:t>
      </w:r>
      <w:r>
        <w:t xml:space="preserve">, und zwischen GARCH und DCC nicht von null verschieden, weshalb die zusätzliche Parametrisierung dort keinen Beitrag liefert.</w:t>
      </w:r>
      <w:r>
        <w:t xml:space="preserve"> </w:t>
      </w:r>
      <w:r>
        <w:t xml:space="preserve">Beide dynamischen Schätzer sind im GARCH-Prozess signifikant besser als die historische Matrix, unterscheiden sich untereinander jedoch nicht, was korrekt ist, da die Korrelation dort konstant ist.</w:t>
      </w:r>
      <w:r>
        <w:t xml:space="preserve"> </w:t>
      </w:r>
      <w:r>
        <w:t xml:space="preserve">Erst im DCC-Prozess wird der Unterschied zwischen DCC und GARCH signifikant, sodass die Implementierung jeweils genau die Struktur erkennt, die tatsächlich vorhanden ist.</w:t>
      </w:r>
    </w:p>
    <w:bookmarkStart w:id="56" w:name="tab:synth_dmw"/>
    <w:p>
      <w:pPr>
        <w:pStyle w:val="TableCaption"/>
      </w:pPr>
      <w:r>
        <w:t xml:space="preserve">Synthetische Validierung: DM-Tests auf die QLIKE-Differenzen</w:t>
      </w:r>
    </w:p>
    <w:tbl>
      <w:tblPr>
        <w:tblStyle w:val="Table"/>
        <w:tblW w:type="auto" w:w="0"/>
        <w:tblLook w:firstRow="1" w:lastRow="0" w:firstColumn="0" w:lastColumn="0" w:noHBand="0" w:noVBand="0" w:val="0020"/>
        <w:tblCaption w:val="Synthetische Validierung: DM-Tests auf die QLIKE-Differenzen"/>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Datensatz</w:t>
            </w:r>
          </w:p>
        </w:tc>
        <w:tc>
          <w:tcPr>
            <w:gridSpan w:val="2"/>
          </w:tcPr>
          <w:p>
            <w:pPr>
              <w:pStyle w:val="Compact"/>
              <w:jc w:val="center"/>
            </w:pPr>
            <m:oMath>
              <m:r>
                <m:rPr>
                  <m:sty m:val="p"/>
                </m:rPr>
                <m:t>Δ</m:t>
              </m:r>
            </m:oMath>
            <w:r>
              <w:t xml:space="preserve"> </w:t>
            </w:r>
            <w:r>
              <w:t xml:space="preserve">G–H</w:t>
            </w:r>
          </w:p>
        </w:tc>
        <w:tc>
          <w:tcPr/>
          <w:p>
            <w:pPr>
              <w:pStyle w:val="Compact"/>
              <w:jc w:val="right"/>
            </w:pPr>
            <m:oMath>
              <m:r>
                <m:t>t</m:t>
              </m:r>
            </m:oMath>
          </w:p>
        </w:tc>
        <w:tc>
          <w:tcPr>
            <w:gridSpan w:val="2"/>
          </w:tcPr>
          <w:p>
            <w:pPr>
              <w:pStyle w:val="Compact"/>
              <w:jc w:val="center"/>
            </w:pPr>
            <m:oMath>
              <m:r>
                <m:rPr>
                  <m:sty m:val="p"/>
                </m:rPr>
                <m:t>Δ</m:t>
              </m:r>
            </m:oMath>
            <w:r>
              <w:t xml:space="preserve"> </w:t>
            </w:r>
            <w:r>
              <w:t xml:space="preserve">D–H</w:t>
            </w:r>
          </w:p>
        </w:tc>
        <w:tc>
          <w:tcPr/>
          <w:p>
            <w:pPr>
              <w:pStyle w:val="Compact"/>
              <w:jc w:val="right"/>
            </w:pPr>
            <m:oMath>
              <m:r>
                <m:t>t</m:t>
              </m:r>
            </m:oMath>
          </w:p>
        </w:tc>
        <w:tc>
          <w:tcPr>
            <w:gridSpan w:val="2"/>
          </w:tcPr>
          <w:p>
            <w:pPr>
              <w:pStyle w:val="Compact"/>
              <w:jc w:val="center"/>
            </w:pPr>
            <m:oMath>
              <m:r>
                <m:rPr>
                  <m:sty m:val="p"/>
                </m:rPr>
                <m:t>Δ</m:t>
              </m:r>
            </m:oMath>
            <w:r>
              <w:t xml:space="preserve"> </w:t>
            </w:r>
            <w:r>
              <w:t xml:space="preserve">D–G</w:t>
            </w:r>
          </w:p>
        </w:tc>
        <w:tc>
          <w:tcPr/>
          <w:p>
            <w:pPr>
              <w:pStyle w:val="Compact"/>
              <w:jc w:val="right"/>
            </w:pPr>
            <m:oMath>
              <m:r>
                <m:t>t</m:t>
              </m:r>
            </m:oMath>
          </w:p>
        </w:tc>
      </w:tr>
      <w:tr>
        <w:tc>
          <w:tcPr/>
          <w:p>
            <w:pPr>
              <w:pStyle w:val="Compact"/>
              <w:jc w:val="left"/>
            </w:pPr>
            <w:r>
              <w:t xml:space="preserve">Monte Carlo</w:t>
            </w:r>
          </w:p>
        </w:tc>
        <w:tc>
          <w:tcPr/>
          <w:p>
            <w:pPr>
              <w:pStyle w:val="Compact"/>
              <w:jc w:val="right"/>
            </w:pPr>
            <w:r>
              <w:t xml:space="preserve">0,029</w:t>
            </w:r>
          </w:p>
        </w:tc>
        <w:tc>
          <w:tcPr/>
          <w:p>
            <w:pPr>
              <w:pStyle w:val="Compact"/>
              <w:jc w:val="left"/>
            </w:pPr>
            <m:oMath>
              <m:sSup>
                <m:e>
                  <m:r>
                    <m:t>​</m:t>
                  </m:r>
                </m:e>
                <m:sup>
                  <m:r>
                    <m:rPr>
                      <m:sty m:val="p"/>
                    </m:rPr>
                    <m:t>*</m:t>
                  </m:r>
                  <m:r>
                    <m:rPr>
                      <m:sty m:val="p"/>
                    </m:rPr>
                    <m:t>*</m:t>
                  </m:r>
                  <m:r>
                    <m:rPr>
                      <m:sty m:val="p"/>
                    </m:rPr>
                    <m:t>*</m:t>
                  </m:r>
                </m:sup>
              </m:sSup>
            </m:oMath>
          </w:p>
        </w:tc>
        <w:tc>
          <w:tcPr/>
          <w:p>
            <w:pPr>
              <w:pStyle w:val="Compact"/>
              <w:jc w:val="right"/>
            </w:pPr>
            <w:r>
              <w:t xml:space="preserve">6,07</w:t>
            </w:r>
          </w:p>
        </w:tc>
        <w:tc>
          <w:tcPr/>
          <w:p>
            <w:pPr>
              <w:pStyle w:val="Compact"/>
              <w:jc w:val="right"/>
            </w:pPr>
            <w:r>
              <w:t xml:space="preserve">0,029</w:t>
            </w:r>
          </w:p>
        </w:tc>
        <w:tc>
          <w:tcPr/>
          <w:p>
            <w:pPr>
              <w:pStyle w:val="Compact"/>
              <w:jc w:val="left"/>
            </w:pPr>
            <m:oMath>
              <m:sSup>
                <m:e>
                  <m:r>
                    <m:t>​</m:t>
                  </m:r>
                </m:e>
                <m:sup>
                  <m:r>
                    <m:rPr>
                      <m:sty m:val="p"/>
                    </m:rPr>
                    <m:t>*</m:t>
                  </m:r>
                  <m:r>
                    <m:rPr>
                      <m:sty m:val="p"/>
                    </m:rPr>
                    <m:t>*</m:t>
                  </m:r>
                  <m:r>
                    <m:rPr>
                      <m:sty m:val="p"/>
                    </m:rPr>
                    <m:t>*</m:t>
                  </m:r>
                </m:sup>
              </m:sSup>
            </m:oMath>
          </w:p>
        </w:tc>
        <w:tc>
          <w:tcPr/>
          <w:p>
            <w:pPr>
              <w:pStyle w:val="Compact"/>
              <w:jc w:val="right"/>
            </w:pPr>
            <w:r>
              <w:t xml:space="preserve">6,12</w:t>
            </w:r>
          </w:p>
        </w:tc>
        <w:tc>
          <w:tcPr/>
          <w:p>
            <w:pPr>
              <w:pStyle w:val="Compact"/>
              <w:jc w:val="right"/>
            </w:pPr>
            <w:r>
              <w:t xml:space="preserve">0,000</w:t>
            </w:r>
          </w:p>
        </w:tc>
        <w:tc>
          <w:tcPr/>
          <w:p>
            <w:pPr>
              <w:pStyle w:val="Compact"/>
            </w:pPr>
          </w:p>
        </w:tc>
        <w:tc>
          <w:tcPr/>
          <w:p>
            <w:pPr>
              <w:pStyle w:val="Compact"/>
              <w:jc w:val="right"/>
            </w:pPr>
            <w:r>
              <w:t xml:space="preserve">0,32</w:t>
            </w:r>
          </w:p>
        </w:tc>
      </w:tr>
      <w:tr>
        <w:tc>
          <w:tcPr/>
          <w:p>
            <w:pPr>
              <w:pStyle w:val="Compact"/>
              <w:jc w:val="left"/>
            </w:pPr>
            <w:r>
              <w:t xml:space="preserve">GARCH-Sim.</w:t>
            </w:r>
          </w:p>
        </w:tc>
        <w:tc>
          <w:tcPr/>
          <w:p>
            <w:pPr>
              <w:pStyle w:val="Compact"/>
              <w:jc w:val="right"/>
            </w:pPr>
            <w:r>
              <w:t xml:space="preserve">-3,025</w:t>
            </w:r>
          </w:p>
        </w:tc>
        <w:tc>
          <w:tcPr/>
          <w:p>
            <w:pPr>
              <w:pStyle w:val="Compact"/>
              <w:jc w:val="left"/>
            </w:pPr>
            <m:oMath>
              <m:sSup>
                <m:e>
                  <m:r>
                    <m:t>​</m:t>
                  </m:r>
                </m:e>
                <m:sup>
                  <m:r>
                    <m:rPr>
                      <m:sty m:val="p"/>
                    </m:rPr>
                    <m:t>*</m:t>
                  </m:r>
                  <m:r>
                    <m:rPr>
                      <m:sty m:val="p"/>
                    </m:rPr>
                    <m:t>*</m:t>
                  </m:r>
                  <m:r>
                    <m:rPr>
                      <m:sty m:val="p"/>
                    </m:rPr>
                    <m:t>*</m:t>
                  </m:r>
                </m:sup>
              </m:sSup>
            </m:oMath>
          </w:p>
        </w:tc>
        <w:tc>
          <w:tcPr/>
          <w:p>
            <w:pPr>
              <w:pStyle w:val="Compact"/>
              <w:jc w:val="right"/>
            </w:pPr>
            <w:r>
              <w:t xml:space="preserve">-24,69</w:t>
            </w:r>
          </w:p>
        </w:tc>
        <w:tc>
          <w:tcPr/>
          <w:p>
            <w:pPr>
              <w:pStyle w:val="Compact"/>
              <w:jc w:val="right"/>
            </w:pPr>
            <w:r>
              <w:t xml:space="preserve">-3,024</w:t>
            </w:r>
          </w:p>
        </w:tc>
        <w:tc>
          <w:tcPr/>
          <w:p>
            <w:pPr>
              <w:pStyle w:val="Compact"/>
              <w:jc w:val="left"/>
            </w:pPr>
            <m:oMath>
              <m:sSup>
                <m:e>
                  <m:r>
                    <m:t>​</m:t>
                  </m:r>
                </m:e>
                <m:sup>
                  <m:r>
                    <m:rPr>
                      <m:sty m:val="p"/>
                    </m:rPr>
                    <m:t>*</m:t>
                  </m:r>
                  <m:r>
                    <m:rPr>
                      <m:sty m:val="p"/>
                    </m:rPr>
                    <m:t>*</m:t>
                  </m:r>
                  <m:r>
                    <m:rPr>
                      <m:sty m:val="p"/>
                    </m:rPr>
                    <m:t>*</m:t>
                  </m:r>
                </m:sup>
              </m:sSup>
            </m:oMath>
          </w:p>
        </w:tc>
        <w:tc>
          <w:tcPr/>
          <w:p>
            <w:pPr>
              <w:pStyle w:val="Compact"/>
              <w:jc w:val="right"/>
            </w:pPr>
            <w:r>
              <w:t xml:space="preserve">-24,68</w:t>
            </w:r>
          </w:p>
        </w:tc>
        <w:tc>
          <w:tcPr/>
          <w:p>
            <w:pPr>
              <w:pStyle w:val="Compact"/>
              <w:jc w:val="right"/>
            </w:pPr>
            <w:r>
              <w:t xml:space="preserve">0,000</w:t>
            </w:r>
          </w:p>
        </w:tc>
        <w:tc>
          <w:tcPr/>
          <w:p>
            <w:pPr>
              <w:pStyle w:val="Compact"/>
            </w:pPr>
          </w:p>
        </w:tc>
        <w:tc>
          <w:tcPr/>
          <w:p>
            <w:pPr>
              <w:pStyle w:val="Compact"/>
              <w:jc w:val="right"/>
            </w:pPr>
            <w:r>
              <w:t xml:space="preserve">1,28</w:t>
            </w:r>
          </w:p>
        </w:tc>
      </w:tr>
      <w:tr>
        <w:tc>
          <w:tcPr/>
          <w:p>
            <w:pPr>
              <w:pStyle w:val="Compact"/>
              <w:jc w:val="left"/>
            </w:pPr>
            <w:r>
              <w:t xml:space="preserve">DCC-Sim.</w:t>
            </w:r>
          </w:p>
        </w:tc>
        <w:tc>
          <w:tcPr/>
          <w:p>
            <w:pPr>
              <w:pStyle w:val="Compact"/>
              <w:jc w:val="right"/>
            </w:pPr>
            <w:r>
              <w:t xml:space="preserve">-2,887</w:t>
            </w:r>
          </w:p>
        </w:tc>
        <w:tc>
          <w:tcPr/>
          <w:p>
            <w:pPr>
              <w:pStyle w:val="Compact"/>
              <w:jc w:val="left"/>
            </w:pPr>
            <m:oMath>
              <m:sSup>
                <m:e>
                  <m:r>
                    <m:t>​</m:t>
                  </m:r>
                </m:e>
                <m:sup>
                  <m:r>
                    <m:rPr>
                      <m:sty m:val="p"/>
                    </m:rPr>
                    <m:t>*</m:t>
                  </m:r>
                  <m:r>
                    <m:rPr>
                      <m:sty m:val="p"/>
                    </m:rPr>
                    <m:t>*</m:t>
                  </m:r>
                  <m:r>
                    <m:rPr>
                      <m:sty m:val="p"/>
                    </m:rPr>
                    <m:t>*</m:t>
                  </m:r>
                </m:sup>
              </m:sSup>
            </m:oMath>
          </w:p>
        </w:tc>
        <w:tc>
          <w:tcPr/>
          <w:p>
            <w:pPr>
              <w:pStyle w:val="Compact"/>
              <w:jc w:val="right"/>
            </w:pPr>
            <w:r>
              <w:t xml:space="preserve">-15,64</w:t>
            </w:r>
          </w:p>
        </w:tc>
        <w:tc>
          <w:tcPr/>
          <w:p>
            <w:pPr>
              <w:pStyle w:val="Compact"/>
              <w:jc w:val="right"/>
            </w:pPr>
            <w:r>
              <w:t xml:space="preserve">-7,998</w:t>
            </w:r>
          </w:p>
        </w:tc>
        <w:tc>
          <w:tcPr/>
          <w:p>
            <w:pPr>
              <w:pStyle w:val="Compact"/>
              <w:jc w:val="left"/>
            </w:pPr>
            <m:oMath>
              <m:sSup>
                <m:e>
                  <m:r>
                    <m:t>​</m:t>
                  </m:r>
                </m:e>
                <m:sup>
                  <m:r>
                    <m:rPr>
                      <m:sty m:val="p"/>
                    </m:rPr>
                    <m:t>*</m:t>
                  </m:r>
                  <m:r>
                    <m:rPr>
                      <m:sty m:val="p"/>
                    </m:rPr>
                    <m:t>*</m:t>
                  </m:r>
                  <m:r>
                    <m:rPr>
                      <m:sty m:val="p"/>
                    </m:rPr>
                    <m:t>*</m:t>
                  </m:r>
                </m:sup>
              </m:sSup>
            </m:oMath>
          </w:p>
        </w:tc>
        <w:tc>
          <w:tcPr/>
          <w:p>
            <w:pPr>
              <w:pStyle w:val="Compact"/>
              <w:jc w:val="right"/>
            </w:pPr>
            <w:r>
              <w:t xml:space="preserve">-35,68</w:t>
            </w:r>
          </w:p>
        </w:tc>
        <w:tc>
          <w:tcPr/>
          <w:p>
            <w:pPr>
              <w:pStyle w:val="Compact"/>
              <w:jc w:val="right"/>
            </w:pPr>
            <w:r>
              <w:t xml:space="preserve">-5,111</w:t>
            </w:r>
          </w:p>
        </w:tc>
        <w:tc>
          <w:tcPr/>
          <w:p>
            <w:pPr>
              <w:pStyle w:val="Compact"/>
              <w:jc w:val="left"/>
            </w:pPr>
            <m:oMath>
              <m:sSup>
                <m:e>
                  <m:r>
                    <m:t>​</m:t>
                  </m:r>
                </m:e>
                <m:sup>
                  <m:r>
                    <m:rPr>
                      <m:sty m:val="p"/>
                    </m:rPr>
                    <m:t>*</m:t>
                  </m:r>
                  <m:r>
                    <m:rPr>
                      <m:sty m:val="p"/>
                    </m:rPr>
                    <m:t>*</m:t>
                  </m:r>
                  <m:r>
                    <m:rPr>
                      <m:sty m:val="p"/>
                    </m:rPr>
                    <m:t>*</m:t>
                  </m:r>
                </m:sup>
              </m:sSup>
            </m:oMath>
          </w:p>
        </w:tc>
        <w:tc>
          <w:tcPr/>
          <w:p>
            <w:pPr>
              <w:pStyle w:val="Compact"/>
              <w:jc w:val="right"/>
            </w:pPr>
            <w:r>
              <w:t xml:space="preserve">-49,85</w:t>
            </w:r>
          </w:p>
        </w:tc>
      </w:tr>
    </w:tbl>
    <w:bookmarkEnd w:id="56"/>
    <w:p>
      <w:pPr>
        <w:pStyle w:val="BodyText"/>
      </w:pPr>
      <w:r>
        <w:t xml:space="preserve">G = GARCH, D = DCC-GARCH, H = historisch; negative Differenzen bedeuten eine bessere Prognose.</w:t>
      </w:r>
      <w:r>
        <w:t xml:space="preserve"> </w:t>
      </w:r>
      <m:oMath>
        <m:sSup>
          <m:e>
            <m:r>
              <m:t>​</m:t>
            </m:r>
          </m:e>
          <m:sup>
            <m:r>
              <m:rPr>
                <m:sty m:val="p"/>
              </m:rPr>
              <m:t>*</m:t>
            </m:r>
            <m:r>
              <m:rPr>
                <m:sty m:val="p"/>
              </m:rPr>
              <m:t>*</m:t>
            </m:r>
            <m:r>
              <m:rPr>
                <m:sty m:val="p"/>
              </m:rPr>
              <m:t>*</m:t>
            </m:r>
          </m:sup>
        </m:sSup>
      </m:oMath>
      <w:r>
        <w:t xml:space="preserve">,</w:t>
      </w:r>
      <w:r>
        <w:t xml:space="preserve"> </w:t>
      </w:r>
      <m:oMath>
        <m:sSup>
          <m:e>
            <m:r>
              <m:t>​</m:t>
            </m:r>
          </m:e>
          <m:sup>
            <m:r>
              <m:rPr>
                <m:sty m:val="p"/>
              </m:rPr>
              <m:t>*</m:t>
            </m:r>
            <m:r>
              <m:rPr>
                <m:sty m:val="p"/>
              </m:rPr>
              <m:t>*</m:t>
            </m:r>
          </m:sup>
        </m:sSup>
      </m:oMath>
      <w:r>
        <w:t xml:space="preserve">,</w:t>
      </w:r>
      <w:r>
        <w:t xml:space="preserve"> </w:t>
      </w:r>
      <m:oMath>
        <m:sSup>
          <m:e>
            <m:r>
              <m:t>​</m:t>
            </m:r>
          </m:e>
          <m:sup>
            <m:r>
              <m:rPr>
                <m:sty m:val="p"/>
              </m:rPr>
              <m:t>*</m:t>
            </m:r>
          </m:sup>
        </m:sSup>
      </m:oMath>
      <w:r>
        <w:t xml:space="preserve"> </w:t>
      </w:r>
      <w:r>
        <w:t xml:space="preserve">= 1-, 5-, 10-%-Niveau.</w:t>
      </w:r>
    </w:p>
    <w:p>
      <w:pPr>
        <w:pStyle w:val="BodyText"/>
      </w:pPr>
      <w:r>
        <w:t xml:space="preserve">Den Gegentest zur Diskussion des Strukturbruchs liefert</w:t>
      </w:r>
      <w:r>
        <w:t xml:space="preserve"> </w:t>
      </w:r>
      <w:hyperlink w:anchor="tab:synth_stabilitaet">
        <w:r>
          <w:rPr>
            <w:rStyle w:val="Hyperlink"/>
          </w:rPr>
          <w:t xml:space="preserve">Tabelle </w:t>
        </w:r>
        <w:hyperlink w:anchor="tab:synth_stabilitaet">
          <w:r>
            <w:rPr>
              <w:rStyle w:val="Hyperlink"/>
            </w:rPr>
            <w:t xml:space="preserve">[tab:synth_stabilitaet]</w:t>
          </w:r>
        </w:hyperlink>
      </w:hyperlink>
      <w:r>
        <w:t xml:space="preserve">.</w:t>
      </w:r>
      <w:r>
        <w:t xml:space="preserve"> </w:t>
      </w:r>
      <w:r>
        <w:t xml:space="preserve">Bewertet wird nach demselben Protokoll wie im empirischen Teil, also ab 2010.</w:t>
      </w:r>
      <w:r>
        <w:t xml:space="preserve"> </w:t>
      </w:r>
      <w:r>
        <w:t xml:space="preserve">Da das Universum konstant 20 Anlagen umfasst und die Parameter des Prozesses über die gesamte Stichprobe unverändert bleiben, sollte sich das Niveau der Prognosekennzahlen über die Trainingsfenster hinweg nicht systematisch verschieben.</w:t>
      </w:r>
      <w:r>
        <w:t xml:space="preserve"> </w:t>
      </w:r>
      <w:r>
        <w:t xml:space="preserve">Genau das ist der Fall, da das QLIKE-Niveau der historischen Matrix über alle zehn Fenster nur um</w:t>
      </w:r>
      <w:r>
        <w:t xml:space="preserve"> </w:t>
      </w:r>
      <w:r>
        <w:rPr>
          <w:strike/>
        </w:rPr>
        <w:t xml:space="preserve">wenige Zehntel</w:t>
      </w:r>
      <w:r>
        <w:t xml:space="preserve">höchstens gut zwei Punkte</w:t>
      </w:r>
      <w:r>
        <w:t xml:space="preserve"> </w:t>
      </w:r>
      <w:r>
        <w:t xml:space="preserve">schwankt, während die entsprechende Spannweite in den empirischen Daten über 30 Punkte beträgt.</w:t>
      </w:r>
      <w:r>
        <w:t xml:space="preserve"> </w:t>
      </w:r>
      <w:r>
        <w:t xml:space="preserve">Beim MSE ist das Niveau sogar praktisch konstant.</w:t>
      </w:r>
      <w:r>
        <w:t xml:space="preserve"> </w:t>
      </w:r>
      <w:r>
        <w:t xml:space="preserve">Auch die Rangfolge kehrt sich in keinem Fenster um, weil DCC in allen 20 ausgewiesenen Läufen unter beiden Verlustmaßen besser prognostiziert als die historische Matrix und sich die Differenz bei längeren Trainingsfenstern auf einem konstanten Niveau stabilisiert.</w:t>
      </w:r>
      <w:r>
        <w:t xml:space="preserve"> </w:t>
      </w:r>
      <w:r>
        <w:t xml:space="preserve">Im GARCH-Datensatz stimmen die Werte des GARCH- und des DCC-Schätzers dabei exakt überein, da die Korrelation dort konstant ist und die zusätzliche Rekursion folglich nichts beiträgt.</w:t>
      </w:r>
    </w:p>
    <w:p>
      <w:pPr>
        <w:pStyle w:val="BodyText"/>
      </w:pPr>
      <w:r>
        <w:t xml:space="preserve">Bewertet ab 01.01.2010; das Universum ist mit 20 Anlagen konstant.</w:t>
      </w:r>
    </w:p>
    <w:p>
      <w:pPr>
        <w:pStyle w:val="BodyText"/>
      </w:pPr>
      <w:r>
        <w:t xml:space="preserve">Die ökonomischen Kennzahlen schwanken auch hier spürbar, obwohl der Prozess vollkommen stabil ist.</w:t>
      </w:r>
      <w:r>
        <w:t xml:space="preserve"> </w:t>
      </w:r>
      <w:r>
        <w:t xml:space="preserve">Beim GARCH-Datensatz schlägt der historische Schätzer in den beiden kürzesten Fenstern sogar den DCC-Schätzer, obwohl er dort mit Sicherheit falsch spezifiziert ist.</w:t>
      </w:r>
      <w:r>
        <w:t xml:space="preserve"> </w:t>
      </w:r>
      <w:r>
        <w:t xml:space="preserve">Das ist kein Widerspruch, sondern eine weitere Bestätigung des Arguments aus dem</w:t>
      </w:r>
      <w:r>
        <w:t xml:space="preserve"> </w:t>
      </w:r>
      <w:hyperlink w:anchor="sec:oekonomisch">
        <w:r>
          <w:rPr>
            <w:rStyle w:val="Hyperlink"/>
          </w:rPr>
          <w:t xml:space="preserve">Abschnitt zur ökonomischen Performance</w:t>
        </w:r>
      </w:hyperlink>
      <w:r>
        <w:t xml:space="preserve">.</w:t>
      </w:r>
      <w:r>
        <w:t xml:space="preserve"> </w:t>
      </w:r>
      <w:r>
        <w:t xml:space="preserve">Selbst bei bekanntem datengenerierendem Prozess ist die Sharpe Ratio zu verrauscht, um Kovarianzschätzer zuverlässig zu ordnen, während die Prognosekennzahlen ein klares Signal liefern.</w:t>
      </w:r>
    </w:p>
    <w:bookmarkEnd w:id="57"/>
    <w:bookmarkStart w:id="107" w:name="sec:anhang_kosten"/>
    <w:p>
      <w:pPr>
        <w:pStyle w:val="Heading1"/>
      </w:pPr>
      <w:r>
        <w:t xml:space="preserve">Transaktionskosten</w:t>
      </w:r>
    </w:p>
    <w:p>
      <w:pPr>
        <w:pStyle w:val="FirstParagraph"/>
      </w:pPr>
      <w:hyperlink w:anchor="tab:transaktionskosten">
        <w:r>
          <w:rPr>
            <w:rStyle w:val="Hyperlink"/>
          </w:rPr>
          <w:t xml:space="preserve">Tabelle </w:t>
        </w:r>
        <w:hyperlink w:anchor="tab:transaktionskosten">
          <w:r>
            <w:rPr>
              <w:rStyle w:val="Hyperlink"/>
            </w:rPr>
            <w:t xml:space="preserve">12</w:t>
          </w:r>
        </w:hyperlink>
      </w:hyperlink>
      <w:r>
        <w:t xml:space="preserve"> </w:t>
      </w:r>
      <w:r>
        <w:t xml:space="preserve">weist die Sharpe Ratios des Basisfalls nach Abzug proportionaler Transaktionskosten auf das je Rebalancierung umgeschlagene Volumen aus.</w:t>
      </w:r>
    </w:p>
    <w:bookmarkStart w:id="58" w:name="tab:transaktionskosten"/>
    <w:p>
      <w:pPr>
        <w:pStyle w:val="TableCaption"/>
      </w:pPr>
      <w:r>
        <w:t xml:space="preserve">Sharpe Ratios nach proportionalen Transaktionskosten (Basisfall)</w:t>
      </w:r>
    </w:p>
    <w:tbl>
      <w:tblPr>
        <w:tblStyle w:val="Table"/>
        <w:tblW w:type="auto" w:w="0"/>
        <w:tblLook w:firstRow="1" w:lastRow="0" w:firstColumn="0" w:lastColumn="0" w:noHBand="0" w:noVBand="0" w:val="0020"/>
        <w:tblCaption w:val="Sharpe Ratios nach proportionalen Transaktionskosten (Basisfall)"/>
      </w:tblPr>
      <w:tblGrid>
        <w:gridCol w:w="1131"/>
        <w:gridCol w:w="1131"/>
        <w:gridCol w:w="1131"/>
        <w:gridCol w:w="1131"/>
        <w:gridCol w:w="1131"/>
        <w:gridCol w:w="1131"/>
        <w:gridCol w:w="1131"/>
      </w:tblGrid>
      <w:tr>
        <w:trPr>
          <w:tblHeader w:val="on"/>
        </w:trPr>
        <w:tc>
          <w:tcPr/>
          <w:p>
            <w:pPr>
              <w:pStyle w:val="Compact"/>
              <w:jc w:val="left"/>
            </w:pPr>
            <w:r>
              <w:t xml:space="preserve">Modell</w:t>
            </w:r>
          </w:p>
        </w:tc>
        <w:tc>
          <w:tcPr/>
          <w:p>
            <w:pPr>
              <w:pStyle w:val="Compact"/>
              <w:jc w:val="left"/>
            </w:pPr>
            <w:r>
              <w:t xml:space="preserve">Kovarianz</w:t>
            </w:r>
          </w:p>
        </w:tc>
        <w:tc>
          <w:tcPr/>
          <w:p>
            <w:pPr>
              <w:pStyle w:val="Compact"/>
              <w:jc w:val="right"/>
            </w:pPr>
            <w:r>
              <w:t xml:space="preserve">Turnover</w:t>
            </w:r>
          </w:p>
        </w:tc>
        <w:tc>
          <w:tcPr/>
          <w:p>
            <w:pPr>
              <w:pStyle w:val="Compact"/>
              <w:jc w:val="right"/>
            </w:pPr>
            <w:r>
              <w:t xml:space="preserve">0 Bp.</w:t>
            </w:r>
          </w:p>
        </w:tc>
        <w:tc>
          <w:tcPr/>
          <w:p>
            <w:pPr>
              <w:pStyle w:val="Compact"/>
              <w:jc w:val="right"/>
            </w:pPr>
            <w:r>
              <w:t xml:space="preserve">5 Bp.</w:t>
            </w:r>
          </w:p>
        </w:tc>
        <w:tc>
          <w:tcPr/>
          <w:p>
            <w:pPr>
              <w:pStyle w:val="Compact"/>
              <w:jc w:val="right"/>
            </w:pPr>
            <w:r>
              <w:t xml:space="preserve">10 Bp.</w:t>
            </w:r>
          </w:p>
        </w:tc>
        <w:tc>
          <w:tcPr/>
          <w:p>
            <w:pPr>
              <w:pStyle w:val="Compact"/>
              <w:jc w:val="right"/>
            </w:pPr>
            <w:r>
              <w:t xml:space="preserve">20 Bp.</w:t>
            </w:r>
          </w:p>
        </w:tc>
      </w:tr>
      <w:tr>
        <w:tc>
          <w:tcPr/>
          <w:p>
            <w:pPr>
              <w:pStyle w:val="Compact"/>
              <w:jc w:val="left"/>
            </w:pPr>
            <w:r>
              <w:t xml:space="preserve">MVP</w:t>
            </w:r>
          </w:p>
        </w:tc>
        <w:tc>
          <w:tcPr/>
          <w:p>
            <w:pPr>
              <w:pStyle w:val="Compact"/>
              <w:jc w:val="left"/>
            </w:pPr>
            <w:r>
              <w:t xml:space="preserve">Historisch</w:t>
            </w:r>
          </w:p>
        </w:tc>
        <w:tc>
          <w:tcPr/>
          <w:p>
            <w:pPr>
              <w:pStyle w:val="Compact"/>
              <w:jc w:val="right"/>
            </w:pPr>
            <w:r>
              <w:t xml:space="preserve">0,008</w:t>
            </w:r>
          </w:p>
        </w:tc>
        <w:tc>
          <w:tcPr/>
          <w:p>
            <w:pPr>
              <w:pStyle w:val="Compact"/>
              <w:jc w:val="right"/>
            </w:pPr>
            <w:r>
              <w:t xml:space="preserve">0,695</w:t>
            </w:r>
          </w:p>
        </w:tc>
        <w:tc>
          <w:tcPr/>
          <w:p>
            <w:pPr>
              <w:pStyle w:val="Compact"/>
              <w:jc w:val="right"/>
            </w:pPr>
            <w:r>
              <w:t xml:space="preserve">0,688</w:t>
            </w:r>
          </w:p>
        </w:tc>
        <w:tc>
          <w:tcPr/>
          <w:p>
            <w:pPr>
              <w:pStyle w:val="Compact"/>
              <w:jc w:val="right"/>
            </w:pPr>
            <w:r>
              <w:t xml:space="preserve">0,680</w:t>
            </w:r>
          </w:p>
        </w:tc>
        <w:tc>
          <w:tcPr/>
          <w:p>
            <w:pPr>
              <w:pStyle w:val="Compact"/>
              <w:jc w:val="right"/>
            </w:pPr>
            <w:r>
              <w:t xml:space="preserve">0,666</w:t>
            </w:r>
          </w:p>
        </w:tc>
      </w:tr>
      <w:tr>
        <w:tc>
          <w:tcPr/>
          <w:p>
            <w:pPr>
              <w:pStyle w:val="Compact"/>
              <w:jc w:val="left"/>
            </w:pPr>
            <w:r>
              <w:t xml:space="preserve">MVP</w:t>
            </w:r>
          </w:p>
        </w:tc>
        <w:tc>
          <w:tcPr/>
          <w:p>
            <w:pPr>
              <w:pStyle w:val="Compact"/>
              <w:jc w:val="left"/>
            </w:pPr>
            <w:r>
              <w:t xml:space="preserve">GARCH</w:t>
            </w:r>
          </w:p>
        </w:tc>
        <w:tc>
          <w:tcPr/>
          <w:p>
            <w:pPr>
              <w:pStyle w:val="Compact"/>
              <w:jc w:val="right"/>
            </w:pPr>
            <w:r>
              <w:t xml:space="preserve">0,258</w:t>
            </w:r>
          </w:p>
        </w:tc>
        <w:tc>
          <w:tcPr/>
          <w:p>
            <w:pPr>
              <w:pStyle w:val="Compact"/>
              <w:jc w:val="right"/>
            </w:pPr>
            <w:r>
              <w:t xml:space="preserve">0,658</w:t>
            </w:r>
          </w:p>
        </w:tc>
        <w:tc>
          <w:tcPr/>
          <w:p>
            <w:pPr>
              <w:pStyle w:val="Compact"/>
              <w:jc w:val="right"/>
            </w:pPr>
            <w:r>
              <w:t xml:space="preserve">0,425</w:t>
            </w:r>
          </w:p>
        </w:tc>
        <w:tc>
          <w:tcPr/>
          <w:p>
            <w:pPr>
              <w:pStyle w:val="Compact"/>
              <w:jc w:val="right"/>
            </w:pPr>
            <w:r>
              <w:t xml:space="preserve">0,192</w:t>
            </w:r>
          </w:p>
        </w:tc>
        <w:tc>
          <w:tcPr/>
          <w:p>
            <w:pPr>
              <w:pStyle w:val="Compact"/>
              <w:jc w:val="right"/>
            </w:pPr>
            <w:r>
              <w:t xml:space="preserve">-0,274</w:t>
            </w:r>
          </w:p>
        </w:tc>
      </w:tr>
      <w:tr>
        <w:tc>
          <w:tcPr/>
          <w:p>
            <w:pPr>
              <w:pStyle w:val="Compact"/>
              <w:jc w:val="left"/>
            </w:pPr>
            <w:r>
              <w:t xml:space="preserve">MVP</w:t>
            </w:r>
          </w:p>
        </w:tc>
        <w:tc>
          <w:tcPr/>
          <w:p>
            <w:pPr>
              <w:pStyle w:val="Compact"/>
              <w:jc w:val="left"/>
            </w:pPr>
            <w:r>
              <w:t xml:space="preserve">DCC-GARCH</w:t>
            </w:r>
          </w:p>
        </w:tc>
        <w:tc>
          <w:tcPr/>
          <w:p>
            <w:pPr>
              <w:pStyle w:val="Compact"/>
              <w:jc w:val="right"/>
            </w:pPr>
            <w:r>
              <w:t xml:space="preserve">0,255</w:t>
            </w:r>
          </w:p>
        </w:tc>
        <w:tc>
          <w:tcPr/>
          <w:p>
            <w:pPr>
              <w:pStyle w:val="Compact"/>
              <w:jc w:val="right"/>
            </w:pPr>
            <w:r>
              <w:t xml:space="preserve">0,671</w:t>
            </w:r>
          </w:p>
        </w:tc>
        <w:tc>
          <w:tcPr/>
          <w:p>
            <w:pPr>
              <w:pStyle w:val="Compact"/>
              <w:jc w:val="right"/>
            </w:pPr>
            <w:r>
              <w:t xml:space="preserve">0,438</w:t>
            </w:r>
          </w:p>
        </w:tc>
        <w:tc>
          <w:tcPr/>
          <w:p>
            <w:pPr>
              <w:pStyle w:val="Compact"/>
              <w:jc w:val="right"/>
            </w:pPr>
            <w:r>
              <w:t xml:space="preserve">0,205</w:t>
            </w:r>
          </w:p>
        </w:tc>
        <w:tc>
          <w:tcPr/>
          <w:p>
            <w:pPr>
              <w:pStyle w:val="Compact"/>
              <w:jc w:val="right"/>
            </w:pPr>
            <w:r>
              <w:t xml:space="preserve">-0,261</w:t>
            </w:r>
          </w:p>
        </w:tc>
      </w:tr>
      <w:tr>
        <w:tc>
          <w:tcPr/>
          <w:p>
            <w:pPr>
              <w:pStyle w:val="Compact"/>
              <w:jc w:val="left"/>
            </w:pPr>
            <w:r>
              <w:t xml:space="preserve">HRP</w:t>
            </w:r>
          </w:p>
        </w:tc>
        <w:tc>
          <w:tcPr/>
          <w:p>
            <w:pPr>
              <w:pStyle w:val="Compact"/>
              <w:jc w:val="left"/>
            </w:pPr>
            <w:r>
              <w:t xml:space="preserve">Historisch</w:t>
            </w:r>
          </w:p>
        </w:tc>
        <w:tc>
          <w:tcPr/>
          <w:p>
            <w:pPr>
              <w:pStyle w:val="Compact"/>
              <w:jc w:val="right"/>
            </w:pPr>
            <w:r>
              <w:t xml:space="preserve">0,012</w:t>
            </w:r>
          </w:p>
        </w:tc>
        <w:tc>
          <w:tcPr/>
          <w:p>
            <w:pPr>
              <w:pStyle w:val="Compact"/>
              <w:jc w:val="right"/>
            </w:pPr>
            <w:r>
              <w:t xml:space="preserve">0,614</w:t>
            </w:r>
          </w:p>
        </w:tc>
        <w:tc>
          <w:tcPr/>
          <w:p>
            <w:pPr>
              <w:pStyle w:val="Compact"/>
              <w:jc w:val="right"/>
            </w:pPr>
            <w:r>
              <w:t xml:space="preserve">0,605</w:t>
            </w:r>
          </w:p>
        </w:tc>
        <w:tc>
          <w:tcPr/>
          <w:p>
            <w:pPr>
              <w:pStyle w:val="Compact"/>
              <w:jc w:val="right"/>
            </w:pPr>
            <w:r>
              <w:t xml:space="preserve">0,595</w:t>
            </w:r>
          </w:p>
        </w:tc>
        <w:tc>
          <w:tcPr/>
          <w:p>
            <w:pPr>
              <w:pStyle w:val="Compact"/>
              <w:jc w:val="right"/>
            </w:pPr>
            <w:r>
              <w:t xml:space="preserve">0,577</w:t>
            </w:r>
          </w:p>
        </w:tc>
      </w:tr>
      <w:tr>
        <w:tc>
          <w:tcPr/>
          <w:p>
            <w:pPr>
              <w:pStyle w:val="Compact"/>
              <w:jc w:val="left"/>
            </w:pPr>
            <w:r>
              <w:t xml:space="preserve">HRP</w:t>
            </w:r>
          </w:p>
        </w:tc>
        <w:tc>
          <w:tcPr/>
          <w:p>
            <w:pPr>
              <w:pStyle w:val="Compact"/>
              <w:jc w:val="left"/>
            </w:pPr>
            <w:r>
              <w:t xml:space="preserve">GARCH</w:t>
            </w:r>
          </w:p>
        </w:tc>
        <w:tc>
          <w:tcPr/>
          <w:p>
            <w:pPr>
              <w:pStyle w:val="Compact"/>
              <w:jc w:val="right"/>
            </w:pPr>
            <w:r>
              <w:t xml:space="preserve">0,072</w:t>
            </w:r>
          </w:p>
        </w:tc>
        <w:tc>
          <w:tcPr/>
          <w:p>
            <w:pPr>
              <w:pStyle w:val="Compact"/>
              <w:jc w:val="right"/>
            </w:pPr>
            <w:r>
              <w:t xml:space="preserve">0,611</w:t>
            </w:r>
          </w:p>
        </w:tc>
        <w:tc>
          <w:tcPr/>
          <w:p>
            <w:pPr>
              <w:pStyle w:val="Compact"/>
              <w:jc w:val="right"/>
            </w:pPr>
            <w:r>
              <w:t xml:space="preserve">0,555</w:t>
            </w:r>
          </w:p>
        </w:tc>
        <w:tc>
          <w:tcPr/>
          <w:p>
            <w:pPr>
              <w:pStyle w:val="Compact"/>
              <w:jc w:val="right"/>
            </w:pPr>
            <w:r>
              <w:t xml:space="preserve">0,499</w:t>
            </w:r>
          </w:p>
        </w:tc>
        <w:tc>
          <w:tcPr/>
          <w:p>
            <w:pPr>
              <w:pStyle w:val="Compact"/>
              <w:jc w:val="right"/>
            </w:pPr>
            <w:r>
              <w:t xml:space="preserve">0,388</w:t>
            </w:r>
          </w:p>
        </w:tc>
      </w:tr>
      <w:tr>
        <w:tc>
          <w:tcPr/>
          <w:p>
            <w:pPr>
              <w:pStyle w:val="Compact"/>
              <w:jc w:val="left"/>
            </w:pPr>
            <w:r>
              <w:t xml:space="preserve">HRP</w:t>
            </w:r>
          </w:p>
        </w:tc>
        <w:tc>
          <w:tcPr/>
          <w:p>
            <w:pPr>
              <w:pStyle w:val="Compact"/>
              <w:jc w:val="left"/>
            </w:pPr>
            <w:r>
              <w:t xml:space="preserve">DCC-GARCH</w:t>
            </w:r>
          </w:p>
        </w:tc>
        <w:tc>
          <w:tcPr/>
          <w:p>
            <w:pPr>
              <w:pStyle w:val="Compact"/>
              <w:jc w:val="right"/>
            </w:pPr>
            <w:r>
              <w:t xml:space="preserve">0,094</w:t>
            </w:r>
          </w:p>
        </w:tc>
        <w:tc>
          <w:tcPr/>
          <w:p>
            <w:pPr>
              <w:pStyle w:val="Compact"/>
              <w:jc w:val="right"/>
            </w:pPr>
            <w:r>
              <w:t xml:space="preserve">0,622</w:t>
            </w:r>
          </w:p>
        </w:tc>
        <w:tc>
          <w:tcPr/>
          <w:p>
            <w:pPr>
              <w:pStyle w:val="Compact"/>
              <w:jc w:val="right"/>
            </w:pPr>
            <w:r>
              <w:t xml:space="preserve">0,548</w:t>
            </w:r>
          </w:p>
        </w:tc>
        <w:tc>
          <w:tcPr/>
          <w:p>
            <w:pPr>
              <w:pStyle w:val="Compact"/>
              <w:jc w:val="right"/>
            </w:pPr>
            <w:r>
              <w:t xml:space="preserve">0,474</w:t>
            </w:r>
          </w:p>
        </w:tc>
        <w:tc>
          <w:tcPr/>
          <w:p>
            <w:pPr>
              <w:pStyle w:val="Compact"/>
              <w:jc w:val="right"/>
            </w:pPr>
            <w:r>
              <w:t xml:space="preserve">0,327</w:t>
            </w:r>
          </w:p>
        </w:tc>
      </w:tr>
      <w:tr>
        <w:tc>
          <w:tcPr/>
          <w:p>
            <w:pPr>
              <w:pStyle w:val="Compact"/>
              <w:jc w:val="left"/>
            </w:pPr>
            <w:r>
              <w:t xml:space="preserve">ERC</w:t>
            </w:r>
          </w:p>
        </w:tc>
        <w:tc>
          <w:tcPr/>
          <w:p>
            <w:pPr>
              <w:pStyle w:val="Compact"/>
              <w:jc w:val="left"/>
            </w:pPr>
            <w:r>
              <w:t xml:space="preserve">Historisch</w:t>
            </w:r>
          </w:p>
        </w:tc>
        <w:tc>
          <w:tcPr/>
          <w:p>
            <w:pPr>
              <w:pStyle w:val="Compact"/>
              <w:jc w:val="right"/>
            </w:pPr>
            <w:r>
              <w:t xml:space="preserve">0,006</w:t>
            </w:r>
          </w:p>
        </w:tc>
        <w:tc>
          <w:tcPr/>
          <w:p>
            <w:pPr>
              <w:pStyle w:val="Compact"/>
              <w:jc w:val="right"/>
            </w:pPr>
            <w:r>
              <w:t xml:space="preserve">0,601</w:t>
            </w:r>
          </w:p>
        </w:tc>
        <w:tc>
          <w:tcPr/>
          <w:p>
            <w:pPr>
              <w:pStyle w:val="Compact"/>
              <w:jc w:val="right"/>
            </w:pPr>
            <w:r>
              <w:t xml:space="preserve">0,596</w:t>
            </w:r>
          </w:p>
        </w:tc>
        <w:tc>
          <w:tcPr/>
          <w:p>
            <w:pPr>
              <w:pStyle w:val="Compact"/>
              <w:jc w:val="right"/>
            </w:pPr>
            <w:r>
              <w:t xml:space="preserve">0,592</w:t>
            </w:r>
          </w:p>
        </w:tc>
        <w:tc>
          <w:tcPr/>
          <w:p>
            <w:pPr>
              <w:pStyle w:val="Compact"/>
              <w:jc w:val="right"/>
            </w:pPr>
            <w:r>
              <w:t xml:space="preserve">0,584</w:t>
            </w:r>
          </w:p>
        </w:tc>
      </w:tr>
      <w:tr>
        <w:tc>
          <w:tcPr/>
          <w:p>
            <w:pPr>
              <w:pStyle w:val="Compact"/>
              <w:jc w:val="left"/>
            </w:pPr>
            <w:r>
              <w:t xml:space="preserve">ERC</w:t>
            </w:r>
          </w:p>
        </w:tc>
        <w:tc>
          <w:tcPr/>
          <w:p>
            <w:pPr>
              <w:pStyle w:val="Compact"/>
              <w:jc w:val="left"/>
            </w:pPr>
            <w:r>
              <w:t xml:space="preserve">GARCH</w:t>
            </w:r>
          </w:p>
        </w:tc>
        <w:tc>
          <w:tcPr/>
          <w:p>
            <w:pPr>
              <w:pStyle w:val="Compact"/>
              <w:jc w:val="right"/>
            </w:pPr>
            <w:r>
              <w:t xml:space="preserve">0,034</w:t>
            </w:r>
          </w:p>
        </w:tc>
        <w:tc>
          <w:tcPr/>
          <w:p>
            <w:pPr>
              <w:pStyle w:val="Compact"/>
              <w:jc w:val="right"/>
            </w:pPr>
            <w:r>
              <w:t xml:space="preserve">0,592</w:t>
            </w:r>
          </w:p>
        </w:tc>
        <w:tc>
          <w:tcPr/>
          <w:p>
            <w:pPr>
              <w:pStyle w:val="Compact"/>
              <w:jc w:val="right"/>
            </w:pPr>
            <w:r>
              <w:t xml:space="preserve">0,568</w:t>
            </w:r>
          </w:p>
        </w:tc>
        <w:tc>
          <w:tcPr/>
          <w:p>
            <w:pPr>
              <w:pStyle w:val="Compact"/>
              <w:jc w:val="right"/>
            </w:pPr>
            <w:r>
              <w:t xml:space="preserve">0,543</w:t>
            </w:r>
          </w:p>
        </w:tc>
        <w:tc>
          <w:tcPr/>
          <w:p>
            <w:pPr>
              <w:pStyle w:val="Compact"/>
              <w:jc w:val="right"/>
            </w:pPr>
            <w:r>
              <w:t xml:space="preserve">0,494</w:t>
            </w:r>
          </w:p>
        </w:tc>
      </w:tr>
      <w:tr>
        <w:tc>
          <w:tcPr/>
          <w:p>
            <w:pPr>
              <w:pStyle w:val="Compact"/>
              <w:jc w:val="left"/>
            </w:pPr>
            <w:r>
              <w:t xml:space="preserve">ERC</w:t>
            </w:r>
          </w:p>
        </w:tc>
        <w:tc>
          <w:tcPr/>
          <w:p>
            <w:pPr>
              <w:pStyle w:val="Compact"/>
              <w:jc w:val="left"/>
            </w:pPr>
            <w:r>
              <w:t xml:space="preserve">DCC-GARCH</w:t>
            </w:r>
          </w:p>
        </w:tc>
        <w:tc>
          <w:tcPr/>
          <w:p>
            <w:pPr>
              <w:pStyle w:val="Compact"/>
              <w:jc w:val="right"/>
            </w:pPr>
            <w:r>
              <w:t xml:space="preserve">0,034</w:t>
            </w:r>
          </w:p>
        </w:tc>
        <w:tc>
          <w:tcPr/>
          <w:p>
            <w:pPr>
              <w:pStyle w:val="Compact"/>
              <w:jc w:val="right"/>
            </w:pPr>
            <w:r>
              <w:t xml:space="preserve">0,591</w:t>
            </w:r>
          </w:p>
        </w:tc>
        <w:tc>
          <w:tcPr/>
          <w:p>
            <w:pPr>
              <w:pStyle w:val="Compact"/>
              <w:jc w:val="right"/>
            </w:pPr>
            <w:r>
              <w:t xml:space="preserve">0,567</w:t>
            </w:r>
          </w:p>
        </w:tc>
        <w:tc>
          <w:tcPr/>
          <w:p>
            <w:pPr>
              <w:pStyle w:val="Compact"/>
              <w:jc w:val="right"/>
            </w:pPr>
            <w:r>
              <w:t xml:space="preserve">0,542</w:t>
            </w:r>
          </w:p>
        </w:tc>
        <w:tc>
          <w:tcPr/>
          <w:p>
            <w:pPr>
              <w:pStyle w:val="Compact"/>
              <w:jc w:val="right"/>
            </w:pPr>
            <w:r>
              <w:t xml:space="preserve">0,492</w:t>
            </w:r>
          </w:p>
        </w:tc>
      </w:tr>
      <w:tr>
        <w:tc>
          <w:tcPr/>
          <w:p>
            <w:pPr>
              <w:pStyle w:val="Compact"/>
              <w:jc w:val="left"/>
            </w:pPr>
            <w:r>
              <w:t xml:space="preserve">1/N</w:t>
            </w:r>
          </w:p>
        </w:tc>
        <w:tc>
          <w:tcPr/>
          <w:p>
            <w:pPr>
              <w:pStyle w:val="Compact"/>
              <w:jc w:val="left"/>
            </w:pPr>
            <w:r>
              <w:t xml:space="preserve">–</w:t>
            </w:r>
          </w:p>
        </w:tc>
        <w:tc>
          <w:tcPr/>
          <w:p>
            <w:pPr>
              <w:pStyle w:val="Compact"/>
              <w:jc w:val="right"/>
            </w:pPr>
            <w:r>
              <w:t xml:space="preserve">0,006</w:t>
            </w:r>
          </w:p>
        </w:tc>
        <w:tc>
          <w:tcPr/>
          <w:p>
            <w:pPr>
              <w:pStyle w:val="Compact"/>
              <w:jc w:val="right"/>
            </w:pPr>
            <w:r>
              <w:t xml:space="preserve">0,581</w:t>
            </w:r>
          </w:p>
        </w:tc>
        <w:tc>
          <w:tcPr/>
          <w:p>
            <w:pPr>
              <w:pStyle w:val="Compact"/>
              <w:jc w:val="right"/>
            </w:pPr>
            <w:r>
              <w:t xml:space="preserve">0,577</w:t>
            </w:r>
          </w:p>
        </w:tc>
        <w:tc>
          <w:tcPr/>
          <w:p>
            <w:pPr>
              <w:pStyle w:val="Compact"/>
              <w:jc w:val="right"/>
            </w:pPr>
            <w:r>
              <w:t xml:space="preserve">0,573</w:t>
            </w:r>
          </w:p>
        </w:tc>
        <w:tc>
          <w:tcPr/>
          <w:p>
            <w:pPr>
              <w:pStyle w:val="Compact"/>
              <w:jc w:val="right"/>
            </w:pPr>
            <w:r>
              <w:t xml:space="preserve">0,565</w:t>
            </w:r>
          </w:p>
        </w:tc>
      </w:tr>
    </w:tbl>
    <w:bookmarkEnd w:id="58"/>
    <w:p>
      <w:pPr>
        <w:pStyle w:val="BodyText"/>
      </w:pPr>
      <w:r>
        <w:t xml:space="preserve">Sharpe Ratio nach Abzug von</w:t>
      </w:r>
      <w:r>
        <w:t xml:space="preserve"> </w:t>
      </w:r>
      <m:oMath>
        <m:r>
          <m:t>c</m:t>
        </m:r>
      </m:oMath>
      <w:r>
        <w:t xml:space="preserve"> </w:t>
      </w:r>
      <w:r>
        <w:t xml:space="preserve">Basispunkten auf das je Rebalancierung umgeschlagene Volumen.</w:t>
      </w:r>
    </w:p>
    <w:bookmarkStart w:id="106" w:name="refs"/>
    <w:bookmarkStart w:id="60" w:name="ref-ardia2017"/>
    <w:p>
      <w:pPr>
        <w:pStyle w:val="Bibliography"/>
      </w:pPr>
      <w:r>
        <w:t xml:space="preserve">Ardia, David, Guido Bolliger, Kris Boudt, and Jean-Philippe Gagnon-Fleury. 2017.</w:t>
      </w:r>
      <w:r>
        <w:t xml:space="preserve"> </w:t>
      </w:r>
      <w:r>
        <w:t xml:space="preserve">“The Impact of Covariance Misspecification in Risk-Based Portfolios.”</w:t>
      </w:r>
      <w:r>
        <w:t xml:space="preserve"> </w:t>
      </w:r>
      <w:r>
        <w:rPr>
          <w:i/>
          <w:iCs/>
        </w:rPr>
        <w:t xml:space="preserve">Annals of Operations Research</w:t>
      </w:r>
      <w:r>
        <w:t xml:space="preserve"> </w:t>
      </w:r>
      <w:r>
        <w:t xml:space="preserve">254 (1–2): 1–16.</w:t>
      </w:r>
      <w:r>
        <w:t xml:space="preserve"> </w:t>
      </w:r>
      <w:hyperlink r:id="rId59">
        <w:r>
          <w:rPr>
            <w:rStyle w:val="Hyperlink"/>
          </w:rPr>
          <w:t xml:space="preserve">https://doi.org/10.1007/s10479-017-2474-7</w:t>
        </w:r>
      </w:hyperlink>
      <w:r>
        <w:t xml:space="preserve">.</w:t>
      </w:r>
    </w:p>
    <w:bookmarkEnd w:id="60"/>
    <w:bookmarkStart w:id="62" w:name="ref-behr2008"/>
    <w:p>
      <w:pPr>
        <w:pStyle w:val="Bibliography"/>
      </w:pPr>
      <w:r>
        <w:t xml:space="preserve">Behr, Patrick, Andre Güttler, and Felix Miebs. 2008.</w:t>
      </w:r>
      <w:r>
        <w:t xml:space="preserve"> </w:t>
      </w:r>
      <w:r>
        <w:rPr>
          <w:i/>
          <w:iCs/>
        </w:rPr>
        <w:t xml:space="preserve">Is Minimum-Variance Investing Really Worth the While? An Analysis with Robust Performance Inference</w:t>
      </w:r>
      <w:r>
        <w:t xml:space="preserve">. EDHEC-Risk Institute.</w:t>
      </w:r>
      <w:r>
        <w:t xml:space="preserve"> </w:t>
      </w:r>
      <w:hyperlink r:id="rId61">
        <w:r>
          <w:rPr>
            <w:rStyle w:val="Hyperlink"/>
          </w:rPr>
          <w:t xml:space="preserve">https://www.cfr-cologne.de/download/kolloquium/2009/behr_et_al.pdf</w:t>
        </w:r>
      </w:hyperlink>
      <w:r>
        <w:t xml:space="preserve">.</w:t>
      </w:r>
    </w:p>
    <w:bookmarkEnd w:id="62"/>
    <w:bookmarkStart w:id="64" w:name="ref-bollerslev1986"/>
    <w:p>
      <w:pPr>
        <w:pStyle w:val="Bibliography"/>
      </w:pPr>
      <w:r>
        <w:t xml:space="preserve">Bollerslev, Tim. 1986.</w:t>
      </w:r>
      <w:r>
        <w:t xml:space="preserve"> </w:t>
      </w:r>
      <w:r>
        <w:t xml:space="preserve">“Generalized Autoregressive Conditional Heteroskedasticity.”</w:t>
      </w:r>
      <w:r>
        <w:t xml:space="preserve"> </w:t>
      </w:r>
      <w:r>
        <w:rPr>
          <w:i/>
          <w:iCs/>
        </w:rPr>
        <w:t xml:space="preserve">Journal of Econometrics</w:t>
      </w:r>
      <w:r>
        <w:t xml:space="preserve"> </w:t>
      </w:r>
      <w:r>
        <w:t xml:space="preserve">31 (3): 307–27.</w:t>
      </w:r>
      <w:r>
        <w:t xml:space="preserve"> </w:t>
      </w:r>
      <w:hyperlink r:id="rId63">
        <w:r>
          <w:rPr>
            <w:rStyle w:val="Hyperlink"/>
          </w:rPr>
          <w:t xml:space="preserve">https://doi.org/10.1016/0304-4076(86)90063-1</w:t>
        </w:r>
      </w:hyperlink>
      <w:r>
        <w:t xml:space="preserve">.</w:t>
      </w:r>
    </w:p>
    <w:bookmarkEnd w:id="64"/>
    <w:bookmarkStart w:id="66" w:name="ref-bollerslev1990"/>
    <w:p>
      <w:pPr>
        <w:pStyle w:val="Bibliography"/>
      </w:pPr>
      <w:r>
        <w:t xml:space="preserve">Bollerslev, Tim. 1990.</w:t>
      </w:r>
      <w:r>
        <w:t xml:space="preserve"> </w:t>
      </w:r>
      <w:r>
        <w:t xml:space="preserve">“Modelling the Coherence in Short-Run Nominal Exchange Rates: A Multivariate Generalized ARCH Model.”</w:t>
      </w:r>
      <w:r>
        <w:t xml:space="preserve"> </w:t>
      </w:r>
      <w:r>
        <w:rPr>
          <w:i/>
          <w:iCs/>
        </w:rPr>
        <w:t xml:space="preserve">The Review of Economics and Statistics</w:t>
      </w:r>
      <w:r>
        <w:t xml:space="preserve"> </w:t>
      </w:r>
      <w:r>
        <w:t xml:space="preserve">72 (3): 498–505.</w:t>
      </w:r>
      <w:r>
        <w:t xml:space="preserve"> </w:t>
      </w:r>
      <w:hyperlink r:id="rId65">
        <w:r>
          <w:rPr>
            <w:rStyle w:val="Hyperlink"/>
          </w:rPr>
          <w:t xml:space="preserve">https://doi.org/10.2307/2109358</w:t>
        </w:r>
      </w:hyperlink>
      <w:r>
        <w:t xml:space="preserve">.</w:t>
      </w:r>
    </w:p>
    <w:bookmarkEnd w:id="66"/>
    <w:bookmarkStart w:id="68" w:name="ref-broadie1993"/>
    <w:p>
      <w:pPr>
        <w:pStyle w:val="Bibliography"/>
      </w:pPr>
      <w:r>
        <w:t xml:space="preserve">Broadie, Mark. 1993.</w:t>
      </w:r>
      <w:r>
        <w:t xml:space="preserve"> </w:t>
      </w:r>
      <w:r>
        <w:t xml:space="preserve">“Computing Efficient Frontiers Using Estimated Parameters.”</w:t>
      </w:r>
      <w:r>
        <w:t xml:space="preserve"> </w:t>
      </w:r>
      <w:r>
        <w:rPr>
          <w:i/>
          <w:iCs/>
        </w:rPr>
        <w:t xml:space="preserve">Annals of Operations Research</w:t>
      </w:r>
      <w:r>
        <w:t xml:space="preserve"> </w:t>
      </w:r>
      <w:r>
        <w:t xml:space="preserve">45 (1): 21–58.</w:t>
      </w:r>
      <w:r>
        <w:t xml:space="preserve"> </w:t>
      </w:r>
      <w:hyperlink r:id="rId67">
        <w:r>
          <w:rPr>
            <w:rStyle w:val="Hyperlink"/>
          </w:rPr>
          <w:t xml:space="preserve">https://doi.org/10.1007/BF02282040</w:t>
        </w:r>
      </w:hyperlink>
      <w:r>
        <w:t xml:space="preserve">.</w:t>
      </w:r>
    </w:p>
    <w:bookmarkEnd w:id="68"/>
    <w:bookmarkStart w:id="70" w:name="ref-chaves2011"/>
    <w:p>
      <w:pPr>
        <w:pStyle w:val="Bibliography"/>
      </w:pPr>
      <w:r>
        <w:t xml:space="preserve">Chaves, Denis, Jason Hsu, Feifei Li, and Omid Shakernia. 2011.</w:t>
      </w:r>
      <w:r>
        <w:t xml:space="preserve"> </w:t>
      </w:r>
      <w:r>
        <w:t xml:space="preserve">“Risk Parity Portfolio Vs. Other Asset Allocation Heuristic Portfolios.”</w:t>
      </w:r>
      <w:r>
        <w:t xml:space="preserve"> </w:t>
      </w:r>
      <w:r>
        <w:rPr>
          <w:i/>
          <w:iCs/>
        </w:rPr>
        <w:t xml:space="preserve">The Journal of Investing</w:t>
      </w:r>
      <w:r>
        <w:t xml:space="preserve"> </w:t>
      </w:r>
      <w:r>
        <w:t xml:space="preserve">20 (1): 108–18.</w:t>
      </w:r>
      <w:r>
        <w:t xml:space="preserve"> </w:t>
      </w:r>
      <w:hyperlink r:id="rId69">
        <w:r>
          <w:rPr>
            <w:rStyle w:val="Hyperlink"/>
          </w:rPr>
          <w:t xml:space="preserve">https://doi.org/10.3905/joi.2011.20.1.108</w:t>
        </w:r>
      </w:hyperlink>
      <w:r>
        <w:t xml:space="preserve">.</w:t>
      </w:r>
    </w:p>
    <w:bookmarkEnd w:id="70"/>
    <w:bookmarkStart w:id="72" w:name="ref-demiguel2009"/>
    <w:p>
      <w:pPr>
        <w:pStyle w:val="Bibliography"/>
      </w:pPr>
      <w:r>
        <w:t xml:space="preserve">DeMiguel, Victor, Lorenzo Garlappi, and Raman Uppal. 2009.</w:t>
      </w:r>
      <w:r>
        <w:t xml:space="preserve"> </w:t>
      </w:r>
      <w:r>
        <w:t xml:space="preserve">“Optimal Versus Naive Diversification: How Inefficient Is the 1/n Portfolio Strategy?”</w:t>
      </w:r>
      <w:r>
        <w:t xml:space="preserve"> </w:t>
      </w:r>
      <w:r>
        <w:rPr>
          <w:i/>
          <w:iCs/>
        </w:rPr>
        <w:t xml:space="preserve">The Review of Financial Studies</w:t>
      </w:r>
      <w:r>
        <w:t xml:space="preserve"> </w:t>
      </w:r>
      <w:r>
        <w:t xml:space="preserve">22 (5): 1915–53.</w:t>
      </w:r>
      <w:r>
        <w:t xml:space="preserve"> </w:t>
      </w:r>
      <w:hyperlink r:id="rId71">
        <w:r>
          <w:rPr>
            <w:rStyle w:val="Hyperlink"/>
          </w:rPr>
          <w:t xml:space="preserve">https://doi.org/10.1093/rfs/hhm075</w:t>
        </w:r>
      </w:hyperlink>
      <w:r>
        <w:t xml:space="preserve">.</w:t>
      </w:r>
    </w:p>
    <w:bookmarkEnd w:id="72"/>
    <w:bookmarkStart w:id="74" w:name="ref-diebold1995"/>
    <w:p>
      <w:pPr>
        <w:pStyle w:val="Bibliography"/>
      </w:pPr>
      <w:r>
        <w:t xml:space="preserve">Diebold, Francis X., and Roberto S. Mariano. 1995.</w:t>
      </w:r>
      <w:r>
        <w:t xml:space="preserve"> </w:t>
      </w:r>
      <w:r>
        <w:t xml:space="preserve">“Comparing Predictive Accuracy.”</w:t>
      </w:r>
      <w:r>
        <w:t xml:space="preserve"> </w:t>
      </w:r>
      <w:r>
        <w:rPr>
          <w:i/>
          <w:iCs/>
        </w:rPr>
        <w:t xml:space="preserve">Journal of Business and Economic Statistics</w:t>
      </w:r>
      <w:r>
        <w:t xml:space="preserve"> </w:t>
      </w:r>
      <w:r>
        <w:t xml:space="preserve">13 (3): 253–63.</w:t>
      </w:r>
      <w:r>
        <w:t xml:space="preserve"> </w:t>
      </w:r>
      <w:hyperlink r:id="rId73">
        <w:r>
          <w:rPr>
            <w:rStyle w:val="Hyperlink"/>
          </w:rPr>
          <w:t xml:space="preserve">https://doi.org/10.1080/07350015.1995.10524599</w:t>
        </w:r>
      </w:hyperlink>
      <w:r>
        <w:t xml:space="preserve">.</w:t>
      </w:r>
    </w:p>
    <w:bookmarkEnd w:id="74"/>
    <w:bookmarkStart w:id="76" w:name="ref-engle1982"/>
    <w:p>
      <w:pPr>
        <w:pStyle w:val="Bibliography"/>
      </w:pPr>
      <w:r>
        <w:t xml:space="preserve">Engle, Robert F. 1982.</w:t>
      </w:r>
      <w:r>
        <w:t xml:space="preserve"> </w:t>
      </w:r>
      <w:r>
        <w:t xml:space="preserve">“Autoregressive Conditional Heteroscedasticity with Estimates of the Variance of United Kingdom Inflation.”</w:t>
      </w:r>
      <w:r>
        <w:t xml:space="preserve"> </w:t>
      </w:r>
      <w:r>
        <w:rPr>
          <w:i/>
          <w:iCs/>
        </w:rPr>
        <w:t xml:space="preserve">Econometrica</w:t>
      </w:r>
      <w:r>
        <w:t xml:space="preserve"> </w:t>
      </w:r>
      <w:r>
        <w:t xml:space="preserve">50 (4): 987–1007.</w:t>
      </w:r>
      <w:r>
        <w:t xml:space="preserve"> </w:t>
      </w:r>
      <w:hyperlink r:id="rId75">
        <w:r>
          <w:rPr>
            <w:rStyle w:val="Hyperlink"/>
          </w:rPr>
          <w:t xml:space="preserve">https://doi.org/10.2307/1912773</w:t>
        </w:r>
      </w:hyperlink>
      <w:r>
        <w:t xml:space="preserve">.</w:t>
      </w:r>
    </w:p>
    <w:bookmarkEnd w:id="76"/>
    <w:bookmarkStart w:id="78" w:name="ref-engle2002"/>
    <w:p>
      <w:pPr>
        <w:pStyle w:val="Bibliography"/>
      </w:pPr>
      <w:r>
        <w:t xml:space="preserve">Engle, Robert F. 2002.</w:t>
      </w:r>
      <w:r>
        <w:t xml:space="preserve"> </w:t>
      </w:r>
      <w:r>
        <w:t xml:space="preserve">“Dynamic Conditional Correlation: A Simple Class of Multivariate Generalized Autoregressive Conditional Heteroskedasticity Models.”</w:t>
      </w:r>
      <w:r>
        <w:t xml:space="preserve"> </w:t>
      </w:r>
      <w:r>
        <w:rPr>
          <w:i/>
          <w:iCs/>
        </w:rPr>
        <w:t xml:space="preserve">Journal of Business and Economic Statistics</w:t>
      </w:r>
      <w:r>
        <w:t xml:space="preserve"> </w:t>
      </w:r>
      <w:r>
        <w:t xml:space="preserve">20 (3): 339–50.</w:t>
      </w:r>
      <w:r>
        <w:t xml:space="preserve"> </w:t>
      </w:r>
      <w:hyperlink r:id="rId77">
        <w:r>
          <w:rPr>
            <w:rStyle w:val="Hyperlink"/>
          </w:rPr>
          <w:t xml:space="preserve">https://doi.org/10.1198/073500102288618487</w:t>
        </w:r>
      </w:hyperlink>
      <w:r>
        <w:t xml:space="preserve">.</w:t>
      </w:r>
    </w:p>
    <w:bookmarkEnd w:id="78"/>
    <w:bookmarkStart w:id="80" w:name="ref-engle2006"/>
    <w:p>
      <w:pPr>
        <w:pStyle w:val="Bibliography"/>
      </w:pPr>
      <w:r>
        <w:t xml:space="preserve">Engle, Robert F., and Riccardo Colacito. 2006.</w:t>
      </w:r>
      <w:r>
        <w:t xml:space="preserve"> </w:t>
      </w:r>
      <w:r>
        <w:t xml:space="preserve">“Testing and Valuing Dynamic Correlations for Asset Allocation.”</w:t>
      </w:r>
      <w:r>
        <w:t xml:space="preserve"> </w:t>
      </w:r>
      <w:r>
        <w:rPr>
          <w:i/>
          <w:iCs/>
        </w:rPr>
        <w:t xml:space="preserve">Journal of Business and Economic Statistics</w:t>
      </w:r>
      <w:r>
        <w:t xml:space="preserve"> </w:t>
      </w:r>
      <w:r>
        <w:t xml:space="preserve">24 (2): 238–53.</w:t>
      </w:r>
      <w:r>
        <w:t xml:space="preserve"> </w:t>
      </w:r>
      <w:hyperlink r:id="rId79">
        <w:r>
          <w:rPr>
            <w:rStyle w:val="Hyperlink"/>
          </w:rPr>
          <w:t xml:space="preserve">https://doi.org/10.1198/073500106000000017</w:t>
        </w:r>
      </w:hyperlink>
      <w:r>
        <w:t xml:space="preserve">.</w:t>
      </w:r>
    </w:p>
    <w:bookmarkEnd w:id="80"/>
    <w:bookmarkStart w:id="82" w:name="ref-engle2001"/>
    <w:p>
      <w:pPr>
        <w:pStyle w:val="Bibliography"/>
      </w:pPr>
      <w:r>
        <w:t xml:space="preserve">Engle, Robert F., and Kevin Sheppard. 2001.</w:t>
      </w:r>
      <w:r>
        <w:t xml:space="preserve"> </w:t>
      </w:r>
      <w:r>
        <w:rPr>
          <w:i/>
          <w:iCs/>
        </w:rPr>
        <w:t xml:space="preserve">Theoretical and Empirical Properties of Dynamic Conditional Correlation Multivariate GARCH</w:t>
      </w:r>
      <w:r>
        <w:t xml:space="preserve">. NBER Working Paper No. 8554. National Bureau of Economic Research.</w:t>
      </w:r>
      <w:r>
        <w:t xml:space="preserve"> </w:t>
      </w:r>
      <w:hyperlink r:id="rId81">
        <w:r>
          <w:rPr>
            <w:rStyle w:val="Hyperlink"/>
          </w:rPr>
          <w:t xml:space="preserve">https://doi.org/10.3386/w8554</w:t>
        </w:r>
      </w:hyperlink>
      <w:r>
        <w:t xml:space="preserve">.</w:t>
      </w:r>
    </w:p>
    <w:bookmarkEnd w:id="82"/>
    <w:bookmarkStart w:id="84" w:name="ref-jobson1981"/>
    <w:p>
      <w:pPr>
        <w:pStyle w:val="Bibliography"/>
      </w:pPr>
      <w:r>
        <w:t xml:space="preserve">Jobson, J. D., and Bob M. Korkie. 1981.</w:t>
      </w:r>
      <w:r>
        <w:t xml:space="preserve"> </w:t>
      </w:r>
      <w:r>
        <w:t xml:space="preserve">“Performance Hypothesis Testing with the Sharpe and Treynor Measures.”</w:t>
      </w:r>
      <w:r>
        <w:t xml:space="preserve"> </w:t>
      </w:r>
      <w:r>
        <w:rPr>
          <w:i/>
          <w:iCs/>
        </w:rPr>
        <w:t xml:space="preserve">The Journal of Finance</w:t>
      </w:r>
      <w:r>
        <w:t xml:space="preserve"> </w:t>
      </w:r>
      <w:r>
        <w:t xml:space="preserve">36 (4): 889–908.</w:t>
      </w:r>
      <w:r>
        <w:t xml:space="preserve"> </w:t>
      </w:r>
      <w:hyperlink r:id="rId83">
        <w:r>
          <w:rPr>
            <w:rStyle w:val="Hyperlink"/>
          </w:rPr>
          <w:t xml:space="preserve">https://doi.org/10.1111/j.1540-6261.1981.tb04891.x</w:t>
        </w:r>
      </w:hyperlink>
      <w:r>
        <w:t xml:space="preserve">.</w:t>
      </w:r>
    </w:p>
    <w:bookmarkEnd w:id="84"/>
    <w:bookmarkStart w:id="86" w:name="ref-laurent2012"/>
    <w:p>
      <w:pPr>
        <w:pStyle w:val="Bibliography"/>
      </w:pPr>
      <w:r>
        <w:t xml:space="preserve">Laurent, Sébastien, Jeroen V. K. Rombouts, and Francesco Violante. 2012.</w:t>
      </w:r>
      <w:r>
        <w:t xml:space="preserve"> </w:t>
      </w:r>
      <w:r>
        <w:t xml:space="preserve">“On the Forecasting Accuracy of Multivariate GARCH Models.”</w:t>
      </w:r>
      <w:r>
        <w:t xml:space="preserve"> </w:t>
      </w:r>
      <w:r>
        <w:rPr>
          <w:i/>
          <w:iCs/>
        </w:rPr>
        <w:t xml:space="preserve">Journal of Applied Econometrics</w:t>
      </w:r>
      <w:r>
        <w:t xml:space="preserve"> </w:t>
      </w:r>
      <w:r>
        <w:t xml:space="preserve">27 (6): 934–55.</w:t>
      </w:r>
      <w:r>
        <w:t xml:space="preserve"> </w:t>
      </w:r>
      <w:hyperlink r:id="rId85">
        <w:r>
          <w:rPr>
            <w:rStyle w:val="Hyperlink"/>
          </w:rPr>
          <w:t xml:space="preserve">https://doi.org/10.1002/jae.1248</w:t>
        </w:r>
      </w:hyperlink>
      <w:r>
        <w:t xml:space="preserve">.</w:t>
      </w:r>
    </w:p>
    <w:bookmarkEnd w:id="86"/>
    <w:bookmarkStart w:id="88" w:name="ref-laurent2013"/>
    <w:p>
      <w:pPr>
        <w:pStyle w:val="Bibliography"/>
      </w:pPr>
      <w:r>
        <w:t xml:space="preserve">Laurent, Sébastien, Jeroen V. K. Rombouts, and Francesco Violante. 2013.</w:t>
      </w:r>
      <w:r>
        <w:t xml:space="preserve"> </w:t>
      </w:r>
      <w:r>
        <w:t xml:space="preserve">“On Loss Functions and Ranking Forecasting Performances of Multivariate Volatility Models.”</w:t>
      </w:r>
      <w:r>
        <w:t xml:space="preserve"> </w:t>
      </w:r>
      <w:r>
        <w:rPr>
          <w:i/>
          <w:iCs/>
        </w:rPr>
        <w:t xml:space="preserve">Journal of Econometrics</w:t>
      </w:r>
      <w:r>
        <w:t xml:space="preserve"> </w:t>
      </w:r>
      <w:r>
        <w:t xml:space="preserve">173 (1): 1–10.</w:t>
      </w:r>
      <w:r>
        <w:t xml:space="preserve"> </w:t>
      </w:r>
      <w:hyperlink r:id="rId87">
        <w:r>
          <w:rPr>
            <w:rStyle w:val="Hyperlink"/>
          </w:rPr>
          <w:t xml:space="preserve">https://doi.org/10.1016/j.jeconom.2012.08.004</w:t>
        </w:r>
      </w:hyperlink>
      <w:r>
        <w:t xml:space="preserve">.</w:t>
      </w:r>
    </w:p>
    <w:bookmarkEnd w:id="88"/>
    <w:bookmarkStart w:id="90" w:name="ref-lee2011"/>
    <w:p>
      <w:pPr>
        <w:pStyle w:val="Bibliography"/>
      </w:pPr>
      <w:r>
        <w:t xml:space="preserve">Lee, Wai. 2011.</w:t>
      </w:r>
      <w:r>
        <w:t xml:space="preserve"> </w:t>
      </w:r>
      <w:r>
        <w:t xml:space="preserve">“Risk-Based Asset Allocation: A New Answer to an Old Question?”</w:t>
      </w:r>
      <w:r>
        <w:t xml:space="preserve"> </w:t>
      </w:r>
      <w:r>
        <w:rPr>
          <w:i/>
          <w:iCs/>
        </w:rPr>
        <w:t xml:space="preserve">The Journal of Portfolio Management</w:t>
      </w:r>
      <w:r>
        <w:t xml:space="preserve"> </w:t>
      </w:r>
      <w:r>
        <w:t xml:space="preserve">37 (4): 11–28.</w:t>
      </w:r>
      <w:r>
        <w:t xml:space="preserve"> </w:t>
      </w:r>
      <w:hyperlink r:id="rId89">
        <w:r>
          <w:rPr>
            <w:rStyle w:val="Hyperlink"/>
          </w:rPr>
          <w:t xml:space="preserve">https://doi.org/10.3905/jpm.2011.37.4.011</w:t>
        </w:r>
      </w:hyperlink>
      <w:r>
        <w:t xml:space="preserve">.</w:t>
      </w:r>
    </w:p>
    <w:bookmarkEnd w:id="90"/>
    <w:bookmarkStart w:id="92" w:name="ref-deprado2016"/>
    <w:p>
      <w:pPr>
        <w:pStyle w:val="Bibliography"/>
      </w:pPr>
      <w:r>
        <w:t xml:space="preserve">López de Prado, Marcos. 2016.</w:t>
      </w:r>
      <w:r>
        <w:t xml:space="preserve"> </w:t>
      </w:r>
      <w:r>
        <w:t xml:space="preserve">“Building Diversified Portfolios That Outperform Out of Sample.”</w:t>
      </w:r>
      <w:r>
        <w:t xml:space="preserve"> </w:t>
      </w:r>
      <w:r>
        <w:rPr>
          <w:i/>
          <w:iCs/>
        </w:rPr>
        <w:t xml:space="preserve">The Journal of Portfolio Management</w:t>
      </w:r>
      <w:r>
        <w:t xml:space="preserve"> </w:t>
      </w:r>
      <w:r>
        <w:t xml:space="preserve">42 (4): 59–69.</w:t>
      </w:r>
      <w:r>
        <w:t xml:space="preserve"> </w:t>
      </w:r>
      <w:hyperlink r:id="rId91">
        <w:r>
          <w:rPr>
            <w:rStyle w:val="Hyperlink"/>
          </w:rPr>
          <w:t xml:space="preserve">https://doi.org/10.3905/jpm.2016.42.4.059</w:t>
        </w:r>
      </w:hyperlink>
      <w:r>
        <w:t xml:space="preserve">.</w:t>
      </w:r>
    </w:p>
    <w:bookmarkEnd w:id="92"/>
    <w:bookmarkStart w:id="94" w:name="ref-maillard2010"/>
    <w:p>
      <w:pPr>
        <w:pStyle w:val="Bibliography"/>
      </w:pPr>
      <w:r>
        <w:t xml:space="preserve">Maillard, Sébastien, Thierry Roncalli, and Jérôme Teïletche. 2010.</w:t>
      </w:r>
      <w:r>
        <w:t xml:space="preserve"> </w:t>
      </w:r>
      <w:r>
        <w:t xml:space="preserve">“The Properties of Equally Weighted Risk Contribution Portfolios.”</w:t>
      </w:r>
      <w:r>
        <w:t xml:space="preserve"> </w:t>
      </w:r>
      <w:r>
        <w:rPr>
          <w:i/>
          <w:iCs/>
        </w:rPr>
        <w:t xml:space="preserve">The Journal of Portfolio Management</w:t>
      </w:r>
      <w:r>
        <w:t xml:space="preserve"> </w:t>
      </w:r>
      <w:r>
        <w:t xml:space="preserve">36 (4): 60–70.</w:t>
      </w:r>
      <w:r>
        <w:t xml:space="preserve"> </w:t>
      </w:r>
      <w:hyperlink r:id="rId93">
        <w:r>
          <w:rPr>
            <w:rStyle w:val="Hyperlink"/>
          </w:rPr>
          <w:t xml:space="preserve">https://doi.org/10.3905/jpm.2010.36.4.060</w:t>
        </w:r>
      </w:hyperlink>
      <w:r>
        <w:t xml:space="preserve">.</w:t>
      </w:r>
    </w:p>
    <w:bookmarkEnd w:id="94"/>
    <w:bookmarkStart w:id="96" w:name="ref-markowitz1952"/>
    <w:p>
      <w:pPr>
        <w:pStyle w:val="Bibliography"/>
      </w:pPr>
      <w:r>
        <w:t xml:space="preserve">Markowitz, Harry. 1952.</w:t>
      </w:r>
      <w:r>
        <w:t xml:space="preserve"> </w:t>
      </w:r>
      <w:r>
        <w:t xml:space="preserve">“Portfolio Selection.”</w:t>
      </w:r>
      <w:r>
        <w:t xml:space="preserve"> </w:t>
      </w:r>
      <w:r>
        <w:rPr>
          <w:i/>
          <w:iCs/>
        </w:rPr>
        <w:t xml:space="preserve">The Journal of Finance</w:t>
      </w:r>
      <w:r>
        <w:t xml:space="preserve"> </w:t>
      </w:r>
      <w:r>
        <w:t xml:space="preserve">7 (1): 77–91.</w:t>
      </w:r>
      <w:r>
        <w:t xml:space="preserve"> </w:t>
      </w:r>
      <w:hyperlink r:id="rId95">
        <w:r>
          <w:rPr>
            <w:rStyle w:val="Hyperlink"/>
          </w:rPr>
          <w:t xml:space="preserve">https://doi.org/10.1111/j.1540-6261.1952.tb01525.x</w:t>
        </w:r>
      </w:hyperlink>
      <w:r>
        <w:t xml:space="preserve">.</w:t>
      </w:r>
    </w:p>
    <w:bookmarkEnd w:id="96"/>
    <w:bookmarkStart w:id="97" w:name="ref-memmel2003"/>
    <w:p>
      <w:pPr>
        <w:pStyle w:val="Bibliography"/>
      </w:pPr>
      <w:r>
        <w:t xml:space="preserve">Memmel, Christoph. 2003.</w:t>
      </w:r>
      <w:r>
        <w:t xml:space="preserve"> </w:t>
      </w:r>
      <w:r>
        <w:t xml:space="preserve">“Performance Hypothesis Testing with the Sharpe Ratio.”</w:t>
      </w:r>
      <w:r>
        <w:t xml:space="preserve"> </w:t>
      </w:r>
      <w:r>
        <w:rPr>
          <w:i/>
          <w:iCs/>
        </w:rPr>
        <w:t xml:space="preserve">Finance Letters</w:t>
      </w:r>
      <w:r>
        <w:t xml:space="preserve"> </w:t>
      </w:r>
      <w:r>
        <w:t xml:space="preserve">1 (1): 21–23.</w:t>
      </w:r>
    </w:p>
    <w:bookmarkEnd w:id="97"/>
    <w:bookmarkStart w:id="99" w:name="ref-michaud1989"/>
    <w:p>
      <w:pPr>
        <w:pStyle w:val="Bibliography"/>
      </w:pPr>
      <w:r>
        <w:t xml:space="preserve">Michaud, Richard O. 1989.</w:t>
      </w:r>
      <w:r>
        <w:t xml:space="preserve"> </w:t>
      </w:r>
      <w:r>
        <w:t xml:space="preserve">“The Markowitz Optimization Enigma: Is ’Optimized’ Optimal?”</w:t>
      </w:r>
      <w:r>
        <w:t xml:space="preserve"> </w:t>
      </w:r>
      <w:r>
        <w:rPr>
          <w:i/>
          <w:iCs/>
        </w:rPr>
        <w:t xml:space="preserve">Financial Analysts Journal</w:t>
      </w:r>
      <w:r>
        <w:t xml:space="preserve"> </w:t>
      </w:r>
      <w:r>
        <w:t xml:space="preserve">45 (1): 31–42.</w:t>
      </w:r>
      <w:r>
        <w:t xml:space="preserve"> </w:t>
      </w:r>
      <w:hyperlink r:id="rId98">
        <w:r>
          <w:rPr>
            <w:rStyle w:val="Hyperlink"/>
          </w:rPr>
          <w:t xml:space="preserve">https://doi.org/10.2469/faj.v45.n1.31</w:t>
        </w:r>
      </w:hyperlink>
      <w:r>
        <w:t xml:space="preserve">.</w:t>
      </w:r>
    </w:p>
    <w:bookmarkEnd w:id="99"/>
    <w:bookmarkStart w:id="101" w:name="ref-moura2020"/>
    <w:p>
      <w:pPr>
        <w:pStyle w:val="Bibliography"/>
      </w:pPr>
      <w:r>
        <w:t xml:space="preserve">Moura, Guilherme V., André A. P. Santos, and Esther Ruiz. 2020.</w:t>
      </w:r>
      <w:r>
        <w:t xml:space="preserve"> </w:t>
      </w:r>
      <w:r>
        <w:t xml:space="preserve">“Comparing High-Dimensional Conditional Covariance Matrices: Implications for Portfolio Selection.”</w:t>
      </w:r>
      <w:r>
        <w:t xml:space="preserve"> </w:t>
      </w:r>
      <w:r>
        <w:rPr>
          <w:i/>
          <w:iCs/>
        </w:rPr>
        <w:t xml:space="preserve">Journal of Banking &amp; Finance</w:t>
      </w:r>
      <w:r>
        <w:t xml:space="preserve"> </w:t>
      </w:r>
      <w:r>
        <w:t xml:space="preserve">118: 105882.</w:t>
      </w:r>
      <w:r>
        <w:t xml:space="preserve"> </w:t>
      </w:r>
      <w:hyperlink r:id="rId100">
        <w:r>
          <w:rPr>
            <w:rStyle w:val="Hyperlink"/>
          </w:rPr>
          <w:t xml:space="preserve">https://doi.org/10.1016/j.jbankfin.2020.105882</w:t>
        </w:r>
      </w:hyperlink>
      <w:r>
        <w:t xml:space="preserve">.</w:t>
      </w:r>
    </w:p>
    <w:bookmarkEnd w:id="101"/>
    <w:bookmarkStart w:id="103" w:name="ref-patton2011"/>
    <w:p>
      <w:pPr>
        <w:pStyle w:val="Bibliography"/>
      </w:pPr>
      <w:r>
        <w:t xml:space="preserve">Patton, Andrew J. 2011.</w:t>
      </w:r>
      <w:r>
        <w:t xml:space="preserve"> </w:t>
      </w:r>
      <w:r>
        <w:t xml:space="preserve">“Volatility Forecast Comparison Using Imperfect Volatility Proxies.”</w:t>
      </w:r>
      <w:r>
        <w:t xml:space="preserve"> </w:t>
      </w:r>
      <w:r>
        <w:rPr>
          <w:i/>
          <w:iCs/>
        </w:rPr>
        <w:t xml:space="preserve">Journal of Econometrics</w:t>
      </w:r>
      <w:r>
        <w:t xml:space="preserve"> </w:t>
      </w:r>
      <w:r>
        <w:t xml:space="preserve">160 (1): 246–56.</w:t>
      </w:r>
      <w:r>
        <w:t xml:space="preserve"> </w:t>
      </w:r>
      <w:hyperlink r:id="rId102">
        <w:r>
          <w:rPr>
            <w:rStyle w:val="Hyperlink"/>
          </w:rPr>
          <w:t xml:space="preserve">https://doi.org/10.1016/j.jeconom.2010.03.034</w:t>
        </w:r>
      </w:hyperlink>
      <w:r>
        <w:t xml:space="preserve">.</w:t>
      </w:r>
    </w:p>
    <w:bookmarkEnd w:id="103"/>
    <w:bookmarkStart w:id="105" w:name="ref-sen2022"/>
    <w:p>
      <w:pPr>
        <w:pStyle w:val="Bibliography"/>
      </w:pPr>
      <w:r>
        <w:t xml:space="preserve">Sen, Jaydip, Sidra Mehtab, Abhishek Dutta, and Saikat Mondal. 2022.</w:t>
      </w:r>
      <w:r>
        <w:t xml:space="preserve"> </w:t>
      </w:r>
      <w:r>
        <w:rPr>
          <w:i/>
          <w:iCs/>
        </w:rPr>
        <w:t xml:space="preserve">Hierarchical Risk Parity and Minimum Variance Portfolio Design on NIFTY 50 Stocks</w:t>
      </w:r>
      <w:r>
        <w:t xml:space="preserve">. arXiv preprint.</w:t>
      </w:r>
      <w:r>
        <w:t xml:space="preserve"> </w:t>
      </w:r>
      <w:hyperlink r:id="rId104">
        <w:r>
          <w:rPr>
            <w:rStyle w:val="Hyperlink"/>
          </w:rPr>
          <w:t xml:space="preserve">https://doi.org/10.48550/arXiv.2202.02728</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df" /><Relationship Type="http://schemas.openxmlformats.org/officeDocument/2006/relationships/image" Id="rId43" Target="media/rId43.pdf" /><Relationship Type="http://schemas.openxmlformats.org/officeDocument/2006/relationships/hyperlink" Id="rId85" Target="https://doi.org/10.1002/jae.1248" TargetMode="External" /><Relationship Type="http://schemas.openxmlformats.org/officeDocument/2006/relationships/hyperlink" Id="rId67" Target="https://doi.org/10.1007/BF02282040" TargetMode="External" /><Relationship Type="http://schemas.openxmlformats.org/officeDocument/2006/relationships/hyperlink" Id="rId59" Target="https://doi.org/10.1007/s10479-017-2474-7" TargetMode="External" /><Relationship Type="http://schemas.openxmlformats.org/officeDocument/2006/relationships/hyperlink" Id="rId63" Target="https://doi.org/10.1016/0304-4076(86)90063-1" TargetMode="External" /><Relationship Type="http://schemas.openxmlformats.org/officeDocument/2006/relationships/hyperlink" Id="rId100" Target="https://doi.org/10.1016/j.jbankfin.2020.105882" TargetMode="External" /><Relationship Type="http://schemas.openxmlformats.org/officeDocument/2006/relationships/hyperlink" Id="rId102" Target="https://doi.org/10.1016/j.jeconom.2010.03.034" TargetMode="External" /><Relationship Type="http://schemas.openxmlformats.org/officeDocument/2006/relationships/hyperlink" Id="rId87" Target="https://doi.org/10.1016/j.jeconom.2012.08.004" TargetMode="External" /><Relationship Type="http://schemas.openxmlformats.org/officeDocument/2006/relationships/hyperlink" Id="rId73" Target="https://doi.org/10.1080/07350015.1995.10524599" TargetMode="External" /><Relationship Type="http://schemas.openxmlformats.org/officeDocument/2006/relationships/hyperlink" Id="rId71" Target="https://doi.org/10.1093/rfs/hhm075" TargetMode="External" /><Relationship Type="http://schemas.openxmlformats.org/officeDocument/2006/relationships/hyperlink" Id="rId95" Target="https://doi.org/10.1111/j.1540-6261.1952.tb01525.x" TargetMode="External" /><Relationship Type="http://schemas.openxmlformats.org/officeDocument/2006/relationships/hyperlink" Id="rId83" Target="https://doi.org/10.1111/j.1540-6261.1981.tb04891.x" TargetMode="External" /><Relationship Type="http://schemas.openxmlformats.org/officeDocument/2006/relationships/hyperlink" Id="rId77" Target="https://doi.org/10.1198/073500102288618487" TargetMode="External" /><Relationship Type="http://schemas.openxmlformats.org/officeDocument/2006/relationships/hyperlink" Id="rId79" Target="https://doi.org/10.1198/073500106000000017" TargetMode="External" /><Relationship Type="http://schemas.openxmlformats.org/officeDocument/2006/relationships/hyperlink" Id="rId75" Target="https://doi.org/10.2307/1912773" TargetMode="External" /><Relationship Type="http://schemas.openxmlformats.org/officeDocument/2006/relationships/hyperlink" Id="rId65" Target="https://doi.org/10.2307/2109358" TargetMode="External" /><Relationship Type="http://schemas.openxmlformats.org/officeDocument/2006/relationships/hyperlink" Id="rId98" Target="https://doi.org/10.2469/faj.v45.n1.31" TargetMode="External" /><Relationship Type="http://schemas.openxmlformats.org/officeDocument/2006/relationships/hyperlink" Id="rId81" Target="https://doi.org/10.3386/w8554" TargetMode="External" /><Relationship Type="http://schemas.openxmlformats.org/officeDocument/2006/relationships/hyperlink" Id="rId69" Target="https://doi.org/10.3905/joi.2011.20.1.108" TargetMode="External" /><Relationship Type="http://schemas.openxmlformats.org/officeDocument/2006/relationships/hyperlink" Id="rId93" Target="https://doi.org/10.3905/jpm.2010.36.4.060" TargetMode="External" /><Relationship Type="http://schemas.openxmlformats.org/officeDocument/2006/relationships/hyperlink" Id="rId89" Target="https://doi.org/10.3905/jpm.2011.37.4.011" TargetMode="External" /><Relationship Type="http://schemas.openxmlformats.org/officeDocument/2006/relationships/hyperlink" Id="rId91" Target="https://doi.org/10.3905/jpm.2016.42.4.059" TargetMode="External" /><Relationship Type="http://schemas.openxmlformats.org/officeDocument/2006/relationships/hyperlink" Id="rId104" Target="https://doi.org/10.48550/arXiv.2202.02728" TargetMode="External" /><Relationship Type="http://schemas.openxmlformats.org/officeDocument/2006/relationships/hyperlink" Id="rId61" Target="https://www.cfr-cologne.de/download/kolloquium/2009/behr_et_al.pdf" TargetMode="External" /></Relationships>
</file>

<file path=word/_rels/footnotes.xml.rels><?xml version="1.0" encoding="UTF-8"?><Relationships xmlns="http://schemas.openxmlformats.org/package/2006/relationships"><Relationship Type="http://schemas.openxmlformats.org/officeDocument/2006/relationships/hyperlink" Id="rId85" Target="https://doi.org/10.1002/jae.1248" TargetMode="External" /><Relationship Type="http://schemas.openxmlformats.org/officeDocument/2006/relationships/hyperlink" Id="rId67" Target="https://doi.org/10.1007/BF02282040" TargetMode="External" /><Relationship Type="http://schemas.openxmlformats.org/officeDocument/2006/relationships/hyperlink" Id="rId59" Target="https://doi.org/10.1007/s10479-017-2474-7" TargetMode="External" /><Relationship Type="http://schemas.openxmlformats.org/officeDocument/2006/relationships/hyperlink" Id="rId63" Target="https://doi.org/10.1016/0304-4076(86)90063-1" TargetMode="External" /><Relationship Type="http://schemas.openxmlformats.org/officeDocument/2006/relationships/hyperlink" Id="rId100" Target="https://doi.org/10.1016/j.jbankfin.2020.105882" TargetMode="External" /><Relationship Type="http://schemas.openxmlformats.org/officeDocument/2006/relationships/hyperlink" Id="rId102" Target="https://doi.org/10.1016/j.jeconom.2010.03.034" TargetMode="External" /><Relationship Type="http://schemas.openxmlformats.org/officeDocument/2006/relationships/hyperlink" Id="rId87" Target="https://doi.org/10.1016/j.jeconom.2012.08.004" TargetMode="External" /><Relationship Type="http://schemas.openxmlformats.org/officeDocument/2006/relationships/hyperlink" Id="rId73" Target="https://doi.org/10.1080/07350015.1995.10524599" TargetMode="External" /><Relationship Type="http://schemas.openxmlformats.org/officeDocument/2006/relationships/hyperlink" Id="rId71" Target="https://doi.org/10.1093/rfs/hhm075" TargetMode="External" /><Relationship Type="http://schemas.openxmlformats.org/officeDocument/2006/relationships/hyperlink" Id="rId95" Target="https://doi.org/10.1111/j.1540-6261.1952.tb01525.x" TargetMode="External" /><Relationship Type="http://schemas.openxmlformats.org/officeDocument/2006/relationships/hyperlink" Id="rId83" Target="https://doi.org/10.1111/j.1540-6261.1981.tb04891.x" TargetMode="External" /><Relationship Type="http://schemas.openxmlformats.org/officeDocument/2006/relationships/hyperlink" Id="rId77" Target="https://doi.org/10.1198/073500102288618487" TargetMode="External" /><Relationship Type="http://schemas.openxmlformats.org/officeDocument/2006/relationships/hyperlink" Id="rId79" Target="https://doi.org/10.1198/073500106000000017" TargetMode="External" /><Relationship Type="http://schemas.openxmlformats.org/officeDocument/2006/relationships/hyperlink" Id="rId75" Target="https://doi.org/10.2307/1912773" TargetMode="External" /><Relationship Type="http://schemas.openxmlformats.org/officeDocument/2006/relationships/hyperlink" Id="rId65" Target="https://doi.org/10.2307/2109358" TargetMode="External" /><Relationship Type="http://schemas.openxmlformats.org/officeDocument/2006/relationships/hyperlink" Id="rId98" Target="https://doi.org/10.2469/faj.v45.n1.31" TargetMode="External" /><Relationship Type="http://schemas.openxmlformats.org/officeDocument/2006/relationships/hyperlink" Id="rId81" Target="https://doi.org/10.3386/w8554" TargetMode="External" /><Relationship Type="http://schemas.openxmlformats.org/officeDocument/2006/relationships/hyperlink" Id="rId69" Target="https://doi.org/10.3905/joi.2011.20.1.108" TargetMode="External" /><Relationship Type="http://schemas.openxmlformats.org/officeDocument/2006/relationships/hyperlink" Id="rId93" Target="https://doi.org/10.3905/jpm.2010.36.4.060" TargetMode="External" /><Relationship Type="http://schemas.openxmlformats.org/officeDocument/2006/relationships/hyperlink" Id="rId89" Target="https://doi.org/10.3905/jpm.2011.37.4.011" TargetMode="External" /><Relationship Type="http://schemas.openxmlformats.org/officeDocument/2006/relationships/hyperlink" Id="rId91" Target="https://doi.org/10.3905/jpm.2016.42.4.059" TargetMode="External" /><Relationship Type="http://schemas.openxmlformats.org/officeDocument/2006/relationships/hyperlink" Id="rId104" Target="https://doi.org/10.48550/arXiv.2202.02728" TargetMode="External" /><Relationship Type="http://schemas.openxmlformats.org/officeDocument/2006/relationships/hyperlink" Id="rId61" Target="https://www.cfr-cologne.de/download/kolloquium/2009/behr_et_al.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Risikobasierte Portfoliooptimierung mit GARCH-Modellen</dc:title>
  <dc:creator/>
  <cp:keywords/>
  <dcterms:created xsi:type="dcterms:W3CDTF">2026-09-16T18:04:08Z</dcterms:created>
  <dcterms:modified xsi:type="dcterms:W3CDTF">2026-09-16T18:04:08Z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Diese Arbeit untersucht, ob risikobasierte Portfolioverfahren das naive 1/N-Portfolio schlagen und ob GARCH- und DCC-GARCH-Prognosen der Kovarianzmatrix gegenüber einer historischen Schätzung einen Mehrwert stiften. Die Grundlage bilden tägliche Renditen von 27 US-Sektorindizes über gut 27 Jahre, die in zehn Trainingsfenstern und vier Prognosehorizonten und damit in 40 Konstellationen ausgewertet werden. Bewertet wird getrennt nach statistischen und ökonomischen Kriterien. Statistisch fällt das Ergebnis eindeutig aus, da DCC-GARCH die Kovarianzmatrix unter dem MSE in allen 40 Konstellationen besser prognostiziert als die historische Matrix. Ökonomisch schlägt sich dieser Vorsprung jedoch nur beim Minimum-Varianz-Portfolio nieder, während er bei Hierarchical Risk Parity und Equal Risk Contribution folgenlos bleibt. Ausschlaggebend ist der Turnover, der beim Minimum-Varianz-Portfolio mit dynamischer Kovarianz um den Faktor 32 höher liegt und die dynamischen Varianten unter realen Handelskosten zusätzlich belasten würde. Eine bessere Risikoprognose ist folglich nicht automatisch eine bessere Anlageentscheidung. Die gesamte Auswertung ist in Python umgesetzt. Die univariaten GARCH(1,1)-Modelle werden mit dem Paket arch geschätzt, die DCC-Rekursion und die Verlustmaße sind eigens implementiert, und die Portfoliooptimierung greift auf riskfolio und scipy zurück. Alle Modelle werden an jedem Rebalancierungstermin auf dem jeweiligen Trainingsfenster neu geschätzt; Code, Konfiguration und die Skripte zur Erzeugung sämtlicher Tabellen liegen im begleitenden Repository.</vt:lpwstr>
  </property>
  <property fmtid="{D5CDD505-2E9C-101B-9397-08002B2CF9AE}" pid="3" name="bibliography">
    <vt:lpwstr>literatur.bib</vt:lpwstr>
  </property>
  <property fmtid="{D5CDD505-2E9C-101B-9397-08002B2CF9AE}" pid="4" name="date">
    <vt:lpwstr/>
  </property>
</Properties>
</file>