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Reading Response 3</w:t>
      </w:r>
    </w:p>
    <w:p w:rsidR="00000000" w:rsidDel="00000000" w:rsidP="00000000" w:rsidRDefault="00000000" w:rsidRPr="00000000">
      <w:pPr>
        <w:pBdr/>
        <w:contextualSpacing w:val="0"/>
        <w:rPr/>
      </w:pPr>
      <w:r w:rsidDel="00000000" w:rsidR="00000000" w:rsidRPr="00000000">
        <w:rPr>
          <w:rtl w:val="0"/>
        </w:rPr>
        <w:t xml:space="preserve">Melvin McElrath</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Coming from a christian household, this wasn’t the first time reading about the story of Elijah. What was interesting to me was in the “Text &amp; Translations” section, it showed the specific books and verses that the script was taken from. They are all taken from many different parts of the Bible. It’s very interesting to see this really old style of text and writing translated into song and music and also showing a story through song. I’m really looking forward to this performance and I hope turns out really well.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