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Fitness Band Telemetry: Data Format Specification</w:t>
      </w:r>
    </w:p>
    <w:p>
      <w:pPr>
        <w:jc w:val="center"/>
      </w:pPr>
      <w:r>
        <w:rPr>
          <w:i/>
        </w:rPr>
        <w:t>FitFuel — CMPE 195A/B Senior Design | San José State University | Spring 2026</w:t>
      </w:r>
    </w:p>
    <w:p>
      <w:pPr>
        <w:jc w:val="center"/>
      </w:pPr>
      <w:r>
        <w:rPr>
          <w:b/>
        </w:rPr>
        <w:t>Ishan Sikka</w:t>
      </w:r>
    </w:p>
    <w:p/>
    <w:p>
      <w:pPr>
        <w:pStyle w:val="Heading1"/>
      </w:pPr>
      <w:r>
        <w:t>Purpose</w:t>
      </w:r>
    </w:p>
    <w:p>
      <w:r>
        <w:t xml:space="preserve">This document specifies </w:t>
      </w:r>
    </w:p>
    <w:p>
      <w:r>
        <w:rPr>
          <w:b/>
        </w:rPr>
        <w:t xml:space="preserve">in what format </w:t>
      </w:r>
      <w:r>
        <w:t>telemetry data are represented when transmitted from the fitness band to a host system (mobile device or personal computer). It complements the parallel summary on sensor versus summary data authored by Tanish: here the focus is exclusively on encoding, layout, and host-side interpretation—not on whether samples are raw or aggregated at the source.</w:t>
      </w:r>
    </w:p>
    <w:p>
      <w:pPr>
        <w:pStyle w:val="Heading1"/>
      </w:pPr>
      <w:r>
        <w:t>Transport and encapsulation</w:t>
      </w:r>
    </w:p>
    <w:p>
      <w:r>
        <w:t xml:space="preserve">Telemetry is delivered over Bluetooth Low Energy using GATT </w:t>
      </w:r>
      <w:r>
        <w:rPr>
          <w:b/>
        </w:rPr>
        <w:t>notifications</w:t>
      </w:r>
      <w:r>
        <w:t xml:space="preserve"> on a project-defined </w:t>
      </w:r>
      <w:r>
        <w:rPr>
          <w:b/>
        </w:rPr>
        <w:t>Telemetry</w:t>
      </w:r>
      <w:r>
        <w:t xml:space="preserve"> characteristic within a custom service. The application payload is a </w:t>
      </w:r>
      <w:r>
        <w:rPr>
          <w:b/>
        </w:rPr>
        <w:t>binary record</w:t>
      </w:r>
      <w:r>
        <w:t>, not JSON or XML; compact fixed-width fields minimize airtime and parsing cost. Service and characteristic 128-bit UUIDs will be published in a shared constants module referenced by firmware and client software (see project connectivity documentation).</w:t>
      </w:r>
    </w:p>
    <w:p>
      <w:pPr>
        <w:pStyle w:val="Heading1"/>
      </w:pPr>
      <w:r>
        <w:t>Binary layout (application payload)</w:t>
      </w:r>
    </w:p>
    <w:p>
      <w:r>
        <w:t xml:space="preserve">All multi-byte integers use </w:t>
      </w:r>
      <w:r>
        <w:rPr>
          <w:b/>
        </w:rPr>
        <w:t>little-endian</w:t>
      </w:r>
      <w:r>
        <w:t xml:space="preserve"> byte order. The notification payload is structured as follows (approximately twelve octets).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Byte offset</w:t>
            </w:r>
          </w:p>
        </w:tc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Semantics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Packet type</w:t>
            </w:r>
          </w:p>
        </w:tc>
        <w:tc>
          <w:tcPr>
            <w:tcW w:type="dxa" w:w="2160"/>
          </w:tcPr>
          <w:p>
            <w:r>
              <w:t>uint8</w:t>
            </w:r>
          </w:p>
        </w:tc>
        <w:tc>
          <w:tcPr>
            <w:tcW w:type="dxa" w:w="2160"/>
          </w:tcPr>
          <w:p>
            <w:r>
              <w:t>Message class (e.g., 0x01 = telemetry)</w:t>
            </w:r>
          </w:p>
        </w:tc>
      </w:tr>
      <w:tr>
        <w:tc>
          <w:tcPr>
            <w:tcW w:type="dxa" w:w="2160"/>
          </w:tcPr>
          <w:p>
            <w:r>
              <w:t>1–2</w:t>
            </w:r>
          </w:p>
        </w:tc>
        <w:tc>
          <w:tcPr>
            <w:tcW w:type="dxa" w:w="2160"/>
          </w:tcPr>
          <w:p>
            <w:r>
              <w:t>Heart rate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Beats per minute</w:t>
            </w:r>
          </w:p>
        </w:tc>
      </w:tr>
      <w:tr>
        <w:tc>
          <w:tcPr>
            <w:tcW w:type="dxa" w:w="2160"/>
          </w:tcPr>
          <w:p>
            <w:r>
              <w:t>3–4</w:t>
            </w:r>
          </w:p>
        </w:tc>
        <w:tc>
          <w:tcPr>
            <w:tcW w:type="dxa" w:w="2160"/>
          </w:tcPr>
          <w:p>
            <w:r>
              <w:t>Steps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Step count since reset</w:t>
            </w:r>
          </w:p>
        </w:tc>
      </w:tr>
      <w:tr>
        <w:tc>
          <w:tcPr>
            <w:tcW w:type="dxa" w:w="2160"/>
          </w:tcPr>
          <w:p>
            <w:r>
              <w:t>5–8</w:t>
            </w:r>
          </w:p>
        </w:tc>
        <w:tc>
          <w:tcPr>
            <w:tcW w:type="dxa" w:w="2160"/>
          </w:tcPr>
          <w:p>
            <w:r>
              <w:t>Calories</w:t>
            </w:r>
          </w:p>
        </w:tc>
        <w:tc>
          <w:tcPr>
            <w:tcW w:type="dxa" w:w="2160"/>
          </w:tcPr>
          <w:p>
            <w:r>
              <w:t>uint32</w:t>
            </w:r>
          </w:p>
        </w:tc>
        <w:tc>
          <w:tcPr>
            <w:tcW w:type="dxa" w:w="2160"/>
          </w:tcPr>
          <w:p>
            <w:r>
              <w:t>Energy as kilocalories × 10 (divide by 10 for kcal)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Battery</w:t>
            </w:r>
          </w:p>
        </w:tc>
        <w:tc>
          <w:tcPr>
            <w:tcW w:type="dxa" w:w="2160"/>
          </w:tcPr>
          <w:p>
            <w:r>
              <w:t>uint8</w:t>
            </w:r>
          </w:p>
        </w:tc>
        <w:tc>
          <w:tcPr>
            <w:tcW w:type="dxa" w:w="2160"/>
          </w:tcPr>
          <w:p>
            <w:r>
              <w:t>State of charge, 0–100%</w:t>
            </w:r>
          </w:p>
        </w:tc>
      </w:tr>
      <w:tr>
        <w:tc>
          <w:tcPr>
            <w:tcW w:type="dxa" w:w="2160"/>
          </w:tcPr>
          <w:p>
            <w:r>
              <w:t>10–11</w:t>
            </w:r>
          </w:p>
        </w:tc>
        <w:tc>
          <w:tcPr>
            <w:tcW w:type="dxa" w:w="2160"/>
          </w:tcPr>
          <w:p>
            <w:r>
              <w:t>Sequence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Monotonic counter; gaps imply missed notifications</w:t>
            </w:r>
          </w:p>
        </w:tc>
      </w:tr>
    </w:tbl>
    <w:p/>
    <w:p>
      <w:r>
        <w:t>This record fits typical default ATT MTU limits; larger payloads are possible after MTU negotiation between Central and Peripheral.</w:t>
      </w:r>
    </w:p>
    <w:p>
      <w:pPr>
        <w:pStyle w:val="Heading1"/>
      </w:pPr>
      <w:r>
        <w:t>Host software interpretation</w:t>
      </w:r>
    </w:p>
    <w:p>
      <w:r>
        <w:t>On Android, the GATT callback supplies the characteristic value as a byte array; fields are read using unsigned little-endian interpretation consistent with the table above. On desktop systems, an equivalent layout may be parsed with Python struct unpacking—for example, format string &lt;B H H I B H in little-endian order (12 bytes total)—when using a BLE library such as bleak.</w:t>
      </w:r>
    </w:p>
    <w:p>
      <w:r>
        <w:t>Standard Bluetooth Battery Service characteristics, if exposed, follow Bluetooth SIG data types and are orthogonal to this custom telemetry record.</w:t>
      </w:r>
    </w:p>
    <w:p>
      <w:pPr>
        <w:pStyle w:val="Heading1"/>
      </w:pPr>
      <w:r>
        <w:t>Reference</w:t>
      </w:r>
    </w:p>
    <w:p>
      <w:r>
        <w:t>docs/hardware-fitness-band-connectivity.md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Fitness Band Telemetry: Data Format Specification</dc:title>
  <dc:subject/>
  <dc:creator>Ishan Sikka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