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88213">
      <w:pPr>
        <w:jc w:val="center"/>
        <w:rPr>
          <w:rFonts w:ascii="Times New Roman" w:hAnsi="Times New Roman" w:eastAsia="华文仿宋" w:cs="Times New Roman"/>
          <w:sz w:val="32"/>
          <w:szCs w:val="32"/>
        </w:rPr>
      </w:pPr>
      <w:r>
        <w:rPr>
          <w:rFonts w:hint="eastAsia" w:ascii="Times New Roman" w:hAnsi="Times New Roman" w:eastAsia="华文仿宋" w:cs="Times New Roman"/>
          <w:sz w:val="32"/>
          <w:szCs w:val="32"/>
        </w:rPr>
        <w:t>上海交通大学硕士研究生中期检查报告记录表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118"/>
        <w:gridCol w:w="1418"/>
        <w:gridCol w:w="2739"/>
      </w:tblGrid>
      <w:tr w14:paraId="2B93C7E7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C02D84A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姓名</w:t>
            </w:r>
          </w:p>
        </w:tc>
        <w:tc>
          <w:tcPr>
            <w:tcW w:w="7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4304A00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姚栋文</w:t>
            </w:r>
          </w:p>
        </w:tc>
      </w:tr>
      <w:tr w14:paraId="7E84D2FB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5F68C3F4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院系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51325C14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(531)人工智能学院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4034F73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学号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5E0B9CA2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124033910164</w:t>
            </w:r>
          </w:p>
        </w:tc>
      </w:tr>
      <w:tr w14:paraId="5E14056A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489EE91C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专业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361AFD1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电子信息(085400)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25A293D5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入学日期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90E20FA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2024-09-18</w:t>
            </w:r>
          </w:p>
        </w:tc>
      </w:tr>
      <w:tr w14:paraId="6D12428B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4120913E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国籍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970DA48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中华人民共和国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972BF12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预期毕业日期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218D0E1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2027-03-31</w:t>
            </w:r>
          </w:p>
        </w:tc>
      </w:tr>
      <w:tr w14:paraId="7307C426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708FC388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培养层次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564D2E1E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硕士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9EF1C86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培养方式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526228A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非定向</w:t>
            </w:r>
          </w:p>
        </w:tc>
      </w:tr>
      <w:tr w14:paraId="66E2BF80"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BFCD29B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学籍状态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7D282DE4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正常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9757CC4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导师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7B402545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曹钦翔</w:t>
            </w:r>
          </w:p>
        </w:tc>
      </w:tr>
      <w:tr w14:paraId="42CD2391">
        <w:trPr>
          <w:trHeight w:val="70" w:hRule="atLeast"/>
        </w:trPr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23D98005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Email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A111695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1814080231@sjtu.edu.cn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2C9C3902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电话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043C444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ascii="Times New Roman" w:hAnsi="Times New Roman" w:eastAsia="楷体" w:cs="Times New Roman"/>
                <w:szCs w:val="21"/>
              </w:rPr>
              <w:t>18817790178</w:t>
            </w:r>
          </w:p>
        </w:tc>
      </w:tr>
      <w:tr w14:paraId="7BC6BCE0">
        <w:trPr>
          <w:trHeight w:val="2460" w:hRule="atLeast"/>
        </w:trPr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A5ABA">
            <w:pPr>
              <w:snapToGrid w:val="0"/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培养计划完成情况</w:t>
            </w:r>
          </w:p>
          <w:tbl>
            <w:tblPr>
              <w:tblStyle w:val="5"/>
              <w:tblW w:w="808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1"/>
              <w:gridCol w:w="2361"/>
              <w:gridCol w:w="1945"/>
              <w:gridCol w:w="1666"/>
            </w:tblGrid>
            <w:tr w14:paraId="1A5C42F0">
              <w:trPr>
                <w:trHeight w:val="279" w:hRule="atLeast"/>
              </w:trPr>
              <w:tc>
                <w:tcPr>
                  <w:tcW w:w="2111" w:type="dxa"/>
                  <w:vAlign w:val="center"/>
                </w:tcPr>
                <w:p w14:paraId="1DD76CC3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培养方案要求学分</w:t>
                  </w:r>
                </w:p>
              </w:tc>
              <w:tc>
                <w:tcPr>
                  <w:tcW w:w="2361" w:type="dxa"/>
                  <w:vAlign w:val="center"/>
                </w:tcPr>
                <w:p w14:paraId="6C742A7C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培养计划总学分</w:t>
                  </w:r>
                </w:p>
              </w:tc>
              <w:tc>
                <w:tcPr>
                  <w:tcW w:w="1945" w:type="dxa"/>
                  <w:vAlign w:val="center"/>
                </w:tcPr>
                <w:p w14:paraId="3F8ED959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已修完成学分</w:t>
                  </w:r>
                </w:p>
              </w:tc>
              <w:tc>
                <w:tcPr>
                  <w:tcW w:w="1666" w:type="dxa"/>
                  <w:vAlign w:val="center"/>
                </w:tcPr>
                <w:p w14:paraId="66350060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GPA</w:t>
                  </w:r>
                </w:p>
              </w:tc>
            </w:tr>
            <w:tr w14:paraId="35E03FA8">
              <w:trPr>
                <w:trHeight w:val="206" w:hRule="atLeast"/>
              </w:trPr>
              <w:tc>
                <w:tcPr>
                  <w:tcW w:w="2111" w:type="dxa"/>
                  <w:vAlign w:val="center"/>
                </w:tcPr>
                <w:p w14:paraId="60809F6B">
                  <w:pPr>
                    <w:snapToGrid w:val="0"/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24.5</w:t>
                  </w:r>
                </w:p>
              </w:tc>
              <w:tc>
                <w:tcPr>
                  <w:tcW w:w="2361" w:type="dxa"/>
                  <w:vAlign w:val="center"/>
                </w:tcPr>
                <w:p w14:paraId="4170A87C">
                  <w:pPr>
                    <w:snapToGrid w:val="0"/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25.5</w:t>
                  </w:r>
                </w:p>
              </w:tc>
              <w:tc>
                <w:tcPr>
                  <w:tcW w:w="1945" w:type="dxa"/>
                  <w:vAlign w:val="center"/>
                </w:tcPr>
                <w:p w14:paraId="19FC6402">
                  <w:pPr>
                    <w:snapToGrid w:val="0"/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24.5</w:t>
                  </w:r>
                </w:p>
              </w:tc>
              <w:tc>
                <w:tcPr>
                  <w:tcW w:w="1666" w:type="dxa"/>
                  <w:vAlign w:val="center"/>
                </w:tcPr>
                <w:p w14:paraId="029554BB">
                  <w:pPr>
                    <w:snapToGrid w:val="0"/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3.67</w:t>
                  </w:r>
                </w:p>
              </w:tc>
            </w:tr>
          </w:tbl>
          <w:p w14:paraId="76F6F2F0">
            <w:pPr>
              <w:snapToGrid w:val="0"/>
              <w:rPr>
                <w:rFonts w:ascii="楷体" w:hAnsi="楷体" w:eastAsia="楷体" w:cs="Times New Roman"/>
                <w:b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szCs w:val="21"/>
              </w:rPr>
              <w:t>开题报告与中期检查历史记录</w:t>
            </w:r>
          </w:p>
          <w:tbl>
            <w:tblPr>
              <w:tblStyle w:val="5"/>
              <w:tblW w:w="806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8"/>
              <w:gridCol w:w="1395"/>
              <w:gridCol w:w="1255"/>
              <w:gridCol w:w="1395"/>
              <w:gridCol w:w="3125"/>
            </w:tblGrid>
            <w:tr w14:paraId="2CCF1CEF">
              <w:trPr>
                <w:trHeight w:val="257" w:hRule="atLeast"/>
              </w:trPr>
              <w:tc>
                <w:tcPr>
                  <w:tcW w:w="8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7AD2C909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</w:rPr>
                    <w:t>流水号</w:t>
                  </w:r>
                </w:p>
              </w:tc>
              <w:tc>
                <w:tcPr>
                  <w:tcW w:w="13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0377552F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</w:rPr>
                    <w:t>申请内容</w:t>
                  </w:r>
                </w:p>
              </w:tc>
              <w:tc>
                <w:tcPr>
                  <w:tcW w:w="12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140BA9BE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</w:rPr>
                    <w:t>申请日期</w:t>
                  </w:r>
                </w:p>
              </w:tc>
              <w:tc>
                <w:tcPr>
                  <w:tcW w:w="13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1E7BA44F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</w:rPr>
                    <w:t>结果提交日期</w:t>
                  </w:r>
                </w:p>
              </w:tc>
              <w:tc>
                <w:tcPr>
                  <w:tcW w:w="312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085B2CB7">
                  <w:pPr>
                    <w:snapToGrid w:val="0"/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</w:rPr>
                    <w:t>结论</w:t>
                  </w:r>
                </w:p>
              </w:tc>
            </w:tr>
            <w:tr w14:paraId="0C5ED497">
              <w:trPr>
                <w:trHeight w:val="485" w:hRule="exact"/>
              </w:trPr>
              <w:tc>
                <w:tcPr>
                  <w:tcW w:w="8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2095B5FF">
                  <w:pPr>
                    <w:snapToGrid w:val="0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19192806</w:t>
                  </w:r>
                </w:p>
              </w:tc>
              <w:tc>
                <w:tcPr>
                  <w:tcW w:w="13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2A73C1D1">
                  <w:pPr>
                    <w:snapToGrid w:val="0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开题报告</w:t>
                  </w:r>
                </w:p>
              </w:tc>
              <w:tc>
                <w:tcPr>
                  <w:tcW w:w="12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35DF4206">
                  <w:pPr>
                    <w:snapToGrid w:val="0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2025-11-29</w:t>
                  </w:r>
                </w:p>
              </w:tc>
              <w:tc>
                <w:tcPr>
                  <w:tcW w:w="13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50F4A483">
                  <w:pPr>
                    <w:snapToGrid w:val="0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2025-12-31</w:t>
                  </w:r>
                </w:p>
              </w:tc>
              <w:tc>
                <w:tcPr>
                  <w:tcW w:w="312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28" w:type="dxa"/>
                    <w:right w:w="28" w:type="dxa"/>
                  </w:tcMar>
                </w:tcPr>
                <w:p w14:paraId="5458289B">
                  <w:pPr>
                    <w:snapToGrid w:val="0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通过 Pass</w:t>
                  </w:r>
                </w:p>
              </w:tc>
            </w:tr>
          </w:tbl>
          <w:p w14:paraId="77D9DB80">
            <w:pPr>
              <w:snapToGrid w:val="0"/>
              <w:rPr>
                <w:rFonts w:ascii="Times New Roman" w:hAnsi="Times New Roman" w:eastAsia="华文仿宋" w:cs="Times New Roman"/>
                <w:b/>
                <w:sz w:val="24"/>
              </w:rPr>
            </w:pPr>
          </w:p>
        </w:tc>
      </w:tr>
      <w:tr w14:paraId="2C5AFDC2"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8D57D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导师评价：</w:t>
            </w:r>
            <w:r>
              <w:rPr>
                <w:rFonts w:ascii="Times New Roman" w:hAnsi="Times New Roman" w:eastAsia="楷体" w:cs="Times New Roman"/>
                <w:szCs w:val="21"/>
              </w:rPr>
              <w:t>符合要求</w:t>
            </w:r>
          </w:p>
          <w:p w14:paraId="0F32D67C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签名：</w:t>
            </w:r>
            <w:r>
              <w:rPr>
                <w:rFonts w:ascii="Times New Roman" w:hAnsi="Times New Roman" w:eastAsia="楷体" w:cs="Times New Roman"/>
                <w:b/>
                <w:szCs w:val="21"/>
              </w:rPr>
              <w:t>曹钦翔</w:t>
            </w:r>
            <w:r>
              <w:rPr>
                <w:rFonts w:hint="eastAsia" w:ascii="Times New Roman" w:hAnsi="Times New Roman" w:eastAsia="楷体" w:cs="Times New Roman"/>
                <w:szCs w:val="21"/>
              </w:rPr>
              <w:t>签名码：</w:t>
            </w:r>
            <w:r>
              <w:rPr>
                <w:rFonts w:ascii="Times New Roman" w:hAnsi="Times New Roman" w:eastAsia="楷体" w:cs="Times New Roman"/>
                <w:szCs w:val="21"/>
              </w:rPr>
              <w:t>bf3a245d-cc5d-4029-9dad-61afc5028c7b</w:t>
            </w:r>
            <w:r>
              <w:rPr>
                <w:rFonts w:hint="eastAsia" w:ascii="Times New Roman" w:hAnsi="Times New Roman" w:eastAsia="楷体" w:cs="Times New Roman"/>
                <w:szCs w:val="21"/>
              </w:rPr>
              <w:t>审核日期：</w:t>
            </w:r>
            <w:r>
              <w:rPr>
                <w:rFonts w:ascii="Times New Roman" w:hAnsi="Times New Roman" w:eastAsia="楷体" w:cs="Times New Roman"/>
                <w:szCs w:val="21"/>
              </w:rPr>
              <w:t>2026-06-02</w:t>
            </w:r>
          </w:p>
        </w:tc>
      </w:tr>
      <w:tr w14:paraId="3DE5FAD2"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5C37C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专家组审核结果：</w:t>
            </w:r>
            <w:r>
              <w:rPr>
                <w:rFonts w:hint="eastAsia" w:ascii="Times New Roman" w:hAnsi="Times New Roman" w:eastAsia="楷体" w:cs="Times New Roman"/>
                <w:szCs w:val="21"/>
              </w:rPr>
              <w:t>经审议，该课题研究目标明确，技术路线总体合理，已完成中期阶段计划任务，现有成果与进度符合毕业设计要求，同意通过毕业设计中期检查。</w:t>
            </w:r>
          </w:p>
          <w:p w14:paraId="72E934E0">
            <w:pPr>
              <w:rPr>
                <w:rFonts w:hint="eastAsia"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专家组论证意见：</w:t>
            </w:r>
            <w:r>
              <w:rPr>
                <w:rFonts w:hint="eastAsia" w:ascii="Times New Roman" w:hAnsi="Times New Roman" w:eastAsia="楷体" w:cs="Times New Roman"/>
                <w:szCs w:val="21"/>
              </w:rPr>
              <w:t>课题围绕CompCert框架下的C到Rust可信翻译开展研究，具有理论和应用价值。项目已完成核心框架与部分功能，进展符合预期。建议后续补充形式化证明和实验数据，完善测试覆盖，并说明系统边界与适用范围。</w:t>
            </w:r>
          </w:p>
          <w:p w14:paraId="779E647E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</w:p>
          <w:p w14:paraId="12821E00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</w:p>
          <w:p w14:paraId="24C5B2F4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专家组成员</w:t>
            </w:r>
            <w:r>
              <w:rPr>
                <w:rFonts w:ascii="Times New Roman" w:hAnsi="Times New Roman" w:eastAsia="楷体" w:cs="Times New Roman"/>
                <w:b/>
                <w:szCs w:val="21"/>
              </w:rPr>
              <w:t xml:space="preserve"> </w:t>
            </w:r>
          </w:p>
          <w:tbl>
            <w:tblPr>
              <w:tblStyle w:val="5"/>
              <w:tblW w:w="8011" w:type="dxa"/>
              <w:tblInd w:w="12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3"/>
              <w:gridCol w:w="1254"/>
              <w:gridCol w:w="1539"/>
              <w:gridCol w:w="3216"/>
              <w:gridCol w:w="1259"/>
            </w:tblGrid>
            <w:tr w14:paraId="0671448E">
              <w:trPr>
                <w:trHeight w:val="319" w:hRule="atLeast"/>
                <w:tblHeader/>
              </w:trPr>
              <w:tc>
                <w:tcPr>
                  <w:tcW w:w="743" w:type="dxa"/>
                  <w:vAlign w:val="center"/>
                </w:tcPr>
                <w:p w14:paraId="347DD83A">
                  <w:pPr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序号</w:t>
                  </w:r>
                </w:p>
              </w:tc>
              <w:tc>
                <w:tcPr>
                  <w:tcW w:w="1254" w:type="dxa"/>
                  <w:vAlign w:val="center"/>
                </w:tcPr>
                <w:p w14:paraId="5ADCF4D2">
                  <w:pPr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姓名</w:t>
                  </w:r>
                </w:p>
              </w:tc>
              <w:tc>
                <w:tcPr>
                  <w:tcW w:w="1539" w:type="dxa"/>
                  <w:vAlign w:val="center"/>
                </w:tcPr>
                <w:p w14:paraId="69A90EA1">
                  <w:pPr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ascii="Times New Roman" w:hAnsi="Times New Roman" w:eastAsia="楷体" w:cs="Times New Roman"/>
                      <w:szCs w:val="21"/>
                    </w:rPr>
                    <w:t>jAccount</w:t>
                  </w:r>
                </w:p>
              </w:tc>
              <w:tc>
                <w:tcPr>
                  <w:tcW w:w="3216" w:type="dxa"/>
                  <w:vAlign w:val="center"/>
                </w:tcPr>
                <w:p w14:paraId="15A31760">
                  <w:pPr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楷体" w:cs="Times New Roman"/>
                      <w:szCs w:val="21"/>
                    </w:rPr>
                    <w:t>工作单位</w:t>
                  </w:r>
                </w:p>
              </w:tc>
              <w:tc>
                <w:tcPr>
                  <w:tcW w:w="1259" w:type="dxa"/>
                </w:tcPr>
                <w:p w14:paraId="2CC46C08">
                  <w:pPr>
                    <w:jc w:val="center"/>
                    <w:rPr>
                      <w:rFonts w:ascii="Times New Roman" w:hAnsi="Times New Roman" w:eastAsia="楷体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楷体" w:cs="Times New Roman"/>
                      <w:szCs w:val="21"/>
                    </w:rPr>
                    <w:t>签名</w:t>
                  </w:r>
                </w:p>
              </w:tc>
            </w:tr>
            <w:tr w14:paraId="7C480C3A">
              <w:trPr>
                <w:trHeight w:val="0" w:hRule="atLeast"/>
              </w:trPr>
              <w:tc>
                <w:tcPr>
                  <w:tcW w:w="743" w:type="dxa"/>
                  <w:vAlign w:val="center"/>
                </w:tcPr>
                <w:p w14:paraId="425FA04D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1</w:t>
                  </w:r>
                </w:p>
              </w:tc>
              <w:tc>
                <w:tcPr>
                  <w:tcW w:w="1254" w:type="dxa"/>
                  <w:vAlign w:val="center"/>
                </w:tcPr>
                <w:p w14:paraId="699583F6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汪宇霆</w:t>
                  </w:r>
                </w:p>
              </w:tc>
              <w:tc>
                <w:tcPr>
                  <w:tcW w:w="1539" w:type="dxa"/>
                  <w:vAlign w:val="center"/>
                </w:tcPr>
                <w:p w14:paraId="27F453FA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yuting.wang</w:t>
                  </w:r>
                </w:p>
              </w:tc>
              <w:tc>
                <w:tcPr>
                  <w:tcW w:w="3216" w:type="dxa"/>
                  <w:vAlign w:val="center"/>
                </w:tcPr>
                <w:p w14:paraId="63466EF7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计算机学院（网络空间安全学院、密码学院）</w:t>
                  </w:r>
                </w:p>
              </w:tc>
              <w:tc>
                <w:tcPr>
                  <w:tcW w:w="1259" w:type="dxa"/>
                  <w:vAlign w:val="center"/>
                </w:tcPr>
                <w:p w14:paraId="201BEF12">
                  <w:pPr>
                    <w:jc w:val="center"/>
                    <w:rPr>
                      <w:rFonts w:hint="eastAsia" w:ascii="楷体" w:hAnsi="楷体" w:eastAsia="楷体" w:cs="Times New Roman"/>
                      <w:szCs w:val="21"/>
                      <w:lang w:eastAsia="zh-CN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  <w:lang w:eastAsia="zh-CN"/>
                    </w:rPr>
                    <w:drawing>
                      <wp:inline distT="0" distB="0" distL="114300" distR="114300">
                        <wp:extent cx="658495" cy="239395"/>
                        <wp:effectExtent l="0" t="0" r="1905" b="14605"/>
                        <wp:docPr id="3" name="图片 3" descr="40fe61aafa3359ebdae4ee03b8fa20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40fe61aafa3359ebdae4ee03b8fa206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8495" cy="239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966C6AC">
              <w:trPr>
                <w:trHeight w:val="0" w:hRule="atLeast"/>
              </w:trPr>
              <w:tc>
                <w:tcPr>
                  <w:tcW w:w="743" w:type="dxa"/>
                  <w:vAlign w:val="center"/>
                </w:tcPr>
                <w:p w14:paraId="4AB1FF39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2</w:t>
                  </w:r>
                </w:p>
              </w:tc>
              <w:tc>
                <w:tcPr>
                  <w:tcW w:w="1254" w:type="dxa"/>
                  <w:vAlign w:val="center"/>
                </w:tcPr>
                <w:p w14:paraId="3F0A6F5D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吴亚东</w:t>
                  </w:r>
                </w:p>
              </w:tc>
              <w:tc>
                <w:tcPr>
                  <w:tcW w:w="1539" w:type="dxa"/>
                  <w:vAlign w:val="center"/>
                </w:tcPr>
                <w:p w14:paraId="48BA8E8D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wuyadong301</w:t>
                  </w:r>
                </w:p>
              </w:tc>
              <w:tc>
                <w:tcPr>
                  <w:tcW w:w="3216" w:type="dxa"/>
                  <w:vAlign w:val="center"/>
                </w:tcPr>
                <w:p w14:paraId="647FC931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计算机学院（网络空间安全学院、密码学院）</w:t>
                  </w:r>
                </w:p>
              </w:tc>
              <w:tc>
                <w:tcPr>
                  <w:tcW w:w="1259" w:type="dxa"/>
                  <w:vAlign w:val="center"/>
                </w:tcPr>
                <w:p w14:paraId="1623F300">
                  <w:pPr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FangSong" w:hAnsi="FangSong" w:eastAsia="FangSong"/>
                      <w:b/>
                      <w:color w:val="000000"/>
                    </w:rPr>
                    <w:drawing>
                      <wp:inline distT="0" distB="0" distL="0" distR="0">
                        <wp:extent cx="627380" cy="338455"/>
                        <wp:effectExtent l="0" t="0" r="7620" b="17145"/>
                        <wp:docPr id="1" name="Pictur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5" cstate="print">
                                  <a:biLevel thresh="50000"/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80" cy="338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2A52AC80">
              <w:trPr>
                <w:trHeight w:val="0" w:hRule="atLeast"/>
              </w:trPr>
              <w:tc>
                <w:tcPr>
                  <w:tcW w:w="743" w:type="dxa"/>
                  <w:vAlign w:val="center"/>
                </w:tcPr>
                <w:p w14:paraId="29EB14CC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3</w:t>
                  </w:r>
                </w:p>
              </w:tc>
              <w:tc>
                <w:tcPr>
                  <w:tcW w:w="1254" w:type="dxa"/>
                  <w:vAlign w:val="center"/>
                </w:tcPr>
                <w:p w14:paraId="213D3C86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陶表帅</w:t>
                  </w:r>
                </w:p>
              </w:tc>
              <w:tc>
                <w:tcPr>
                  <w:tcW w:w="1539" w:type="dxa"/>
                  <w:vAlign w:val="center"/>
                </w:tcPr>
                <w:p w14:paraId="402E637D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bstao</w:t>
                  </w:r>
                </w:p>
              </w:tc>
              <w:tc>
                <w:tcPr>
                  <w:tcW w:w="3216" w:type="dxa"/>
                  <w:vAlign w:val="center"/>
                </w:tcPr>
                <w:p w14:paraId="5B204255">
                  <w:pPr>
                    <w:jc w:val="center"/>
                    <w:rPr>
                      <w:rFonts w:ascii="楷体" w:hAnsi="楷体" w:eastAsia="楷体" w:cs="Times New Roman"/>
                      <w:szCs w:val="21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计算机学院（网络空间安全学院、密码学院）</w:t>
                  </w:r>
                </w:p>
              </w:tc>
              <w:tc>
                <w:tcPr>
                  <w:tcW w:w="1259" w:type="dxa"/>
                  <w:vAlign w:val="center"/>
                </w:tcPr>
                <w:p w14:paraId="43683F56">
                  <w:pPr>
                    <w:jc w:val="center"/>
                    <w:rPr>
                      <w:rFonts w:hint="eastAsia" w:ascii="楷体" w:hAnsi="楷体" w:eastAsia="楷体" w:cs="Times New Roman"/>
                      <w:szCs w:val="21"/>
                      <w:lang w:eastAsia="zh-CN"/>
                    </w:rPr>
                  </w:pPr>
                  <w:r>
                    <w:rPr>
                      <w:rFonts w:hint="eastAsia" w:ascii="楷体" w:hAnsi="楷体" w:eastAsia="楷体" w:cs="Times New Roman"/>
                      <w:szCs w:val="21"/>
                      <w:lang w:eastAsia="zh-CN"/>
                    </w:rPr>
                    <w:drawing>
                      <wp:inline distT="0" distB="0" distL="114300" distR="114300">
                        <wp:extent cx="481330" cy="280035"/>
                        <wp:effectExtent l="0" t="0" r="1270" b="24765"/>
                        <wp:docPr id="5" name="图片 5" descr="18da7cec93151062e01ecbbf6697551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5" descr="18da7cec93151062e01ecbbf6697551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330" cy="280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66D1F47">
            <w:pPr>
              <w:rPr>
                <w:rFonts w:ascii="Times New Roman" w:hAnsi="Times New Roman" w:eastAsia="楷体" w:cs="Times New Roman"/>
                <w:szCs w:val="21"/>
              </w:rPr>
            </w:pPr>
          </w:p>
          <w:tbl>
            <w:tblPr>
              <w:tblStyle w:val="5"/>
              <w:tblW w:w="8082" w:type="dxa"/>
              <w:tblInd w:w="6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3"/>
              <w:gridCol w:w="1275"/>
              <w:gridCol w:w="1560"/>
              <w:gridCol w:w="3118"/>
              <w:gridCol w:w="1276"/>
            </w:tblGrid>
            <w:tr w14:paraId="746F01D6">
              <w:trPr>
                <w:trHeight w:val="340" w:hRule="atLeast"/>
              </w:trPr>
              <w:tc>
                <w:tcPr>
                  <w:tcW w:w="85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03A9368">
                  <w:pPr>
                    <w:jc w:val="center"/>
                    <w:rPr>
                      <w:rFonts w:ascii="楷体" w:hAnsi="楷体" w:eastAsia="楷体" w:cs="Times New Roman"/>
                      <w:sz w:val="24"/>
                    </w:rPr>
                  </w:pPr>
                  <w:r>
                    <w:rPr>
                      <w:rFonts w:ascii="楷体" w:hAnsi="楷体" w:eastAsia="楷体" w:cs="Times New Roman"/>
                      <w:sz w:val="24"/>
                    </w:rPr>
                    <w:t>秘书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35C517">
                  <w:pPr>
                    <w:jc w:val="center"/>
                    <w:rPr>
                      <w:rFonts w:ascii="楷体" w:hAnsi="楷体" w:eastAsia="楷体" w:cs="Times New Roman"/>
                      <w:sz w:val="24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夏小渌</w:t>
                  </w:r>
                </w:p>
              </w:tc>
              <w:tc>
                <w:tcPr>
                  <w:tcW w:w="15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3D6C1B2">
                  <w:pPr>
                    <w:jc w:val="center"/>
                    <w:rPr>
                      <w:rFonts w:ascii="楷体" w:hAnsi="楷体" w:eastAsia="楷体" w:cs="Times New Roman"/>
                      <w:sz w:val="24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xiaoluxia</w:t>
                  </w:r>
                </w:p>
              </w:tc>
              <w:tc>
                <w:tcPr>
                  <w:tcW w:w="311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6325542">
                  <w:pPr>
                    <w:jc w:val="center"/>
                    <w:rPr>
                      <w:rFonts w:ascii="楷体" w:hAnsi="楷体" w:eastAsia="楷体" w:cs="Times New Roman"/>
                      <w:sz w:val="24"/>
                    </w:rPr>
                  </w:pPr>
                  <w:r>
                    <w:rPr>
                      <w:rFonts w:ascii="楷体" w:hAnsi="楷体" w:eastAsia="楷体" w:cs="Times New Roman"/>
                      <w:szCs w:val="21"/>
                    </w:rPr>
                    <w:t>计算机学院（网络空间安全学院、密码学院）</w:t>
                  </w:r>
                </w:p>
              </w:tc>
              <w:tc>
                <w:tcPr>
                  <w:tcW w:w="12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3FDA350">
                  <w:pPr>
                    <w:jc w:val="center"/>
                    <w:rPr>
                      <w:rFonts w:ascii="楷体" w:hAnsi="楷体" w:eastAsia="楷体" w:cs="Times New Roman"/>
                      <w:sz w:val="24"/>
                    </w:rPr>
                  </w:pPr>
                </w:p>
              </w:tc>
            </w:tr>
          </w:tbl>
          <w:p w14:paraId="0DEB2016">
            <w:pPr>
              <w:rPr>
                <w:rFonts w:ascii="Times New Roman" w:hAnsi="Times New Roman" w:eastAsia="楷体" w:cs="Times New Roman"/>
                <w:szCs w:val="21"/>
              </w:rPr>
            </w:pPr>
          </w:p>
          <w:p w14:paraId="1DC23132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评审日期：</w:t>
            </w:r>
            <w:r>
              <w:rPr>
                <w:rFonts w:ascii="Times New Roman" w:hAnsi="Times New Roman" w:eastAsia="楷体" w:cs="Times New Roman"/>
                <w:szCs w:val="21"/>
              </w:rPr>
              <w:t>2026-07-30</w:t>
            </w:r>
          </w:p>
        </w:tc>
      </w:tr>
      <w:tr w14:paraId="5CE10194"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411D9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中期检查报告问答记录：</w:t>
            </w:r>
          </w:p>
          <w:p w14:paraId="39C0F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  <w:p w14:paraId="47BCE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Q1：现有的 C2Rust、人工重构以及基于大语言模型的代码迁移工具已经能够把不少 C 程序转换为 Rust。本研究同样以 C 到 Rust 的迁移为目标，那么与这些已有工具相比，本质区别是什么？项目的创新点究竟在形式化方法层面，还是主要体现在工程适配和代码生成规则的补充？</w:t>
            </w:r>
          </w:p>
          <w:p w14:paraId="0E70A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A1：这个问题关系到本研究的基本定位。本研究并不是把“能够生成 Rust 代码”本身作为主要创新，因为现有工具在语法转换和工程迁移方面已经具有较强能力。它们的共同局限是，转换结果通常依赖测试、人工审查或经验规则来建立可信度，很难说明源程序与目标程序在语言语义层面是否保持一致。本研究的切入点是以 CompCert 的 Clight 作为源语言，设计适合验证和代码生成的 Rustlight 中间语言，并在 Coq 中刻画 Clight 到 Rustlight 的转换关系及语义保序条件，使翻译规则能够进入可检查的形式化框架。针对 C 指针算术、数组、结构体、空指针、void 指针、回调和变参等难点，项目采用统一的 Ptr&lt;T&gt; 抽象，把 load、store、offset、cast 等行为显式化，再由打印器和运行时封装生成可由 rustc 编译的代码。因此，核心贡献是把 C 到 Rust 迁移从经验式源码改写推进到“中间语言设计、翻译规则、语义论证和可执行代码生成”相衔接的体系。工程实现并非与理论工作割裂：打印器、运行时库以及典型案例修复用于检验形式化抽象能否落到真实 Rust 工具链中。虽然部分证明和边界特性尚未补齐，但是目前已经建立了经过验证翻译的主体框架和关键机制。</w:t>
            </w:r>
          </w:p>
          <w:p w14:paraId="21B96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</w:p>
          <w:p w14:paraId="7BD95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Q2：项目使用 Ptr&lt;T&gt; 统一承接 C 的指针语义，但 Rust 的安全性通常来自所有权、借用和生命周期检查。如果生成代码主要依赖自定义指针运行时，甚至在 FFI 和类型转换边界仍需使用 unsafe，那么这种方法是否只是把 C 的不安全操作包装了一层？所谓“安全指针语义”和形式化可信性应当如何界定？</w:t>
            </w:r>
          </w:p>
          <w:p w14:paraId="6FF04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A2：这里需要区分三个层面的安全性。第一层是翻译的语义可信性，即在明确的前置条件下，源程序在 Clight 中的可观察行为能够由 Rustlight 程序保持，这是 Coq 形式化工作的主要目标。第二层是生成代码的类型和内存操作边界。Ptr&lt;T&gt; 并不等于把任意裸指针直接伪装成安全引用，它把所有权来源、空值、偏移和可选边界等信息集中到统一接口中，使解引用、写入、行访问和类型转换不再散落在生成代码各处，从而便于约束、审计和建立证明不变量。第三层才是 Rust 编译器能够静态保证的安全性。当前方案为了忠实表达 C 的别名、指针算术、回调和 libc 交互，仍然保留必要的 unsafe 与运行时假设，因此不能把它等同于完全使用 Rust 借用系统重写后的 safe Rust。项目的可信边界包括 Coq 中的语言语义和转换实现、OCaml 打印器、Ptr&lt;T&gt; 与回调运行时、rustc 以及所调用外部库的行为；其中打印器和运行时仍需要通过代码审查、测试和后续规格化来缩小信任基。也就是说，本研究的价值不是声称消除了所有不安全操作，而是把原来隐含、分散且难以验证的 C 指针行为收敛为少量显式原语，并明确哪些性质由形式化证明保障、哪些依赖运行时检查、哪些属于 FFI 假设。</w:t>
            </w:r>
          </w:p>
          <w:p w14:paraId="6A7E8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  <w:p w14:paraId="7D961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360" w:lineRule="auto"/>
              <w:ind w:firstLine="48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Q3：当前项目已经加入大语言模型修复和差分测试流水线，在 Rust 编译失败或 C、Rust 行为不一致时自动修改生成代码。但大语言模型的修改本身没有形式化保证，而差分测试也只能覆盖有限输入。这是否会破坏经过验证编译器的可信链？中期之后如何评价系统的正确性、覆盖能力和实际可用性？</w:t>
            </w:r>
          </w:p>
          <w:p w14:paraId="70140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360" w:lineRule="auto"/>
              <w:ind w:firstLine="480"/>
              <w:jc w:val="both"/>
              <w:textAlignment w:val="auto"/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A3：大语言模型修复不会被纳入形式化可信链，而是作为编译器外层的工程化补充，两者的保证等级必须明确区分。未经模型修改的路径是 C 经 Clight、Rustlight 和打印器生成 Rust，其目标是通过语义保序证明建立可信性；一旦启用模型修复，最终结果的依据就变为“能够编译并通过当前差分测试”，不能继续沿用原始形式化保证。现有流水线因此记录翻译失败、编译失败、C 基线失败和行为不一致等明确状态，并保存日志、测试用例及报告，目的是让模型修改可追溯，而不是用测试冒充证明。差分测试目前比较退出码、标准输出和标准错误，适合具有可执行入口的程序，但对函数级语义、未被测试覆盖的输入、内存安全和 C 未定义行为仍不充分。下一阶段的评价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  <w:lang w:val="en-US" w:eastAsia="zh-CN"/>
              </w:rPr>
              <w:t>将分层进行：首先统计基准程序的翻译成功率、Rust 编译通过率及 C/Rust 运行结果一致率；其次围绕指针、数组、结构体、回调、变参和初始化等关键特性建立分类测试，结合边界输入与失败案例分析覆盖薄弱点；再次分别报告“纯编译器输出”和“经模型修复输出”的结果，避免混淆保证来源；最后继续补充语义证明，并对运行时开销、生成代码中的 unsafe 比例以及模型修复轮次进行量化。这样的评价方式能够同时回答理论正确性和工程可用性，但不会把有限测试结果夸大为对所有程序、所有输入的正确性证明。</w:t>
            </w:r>
          </w:p>
          <w:p w14:paraId="4AA8B01E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</w:p>
          <w:p w14:paraId="447943A4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</w:p>
          <w:p w14:paraId="7B24D51F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</w:p>
          <w:p w14:paraId="4F1111B4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记录人：</w:t>
            </w:r>
            <w:r>
              <w:rPr>
                <w:rFonts w:ascii="Times New Roman" w:hAnsi="Times New Roman" w:eastAsia="楷体" w:cs="Times New Roman"/>
                <w:szCs w:val="21"/>
              </w:rPr>
              <w:t>夏小渌</w:t>
            </w:r>
          </w:p>
        </w:tc>
      </w:tr>
      <w:tr w14:paraId="1EBEF868"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666C7">
            <w:pPr>
              <w:rPr>
                <w:rFonts w:ascii="Times New Roman" w:hAnsi="Times New Roman" w:eastAsia="楷体" w:cs="Times New Roman"/>
                <w:b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b/>
                <w:szCs w:val="21"/>
              </w:rPr>
              <w:t>备注：</w:t>
            </w:r>
          </w:p>
          <w:p w14:paraId="73A1BC3A">
            <w:pPr>
              <w:rPr>
                <w:rFonts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</w:rPr>
              <w:t>在线申请与审批流水号：</w:t>
            </w:r>
            <w:r>
              <w:rPr>
                <w:rFonts w:ascii="Times New Roman" w:hAnsi="Times New Roman" w:eastAsia="楷体" w:cs="Times New Roman"/>
                <w:szCs w:val="21"/>
              </w:rPr>
              <w:t>20652822</w:t>
            </w:r>
            <w:r>
              <w:rPr>
                <w:rFonts w:hint="eastAsia" w:ascii="Times New Roman" w:hAnsi="Times New Roman" w:eastAsia="楷体" w:cs="Times New Roman"/>
                <w:szCs w:val="21"/>
              </w:rPr>
              <w:t>；请在考核完成后将本表扫描上传流程系统。</w:t>
            </w:r>
          </w:p>
        </w:tc>
      </w:tr>
    </w:tbl>
    <w:p w14:paraId="1F4C60A9">
      <w:pPr>
        <w:rPr>
          <w:rFonts w:ascii="Times New Roman" w:hAnsi="Times New Roman" w:eastAsia="华文仿宋" w:cs="Times New Roman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9FAC"/>
    <w:rsid w:val="000315A2"/>
    <w:rsid w:val="0009184E"/>
    <w:rsid w:val="000F5912"/>
    <w:rsid w:val="00102881"/>
    <w:rsid w:val="001332C2"/>
    <w:rsid w:val="00343929"/>
    <w:rsid w:val="004406C0"/>
    <w:rsid w:val="004E2C5D"/>
    <w:rsid w:val="005B5D40"/>
    <w:rsid w:val="006677DC"/>
    <w:rsid w:val="007C4C36"/>
    <w:rsid w:val="007F27CD"/>
    <w:rsid w:val="00822CC3"/>
    <w:rsid w:val="00917639"/>
    <w:rsid w:val="00B238FB"/>
    <w:rsid w:val="00BF3954"/>
    <w:rsid w:val="00E3684D"/>
    <w:rsid w:val="00E87E8A"/>
    <w:rsid w:val="00F66E78"/>
    <w:rsid w:val="5FFDABE1"/>
    <w:rsid w:val="66D3BBF7"/>
    <w:rsid w:val="7BBD5FB0"/>
    <w:rsid w:val="7F2BD40C"/>
    <w:rsid w:val="A7B7F4B1"/>
    <w:rsid w:val="DFEEA40E"/>
    <w:rsid w:val="EB7E7CAA"/>
    <w:rsid w:val="F6DDC37F"/>
    <w:rsid w:val="FD783EAC"/>
    <w:rsid w:val="FFF721E7"/>
    <w:rsid w:val="FFF79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</Words>
  <Characters>1046</Characters>
  <Lines>8</Lines>
  <Paragraphs>2</Paragraphs>
  <TotalTime>3</TotalTime>
  <ScaleCrop>false</ScaleCrop>
  <LinksUpToDate>false</LinksUpToDate>
  <CharactersWithSpaces>1227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2021-03-24T16:50:00Z</dcterms:created>
  <dc:creator>huxingfei</dc:creator>
  <cp:lastModifiedBy>姚栋文</cp:lastModifiedBy>
  <dcterms:modified xsi:type="dcterms:W3CDTF">2026-08-02T14:12:28Z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9F69B439BF75ACB6BB396C6AF4A08484_42</vt:lpwstr>
  </property>
</Properties>
</file>