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7B2DF">
      <w:pPr>
        <w:spacing w:after="120"/>
      </w:pPr>
    </w:p>
    <w:p w14:paraId="0A887407">
      <w:pPr>
        <w:spacing w:before="200" w:after="120" w:line="360" w:lineRule="auto"/>
        <w:ind w:firstLine="480"/>
        <w:jc w:val="both"/>
      </w:pPr>
      <w:r>
        <w:rPr>
          <w:rFonts w:hint="eastAsia" w:eastAsia="黑体"/>
          <w:b/>
          <w:bCs/>
          <w:sz w:val="24"/>
          <w:szCs w:val="24"/>
          <w:lang w:val="en-US" w:eastAsia="zh-CN"/>
        </w:rPr>
        <w:t>Q1</w:t>
      </w:r>
      <w:r>
        <w:rPr>
          <w:rFonts w:eastAsia="黑体"/>
          <w:b/>
          <w:bCs/>
          <w:sz w:val="24"/>
          <w:szCs w:val="24"/>
        </w:rPr>
        <w:t>：</w:t>
      </w:r>
      <w:r>
        <w:rPr>
          <w:rFonts w:ascii="Times New Roman" w:eastAsia="FangSong"/>
          <w:b/>
          <w:bCs/>
          <w:sz w:val="24"/>
          <w:szCs w:val="24"/>
        </w:rPr>
        <w:t>目前把深度或三维信息引入视觉-语言-动作模型的做法并不少见，有直接把深度图或点云拼接成新token的，也有借助外部三维模型做特征蒸馏对齐的。本研究提出的专用注意力通路，与这些已有路线相比，本质区别究竟在哪里？这一贡献属于架构层面的创新，还是更多属于工程实现上的组合？</w:t>
      </w:r>
    </w:p>
    <w:p w14:paraId="48F05910">
      <w:pPr>
        <w:spacing w:before="60" w:after="120" w:line="360" w:lineRule="auto"/>
        <w:ind w:firstLine="480"/>
        <w:jc w:val="both"/>
      </w:pPr>
      <w:r>
        <w:rPr>
          <w:rFonts w:hint="eastAsia" w:eastAsia="黑体"/>
          <w:b/>
          <w:bCs/>
          <w:sz w:val="24"/>
          <w:szCs w:val="24"/>
          <w:lang w:val="en-US" w:eastAsia="zh-CN"/>
        </w:rPr>
        <w:t>A1</w:t>
      </w:r>
      <w:r>
        <w:rPr>
          <w:rFonts w:eastAsia="黑体"/>
          <w:b/>
          <w:bCs/>
          <w:sz w:val="24"/>
          <w:szCs w:val="24"/>
        </w:rPr>
        <w:t>：</w:t>
      </w:r>
      <w:r>
        <w:rPr>
          <w:rFonts w:ascii="Times New Roman" w:eastAsia="FangSong"/>
          <w:sz w:val="24"/>
          <w:szCs w:val="24"/>
        </w:rPr>
        <w:t>这个问题涉及本研究的基本定位，也是开题以来反复推敲的核心。现有引入几何信息的路线，无论是输入端拼接还是特征层蒸馏，共同点在于让深度信息进入所有注意力头共享的全局上下文，或者通过附加损失去改造原有表征。这样做的代价是明显的：token数量增长带来计算负担，深度特征与语义特征在尺度和噪声结构上的差异会干扰预训练模型已经形成的语义分布，蒸馏或对齐损失还可能与动作生成目标产生梯度冲突。本研究的切入点不在于用什么几何信息，而在于几何信息应当经由什么路径进入动作生成过程。具体做法是在动作解码器的注意力头层面建立硬性的路由边界，深度特征被投影为独立的Key和Value，只供指定的功能头读取，完全不进入全局token池，其余注意力头照常工作，语义通路不受任何扰动。整个模块不需要深度真值标注，不附加对齐损失，以插件形式接入基座，训练初期通过零初始化残差保持预训练行为。</w:t>
      </w:r>
    </w:p>
    <w:p w14:paraId="3FAE1AB6">
      <w:pPr>
        <w:spacing w:before="0" w:after="120" w:line="360" w:lineRule="auto"/>
        <w:ind w:firstLine="480"/>
        <w:jc w:val="both"/>
        <w:rPr>
          <w:rFonts w:hint="eastAsia" w:eastAsia="FangSong"/>
          <w:lang w:eastAsia="zh-CN"/>
        </w:rPr>
      </w:pPr>
      <w:r>
        <w:rPr>
          <w:rFonts w:ascii="Times New Roman" w:eastAsia="FangSong"/>
          <w:b w:val="0"/>
          <w:bCs w:val="0"/>
          <w:sz w:val="24"/>
          <w:szCs w:val="24"/>
        </w:rPr>
        <w:t>至于是否只是工程组合，消融实验给出了比较明确的回答。如果收益来自堆参数，那么更大的深度编码器应当效果更好，但实验中base规模的编码器反而不如small；如果收益与结构无关，那么取消token下采样不应有影响，但实际上平均成功率从百分之八十三降到了百分之六十八；向深度特征中混入噪声后，性能随几何信号质量单调变化，说明提升确实来自几何信息经由这条结构化通路进入了动作解码，而不能用参数量增长来解释。所以这项工作的核心贡献在于回答了异构先验以什么结构进入动作生成这一问题，属于架构层面的设计</w:t>
      </w:r>
      <w:r>
        <w:rPr>
          <w:rFonts w:hint="eastAsia" w:ascii="Times New Roman" w:eastAsia="FangSong"/>
          <w:b w:val="0"/>
          <w:bCs w:val="0"/>
          <w:sz w:val="24"/>
          <w:szCs w:val="24"/>
          <w:lang w:eastAsia="zh-CN"/>
        </w:rPr>
        <w:t>。</w:t>
      </w:r>
    </w:p>
    <w:p w14:paraId="2C21E67D">
      <w:pPr>
        <w:spacing w:before="200" w:after="120" w:line="360" w:lineRule="auto"/>
        <w:ind w:firstLine="480"/>
        <w:jc w:val="both"/>
      </w:pPr>
      <w:r>
        <w:rPr>
          <w:rFonts w:hint="eastAsia" w:eastAsia="黑体"/>
          <w:b/>
          <w:bCs/>
          <w:sz w:val="24"/>
          <w:szCs w:val="24"/>
          <w:lang w:val="en-US" w:eastAsia="zh-CN"/>
        </w:rPr>
        <w:t>Q2</w:t>
      </w:r>
      <w:r>
        <w:rPr>
          <w:rFonts w:eastAsia="黑体"/>
          <w:b/>
          <w:bCs/>
          <w:sz w:val="24"/>
          <w:szCs w:val="24"/>
        </w:rPr>
        <w:t>：</w:t>
      </w:r>
      <w:r>
        <w:rPr>
          <w:rFonts w:ascii="Times New Roman" w:eastAsia="FangSong"/>
          <w:b/>
          <w:bCs/>
          <w:sz w:val="24"/>
          <w:szCs w:val="24"/>
        </w:rPr>
        <w:t>对象、技能、几何这三类功能头的划分带有较强的人工设计色彩，头的类型和分配都由研究者预先指定；同时目前的主要实验都建立在π0这一个基座之上。如何评价这套方法的通用性？换一个基座模型或者换一类任务，结论是否仍然成立？</w:t>
      </w:r>
    </w:p>
    <w:p w14:paraId="3B188039">
      <w:pPr>
        <w:spacing w:before="60" w:after="120" w:line="360" w:lineRule="auto"/>
        <w:ind w:firstLine="480"/>
        <w:jc w:val="both"/>
      </w:pPr>
      <w:r>
        <w:rPr>
          <w:rFonts w:hint="eastAsia" w:eastAsia="黑体"/>
          <w:b/>
          <w:bCs/>
          <w:sz w:val="24"/>
          <w:szCs w:val="24"/>
          <w:lang w:val="en-US" w:eastAsia="zh-CN"/>
        </w:rPr>
        <w:t>A2</w:t>
      </w:r>
      <w:r>
        <w:rPr>
          <w:rFonts w:eastAsia="黑体"/>
          <w:b/>
          <w:bCs/>
          <w:sz w:val="24"/>
          <w:szCs w:val="24"/>
        </w:rPr>
        <w:t>：</w:t>
      </w:r>
      <w:r>
        <w:rPr>
          <w:rFonts w:ascii="Times New Roman" w:eastAsia="FangSong"/>
          <w:sz w:val="24"/>
          <w:szCs w:val="24"/>
        </w:rPr>
        <w:t>通用性的问题分两个层面来回应。先说人工指定的问题。当前阶段确实采用了先验的功能划分，这一选择有其阶段性的合理性。对象、技能、几何三类因素，对应的是操作任务中目标在哪里、当前该做什么、空间上怎么够得着这三个相对稳定的维度，它们并不是针对某个具体数据集设计的，而是操作问题本身的结构。在机制有效性尚未确认之前，先用显式分工把功能化注意力通路这件事验证清楚，是研究路线上必要的第一步。实验结果也支持这种划分的合理性，三类头组合之后的平均成功率高于任何单头变体，说明它们各自承担了不重叠的职责。当然，让模型根据任务自动判断何时需要几何信息、动态分配头资源，是更理想的形态，这一点在中期报告中已作为不足明确列出，动态几何路由也已纳入下一阶段的研究计划。</w:t>
      </w:r>
    </w:p>
    <w:p w14:paraId="0A76156E">
      <w:pPr>
        <w:spacing w:before="0" w:after="120" w:line="360" w:lineRule="auto"/>
        <w:ind w:firstLine="480"/>
        <w:jc w:val="both"/>
      </w:pPr>
      <w:r>
        <w:rPr>
          <w:rFonts w:ascii="Times New Roman" w:eastAsia="FangSong"/>
          <w:b w:val="0"/>
          <w:bCs w:val="0"/>
          <w:sz w:val="24"/>
          <w:szCs w:val="24"/>
        </w:rPr>
        <w:t>再说基座依赖的问题。从接口上看，这条深度通路对基座的要求只有一条，就是动作解码器采用多头注意力结构。深度特征通过独立的KV投影接入，动作Query的生成方式没有任何改动，深度token也不占用原有序列的位置，所以在机制层面并不绑定π0的具体实现。不过必须承认，跨基座迁移目前还停留在接口分析层面，缺少实验证据，这正是下一阶段计划中明确安排的工作，包括把独立深度KV路由迁移到其他动作解码架构上，以及与隐式空间表征方法组合，检验专用通路与更强空间基座之间是互补还是重复。如果互补性成立，功能化注意力分组作为一个通用设计原则的价值会得到更充分的支撑。</w:t>
      </w:r>
    </w:p>
    <w:p w14:paraId="29C0C89E">
      <w:pPr>
        <w:spacing w:before="200" w:after="120" w:line="360" w:lineRule="auto"/>
        <w:ind w:firstLine="480"/>
        <w:jc w:val="both"/>
      </w:pPr>
      <w:r>
        <w:rPr>
          <w:rFonts w:hint="eastAsia" w:eastAsia="黑体"/>
          <w:b/>
          <w:bCs/>
          <w:sz w:val="24"/>
          <w:szCs w:val="24"/>
          <w:lang w:val="en-US" w:eastAsia="zh-CN"/>
        </w:rPr>
        <w:t>Q3</w:t>
      </w:r>
      <w:r>
        <w:rPr>
          <w:rFonts w:eastAsia="黑体"/>
          <w:b/>
          <w:bCs/>
          <w:sz w:val="24"/>
          <w:szCs w:val="24"/>
        </w:rPr>
        <w:t>：</w:t>
      </w:r>
      <w:r>
        <w:rPr>
          <w:rFonts w:ascii="Times New Roman" w:eastAsia="FangSong"/>
          <w:b/>
          <w:bCs/>
          <w:sz w:val="24"/>
          <w:szCs w:val="24"/>
        </w:rPr>
        <w:t>这套方法的性能上限受制于单目深度估计的质量，透明物体、反光表面这些场景下深度特征本身就不可靠，而且冻结的深度编码器还带来额外的计算和时延开销。从真实部署的角度看，可靠性如何保障？</w:t>
      </w:r>
    </w:p>
    <w:p w14:paraId="3A44B93F">
      <w:pPr>
        <w:spacing w:before="60" w:after="120" w:line="360" w:lineRule="auto"/>
        <w:ind w:firstLine="480"/>
        <w:jc w:val="both"/>
      </w:pPr>
      <w:r>
        <w:rPr>
          <w:rFonts w:hint="eastAsia" w:eastAsia="黑体"/>
          <w:b/>
          <w:bCs/>
          <w:sz w:val="24"/>
          <w:szCs w:val="24"/>
          <w:lang w:val="en-US" w:eastAsia="zh-CN"/>
        </w:rPr>
        <w:t>A3</w:t>
      </w:r>
      <w:r>
        <w:rPr>
          <w:rFonts w:eastAsia="黑体"/>
          <w:b/>
          <w:bCs/>
          <w:sz w:val="24"/>
          <w:szCs w:val="24"/>
        </w:rPr>
        <w:t>：</w:t>
      </w:r>
      <w:r>
        <w:rPr>
          <w:rFonts w:ascii="Times New Roman" w:eastAsia="FangSong"/>
          <w:sz w:val="24"/>
          <w:szCs w:val="24"/>
        </w:rPr>
        <w:t>深度特征中的系统性偏差会经由专用通路直接影响动作决策。目前的证据链是这样的：真机实验部分回应了可靠性问题，双碗堆叠、烧杯套叠这类需要毫米级高度与间隙判断的任务上，收益从仿真延续到了真机，光照变化设定下成功率从百分之五十二点五提升到百分之七十，说明这条通路在常规部署条件下是稳健的。但透明玻璃器皿、反光金属和强遮挡场景确实存在风险，下一阶段第一项工作就是建立系统的深度扰动评估，对深度特征分别施加噪声、局部缺失、尺度偏移和结构平滑，同时记录末端位姿误差、接触高度误差、碰撞率和注意力集中度，把从深度信号质量到内部表征再到动作误差的因果链条量化出来，并对真机失败案例单独建库分类，弄清楚失败究竟发生在感知环节还是决策环节。</w:t>
      </w:r>
    </w:p>
    <w:p w14:paraId="116560BD">
      <w:pPr>
        <w:spacing w:before="0" w:after="120" w:line="360" w:lineRule="auto"/>
        <w:ind w:firstLine="480"/>
        <w:jc w:val="both"/>
      </w:pPr>
      <w:r>
        <w:rPr>
          <w:rFonts w:ascii="Times New Roman" w:eastAsia="FangSong"/>
          <w:b w:val="0"/>
          <w:bCs w:val="0"/>
          <w:sz w:val="24"/>
          <w:szCs w:val="24"/>
        </w:rPr>
        <w:t>计算开销方面，消融实验带来了一个有利的结论，就是最轻量的配置恰好也是精度最高的配置，</w:t>
      </w:r>
      <w:r>
        <w:rPr>
          <w:rFonts w:hint="eastAsia" w:ascii="Times New Roman" w:eastAsia="FangSong"/>
          <w:b w:val="0"/>
          <w:bCs w:val="0"/>
          <w:sz w:val="24"/>
          <w:szCs w:val="24"/>
          <w:lang w:val="en-US" w:eastAsia="zh-CN"/>
        </w:rPr>
        <w:t>小</w:t>
      </w:r>
      <w:r>
        <w:rPr>
          <w:rFonts w:ascii="Times New Roman" w:eastAsia="FangSong"/>
          <w:b w:val="0"/>
          <w:bCs w:val="0"/>
          <w:sz w:val="24"/>
          <w:szCs w:val="24"/>
        </w:rPr>
        <w:t>规模编码器加上token下采样在降低显存和时延的同时取得了最好的平均成功率，说明轻量化与性能在这个问题上并不冲突，高频闭环控制场景下的时延评估会在后续补充。</w:t>
      </w:r>
      <w:bookmarkStart w:id="0" w:name="_GoBack"/>
      <w:bookmarkEnd w:id="0"/>
    </w:p>
    <w:sectPr>
      <w:pgSz w:w="11906" w:h="16838"/>
      <w:pgMar w:top="1440" w:right="1620" w:bottom="1440" w:left="16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FangSong">
    <w:altName w:val="仿宋-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isplayBackgroundShape w:val="1"/>
  <w:documentProtection w:enforcement="0"/>
  <w:compat>
    <w:useFELayout/>
    <w:compatSetting w:name="compatibilityMode" w:uri="http://schemas.microsoft.com/office/word" w:val="15"/>
  </w:compat>
  <w:rsids>
    <w:rsidRoot w:val="00000000"/>
    <w:rsid w:val="5FF72E56"/>
    <w:rsid w:val="637FD20B"/>
    <w:rsid w:val="6FAFB0FB"/>
    <w:rsid w:val="73FF46AD"/>
    <w:rsid w:val="7567BE3C"/>
    <w:rsid w:val="7FF6E46F"/>
    <w:rsid w:val="87F4DE8F"/>
    <w:rsid w:val="95EF922C"/>
    <w:rsid w:val="97E417EC"/>
    <w:rsid w:val="BDF5D7A1"/>
    <w:rsid w:val="BEF7A35F"/>
    <w:rsid w:val="FBF96581"/>
    <w:rsid w:val="FDB5E736"/>
    <w:rsid w:val="FEDBD55D"/>
    <w:rsid w:val="FF2479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sz w:val="20"/>
      <w:szCs w:val="20"/>
    </w:rPr>
  </w:style>
  <w:style w:type="paragraph" w:styleId="9">
    <w:name w:val="footnote text"/>
    <w:link w:val="17"/>
    <w:semiHidden/>
    <w:unhideWhenUsed/>
    <w:uiPriority w:val="99"/>
    <w:pPr>
      <w:spacing w:after="0" w:line="240" w:lineRule="auto"/>
    </w:pPr>
    <w:rPr>
      <w:sz w:val="20"/>
      <w:szCs w:val="20"/>
    </w:rPr>
  </w:style>
  <w:style w:type="paragraph" w:styleId="10">
    <w:name w:val="Title"/>
    <w:qFormat/>
    <w:uiPriority w:val="0"/>
    <w:rPr>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cp:lastModifiedBy>
  <dcterms:modified xsi:type="dcterms:W3CDTF">2026-07-20T17:19:57Z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5C1863A3AD8782E0B0E75D6A7C327D14_42</vt:lpwstr>
  </property>
</Properties>
</file>