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 Chain Data Analytics</w:t>
      </w:r>
    </w:p>
    <w:p>
      <w:pPr>
        <w:pStyle w:val="Subtitle"/>
      </w:pPr>
      <w:r>
        <w:t xml:space="preserve">Analyzing and Forcasting Supermarket Sales</w:t>
      </w:r>
    </w:p>
    <w:p>
      <w:pPr>
        <w:pStyle w:val="Date"/>
      </w:pPr>
      <w:r>
        <w:t xml:space="preserve">2024-12-05</w:t>
      </w:r>
    </w:p>
    <w:p>
      <w:pPr>
        <w:pStyle w:val="FirstParagraph"/>
      </w:pPr>
      <w:r>
        <w:t xml:space="preserve">Introduction</w:t>
      </w:r>
    </w:p>
    <w:p>
      <w:pPr>
        <w:pStyle w:val="BodyText"/>
      </w:pPr>
      <w:r>
        <w:t xml:space="preserve">We analyze, forecast and interpret the</w:t>
      </w:r>
      <w:r>
        <w:t xml:space="preserve"> </w:t>
      </w:r>
      <w:hyperlink r:id="rId20">
        <w:r>
          <w:rPr>
            <w:rStyle w:val="Hyperlink"/>
          </w:rPr>
          <w:t xml:space="preserve">Superstore sales</w:t>
        </w:r>
      </w:hyperlink>
      <w:r>
        <w:t xml:space="preserve"> </w:t>
      </w:r>
      <w:r>
        <w:t xml:space="preserve">provided by</w:t>
      </w:r>
      <w:r>
        <w:t xml:space="preserve"> </w:t>
      </w:r>
      <w:hyperlink r:id="rId21">
        <w:r>
          <w:rPr>
            <w:rStyle w:val="Hyperlink"/>
          </w:rPr>
          <w:t xml:space="preserve">Tableau</w:t>
        </w:r>
      </w:hyperlink>
      <w:r>
        <w:t xml:space="preserve"> </w:t>
      </w:r>
      <w:r>
        <w:t xml:space="preserve">using different statistical and machine learning methods.</w:t>
      </w:r>
    </w:p>
    <w:p>
      <w:pPr>
        <w:pStyle w:val="BodyText"/>
      </w:pPr>
      <w:r>
        <w:t xml:space="preserve">We describe our work in the PDF version. However, we would like to recommend reading our quarto manuscript</w:t>
      </w:r>
      <w:r>
        <w:t xml:space="preserve"> </w:t>
      </w:r>
      <w:r>
        <w:rPr>
          <w:i/>
          <w:iCs/>
        </w:rPr>
        <w:t xml:space="preserve">here</w:t>
      </w:r>
      <w:r>
        <w:t xml:space="preserve"> </w:t>
      </w:r>
      <w:r>
        <w:t xml:space="preserve">as it contains the</w:t>
      </w:r>
      <w:r>
        <w:t xml:space="preserve"> </w:t>
      </w:r>
      <w:r>
        <w:rPr>
          <w:b/>
          <w:bCs/>
        </w:rPr>
        <w:t xml:space="preserve">relevant</w:t>
      </w:r>
      <w:r>
        <w:t xml:space="preserve"> </w:t>
      </w:r>
      <w:r>
        <w:t xml:space="preserve">R code in the Article Notebook.</w:t>
      </w:r>
    </w:p>
    <w:bookmarkStart w:id="24" w:name="data-pre-processing"/>
    <w:p>
      <w:pPr>
        <w:pStyle w:val="Heading2"/>
      </w:pPr>
      <w:r>
        <w:t xml:space="preserve">1 Data Pre-processing</w:t>
      </w:r>
    </w:p>
    <w:p>
      <w:pPr>
        <w:pStyle w:val="FirstParagraph"/>
      </w:pPr>
      <w:r>
        <w:t xml:space="preserve">The superstore data set we selected is of high quality. Thus we do the required data pre-processing, but included the hypothetical steps we would take were our data of lower quality to communicate our understanding of the data pre-processing process.</w:t>
      </w:r>
    </w:p>
    <w:p>
      <w:pPr>
        <w:pStyle w:val="BodyText"/>
      </w:pPr>
      <w:r>
        <w:t xml:space="preserve">We took the following pre-processing steps:</w:t>
      </w:r>
    </w:p>
    <w:p>
      <w:pPr>
        <w:pStyle w:val="Compact"/>
        <w:numPr>
          <w:ilvl w:val="0"/>
          <w:numId w:val="1001"/>
        </w:numPr>
      </w:pPr>
      <w:r>
        <w:t xml:space="preserve">Improved column names by removing whitespaces</w:t>
      </w:r>
    </w:p>
    <w:p>
      <w:pPr>
        <w:pStyle w:val="Compact"/>
        <w:numPr>
          <w:ilvl w:val="0"/>
          <w:numId w:val="1001"/>
        </w:numPr>
      </w:pPr>
      <w:r>
        <w:t xml:space="preserve">Removed the</w:t>
      </w:r>
      <w:r>
        <w:t xml:space="preserve"> </w:t>
      </w:r>
      <w:r>
        <w:t xml:space="preserve">Row_ID</w:t>
      </w:r>
      <w:r>
        <w:t xml:space="preserve"> </w:t>
      </w:r>
      <w:r>
        <w:t xml:space="preserve">column as it can be inferred by it’s index</w:t>
      </w:r>
    </w:p>
    <w:p>
      <w:pPr>
        <w:pStyle w:val="Compact"/>
        <w:numPr>
          <w:ilvl w:val="0"/>
          <w:numId w:val="1001"/>
        </w:numPr>
      </w:pPr>
      <w:r>
        <w:t xml:space="preserve">Removed all columns with a single unique value, as storing these would be</w:t>
      </w:r>
      <w:r>
        <w:t xml:space="preserve"> </w:t>
      </w:r>
      <w:hyperlink r:id="rId22">
        <w:r>
          <w:rPr>
            <w:rStyle w:val="Hyperlink"/>
          </w:rPr>
          <w:t xml:space="preserve">redundant</w:t>
        </w:r>
      </w:hyperlink>
    </w:p>
    <w:p>
      <w:pPr>
        <w:pStyle w:val="Compact"/>
        <w:numPr>
          <w:ilvl w:val="0"/>
          <w:numId w:val="1001"/>
        </w:numPr>
      </w:pPr>
      <w:r>
        <w:t xml:space="preserve">Ensured machine-readable date formats in yyyy-mm-dd as these usually differ per locale.</w:t>
      </w:r>
    </w:p>
    <w:p>
      <w:pPr>
        <w:pStyle w:val="Compact"/>
        <w:numPr>
          <w:ilvl w:val="0"/>
          <w:numId w:val="1001"/>
        </w:numPr>
      </w:pPr>
      <w:r>
        <w:t xml:space="preserve">Ensured proper decimal separators</w:t>
      </w:r>
    </w:p>
    <w:p>
      <w:pPr>
        <w:pStyle w:val="Compact"/>
        <w:numPr>
          <w:ilvl w:val="0"/>
          <w:numId w:val="1001"/>
        </w:numPr>
      </w:pPr>
      <w:r>
        <w:t xml:space="preserve">calculated the number of missing values (both NA and empty string ““) per column.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VerbatimChar"/>
        </w:rPr>
        <w:t xml:space="preserve">[1] "None of the columns contains missing values"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After these steps (and transposing the table for better document formatting), the data looks as follows:</w:t>
      </w:r>
    </w:p>
    <w:p>
      <w:pPr>
        <w:pStyle w:val="TableCaption"/>
      </w:pPr>
      <w:r>
        <w:t xml:space="preserve">First 5 Rows of the Data (Transposed)</w:t>
      </w:r>
    </w:p>
    <w:tbl>
      <w:tblPr>
        <w:tblStyle w:val="Table"/>
        <w:tblW w:type="pct" w:w="5000"/>
        <w:tblLayout w:type="fixed"/>
        <w:tblLook w:firstRow="0" w:lastRow="0" w:firstColumn="0" w:lastColumn="0" w:noHBand="0" w:noVBand="0" w:val="0000"/>
        <w:tblCaption w:val="First 5 Rows of the Data (Transposed)"/>
      </w:tblPr>
      <w:tblGrid>
        <w:gridCol w:w="667"/>
        <w:gridCol w:w="1622"/>
        <w:gridCol w:w="2862"/>
        <w:gridCol w:w="2767"/>
      </w:tblGrid>
      <w:tr>
        <w:tc>
          <w:tcPr/>
          <w:p>
            <w:pPr>
              <w:pStyle w:val="Compact"/>
              <w:jc w:val="left"/>
            </w:pPr>
            <w:r>
              <w:t xml:space="preserve">Order_ID</w:t>
            </w:r>
          </w:p>
        </w:tc>
        <w:tc>
          <w:tcPr/>
          <w:p>
            <w:pPr>
              <w:pStyle w:val="Compact"/>
              <w:jc w:val="left"/>
            </w:pPr>
            <w:r>
              <w:t xml:space="preserve">CA-2016-152156</w:t>
            </w:r>
          </w:p>
        </w:tc>
        <w:tc>
          <w:tcPr/>
          <w:p>
            <w:pPr>
              <w:pStyle w:val="Compact"/>
              <w:jc w:val="left"/>
            </w:pPr>
            <w:r>
              <w:t xml:space="preserve">CA-2016-152156</w:t>
            </w:r>
          </w:p>
        </w:tc>
        <w:tc>
          <w:tcPr/>
          <w:p>
            <w:pPr>
              <w:pStyle w:val="Compact"/>
              <w:jc w:val="left"/>
            </w:pPr>
            <w:r>
              <w:t xml:space="preserve">CA-2016-138688</w:t>
            </w:r>
          </w:p>
        </w:tc>
      </w:tr>
      <w:tr>
        <w:tc>
          <w:tcPr/>
          <w:p>
            <w:pPr>
              <w:pStyle w:val="Compact"/>
              <w:jc w:val="left"/>
            </w:pPr>
            <w:r>
              <w:t xml:space="preserve">Order_Date</w:t>
            </w:r>
          </w:p>
        </w:tc>
        <w:tc>
          <w:tcPr/>
          <w:p>
            <w:pPr>
              <w:pStyle w:val="Compact"/>
              <w:jc w:val="left"/>
            </w:pPr>
            <w:r>
              <w:t xml:space="preserve">2016-11-08</w:t>
            </w:r>
          </w:p>
        </w:tc>
        <w:tc>
          <w:tcPr/>
          <w:p>
            <w:pPr>
              <w:pStyle w:val="Compact"/>
              <w:jc w:val="left"/>
            </w:pPr>
            <w:r>
              <w:t xml:space="preserve">2016-11-08</w:t>
            </w:r>
          </w:p>
        </w:tc>
        <w:tc>
          <w:tcPr/>
          <w:p>
            <w:pPr>
              <w:pStyle w:val="Compact"/>
              <w:jc w:val="left"/>
            </w:pPr>
            <w:r>
              <w:t xml:space="preserve">2016-06-12</w:t>
            </w:r>
          </w:p>
        </w:tc>
      </w:tr>
      <w:tr>
        <w:tc>
          <w:tcPr/>
          <w:p>
            <w:pPr>
              <w:pStyle w:val="Compact"/>
              <w:jc w:val="left"/>
            </w:pPr>
            <w:r>
              <w:t xml:space="preserve">Ship_Date</w:t>
            </w:r>
          </w:p>
        </w:tc>
        <w:tc>
          <w:tcPr/>
          <w:p>
            <w:pPr>
              <w:pStyle w:val="Compact"/>
              <w:jc w:val="left"/>
            </w:pPr>
            <w:r>
              <w:t xml:space="preserve">2016-11-11</w:t>
            </w:r>
          </w:p>
        </w:tc>
        <w:tc>
          <w:tcPr/>
          <w:p>
            <w:pPr>
              <w:pStyle w:val="Compact"/>
              <w:jc w:val="left"/>
            </w:pPr>
            <w:r>
              <w:t xml:space="preserve">2016-11-11</w:t>
            </w:r>
          </w:p>
        </w:tc>
        <w:tc>
          <w:tcPr/>
          <w:p>
            <w:pPr>
              <w:pStyle w:val="Compact"/>
              <w:jc w:val="left"/>
            </w:pPr>
            <w:r>
              <w:t xml:space="preserve">2016-06-16</w:t>
            </w:r>
          </w:p>
        </w:tc>
      </w:tr>
      <w:tr>
        <w:tc>
          <w:tcPr/>
          <w:p>
            <w:pPr>
              <w:pStyle w:val="Compact"/>
              <w:jc w:val="left"/>
            </w:pPr>
            <w:r>
              <w:t xml:space="preserve">Ship_Mode</w:t>
            </w:r>
          </w:p>
        </w:tc>
        <w:tc>
          <w:tcPr/>
          <w:p>
            <w:pPr>
              <w:pStyle w:val="Compact"/>
              <w:jc w:val="left"/>
            </w:pPr>
            <w:r>
              <w:t xml:space="preserve">Second Class</w:t>
            </w:r>
          </w:p>
        </w:tc>
        <w:tc>
          <w:tcPr/>
          <w:p>
            <w:pPr>
              <w:pStyle w:val="Compact"/>
              <w:jc w:val="left"/>
            </w:pPr>
            <w:r>
              <w:t xml:space="preserve">Second Class</w:t>
            </w:r>
          </w:p>
        </w:tc>
        <w:tc>
          <w:tcPr/>
          <w:p>
            <w:pPr>
              <w:pStyle w:val="Compact"/>
              <w:jc w:val="left"/>
            </w:pPr>
            <w:r>
              <w:t xml:space="preserve">Second Class</w:t>
            </w:r>
          </w:p>
        </w:tc>
      </w:tr>
      <w:tr>
        <w:tc>
          <w:tcPr/>
          <w:p>
            <w:pPr>
              <w:pStyle w:val="Compact"/>
              <w:jc w:val="left"/>
            </w:pPr>
            <w:r>
              <w:t xml:space="preserve">Customer_ID</w:t>
            </w:r>
          </w:p>
        </w:tc>
        <w:tc>
          <w:tcPr/>
          <w:p>
            <w:pPr>
              <w:pStyle w:val="Compact"/>
              <w:jc w:val="left"/>
            </w:pPr>
            <w:r>
              <w:t xml:space="preserve">CG-12520</w:t>
            </w:r>
          </w:p>
        </w:tc>
        <w:tc>
          <w:tcPr/>
          <w:p>
            <w:pPr>
              <w:pStyle w:val="Compact"/>
              <w:jc w:val="left"/>
            </w:pPr>
            <w:r>
              <w:t xml:space="preserve">CG-12520</w:t>
            </w:r>
          </w:p>
        </w:tc>
        <w:tc>
          <w:tcPr/>
          <w:p>
            <w:pPr>
              <w:pStyle w:val="Compact"/>
              <w:jc w:val="left"/>
            </w:pPr>
            <w:r>
              <w:t xml:space="preserve">DV-13045</w:t>
            </w:r>
          </w:p>
        </w:tc>
      </w:tr>
      <w:tr>
        <w:tc>
          <w:tcPr/>
          <w:p>
            <w:pPr>
              <w:pStyle w:val="Compact"/>
              <w:jc w:val="left"/>
            </w:pPr>
            <w:r>
              <w:t xml:space="preserve">Customer_Name</w:t>
            </w:r>
          </w:p>
        </w:tc>
        <w:tc>
          <w:tcPr/>
          <w:p>
            <w:pPr>
              <w:pStyle w:val="Compact"/>
              <w:jc w:val="left"/>
            </w:pPr>
            <w:r>
              <w:t xml:space="preserve">Claire Gute</w:t>
            </w:r>
          </w:p>
        </w:tc>
        <w:tc>
          <w:tcPr/>
          <w:p>
            <w:pPr>
              <w:pStyle w:val="Compact"/>
              <w:jc w:val="left"/>
            </w:pPr>
            <w:r>
              <w:t xml:space="preserve">Claire Gute</w:t>
            </w:r>
          </w:p>
        </w:tc>
        <w:tc>
          <w:tcPr/>
          <w:p>
            <w:pPr>
              <w:pStyle w:val="Compact"/>
              <w:jc w:val="left"/>
            </w:pPr>
            <w:r>
              <w:t xml:space="preserve">Darrin Van Huff</w:t>
            </w:r>
          </w:p>
        </w:tc>
      </w:tr>
      <w:tr>
        <w:tc>
          <w:tcPr/>
          <w:p>
            <w:pPr>
              <w:pStyle w:val="Compact"/>
              <w:jc w:val="left"/>
            </w:pPr>
            <w:r>
              <w:t xml:space="preserve">Segment</w:t>
            </w:r>
          </w:p>
        </w:tc>
        <w:tc>
          <w:tcPr/>
          <w:p>
            <w:pPr>
              <w:pStyle w:val="Compact"/>
              <w:jc w:val="left"/>
            </w:pPr>
            <w:r>
              <w:t xml:space="preserve">Consumer</w:t>
            </w:r>
          </w:p>
        </w:tc>
        <w:tc>
          <w:tcPr/>
          <w:p>
            <w:pPr>
              <w:pStyle w:val="Compact"/>
              <w:jc w:val="left"/>
            </w:pPr>
            <w:r>
              <w:t xml:space="preserve">Consumer</w:t>
            </w:r>
          </w:p>
        </w:tc>
        <w:tc>
          <w:tcPr/>
          <w:p>
            <w:pPr>
              <w:pStyle w:val="Compact"/>
              <w:jc w:val="left"/>
            </w:pPr>
            <w:r>
              <w:t xml:space="preserve">Corporate</w:t>
            </w:r>
          </w:p>
        </w:tc>
      </w:tr>
      <w:tr>
        <w:tc>
          <w:tcPr/>
          <w:p>
            <w:pPr>
              <w:pStyle w:val="Compact"/>
              <w:jc w:val="left"/>
            </w:pPr>
            <w:r>
              <w:t xml:space="preserve">City</w:t>
            </w:r>
          </w:p>
        </w:tc>
        <w:tc>
          <w:tcPr/>
          <w:p>
            <w:pPr>
              <w:pStyle w:val="Compact"/>
              <w:jc w:val="left"/>
            </w:pPr>
            <w:r>
              <w:t xml:space="preserve">Henderson</w:t>
            </w:r>
          </w:p>
        </w:tc>
        <w:tc>
          <w:tcPr/>
          <w:p>
            <w:pPr>
              <w:pStyle w:val="Compact"/>
              <w:jc w:val="left"/>
            </w:pPr>
            <w:r>
              <w:t xml:space="preserve">Henderson</w:t>
            </w:r>
          </w:p>
        </w:tc>
        <w:tc>
          <w:tcPr/>
          <w:p>
            <w:pPr>
              <w:pStyle w:val="Compact"/>
              <w:jc w:val="left"/>
            </w:pPr>
            <w:r>
              <w:t xml:space="preserve">Los Angeles</w:t>
            </w:r>
          </w:p>
        </w:tc>
      </w:tr>
      <w:tr>
        <w:tc>
          <w:tcPr/>
          <w:p>
            <w:pPr>
              <w:pStyle w:val="Compact"/>
              <w:jc w:val="left"/>
            </w:pPr>
            <w:r>
              <w:t xml:space="preserve">State</w:t>
            </w:r>
          </w:p>
        </w:tc>
        <w:tc>
          <w:tcPr/>
          <w:p>
            <w:pPr>
              <w:pStyle w:val="Compact"/>
              <w:jc w:val="left"/>
            </w:pPr>
            <w:r>
              <w:t xml:space="preserve">Kentucky</w:t>
            </w:r>
          </w:p>
        </w:tc>
        <w:tc>
          <w:tcPr/>
          <w:p>
            <w:pPr>
              <w:pStyle w:val="Compact"/>
              <w:jc w:val="left"/>
            </w:pPr>
            <w:r>
              <w:t xml:space="preserve">Kentucky</w:t>
            </w:r>
          </w:p>
        </w:tc>
        <w:tc>
          <w:tcPr/>
          <w:p>
            <w:pPr>
              <w:pStyle w:val="Compact"/>
              <w:jc w:val="left"/>
            </w:pPr>
            <w:r>
              <w:t xml:space="preserve">California</w:t>
            </w:r>
          </w:p>
        </w:tc>
      </w:tr>
      <w:tr>
        <w:tc>
          <w:tcPr/>
          <w:p>
            <w:pPr>
              <w:pStyle w:val="Compact"/>
              <w:jc w:val="left"/>
            </w:pPr>
            <w:r>
              <w:t xml:space="preserve">Postal_Code</w:t>
            </w:r>
          </w:p>
        </w:tc>
        <w:tc>
          <w:tcPr/>
          <w:p>
            <w:pPr>
              <w:pStyle w:val="Compact"/>
              <w:jc w:val="left"/>
            </w:pPr>
            <w:r>
              <w:t xml:space="preserve">42420</w:t>
            </w:r>
          </w:p>
        </w:tc>
        <w:tc>
          <w:tcPr/>
          <w:p>
            <w:pPr>
              <w:pStyle w:val="Compact"/>
              <w:jc w:val="left"/>
            </w:pPr>
            <w:r>
              <w:t xml:space="preserve">42420</w:t>
            </w:r>
          </w:p>
        </w:tc>
        <w:tc>
          <w:tcPr/>
          <w:p>
            <w:pPr>
              <w:pStyle w:val="Compact"/>
              <w:jc w:val="left"/>
            </w:pPr>
            <w:r>
              <w:t xml:space="preserve">90036</w:t>
            </w:r>
          </w:p>
        </w:tc>
      </w:tr>
      <w:tr>
        <w:tc>
          <w:tcPr/>
          <w:p>
            <w:pPr>
              <w:pStyle w:val="Compact"/>
              <w:jc w:val="left"/>
            </w:pPr>
            <w:r>
              <w:t xml:space="preserve">Region</w:t>
            </w:r>
          </w:p>
        </w:tc>
        <w:tc>
          <w:tcPr/>
          <w:p>
            <w:pPr>
              <w:pStyle w:val="Compact"/>
              <w:jc w:val="left"/>
            </w:pPr>
            <w:r>
              <w:t xml:space="preserve">South</w:t>
            </w:r>
          </w:p>
        </w:tc>
        <w:tc>
          <w:tcPr/>
          <w:p>
            <w:pPr>
              <w:pStyle w:val="Compact"/>
              <w:jc w:val="left"/>
            </w:pPr>
            <w:r>
              <w:t xml:space="preserve">South</w:t>
            </w:r>
          </w:p>
        </w:tc>
        <w:tc>
          <w:tcPr/>
          <w:p>
            <w:pPr>
              <w:pStyle w:val="Compact"/>
              <w:jc w:val="left"/>
            </w:pPr>
            <w:r>
              <w:t xml:space="preserve">West</w:t>
            </w:r>
          </w:p>
        </w:tc>
      </w:tr>
      <w:tr>
        <w:tc>
          <w:tcPr/>
          <w:p>
            <w:pPr>
              <w:pStyle w:val="Compact"/>
              <w:jc w:val="left"/>
            </w:pPr>
            <w:r>
              <w:t xml:space="preserve">Product_ID</w:t>
            </w:r>
          </w:p>
        </w:tc>
        <w:tc>
          <w:tcPr/>
          <w:p>
            <w:pPr>
              <w:pStyle w:val="Compact"/>
              <w:jc w:val="left"/>
            </w:pPr>
            <w:r>
              <w:t xml:space="preserve">FUR-BO-10001798</w:t>
            </w:r>
          </w:p>
        </w:tc>
        <w:tc>
          <w:tcPr/>
          <w:p>
            <w:pPr>
              <w:pStyle w:val="Compact"/>
              <w:jc w:val="left"/>
            </w:pPr>
            <w:r>
              <w:t xml:space="preserve">FUR-CH-10000454</w:t>
            </w:r>
          </w:p>
        </w:tc>
        <w:tc>
          <w:tcPr/>
          <w:p>
            <w:pPr>
              <w:pStyle w:val="Compact"/>
              <w:jc w:val="left"/>
            </w:pPr>
            <w:r>
              <w:t xml:space="preserve">OFF-LA-10000240</w:t>
            </w:r>
          </w:p>
        </w:tc>
      </w:tr>
      <w:tr>
        <w:tc>
          <w:tcPr/>
          <w:p>
            <w:pPr>
              <w:pStyle w:val="Compact"/>
              <w:jc w:val="left"/>
            </w:pPr>
            <w:r>
              <w:t xml:space="preserve">Category</w:t>
            </w:r>
          </w:p>
        </w:tc>
        <w:tc>
          <w:tcPr/>
          <w:p>
            <w:pPr>
              <w:pStyle w:val="Compact"/>
              <w:jc w:val="left"/>
            </w:pPr>
            <w:r>
              <w:t xml:space="preserve">Furniture</w:t>
            </w:r>
          </w:p>
        </w:tc>
        <w:tc>
          <w:tcPr/>
          <w:p>
            <w:pPr>
              <w:pStyle w:val="Compact"/>
              <w:jc w:val="left"/>
            </w:pPr>
            <w:r>
              <w:t xml:space="preserve">Furniture</w:t>
            </w:r>
          </w:p>
        </w:tc>
        <w:tc>
          <w:tcPr/>
          <w:p>
            <w:pPr>
              <w:pStyle w:val="Compact"/>
              <w:jc w:val="left"/>
            </w:pPr>
            <w:r>
              <w:t xml:space="preserve">Office Supplies</w:t>
            </w:r>
          </w:p>
        </w:tc>
      </w:tr>
      <w:tr>
        <w:tc>
          <w:tcPr/>
          <w:p>
            <w:pPr>
              <w:pStyle w:val="Compact"/>
              <w:jc w:val="left"/>
            </w:pPr>
            <w:r>
              <w:t xml:space="preserve">Sub-Category</w:t>
            </w:r>
          </w:p>
        </w:tc>
        <w:tc>
          <w:tcPr/>
          <w:p>
            <w:pPr>
              <w:pStyle w:val="Compact"/>
              <w:jc w:val="left"/>
            </w:pPr>
            <w:r>
              <w:t xml:space="preserve">Bookcases</w:t>
            </w:r>
          </w:p>
        </w:tc>
        <w:tc>
          <w:tcPr/>
          <w:p>
            <w:pPr>
              <w:pStyle w:val="Compact"/>
              <w:jc w:val="left"/>
            </w:pPr>
            <w:r>
              <w:t xml:space="preserve">Chairs</w:t>
            </w:r>
          </w:p>
        </w:tc>
        <w:tc>
          <w:tcPr/>
          <w:p>
            <w:pPr>
              <w:pStyle w:val="Compact"/>
              <w:jc w:val="left"/>
            </w:pPr>
            <w:r>
              <w:t xml:space="preserve">Labels</w:t>
            </w:r>
          </w:p>
        </w:tc>
      </w:tr>
      <w:tr>
        <w:tc>
          <w:tcPr/>
          <w:p>
            <w:pPr>
              <w:pStyle w:val="Compact"/>
              <w:jc w:val="left"/>
            </w:pPr>
            <w:r>
              <w:t xml:space="preserve">Product_Name</w:t>
            </w:r>
          </w:p>
        </w:tc>
        <w:tc>
          <w:tcPr/>
          <w:p>
            <w:pPr>
              <w:pStyle w:val="Compact"/>
              <w:jc w:val="left"/>
            </w:pPr>
            <w:r>
              <w:t xml:space="preserve">Bush Somerset Collection Bookcase</w:t>
            </w:r>
          </w:p>
        </w:tc>
        <w:tc>
          <w:tcPr/>
          <w:p>
            <w:pPr>
              <w:pStyle w:val="Compact"/>
              <w:jc w:val="left"/>
            </w:pPr>
            <w:r>
              <w:t xml:space="preserve">Hon Deluxe Fabric Upholstered Stacking Chairs, Rounded Back</w:t>
            </w:r>
          </w:p>
        </w:tc>
        <w:tc>
          <w:tcPr/>
          <w:p>
            <w:pPr>
              <w:pStyle w:val="Compact"/>
              <w:jc w:val="left"/>
            </w:pPr>
            <w:r>
              <w:t xml:space="preserve">Self-Adhesive Address Labels for Typewriters by Universal</w:t>
            </w:r>
          </w:p>
        </w:tc>
      </w:tr>
      <w:tr>
        <w:tc>
          <w:tcPr/>
          <w:p>
            <w:pPr>
              <w:pStyle w:val="Compact"/>
              <w:jc w:val="left"/>
            </w:pPr>
            <w:r>
              <w:t xml:space="preserve">Sales</w:t>
            </w:r>
          </w:p>
        </w:tc>
        <w:tc>
          <w:tcPr/>
          <w:p>
            <w:pPr>
              <w:pStyle w:val="Compact"/>
              <w:jc w:val="left"/>
            </w:pPr>
            <w:r>
              <w:t xml:space="preserve">261.96</w:t>
            </w:r>
          </w:p>
        </w:tc>
        <w:tc>
          <w:tcPr/>
          <w:p>
            <w:pPr>
              <w:pStyle w:val="Compact"/>
              <w:jc w:val="left"/>
            </w:pPr>
            <w:r>
              <w:t xml:space="preserve">731.94</w:t>
            </w:r>
          </w:p>
        </w:tc>
        <w:tc>
          <w:tcPr/>
          <w:p>
            <w:pPr>
              <w:pStyle w:val="Compact"/>
              <w:jc w:val="left"/>
            </w:pPr>
            <w:r>
              <w:t xml:space="preserve">14.62</w:t>
            </w:r>
          </w:p>
        </w:tc>
      </w:tr>
      <w:tr>
        <w:tc>
          <w:tcPr/>
          <w:p>
            <w:pPr>
              <w:pStyle w:val="Compact"/>
              <w:jc w:val="left"/>
            </w:pPr>
            <w:r>
              <w:t xml:space="preserve">Quantity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Profit</w:t>
            </w:r>
          </w:p>
        </w:tc>
        <w:tc>
          <w:tcPr/>
          <w:p>
            <w:pPr>
              <w:pStyle w:val="Compact"/>
              <w:jc w:val="left"/>
            </w:pPr>
            <w:r>
              <w:t xml:space="preserve">41.9136</w:t>
            </w:r>
          </w:p>
        </w:tc>
        <w:tc>
          <w:tcPr/>
          <w:p>
            <w:pPr>
              <w:pStyle w:val="Compact"/>
              <w:jc w:val="left"/>
            </w:pPr>
            <w:r>
              <w:t xml:space="preserve">219.5820</w:t>
            </w:r>
          </w:p>
        </w:tc>
        <w:tc>
          <w:tcPr/>
          <w:p>
            <w:pPr>
              <w:pStyle w:val="Compact"/>
              <w:jc w:val="left"/>
            </w:pPr>
            <w:r>
              <w:t xml:space="preserve">6.8714</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There is some more processing to do, such as removing outliers. However, by doing so we impose our own assumptions on the data (possibly the outliers are actual sales?). We will visualize and qualitatively evaluate the data first, and then decide what other processing steps to take.</w:t>
      </w:r>
    </w:p>
    <w:bookmarkEnd w:id="24"/>
    <w:bookmarkStart w:id="25" w:name="section"/>
    <w:p>
      <w:pPr>
        <w:pStyle w:val="Heading2"/>
      </w:pPr>
      <w:r>
        <w:t xml:space="preserve">2 Section</w:t>
      </w:r>
    </w:p>
    <w:p>
      <w:pPr>
        <w:pStyle w:val="FirstParagraph"/>
      </w:pPr>
      <w:r>
        <w:t xml:space="preserve">This is a simple placeholder for the manuscript’s main document</w:t>
      </w:r>
      <w:r>
        <w:t xml:space="preserve"> </w:t>
      </w:r>
      <w:r>
        <w:t xml:space="preserve">(</w:t>
      </w:r>
      <w:r>
        <w:rPr>
          <w:b/>
          <w:bCs/>
        </w:rPr>
        <w:t xml:space="preserve">knuth84?</w:t>
      </w:r>
      <w:r>
        <w:t xml:space="preserve">)</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5"/>
    <w:bookmarkStart w:id="37" w:name="introduction"/>
    <w:p>
      <w:pPr>
        <w:pStyle w:val="Heading2"/>
      </w:pPr>
      <w:r>
        <w:t xml:space="preserve">3 Introduction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Start w:id="30" w:name="cell-fig-timeline"/>
    <w:tbl>
      <w:tblPr>
        <w:tblStyle w:val="Table"/>
        <w:tblW w:type="pct" w:w="5000"/>
        <w:tblLayout w:type="fixed"/>
        <w:tblLook w:firstRow="0" w:lastRow="0" w:firstColumn="0" w:lastColumn="0" w:noHBand="0" w:noVBand="0" w:val="0000"/>
      </w:tblPr>
      <w:tblGrid>
        <w:gridCol w:w="7920"/>
      </w:tblGrid>
      <w:tr>
        <w:tc>
          <w:tcPr/>
          <w:bookmarkStart w:id="29" w:name="fig-timeline"/>
          <w:p>
            <w:pPr>
              <w:pStyle w:val="Compact"/>
              <w:jc w:val="center"/>
            </w:pPr>
            <w:r>
              <w:drawing>
                <wp:inline>
                  <wp:extent cx="5334000" cy="1333500"/>
                  <wp:effectExtent b="0" l="0" r="0" t="0"/>
                  <wp:docPr descr="" title="" id="27" name="Picture"/>
                  <a:graphic>
                    <a:graphicData uri="http://schemas.openxmlformats.org/drawingml/2006/picture">
                      <pic:pic>
                        <pic:nvPicPr>
                          <pic:cNvPr descr="index_files/figure-docx/fig-timeline-1.png" id="28" name="Picture"/>
                          <pic:cNvPicPr>
                            <a:picLocks noChangeArrowheads="1" noChangeAspect="1"/>
                          </pic:cNvPicPr>
                        </pic:nvPicPr>
                        <pic:blipFill>
                          <a:blip r:embed="rId26"/>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9"/>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0"/>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4</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31"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31"/>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ayout w:type="fixed"/>
        <w:tblLook w:firstRow="0" w:lastRow="0" w:firstColumn="0" w:lastColumn="0" w:noHBand="0" w:noVBand="0" w:val="0000"/>
      </w:tblPr>
      <w:tblGrid>
        <w:gridCol w:w="7920"/>
      </w:tblGrid>
      <w:tr>
        <w:tc>
          <w:tcPr/>
          <w:bookmarkStart w:id="32"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Name</w:t>
                  </w:r>
                </w:p>
              </w:tc>
              <w:tc>
                <w:tcPr/>
                <w:p>
                  <w:pPr>
                    <w:pStyle w:val="Compact"/>
                    <w:jc w:val="center"/>
                  </w:pPr>
                  <w:r>
                    <w:t xml:space="preserve">Year</w:t>
                  </w:r>
                </w:p>
              </w:tc>
            </w:tr>
            <w:tr>
              <w:tc>
                <w:tcPr/>
                <w:p>
                  <w:pPr>
                    <w:pStyle w:val="Compact"/>
                    <w:jc w:val="center"/>
                  </w:pPr>
                  <w:r>
                    <w:t xml:space="preserve">Current</w:t>
                  </w:r>
                </w:p>
              </w:tc>
              <w:tc>
                <w:tcPr/>
                <w:p>
                  <w:pPr>
                    <w:pStyle w:val="Compact"/>
                    <w:jc w:val="center"/>
                  </w:pPr>
                  <w:r>
                    <w:t xml:space="preserve">2021</w:t>
                  </w:r>
                </w:p>
              </w:tc>
            </w:tr>
            <w:tr>
              <w:tc>
                <w:tcPr/>
                <w:p>
                  <w:pPr>
                    <w:pStyle w:val="Compact"/>
                    <w:jc w:val="center"/>
                  </w:pPr>
                  <w:r>
                    <w:t xml:space="preserve">Teneguía</w:t>
                  </w:r>
                </w:p>
              </w:tc>
              <w:tc>
                <w:tcPr/>
                <w:p>
                  <w:pPr>
                    <w:pStyle w:val="Compact"/>
                    <w:jc w:val="center"/>
                  </w:pPr>
                  <w:r>
                    <w:t xml:space="preserve">1971</w:t>
                  </w:r>
                </w:p>
              </w:tc>
            </w:tr>
            <w:tr>
              <w:tc>
                <w:tcPr/>
                <w:p>
                  <w:pPr>
                    <w:pStyle w:val="Compact"/>
                    <w:jc w:val="center"/>
                  </w:pPr>
                  <w:r>
                    <w:t xml:space="preserve">Nambroque</w:t>
                  </w:r>
                </w:p>
              </w:tc>
              <w:tc>
                <w:tcPr/>
                <w:p>
                  <w:pPr>
                    <w:pStyle w:val="Compact"/>
                    <w:jc w:val="center"/>
                  </w:pPr>
                  <w:r>
                    <w:t xml:space="preserve">1949</w:t>
                  </w:r>
                </w:p>
              </w:tc>
            </w:tr>
            <w:tr>
              <w:tc>
                <w:tcPr/>
                <w:p>
                  <w:pPr>
                    <w:pStyle w:val="Compact"/>
                    <w:jc w:val="center"/>
                  </w:pPr>
                  <w:r>
                    <w:t xml:space="preserve">El Charco</w:t>
                  </w:r>
                </w:p>
              </w:tc>
              <w:tc>
                <w:tcPr/>
                <w:p>
                  <w:pPr>
                    <w:pStyle w:val="Compact"/>
                    <w:jc w:val="center"/>
                  </w:pPr>
                  <w:r>
                    <w:t xml:space="preserve">1712</w:t>
                  </w:r>
                </w:p>
              </w:tc>
            </w:tr>
            <w:tr>
              <w:tc>
                <w:tcPr/>
                <w:p>
                  <w:pPr>
                    <w:pStyle w:val="Compact"/>
                    <w:jc w:val="center"/>
                  </w:pPr>
                  <w:r>
                    <w:t xml:space="preserve">Volcán San Antonio</w:t>
                  </w:r>
                </w:p>
              </w:tc>
              <w:tc>
                <w:tcPr/>
                <w:p>
                  <w:pPr>
                    <w:pStyle w:val="Compact"/>
                    <w:jc w:val="center"/>
                  </w:pPr>
                  <w:r>
                    <w:t xml:space="preserve">1677</w:t>
                  </w:r>
                </w:p>
              </w:tc>
            </w:tr>
            <w:tr>
              <w:tc>
                <w:tcPr/>
                <w:p>
                  <w:pPr>
                    <w:pStyle w:val="Compact"/>
                    <w:jc w:val="center"/>
                  </w:pPr>
                  <w:r>
                    <w:t xml:space="preserve">Volcán San Martin</w:t>
                  </w:r>
                </w:p>
              </w:tc>
              <w:tc>
                <w:tcPr/>
                <w:p>
                  <w:pPr>
                    <w:pStyle w:val="Compact"/>
                    <w:jc w:val="center"/>
                  </w:pPr>
                  <w:r>
                    <w:t xml:space="preserve">1646</w:t>
                  </w:r>
                </w:p>
              </w:tc>
            </w:tr>
            <w:tr>
              <w:tc>
                <w:tcPr/>
                <w:p>
                  <w:pPr>
                    <w:pStyle w:val="Compact"/>
                    <w:jc w:val="center"/>
                  </w:pPr>
                  <w:r>
                    <w:t xml:space="preserve">Tajuya near El Paso</w:t>
                  </w:r>
                </w:p>
              </w:tc>
              <w:tc>
                <w:tcPr/>
                <w:p>
                  <w:pPr>
                    <w:pStyle w:val="Compact"/>
                    <w:jc w:val="center"/>
                  </w:pPr>
                  <w:r>
                    <w:t xml:space="preserve">1585</w:t>
                  </w:r>
                </w:p>
              </w:tc>
            </w:tr>
            <w:tr>
              <w:tc>
                <w:tcPr/>
                <w:p>
                  <w:pPr>
                    <w:pStyle w:val="Compact"/>
                    <w:jc w:val="center"/>
                  </w:pPr>
                  <w:r>
                    <w:t xml:space="preserve">Montaña Quemada</w:t>
                  </w:r>
                </w:p>
              </w:tc>
              <w:tc>
                <w:tcPr/>
                <w:p>
                  <w:pPr>
                    <w:pStyle w:val="Compact"/>
                    <w:jc w:val="center"/>
                  </w:pPr>
                  <w:r>
                    <w:t xml:space="preserve">1492</w:t>
                  </w:r>
                </w:p>
              </w:tc>
            </w:tr>
          </w:tbl>
          <w:bookmarkEnd w:id="32"/>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ayout w:type="fixed"/>
        <w:tblLook w:firstRow="0" w:lastRow="0" w:firstColumn="0" w:lastColumn="0" w:noHBand="0" w:noVBand="0" w:val="0000"/>
      </w:tblPr>
      <w:tblGrid>
        <w:gridCol w:w="7920"/>
      </w:tblGrid>
      <w:tr>
        <w:tc>
          <w:tcPr/>
          <w:bookmarkStart w:id="36" w:name="fig-map"/>
          <w:p>
            <w:pPr>
              <w:pStyle w:val="Compact"/>
              <w:jc w:val="center"/>
            </w:pPr>
            <w:r>
              <w:drawing>
                <wp:inline>
                  <wp:extent cx="5334000" cy="2369740"/>
                  <wp:effectExtent b="0" l="0" r="0" t="0"/>
                  <wp:docPr descr="" title="" id="34" name="Picture"/>
                  <a:graphic>
                    <a:graphicData uri="http://schemas.openxmlformats.org/drawingml/2006/picture">
                      <pic:pic>
                        <pic:nvPicPr>
                          <pic:cNvPr descr="images/la-palma-map.png" id="35" name="Picture"/>
                          <pic:cNvPicPr>
                            <a:picLocks noChangeArrowheads="1" noChangeAspect="1"/>
                          </pic:cNvPicPr>
                        </pic:nvPicPr>
                        <pic:blipFill>
                          <a:blip r:embed="rId33"/>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6"/>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bookmarkEnd w:id="37"/>
    <w:bookmarkStart w:id="38" w:name="sec-data-methods"/>
    <w:p>
      <w:pPr>
        <w:pStyle w:val="Heading2"/>
      </w:pPr>
      <w:r>
        <w:t xml:space="preserve">4 Data &amp; Methods</w:t>
      </w:r>
    </w:p>
    <w:bookmarkEnd w:id="38"/>
    <w:bookmarkStart w:id="39" w:name="conclusion"/>
    <w:p>
      <w:pPr>
        <w:pStyle w:val="Heading2"/>
      </w:pPr>
      <w:r>
        <w:t xml:space="preserve">5 Conclusion</w:t>
      </w:r>
    </w:p>
    <w:bookmarkEnd w:id="39"/>
    <w:bookmarkStart w:id="43" w:name="references"/>
    <w:p>
      <w:pPr>
        <w:pStyle w:val="Heading2"/>
      </w:pPr>
      <w:r>
        <w:t xml:space="preserve">References</w:t>
      </w:r>
    </w:p>
    <w:bookmarkStart w:id="42" w:name="refs"/>
    <w:bookmarkStart w:id="41"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
          <w:iCs/>
        </w:rPr>
        <w:t xml:space="preserve">Journal of Applied Volcanology</w:t>
      </w:r>
      <w:r>
        <w:t xml:space="preserve"> </w:t>
      </w:r>
      <w:r>
        <w:t xml:space="preserve">8 (July).</w:t>
      </w:r>
      <w:r>
        <w:t xml:space="preserve"> </w:t>
      </w:r>
      <w:hyperlink r:id="rId40">
        <w:r>
          <w:rPr>
            <w:rStyle w:val="Hyperlink"/>
          </w:rPr>
          <w:t xml:space="preserve">https://doi.org/10.1186/s13617-019-0085-5</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hyperlink" Id="rId23" Target="https://SJbrou.github.io/Supply_Chain_Data_Analysis/index.qmd.html" TargetMode="External" /><Relationship Type="http://schemas.openxmlformats.org/officeDocument/2006/relationships/hyperlink" Id="rId40" Target="https://doi.org/10.1186/s13617-019-0085-5" TargetMode="External" /><Relationship Type="http://schemas.openxmlformats.org/officeDocument/2006/relationships/hyperlink" Id="rId22"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_rels/footnotes.xml.rels><?xml version="1.0" encoding="UTF-8"?><Relationships xmlns="http://schemas.openxmlformats.org/package/2006/relationships"><Relationship Type="http://schemas.openxmlformats.org/officeDocument/2006/relationships/hyperlink" Id="rId23" Target="https://SJbrou.github.io/Supply_Chain_Data_Analysis/index.qmd.html" TargetMode="External" /><Relationship Type="http://schemas.openxmlformats.org/officeDocument/2006/relationships/hyperlink" Id="rId40" Target="https://doi.org/10.1186/s13617-019-0085-5" TargetMode="External" /><Relationship Type="http://schemas.openxmlformats.org/officeDocument/2006/relationships/hyperlink" Id="rId22"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Data Analytics</dc:title>
  <dc:creator/>
  <cp:keywords/>
  <dcterms:created xsi:type="dcterms:W3CDTF">2024-12-05T21:31:53Z</dcterms:created>
  <dcterms:modified xsi:type="dcterms:W3CDTF">2024-12-05T21:31:53Z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date">
    <vt:lpwstr>2024-12-05</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Analyzing and Forcasting Supermarket Sales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