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8.png" ContentType="image/png"/>
  <Override PartName="/word/media/rId41.png" ContentType="image/png"/>
  <Override PartName="/word/media/rId49.png" ContentType="image/png"/>
  <Override PartName="/word/media/rId52.png" ContentType="image/png"/>
  <Override PartName="/word/media/rId55.png" ContentType="image/png"/>
  <Override PartName="/word/media/rId25.png" ContentType="image/png"/>
  <Override PartName="/word/media/rId46.png" ContentType="image/png"/>
  <Override PartName="/word/media/rId59.png" ContentType="image/png"/>
  <Override PartName="/word/media/rId62.png" ContentType="image/png"/>
  <Override PartName="/word/media/rId65.png" ContentType="image/png"/>
  <Override PartName="/word/media/rId68.png" ContentType="image/png"/>
  <Override PartName="/word/media/rId31.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2024-12-11</w:t>
      </w:r>
    </w:p>
    <w:p>
      <w:pPr>
        <w:pStyle w:val="FirstParagraph"/>
      </w:pPr>
      <w:r>
        <w:t xml:space="preserve">please visit</w:t>
      </w:r>
      <w:r>
        <w:t xml:space="preserve"> </w:t>
      </w:r>
      <w:r>
        <w:t xml:space="preserve">https://sjbrou.github.io/Supply_Chain_Data_Analysis/</w:t>
      </w:r>
      <w:r>
        <w:t xml:space="preserve"> </w:t>
      </w:r>
      <w:r>
        <w:t xml:space="preserve">for an interactive version with better visualizations!</w:t>
      </w:r>
    </w:p>
    <w:bookmarkStart w:id="22" w:name="data-selection"/>
    <w:p>
      <w:pPr>
        <w:pStyle w:val="Heading2"/>
      </w:pPr>
      <w:r>
        <w:t xml:space="preserve">Data selection</w:t>
      </w:r>
    </w:p>
    <w:p>
      <w:pPr>
        <w:pStyle w:val="FirstParagraph"/>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The dataset provided contains information about products, sales and profits of a fictitious US company. The dataset contains about 10,000 rows with 1,850 unique product names and 17 product subcategories, covering four consecutive years on a daily basis.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End w:id="22"/>
    <w:bookmarkStart w:id="34" w:name="data-pre-processing"/>
    <w:p>
      <w:pPr>
        <w:pStyle w:val="Heading2"/>
      </w:pPr>
      <w:r>
        <w:t xml:space="preserve">Data Pre-processing</w:t>
      </w:r>
    </w:p>
    <w:p>
      <w:pPr>
        <w:pStyle w:val="FirstParagraph"/>
      </w:pPr>
      <w:r>
        <w:t xml:space="preserve">The superstore data set we selected is of high quality: At first glance (which needs to be verified during the visualization), the data appears to have been recorded regularly and without interruptions. There is no sign of a sudden structural change. Since the data are consumer products, it should contain both trends and seasonality.</w:t>
      </w:r>
      <w:r>
        <w:t xml:space="preserve"> </w:t>
      </w:r>
      <w:r>
        <w:t xml:space="preserve">Nevertheless, we have included hypothetical steps to demonstrate our understanding of the data preprocessing procedure. In detail, we did: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1"/>
        </w:numPr>
      </w:pPr>
      <w:r>
        <w:t xml:space="preserve">Remove whitespaces from column names</w:t>
      </w:r>
    </w:p>
    <w:p>
      <w:pPr>
        <w:pStyle w:val="Compact"/>
        <w:numPr>
          <w:ilvl w:val="0"/>
          <w:numId w:val="1001"/>
        </w:numPr>
      </w:pPr>
      <w:r>
        <w:t xml:space="preserve">Remove the</w:t>
      </w:r>
      <w:r>
        <w:t xml:space="preserve"> </w:t>
      </w:r>
      <w:r>
        <w:t xml:space="preserve">Row_ID</w:t>
      </w:r>
      <w:r>
        <w:t xml:space="preserve"> </w:t>
      </w:r>
      <w:r>
        <w:t xml:space="preserve">column as it can be inferred by it’s index</w:t>
      </w:r>
    </w:p>
    <w:p>
      <w:pPr>
        <w:pStyle w:val="Compact"/>
        <w:numPr>
          <w:ilvl w:val="0"/>
          <w:numId w:val="1001"/>
        </w:numPr>
      </w:pPr>
      <w:r>
        <w:t xml:space="preserve">Remove all columns with a single unique value, as storing these would be</w:t>
      </w:r>
      <w:r>
        <w:t xml:space="preserve"> </w:t>
      </w:r>
      <w:hyperlink r:id="rId24">
        <w:r>
          <w:rPr>
            <w:rStyle w:val="Hyperlink"/>
          </w:rPr>
          <w:t xml:space="preserve">redundant</w:t>
        </w:r>
      </w:hyperlink>
    </w:p>
    <w:p>
      <w:pPr>
        <w:pStyle w:val="Compact"/>
        <w:numPr>
          <w:ilvl w:val="0"/>
          <w:numId w:val="1001"/>
        </w:numPr>
      </w:pPr>
      <w:r>
        <w:t xml:space="preserve">Ensure machine-readable date formats in</w:t>
      </w:r>
      <w:r>
        <w:t xml:space="preserve"> </w:t>
      </w:r>
      <w:r>
        <w:t xml:space="preserve">yyyy-mm-dd</w:t>
      </w:r>
      <w:r>
        <w:t xml:space="preserve"> </w:t>
      </w:r>
      <w:r>
        <w:t xml:space="preserve">as these usually differ per locale.</w:t>
      </w:r>
    </w:p>
    <w:p>
      <w:pPr>
        <w:pStyle w:val="Compact"/>
        <w:numPr>
          <w:ilvl w:val="0"/>
          <w:numId w:val="1001"/>
        </w:numPr>
      </w:pPr>
      <w:r>
        <w:t xml:space="preserve">Ensure proper decimal separators</w:t>
      </w:r>
    </w:p>
    <w:p>
      <w:pPr>
        <w:pStyle w:val="Compact"/>
        <w:numPr>
          <w:ilvl w:val="0"/>
          <w:numId w:val="1001"/>
        </w:numPr>
      </w:pPr>
      <w:r>
        <w:t xml:space="preserve">Calculate the number of missing values (both NA and empty string ““) per column.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3 Rows of the Data (Transposed)</w:t>
      </w:r>
    </w:p>
    <w:tbl>
      <w:tblPr>
        <w:tblStyle w:val="Table"/>
        <w:tblW w:type="pct" w:w="5000"/>
        <w:tblLayout w:type="fixed"/>
        <w:tblLook w:firstRow="0" w:lastRow="0" w:firstColumn="0" w:lastColumn="0" w:noHBand="0" w:noVBand="0" w:val="0000"/>
        <w:tblCaption w:val="First 3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did not find any missing values, confirming the quality of the data set. There is some more processing to do, for instance the removal of outliers. However, by doing so we impose our own assumptions on the data. Let’s start by evaluating the descriptive statistics of our data and check if further processing is required.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 the orders with the lowest and highest Sales amount (in USD). The most expensive orders were professional printers, cameras and teleconferencing units with high unit prices. The orders with the lowest sales amount were often binders and had a high Discount rate.</w:t>
      </w:r>
    </w:p>
    <w:p>
      <w:pPr>
        <w:pStyle w:val="BodyText"/>
      </w:pPr>
      <w:r>
        <w:t xml:space="preserve">Interestingly there are orders with a negative profit. They typically have high Discount rates and often concern the same item, such as the</w:t>
      </w:r>
      <w:r>
        <w:t xml:space="preserve"> </w:t>
      </w:r>
      <w:r>
        <w:t xml:space="preserve">“Cubify CubeX 3D Printer Triple Head Print”</w:t>
      </w:r>
      <w:r>
        <w:t xml:space="preserve">. The orders with a negative Profit were often part of a larger order (for instance CA-2016-108196), and placed by customers with multiple orders. We suspect these negative Profit’s to be caused by items of lower quality that receive discounts, general discount codes, or volume discounts. However, due to the high discounts especially on orders with negative profit, we assume these to be valid orders.</w:t>
      </w:r>
    </w:p>
    <w:p>
      <w:pPr>
        <w:pStyle w:val="BodyText"/>
      </w:pPr>
      <w:r>
        <w:t xml:space="preserve">** Some negative profit products **</w:t>
      </w:r>
    </w:p>
    <w:p>
      <w:pPr>
        <w:pStyle w:val="BodyText"/>
      </w:pPr>
      <w:r>
        <w:t xml:space="preserve">In figure x we plotted the quantities of the most sold products. Unfortunately, the sold quantities of individual products were too low to determine any meaningful trends.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aptionedFigure"/>
      </w:pPr>
      <w:r>
        <w:drawing>
          <wp:inline>
            <wp:extent cx="5334000" cy="4267200"/>
            <wp:effectExtent b="0" l="0" r="0" t="0"/>
            <wp:docPr descr="Figure X Sale quantity of the most popular products" title="" id="26" name="Picture"/>
            <a:graphic>
              <a:graphicData uri="http://schemas.openxmlformats.org/drawingml/2006/picture">
                <pic:pic>
                  <pic:nvPicPr>
                    <pic:cNvPr descr="index_files/figure-docx/Top_Products_Quantity-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w:t>
      </w:r>
      <w:r>
        <w:t xml:space="preserve"> </w:t>
      </w:r>
      <w:r>
        <w:t xml:space="preserve">Product_Name</w:t>
      </w:r>
      <w:r>
        <w:t xml:space="preserve"> </w:t>
      </w:r>
      <w:r>
        <w:t xml:space="preserve">by</w:t>
      </w:r>
      <w:r>
        <w:t xml:space="preserve"> </w:t>
      </w:r>
      <w:r>
        <w:t xml:space="preserve">Sub_Category</w:t>
      </w:r>
      <w:r>
        <w:t xml:space="preserve">, and treat it as a single product for the rest of the assignment, which we plotted in figure X.</w:t>
      </w:r>
    </w:p>
    <w:p>
      <w:pPr>
        <w:pStyle w:val="BodyText"/>
      </w:pPr>
      <w:r>
        <w:drawing>
          <wp:inline>
            <wp:extent cx="5334000" cy="4267200"/>
            <wp:effectExtent b="0" l="0" r="0" t="0"/>
            <wp:docPr descr="" title="" id="29" name="Picture"/>
            <a:graphic>
              <a:graphicData uri="http://schemas.openxmlformats.org/drawingml/2006/picture">
                <pic:pic>
                  <pic:nvPicPr>
                    <pic:cNvPr descr="index_files/figure-docx/Aggregated_Sub_Category_sal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aggregated Quantity starts to show trends and seasonality, and is much more useful to base predictions on! We will use these aggregated sub-categories for the rest of the assignment.</w:t>
      </w:r>
    </w:p>
    <w:p>
      <w:pPr>
        <w:pStyle w:val="BodyText"/>
      </w:pPr>
      <w:r>
        <w:t xml:space="preserve">To properly finish our data preprocessing we ran some statistics on Quantity aggregated by Sub_Category. Table x contains some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w:t>
      </w:r>
      <w:r>
        <w:t xml:space="preserve"> </w:t>
      </w:r>
      <w:r>
        <w:t xml:space="preserve">Quantity</w:t>
      </w:r>
      <w:r>
        <w:t xml:space="preserve"> </w:t>
      </w:r>
      <w:r>
        <w:t xml:space="preserve">aggregated by</w:t>
      </w:r>
      <w:r>
        <w:t xml:space="preserve"> </w:t>
      </w:r>
      <w:r>
        <w:t xml:space="preserve">Sub_Category</w:t>
      </w:r>
      <w:r>
        <w:t xml:space="preserve"> </w:t>
      </w:r>
      <w:r>
        <w:t xml:space="preserve">looks valid. We can visualize it as histogram and check for anomalies. Figure y contains histograms of</w:t>
      </w:r>
      <w:r>
        <w:t xml:space="preserve"> </w:t>
      </w:r>
      <w:r>
        <w:t xml:space="preserve">Quantity</w:t>
      </w:r>
      <w:r>
        <w:t xml:space="preserve"> </w:t>
      </w:r>
      <w:r>
        <w:t xml:space="preserve">per</w:t>
      </w:r>
      <w:r>
        <w:t xml:space="preserve"> </w:t>
      </w:r>
      <w:r>
        <w:t xml:space="preserve">Sub_Category</w:t>
      </w:r>
      <w:r>
        <w:t xml:space="preserve">.</w:t>
      </w:r>
    </w:p>
    <w:p>
      <w:pPr>
        <w:pStyle w:val="BodyText"/>
      </w:pPr>
      <w:r>
        <w:drawing>
          <wp:inline>
            <wp:extent cx="5334000" cy="4267200"/>
            <wp:effectExtent b="0" l="0" r="0" t="0"/>
            <wp:docPr descr="" title="" id="32" name="Picture"/>
            <a:graphic>
              <a:graphicData uri="http://schemas.openxmlformats.org/drawingml/2006/picture">
                <pic:pic>
                  <pic:nvPicPr>
                    <pic:cNvPr descr="index_files/figure-docx/sub_category_histogram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 right-skewed distributed. This is to be expected since most orders contain only a small number of items. We will not remove the outliers with large quantities since they appear valid..</w:t>
      </w:r>
    </w:p>
    <w:bookmarkEnd w:id="34"/>
    <w:bookmarkStart w:id="73" w:name="forecasting-method-evaluation"/>
    <w:p>
      <w:pPr>
        <w:pStyle w:val="Heading2"/>
      </w:pPr>
      <w:r>
        <w:t xml:space="preserve">Forecasting Method Evaluation</w:t>
      </w:r>
    </w:p>
    <w:bookmarkStart w:id="44" w:name="forecasting-top-3-product-categories-4a"/>
    <w:p>
      <w:pPr>
        <w:pStyle w:val="Heading3"/>
      </w:pPr>
      <w:r>
        <w:t xml:space="preserve">Forecasting top 3 product categories (4a)</w:t>
      </w:r>
    </w:p>
    <w:p>
      <w:pPr>
        <w:pStyle w:val="FirstParagraph"/>
      </w:pPr>
      <w:r>
        <w:t xml:space="preserve">Let’s forecast sold quantities for the three most sold sub-categories:</w:t>
      </w:r>
    </w:p>
    <w:p>
      <w:pPr>
        <w:pStyle w:val="BodyText"/>
      </w:pPr>
      <w:r>
        <w:t xml:space="preserve">The steps taken for data preparation were:</w:t>
      </w:r>
    </w:p>
    <w:p>
      <w:pPr>
        <w:pStyle w:val="Compact"/>
        <w:numPr>
          <w:ilvl w:val="0"/>
          <w:numId w:val="1002"/>
        </w:numPr>
      </w:pPr>
      <w:r>
        <w:t xml:space="preserve">Identifying Top Subcategories: The top three subcategories are selected from our dataset based on their sold quantities. The top three were: Binders, furnishing and paper.</w:t>
      </w:r>
    </w:p>
    <w:p>
      <w:pPr>
        <w:pStyle w:val="Compact"/>
        <w:numPr>
          <w:ilvl w:val="0"/>
          <w:numId w:val="1002"/>
        </w:numPr>
      </w:pPr>
      <w:r>
        <w:t xml:space="preserve">The sold quantities are aggregated monthly to create a time series object which we can use in the forecasting.</w:t>
      </w:r>
    </w:p>
    <w:p>
      <w:pPr>
        <w:pStyle w:val="Compact"/>
        <w:numPr>
          <w:ilvl w:val="0"/>
          <w:numId w:val="1002"/>
        </w:numPr>
      </w:pPr>
      <w:r>
        <w:t xml:space="preserve">A KPSS showed that the data is non stationary. First-order differencing is applied to transform the data from non-stationary to stationary. The KPSS results in a p-value &gt;0.05 showing the stationarity.</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Three models are applied to each subcategory to forecast it. The models we use are: ARIMA, Holt-Winters and ETS. We have chosen these models because of their level of suitability for discrete time series data with all different levels of trend and seasonality. To evaluate the methods and its effectiveness , the data is split into a training set (70%) and testing set (30%).</w:t>
      </w:r>
    </w:p>
    <w:p>
      <w:pPr>
        <w:pStyle w:val="BodyText"/>
      </w:pPr>
      <w:r>
        <w:drawing>
          <wp:inline>
            <wp:extent cx="5334000" cy="4267200"/>
            <wp:effectExtent b="0" l="0" r="0" t="0"/>
            <wp:docPr descr="" title="" id="36" name="Picture"/>
            <a:graphic>
              <a:graphicData uri="http://schemas.openxmlformats.org/drawingml/2006/picture">
                <pic:pic>
                  <pic:nvPicPr>
                    <pic:cNvPr descr="index_files/figure-docx/Results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index_files/figure-docx/Results1-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2" name="Picture"/>
            <a:graphic>
              <a:graphicData uri="http://schemas.openxmlformats.org/drawingml/2006/picture">
                <pic:pic>
                  <pic:nvPicPr>
                    <pic:cNvPr descr="index_files/figure-docx/Results1-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To assess the results, we use the following performance metrics: ME, RMSE, MAE and MAPE. They are calculated for the training and testing phases of the forecast.</w:t>
      </w:r>
    </w:p>
    <w:p>
      <w:pPr>
        <w:pStyle w:val="TableCaption"/>
      </w:pPr>
      <w:r>
        <w:t xml:space="preserve">Training Set Forecast Accuracy</w:t>
      </w:r>
    </w:p>
    <w:tbl>
      <w:tblPr>
        <w:tblStyle w:val="Table"/>
        <w:tblW w:type="auto" w:w="0"/>
        <w:tblLook w:firstRow="1" w:lastRow="0" w:firstColumn="0" w:lastColumn="0" w:noHBand="0" w:noVBand="0" w:val="0020"/>
        <w:tblCaption w:val="Training Set Forecast Accuracy"/>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Sub_Category</w:t>
            </w:r>
          </w:p>
        </w:tc>
        <w:tc>
          <w:tcPr/>
          <w:p>
            <w:pPr>
              <w:pStyle w:val="Compact"/>
              <w:jc w:val="left"/>
            </w:pPr>
            <w:r>
              <w:t xml:space="preserve">Method</w:t>
            </w:r>
          </w:p>
        </w:tc>
        <w:tc>
          <w:tcPr/>
          <w:p>
            <w:pPr>
              <w:pStyle w:val="Compact"/>
              <w:jc w:val="left"/>
            </w:pPr>
            <w:r>
              <w:t xml:space="preserve">Dataset</w:t>
            </w:r>
          </w:p>
        </w:tc>
        <w:tc>
          <w:tcPr/>
          <w:p>
            <w:pPr>
              <w:pStyle w:val="Compact"/>
              <w:jc w:val="right"/>
            </w:pPr>
            <w:r>
              <w:t xml:space="preserve">ME</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MPE</w:t>
            </w:r>
          </w:p>
        </w:tc>
        <w:tc>
          <w:tcPr/>
          <w:p>
            <w:pPr>
              <w:pStyle w:val="Compact"/>
              <w:jc w:val="right"/>
            </w:pPr>
            <w:r>
              <w:t xml:space="preserve">MAPE</w:t>
            </w:r>
          </w:p>
        </w:tc>
        <w:tc>
          <w:tcPr/>
          <w:p>
            <w:pPr>
              <w:pStyle w:val="Compact"/>
              <w:jc w:val="right"/>
            </w:pPr>
            <w:r>
              <w:t xml:space="preserve">MASE</w:t>
            </w:r>
          </w:p>
        </w:tc>
        <w:tc>
          <w:tcPr/>
          <w:p>
            <w:pPr>
              <w:pStyle w:val="Compact"/>
              <w:jc w:val="right"/>
            </w:pPr>
            <w:r>
              <w:t xml:space="preserve">ACF1</w:t>
            </w:r>
          </w:p>
        </w:tc>
        <w:tc>
          <w:tcPr/>
          <w:p>
            <w:pPr>
              <w:pStyle w:val="Compact"/>
              <w:jc w:val="right"/>
            </w:pPr>
            <w:r>
              <w:t xml:space="preserve">Theil_U</w:t>
            </w:r>
          </w:p>
        </w:tc>
      </w:tr>
      <w:tr>
        <w:tc>
          <w:tcPr/>
          <w:p>
            <w:pPr>
              <w:pStyle w:val="Compact"/>
              <w:jc w:val="left"/>
            </w:pPr>
            <w:r>
              <w:t xml:space="preserve">1</w:t>
            </w:r>
          </w:p>
        </w:tc>
        <w:tc>
          <w:tcPr/>
          <w:p>
            <w:pPr>
              <w:pStyle w:val="Compact"/>
              <w:jc w:val="left"/>
            </w:pPr>
            <w:r>
              <w:t xml:space="preserve">Binders</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0.771</w:t>
            </w:r>
          </w:p>
        </w:tc>
        <w:tc>
          <w:tcPr/>
          <w:p>
            <w:pPr>
              <w:pStyle w:val="Compact"/>
              <w:jc w:val="right"/>
            </w:pPr>
            <w:r>
              <w:t xml:space="preserve">4.643</w:t>
            </w:r>
          </w:p>
        </w:tc>
        <w:tc>
          <w:tcPr/>
          <w:p>
            <w:pPr>
              <w:pStyle w:val="Compact"/>
              <w:jc w:val="right"/>
            </w:pPr>
            <w:r>
              <w:t xml:space="preserve">2.982</w:t>
            </w:r>
          </w:p>
        </w:tc>
        <w:tc>
          <w:tcPr/>
          <w:p>
            <w:pPr>
              <w:pStyle w:val="Compact"/>
              <w:jc w:val="right"/>
            </w:pPr>
            <w:r>
              <w:t xml:space="preserve">0.687</w:t>
            </w:r>
          </w:p>
        </w:tc>
        <w:tc>
          <w:tcPr/>
          <w:p>
            <w:pPr>
              <w:pStyle w:val="Compact"/>
              <w:jc w:val="right"/>
            </w:pPr>
            <w:r>
              <w:t xml:space="preserve">12.912</w:t>
            </w:r>
          </w:p>
        </w:tc>
        <w:tc>
          <w:tcPr/>
          <w:p>
            <w:pPr>
              <w:pStyle w:val="Compact"/>
              <w:jc w:val="right"/>
            </w:pPr>
            <w:r>
              <w:t xml:space="preserve">0.485</w:t>
            </w:r>
          </w:p>
        </w:tc>
        <w:tc>
          <w:tcPr/>
          <w:p>
            <w:pPr>
              <w:pStyle w:val="Compact"/>
              <w:jc w:val="right"/>
            </w:pPr>
            <w:r>
              <w:t xml:space="preserve">0.044</w:t>
            </w:r>
          </w:p>
        </w:tc>
        <w:tc>
          <w:tcPr/>
          <w:p>
            <w:pPr>
              <w:pStyle w:val="Compact"/>
              <w:jc w:val="right"/>
            </w:pPr>
            <w:r>
              <w:t xml:space="preserve">NA</w:t>
            </w:r>
          </w:p>
        </w:tc>
      </w:tr>
      <w:tr>
        <w:tc>
          <w:tcPr/>
          <w:p>
            <w:pPr>
              <w:pStyle w:val="Compact"/>
              <w:jc w:val="left"/>
            </w:pPr>
            <w:r>
              <w:t xml:space="preserve">3</w:t>
            </w:r>
          </w:p>
        </w:tc>
        <w:tc>
          <w:tcPr/>
          <w:p>
            <w:pPr>
              <w:pStyle w:val="Compact"/>
              <w:jc w:val="left"/>
            </w:pPr>
            <w:r>
              <w:t xml:space="preserve">Binders</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0.867</w:t>
            </w:r>
          </w:p>
        </w:tc>
        <w:tc>
          <w:tcPr/>
          <w:p>
            <w:pPr>
              <w:pStyle w:val="Compact"/>
              <w:jc w:val="right"/>
            </w:pPr>
            <w:r>
              <w:t xml:space="preserve">5.215</w:t>
            </w:r>
          </w:p>
        </w:tc>
        <w:tc>
          <w:tcPr/>
          <w:p>
            <w:pPr>
              <w:pStyle w:val="Compact"/>
              <w:jc w:val="right"/>
            </w:pPr>
            <w:r>
              <w:t xml:space="preserve">3.790</w:t>
            </w:r>
          </w:p>
        </w:tc>
        <w:tc>
          <w:tcPr/>
          <w:p>
            <w:pPr>
              <w:pStyle w:val="Compact"/>
              <w:jc w:val="right"/>
            </w:pPr>
            <w:r>
              <w:t xml:space="preserve">-0.404</w:t>
            </w:r>
          </w:p>
        </w:tc>
        <w:tc>
          <w:tcPr/>
          <w:p>
            <w:pPr>
              <w:pStyle w:val="Compact"/>
              <w:jc w:val="right"/>
            </w:pPr>
            <w:r>
              <w:t xml:space="preserve">15.365</w:t>
            </w:r>
          </w:p>
        </w:tc>
        <w:tc>
          <w:tcPr/>
          <w:p>
            <w:pPr>
              <w:pStyle w:val="Compact"/>
              <w:jc w:val="right"/>
            </w:pPr>
            <w:r>
              <w:t xml:space="preserve">0.617</w:t>
            </w:r>
          </w:p>
        </w:tc>
        <w:tc>
          <w:tcPr/>
          <w:p>
            <w:pPr>
              <w:pStyle w:val="Compact"/>
              <w:jc w:val="right"/>
            </w:pPr>
            <w:r>
              <w:t xml:space="preserve">-0.389</w:t>
            </w:r>
          </w:p>
        </w:tc>
        <w:tc>
          <w:tcPr/>
          <w:p>
            <w:pPr>
              <w:pStyle w:val="Compact"/>
              <w:jc w:val="right"/>
            </w:pPr>
            <w:r>
              <w:t xml:space="preserve">NA</w:t>
            </w:r>
          </w:p>
        </w:tc>
      </w:tr>
      <w:tr>
        <w:tc>
          <w:tcPr/>
          <w:p>
            <w:pPr>
              <w:pStyle w:val="Compact"/>
              <w:jc w:val="left"/>
            </w:pPr>
            <w:r>
              <w:t xml:space="preserve">5</w:t>
            </w:r>
          </w:p>
        </w:tc>
        <w:tc>
          <w:tcPr/>
          <w:p>
            <w:pPr>
              <w:pStyle w:val="Compact"/>
              <w:jc w:val="left"/>
            </w:pPr>
            <w:r>
              <w:t xml:space="preserve">Binders</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0.743</w:t>
            </w:r>
          </w:p>
        </w:tc>
        <w:tc>
          <w:tcPr/>
          <w:p>
            <w:pPr>
              <w:pStyle w:val="Compact"/>
              <w:jc w:val="right"/>
            </w:pPr>
            <w:r>
              <w:t xml:space="preserve">4.713</w:t>
            </w:r>
          </w:p>
        </w:tc>
        <w:tc>
          <w:tcPr/>
          <w:p>
            <w:pPr>
              <w:pStyle w:val="Compact"/>
              <w:jc w:val="right"/>
            </w:pPr>
            <w:r>
              <w:t xml:space="preserve">3.656</w:t>
            </w:r>
          </w:p>
        </w:tc>
        <w:tc>
          <w:tcPr/>
          <w:p>
            <w:pPr>
              <w:pStyle w:val="Compact"/>
              <w:jc w:val="right"/>
            </w:pPr>
            <w:r>
              <w:t xml:space="preserve">1.359</w:t>
            </w:r>
          </w:p>
        </w:tc>
        <w:tc>
          <w:tcPr/>
          <w:p>
            <w:pPr>
              <w:pStyle w:val="Compact"/>
              <w:jc w:val="right"/>
            </w:pPr>
            <w:r>
              <w:t xml:space="preserve">15.417</w:t>
            </w:r>
          </w:p>
        </w:tc>
        <w:tc>
          <w:tcPr/>
          <w:p>
            <w:pPr>
              <w:pStyle w:val="Compact"/>
              <w:jc w:val="right"/>
            </w:pPr>
            <w:r>
              <w:t xml:space="preserve">0.595</w:t>
            </w:r>
          </w:p>
        </w:tc>
        <w:tc>
          <w:tcPr/>
          <w:p>
            <w:pPr>
              <w:pStyle w:val="Compact"/>
              <w:jc w:val="right"/>
            </w:pPr>
            <w:r>
              <w:t xml:space="preserve">-0.223</w:t>
            </w:r>
          </w:p>
        </w:tc>
        <w:tc>
          <w:tcPr/>
          <w:p>
            <w:pPr>
              <w:pStyle w:val="Compact"/>
              <w:jc w:val="right"/>
            </w:pPr>
            <w:r>
              <w:t xml:space="preserve">NA</w:t>
            </w:r>
          </w:p>
        </w:tc>
      </w:tr>
      <w:tr>
        <w:tc>
          <w:tcPr/>
          <w:p>
            <w:pPr>
              <w:pStyle w:val="Compact"/>
              <w:jc w:val="left"/>
            </w:pPr>
            <w:r>
              <w:t xml:space="preserve">7</w:t>
            </w:r>
          </w:p>
        </w:tc>
        <w:tc>
          <w:tcPr/>
          <w:p>
            <w:pPr>
              <w:pStyle w:val="Compact"/>
              <w:jc w:val="left"/>
            </w:pPr>
            <w:r>
              <w:t xml:space="preserve">Paper</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1.117</w:t>
            </w:r>
          </w:p>
        </w:tc>
        <w:tc>
          <w:tcPr/>
          <w:p>
            <w:pPr>
              <w:pStyle w:val="Compact"/>
              <w:jc w:val="right"/>
            </w:pPr>
            <w:r>
              <w:t xml:space="preserve">6.309</w:t>
            </w:r>
          </w:p>
        </w:tc>
        <w:tc>
          <w:tcPr/>
          <w:p>
            <w:pPr>
              <w:pStyle w:val="Compact"/>
              <w:jc w:val="right"/>
            </w:pPr>
            <w:r>
              <w:t xml:space="preserve">3.828</w:t>
            </w:r>
          </w:p>
        </w:tc>
        <w:tc>
          <w:tcPr/>
          <w:p>
            <w:pPr>
              <w:pStyle w:val="Compact"/>
              <w:jc w:val="right"/>
            </w:pPr>
            <w:r>
              <w:t xml:space="preserve">1.702</w:t>
            </w:r>
          </w:p>
        </w:tc>
        <w:tc>
          <w:tcPr/>
          <w:p>
            <w:pPr>
              <w:pStyle w:val="Compact"/>
              <w:jc w:val="right"/>
            </w:pPr>
            <w:r>
              <w:t xml:space="preserve">14.322</w:t>
            </w:r>
          </w:p>
        </w:tc>
        <w:tc>
          <w:tcPr/>
          <w:p>
            <w:pPr>
              <w:pStyle w:val="Compact"/>
              <w:jc w:val="right"/>
            </w:pPr>
            <w:r>
              <w:t xml:space="preserve">0.547</w:t>
            </w:r>
          </w:p>
        </w:tc>
        <w:tc>
          <w:tcPr/>
          <w:p>
            <w:pPr>
              <w:pStyle w:val="Compact"/>
              <w:jc w:val="right"/>
            </w:pPr>
            <w:r>
              <w:t xml:space="preserve">-0.007</w:t>
            </w:r>
          </w:p>
        </w:tc>
        <w:tc>
          <w:tcPr/>
          <w:p>
            <w:pPr>
              <w:pStyle w:val="Compact"/>
              <w:jc w:val="right"/>
            </w:pPr>
            <w:r>
              <w:t xml:space="preserve">NA</w:t>
            </w:r>
          </w:p>
        </w:tc>
      </w:tr>
      <w:tr>
        <w:tc>
          <w:tcPr/>
          <w:p>
            <w:pPr>
              <w:pStyle w:val="Compact"/>
              <w:jc w:val="left"/>
            </w:pPr>
            <w:r>
              <w:t xml:space="preserve">9</w:t>
            </w:r>
          </w:p>
        </w:tc>
        <w:tc>
          <w:tcPr/>
          <w:p>
            <w:pPr>
              <w:pStyle w:val="Compact"/>
              <w:jc w:val="left"/>
            </w:pPr>
            <w:r>
              <w:t xml:space="preserve">Paper</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1.510</w:t>
            </w:r>
          </w:p>
        </w:tc>
        <w:tc>
          <w:tcPr/>
          <w:p>
            <w:pPr>
              <w:pStyle w:val="Compact"/>
              <w:jc w:val="right"/>
            </w:pPr>
            <w:r>
              <w:t xml:space="preserve">7.280</w:t>
            </w:r>
          </w:p>
        </w:tc>
        <w:tc>
          <w:tcPr/>
          <w:p>
            <w:pPr>
              <w:pStyle w:val="Compact"/>
              <w:jc w:val="right"/>
            </w:pPr>
            <w:r>
              <w:t xml:space="preserve">4.855</w:t>
            </w:r>
          </w:p>
        </w:tc>
        <w:tc>
          <w:tcPr/>
          <w:p>
            <w:pPr>
              <w:pStyle w:val="Compact"/>
              <w:jc w:val="right"/>
            </w:pPr>
            <w:r>
              <w:t xml:space="preserve">3.325</w:t>
            </w:r>
          </w:p>
        </w:tc>
        <w:tc>
          <w:tcPr/>
          <w:p>
            <w:pPr>
              <w:pStyle w:val="Compact"/>
              <w:jc w:val="right"/>
            </w:pPr>
            <w:r>
              <w:t xml:space="preserve">16.413</w:t>
            </w:r>
          </w:p>
        </w:tc>
        <w:tc>
          <w:tcPr/>
          <w:p>
            <w:pPr>
              <w:pStyle w:val="Compact"/>
              <w:jc w:val="right"/>
            </w:pPr>
            <w:r>
              <w:t xml:space="preserve">0.694</w:t>
            </w:r>
          </w:p>
        </w:tc>
        <w:tc>
          <w:tcPr/>
          <w:p>
            <w:pPr>
              <w:pStyle w:val="Compact"/>
              <w:jc w:val="right"/>
            </w:pPr>
            <w:r>
              <w:t xml:space="preserve">-0.027</w:t>
            </w:r>
          </w:p>
        </w:tc>
        <w:tc>
          <w:tcPr/>
          <w:p>
            <w:pPr>
              <w:pStyle w:val="Compact"/>
              <w:jc w:val="right"/>
            </w:pPr>
            <w:r>
              <w:t xml:space="preserve">NA</w:t>
            </w:r>
          </w:p>
        </w:tc>
      </w:tr>
      <w:tr>
        <w:tc>
          <w:tcPr/>
          <w:p>
            <w:pPr>
              <w:pStyle w:val="Compact"/>
              <w:jc w:val="left"/>
            </w:pPr>
            <w:r>
              <w:t xml:space="preserve">11</w:t>
            </w:r>
          </w:p>
        </w:tc>
        <w:tc>
          <w:tcPr/>
          <w:p>
            <w:pPr>
              <w:pStyle w:val="Compact"/>
              <w:jc w:val="left"/>
            </w:pPr>
            <w:r>
              <w:t xml:space="preserve">Paper</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0.609</w:t>
            </w:r>
          </w:p>
        </w:tc>
        <w:tc>
          <w:tcPr/>
          <w:p>
            <w:pPr>
              <w:pStyle w:val="Compact"/>
              <w:jc w:val="right"/>
            </w:pPr>
            <w:r>
              <w:t xml:space="preserve">6.205</w:t>
            </w:r>
          </w:p>
        </w:tc>
        <w:tc>
          <w:tcPr/>
          <w:p>
            <w:pPr>
              <w:pStyle w:val="Compact"/>
              <w:jc w:val="right"/>
            </w:pPr>
            <w:r>
              <w:t xml:space="preserve">4.475</w:t>
            </w:r>
          </w:p>
        </w:tc>
        <w:tc>
          <w:tcPr/>
          <w:p>
            <w:pPr>
              <w:pStyle w:val="Compact"/>
              <w:jc w:val="right"/>
            </w:pPr>
            <w:r>
              <w:t xml:space="preserve">-1.662</w:t>
            </w:r>
          </w:p>
        </w:tc>
        <w:tc>
          <w:tcPr/>
          <w:p>
            <w:pPr>
              <w:pStyle w:val="Compact"/>
              <w:jc w:val="right"/>
            </w:pPr>
            <w:r>
              <w:t xml:space="preserve">18.732</w:t>
            </w:r>
          </w:p>
        </w:tc>
        <w:tc>
          <w:tcPr/>
          <w:p>
            <w:pPr>
              <w:pStyle w:val="Compact"/>
              <w:jc w:val="right"/>
            </w:pPr>
            <w:r>
              <w:t xml:space="preserve">0.639</w:t>
            </w:r>
          </w:p>
        </w:tc>
        <w:tc>
          <w:tcPr/>
          <w:p>
            <w:pPr>
              <w:pStyle w:val="Compact"/>
              <w:jc w:val="right"/>
            </w:pPr>
            <w:r>
              <w:t xml:space="preserve">0.005</w:t>
            </w:r>
          </w:p>
        </w:tc>
        <w:tc>
          <w:tcPr/>
          <w:p>
            <w:pPr>
              <w:pStyle w:val="Compact"/>
              <w:jc w:val="right"/>
            </w:pPr>
            <w:r>
              <w:t xml:space="preserve">NA</w:t>
            </w:r>
          </w:p>
        </w:tc>
      </w:tr>
      <w:tr>
        <w:tc>
          <w:tcPr/>
          <w:p>
            <w:pPr>
              <w:pStyle w:val="Compact"/>
              <w:jc w:val="left"/>
            </w:pPr>
            <w:r>
              <w:t xml:space="preserve">13</w:t>
            </w:r>
          </w:p>
        </w:tc>
        <w:tc>
          <w:tcPr/>
          <w:p>
            <w:pPr>
              <w:pStyle w:val="Compact"/>
              <w:jc w:val="left"/>
            </w:pPr>
            <w:r>
              <w:t xml:space="preserve">Furnishings</w:t>
            </w:r>
          </w:p>
        </w:tc>
        <w:tc>
          <w:tcPr/>
          <w:p>
            <w:pPr>
              <w:pStyle w:val="Compact"/>
              <w:jc w:val="left"/>
            </w:pPr>
            <w:r>
              <w:t xml:space="preserve">ARIMA</w:t>
            </w:r>
          </w:p>
        </w:tc>
        <w:tc>
          <w:tcPr/>
          <w:p>
            <w:pPr>
              <w:pStyle w:val="Compact"/>
              <w:jc w:val="left"/>
            </w:pPr>
            <w:r>
              <w:t xml:space="preserve">Training set</w:t>
            </w:r>
          </w:p>
        </w:tc>
        <w:tc>
          <w:tcPr/>
          <w:p>
            <w:pPr>
              <w:pStyle w:val="Compact"/>
              <w:jc w:val="right"/>
            </w:pPr>
            <w:r>
              <w:t xml:space="preserve">0.005</w:t>
            </w:r>
          </w:p>
        </w:tc>
        <w:tc>
          <w:tcPr/>
          <w:p>
            <w:pPr>
              <w:pStyle w:val="Compact"/>
              <w:jc w:val="right"/>
            </w:pPr>
            <w:r>
              <w:t xml:space="preserve">3.874</w:t>
            </w:r>
          </w:p>
        </w:tc>
        <w:tc>
          <w:tcPr/>
          <w:p>
            <w:pPr>
              <w:pStyle w:val="Compact"/>
              <w:jc w:val="right"/>
            </w:pPr>
            <w:r>
              <w:t xml:space="preserve">2.568</w:t>
            </w:r>
          </w:p>
        </w:tc>
        <w:tc>
          <w:tcPr/>
          <w:p>
            <w:pPr>
              <w:pStyle w:val="Compact"/>
              <w:jc w:val="right"/>
            </w:pPr>
            <w:r>
              <w:t xml:space="preserve">-6.625</w:t>
            </w:r>
          </w:p>
        </w:tc>
        <w:tc>
          <w:tcPr/>
          <w:p>
            <w:pPr>
              <w:pStyle w:val="Compact"/>
              <w:jc w:val="right"/>
            </w:pPr>
            <w:r>
              <w:t xml:space="preserve">20.210</w:t>
            </w:r>
          </w:p>
        </w:tc>
        <w:tc>
          <w:tcPr/>
          <w:p>
            <w:pPr>
              <w:pStyle w:val="Compact"/>
              <w:jc w:val="right"/>
            </w:pPr>
            <w:r>
              <w:t xml:space="preserve">0.556</w:t>
            </w:r>
          </w:p>
        </w:tc>
        <w:tc>
          <w:tcPr/>
          <w:p>
            <w:pPr>
              <w:pStyle w:val="Compact"/>
              <w:jc w:val="right"/>
            </w:pPr>
            <w:r>
              <w:t xml:space="preserve">-0.202</w:t>
            </w:r>
          </w:p>
        </w:tc>
        <w:tc>
          <w:tcPr/>
          <w:p>
            <w:pPr>
              <w:pStyle w:val="Compact"/>
              <w:jc w:val="right"/>
            </w:pPr>
            <w:r>
              <w:t xml:space="preserve">NA</w:t>
            </w:r>
          </w:p>
        </w:tc>
      </w:tr>
      <w:tr>
        <w:tc>
          <w:tcPr/>
          <w:p>
            <w:pPr>
              <w:pStyle w:val="Compact"/>
              <w:jc w:val="left"/>
            </w:pPr>
            <w:r>
              <w:t xml:space="preserve">15</w:t>
            </w:r>
          </w:p>
        </w:tc>
        <w:tc>
          <w:tcPr/>
          <w:p>
            <w:pPr>
              <w:pStyle w:val="Compact"/>
              <w:jc w:val="left"/>
            </w:pPr>
            <w:r>
              <w:t xml:space="preserve">Furnishings</w:t>
            </w:r>
          </w:p>
        </w:tc>
        <w:tc>
          <w:tcPr/>
          <w:p>
            <w:pPr>
              <w:pStyle w:val="Compact"/>
              <w:jc w:val="left"/>
            </w:pPr>
            <w:r>
              <w:t xml:space="preserve">HoltWinters</w:t>
            </w:r>
          </w:p>
        </w:tc>
        <w:tc>
          <w:tcPr/>
          <w:p>
            <w:pPr>
              <w:pStyle w:val="Compact"/>
              <w:jc w:val="left"/>
            </w:pPr>
            <w:r>
              <w:t xml:space="preserve">Training set</w:t>
            </w:r>
          </w:p>
        </w:tc>
        <w:tc>
          <w:tcPr/>
          <w:p>
            <w:pPr>
              <w:pStyle w:val="Compact"/>
              <w:jc w:val="right"/>
            </w:pPr>
            <w:r>
              <w:t xml:space="preserve">0.914</w:t>
            </w:r>
          </w:p>
        </w:tc>
        <w:tc>
          <w:tcPr/>
          <w:p>
            <w:pPr>
              <w:pStyle w:val="Compact"/>
              <w:jc w:val="right"/>
            </w:pPr>
            <w:r>
              <w:t xml:space="preserve">4.165</w:t>
            </w:r>
          </w:p>
        </w:tc>
        <w:tc>
          <w:tcPr/>
          <w:p>
            <w:pPr>
              <w:pStyle w:val="Compact"/>
              <w:jc w:val="right"/>
            </w:pPr>
            <w:r>
              <w:t xml:space="preserve">3.475</w:t>
            </w:r>
          </w:p>
        </w:tc>
        <w:tc>
          <w:tcPr/>
          <w:p>
            <w:pPr>
              <w:pStyle w:val="Compact"/>
              <w:jc w:val="right"/>
            </w:pPr>
            <w:r>
              <w:t xml:space="preserve">7.490</w:t>
            </w:r>
          </w:p>
        </w:tc>
        <w:tc>
          <w:tcPr/>
          <w:p>
            <w:pPr>
              <w:pStyle w:val="Compact"/>
              <w:jc w:val="right"/>
            </w:pPr>
            <w:r>
              <w:t xml:space="preserve">24.756</w:t>
            </w:r>
          </w:p>
        </w:tc>
        <w:tc>
          <w:tcPr/>
          <w:p>
            <w:pPr>
              <w:pStyle w:val="Compact"/>
              <w:jc w:val="right"/>
            </w:pPr>
            <w:r>
              <w:t xml:space="preserve">0.752</w:t>
            </w:r>
          </w:p>
        </w:tc>
        <w:tc>
          <w:tcPr/>
          <w:p>
            <w:pPr>
              <w:pStyle w:val="Compact"/>
              <w:jc w:val="right"/>
            </w:pPr>
            <w:r>
              <w:t xml:space="preserve">-0.433</w:t>
            </w:r>
          </w:p>
        </w:tc>
        <w:tc>
          <w:tcPr/>
          <w:p>
            <w:pPr>
              <w:pStyle w:val="Compact"/>
              <w:jc w:val="right"/>
            </w:pPr>
            <w:r>
              <w:t xml:space="preserve">NA</w:t>
            </w:r>
          </w:p>
        </w:tc>
      </w:tr>
      <w:tr>
        <w:tc>
          <w:tcPr/>
          <w:p>
            <w:pPr>
              <w:pStyle w:val="Compact"/>
              <w:jc w:val="left"/>
            </w:pPr>
            <w:r>
              <w:t xml:space="preserve">17</w:t>
            </w:r>
          </w:p>
        </w:tc>
        <w:tc>
          <w:tcPr/>
          <w:p>
            <w:pPr>
              <w:pStyle w:val="Compact"/>
              <w:jc w:val="left"/>
            </w:pPr>
            <w:r>
              <w:t xml:space="preserve">Furnishings</w:t>
            </w:r>
          </w:p>
        </w:tc>
        <w:tc>
          <w:tcPr/>
          <w:p>
            <w:pPr>
              <w:pStyle w:val="Compact"/>
              <w:jc w:val="left"/>
            </w:pPr>
            <w:r>
              <w:t xml:space="preserve">ETS</w:t>
            </w:r>
          </w:p>
        </w:tc>
        <w:tc>
          <w:tcPr/>
          <w:p>
            <w:pPr>
              <w:pStyle w:val="Compact"/>
              <w:jc w:val="left"/>
            </w:pPr>
            <w:r>
              <w:t xml:space="preserve">Training set</w:t>
            </w:r>
          </w:p>
        </w:tc>
        <w:tc>
          <w:tcPr/>
          <w:p>
            <w:pPr>
              <w:pStyle w:val="Compact"/>
              <w:jc w:val="right"/>
            </w:pPr>
            <w:r>
              <w:t xml:space="preserve">0.737</w:t>
            </w:r>
          </w:p>
        </w:tc>
        <w:tc>
          <w:tcPr/>
          <w:p>
            <w:pPr>
              <w:pStyle w:val="Compact"/>
              <w:jc w:val="right"/>
            </w:pPr>
            <w:r>
              <w:t xml:space="preserve">3.467</w:t>
            </w:r>
          </w:p>
        </w:tc>
        <w:tc>
          <w:tcPr/>
          <w:p>
            <w:pPr>
              <w:pStyle w:val="Compact"/>
              <w:jc w:val="right"/>
            </w:pPr>
            <w:r>
              <w:t xml:space="preserve">2.852</w:t>
            </w:r>
          </w:p>
        </w:tc>
        <w:tc>
          <w:tcPr/>
          <w:p>
            <w:pPr>
              <w:pStyle w:val="Compact"/>
              <w:jc w:val="right"/>
            </w:pPr>
            <w:r>
              <w:t xml:space="preserve">0.430</w:t>
            </w:r>
          </w:p>
        </w:tc>
        <w:tc>
          <w:tcPr/>
          <w:p>
            <w:pPr>
              <w:pStyle w:val="Compact"/>
              <w:jc w:val="right"/>
            </w:pPr>
            <w:r>
              <w:t xml:space="preserve">20.852</w:t>
            </w:r>
          </w:p>
        </w:tc>
        <w:tc>
          <w:tcPr/>
          <w:p>
            <w:pPr>
              <w:pStyle w:val="Compact"/>
              <w:jc w:val="right"/>
            </w:pPr>
            <w:r>
              <w:t xml:space="preserve">0.617</w:t>
            </w:r>
          </w:p>
        </w:tc>
        <w:tc>
          <w:tcPr/>
          <w:p>
            <w:pPr>
              <w:pStyle w:val="Compact"/>
              <w:jc w:val="right"/>
            </w:pPr>
            <w:r>
              <w:t xml:space="preserve">-0.209</w:t>
            </w:r>
          </w:p>
        </w:tc>
        <w:tc>
          <w:tcPr/>
          <w:p>
            <w:pPr>
              <w:pStyle w:val="Compact"/>
              <w:jc w:val="right"/>
            </w:pPr>
            <w:r>
              <w:t xml:space="preserve">NA</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As we can see on the forecasting results ARIMA performed well for binders. We can state this because of the lowest RMSE.</w:t>
      </w:r>
    </w:p>
    <w:p>
      <w:pPr>
        <w:pStyle w:val="BodyText"/>
      </w:pPr>
      <w:r>
        <w:t xml:space="preserve">For the subcategory furnishings we can see that the ETS forecasting method is the most stable across the training and testing phase.</w:t>
      </w:r>
    </w:p>
    <w:p>
      <w:pPr>
        <w:pStyle w:val="BodyText"/>
      </w:pPr>
      <w:r>
        <w:t xml:space="preserve">For the last subcategory and product paper the ETS model is again the most consistent, comparing the statistics for training and test set. The high variability in the test data leads to larger forecasting errors in all the 3 models.</w:t>
      </w:r>
    </w:p>
    <w:p>
      <w:pPr>
        <w:pStyle w:val="BodyText"/>
      </w:pPr>
      <w:r>
        <w:t xml:space="preserve">Concerning the residual diagnostics, the checks show no real autocorrelation for ARIMA models. Which indicates a good fitting forecast.</w:t>
      </w:r>
    </w:p>
    <w:bookmarkEnd w:id="44"/>
    <w:bookmarkStart w:id="45" w:name="conclusion-4a"/>
    <w:p>
      <w:pPr>
        <w:pStyle w:val="Heading3"/>
      </w:pPr>
      <w:r>
        <w:t xml:space="preserve">Conclusion (4a)</w:t>
      </w:r>
    </w:p>
    <w:p>
      <w:pPr>
        <w:pStyle w:val="FirstParagraph"/>
      </w:pPr>
      <w:r>
        <w:t xml:space="preserve">The most effective model is not the same in all the subcategories. Each model was validated based on its ability to capture seasonality and trend. ARIMA performed better for Binders, while ETS performed better for Furnishings and Paper.</w:t>
      </w:r>
    </w:p>
    <w:bookmarkEnd w:id="45"/>
    <w:bookmarkStart w:id="58" w:name="X4ddf4b18ec4c375035595b8a8b6aeefc5769a2a"/>
    <w:p>
      <w:pPr>
        <w:pStyle w:val="Heading3"/>
      </w:pPr>
      <w:r>
        <w:t xml:space="preserve">Clustering Subcategories and forecasting (4b)</w:t>
      </w:r>
    </w:p>
    <w:p>
      <w:pPr>
        <w:pStyle w:val="FirstParagraph"/>
      </w:pPr>
      <w:r>
        <w:t xml:space="preserve">Steps Taken:</w:t>
      </w:r>
    </w:p>
    <w:p>
      <w:pPr>
        <w:pStyle w:val="Compact"/>
        <w:numPr>
          <w:ilvl w:val="0"/>
          <w:numId w:val="1003"/>
        </w:numPr>
      </w:pPr>
      <w:r>
        <w:t xml:space="preserve">Trend strength, random variation and seasonal strength were calculated for the subcategory using the time series we have.</w:t>
      </w:r>
    </w:p>
    <w:p>
      <w:pPr>
        <w:pStyle w:val="FirstParagraph"/>
      </w:pPr>
      <w:r>
        <w:t xml:space="preserve">Clustering:</w:t>
      </w:r>
    </w:p>
    <w:p>
      <w:pPr>
        <w:pStyle w:val="BodyText"/>
      </w:pPr>
      <w:r>
        <w:t xml:space="preserve">The clustering method used is the hierarchical clustering method. To group subcategories into three different clusters based on features which are normalized. The hierarchical clustering gave the following results:</w:t>
      </w:r>
    </w:p>
    <w:p>
      <w:pPr>
        <w:numPr>
          <w:ilvl w:val="0"/>
          <w:numId w:val="1004"/>
        </w:numPr>
      </w:pPr>
      <w:r>
        <w:t xml:space="preserve">Cluster 1: Stronger seasonality</w:t>
      </w:r>
    </w:p>
    <w:p>
      <w:pPr>
        <w:numPr>
          <w:ilvl w:val="0"/>
          <w:numId w:val="1004"/>
        </w:numPr>
      </w:pPr>
      <w:r>
        <w:t xml:space="preserve">Cluster 2: moderate trend and seasonality</w:t>
      </w:r>
    </w:p>
    <w:p>
      <w:pPr>
        <w:numPr>
          <w:ilvl w:val="0"/>
          <w:numId w:val="1004"/>
        </w:numPr>
      </w:pPr>
      <w:r>
        <w:t xml:space="preserve">Cluster 3: Lower trend and seasonal strength</w:t>
      </w:r>
    </w:p>
    <w:p>
      <w:pPr>
        <w:pStyle w:val="FirstParagraph"/>
      </w:pPr>
      <w:r>
        <w:t xml:space="preserve">For each different cluster we also used the models introduced in 4A (ARIMA, Holt-Winters, ETS). These results where all aggregated at the level of each cluster so we can assess mean RMSE and MAPE for each different model.</w:t>
      </w:r>
    </w:p>
    <w:p>
      <w:pPr>
        <w:pStyle w:val="TableCaption"/>
      </w:pPr>
      <w:r>
        <w:t xml:space="preserve">Forecast Accuracy Results</w:t>
      </w:r>
    </w:p>
    <w:tbl>
      <w:tblPr>
        <w:tblStyle w:val="Table"/>
        <w:tblW w:type="auto" w:w="0"/>
        <w:tblLook w:firstRow="1" w:lastRow="0" w:firstColumn="0" w:lastColumn="0" w:noHBand="0" w:noVBand="0" w:val="0020"/>
        <w:tblCaption w:val="Forecast Accuracy Results"/>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Sub_Category</w:t>
            </w:r>
          </w:p>
        </w:tc>
        <w:tc>
          <w:tcPr/>
          <w:p>
            <w:pPr>
              <w:pStyle w:val="Compact"/>
              <w:jc w:val="left"/>
            </w:pPr>
            <w:r>
              <w:t xml:space="preserve">Method</w:t>
            </w:r>
          </w:p>
        </w:tc>
        <w:tc>
          <w:tcPr/>
          <w:p>
            <w:pPr>
              <w:pStyle w:val="Compact"/>
              <w:jc w:val="left"/>
            </w:pPr>
            <w:r>
              <w:t xml:space="preserve">Dataset</w:t>
            </w:r>
          </w:p>
        </w:tc>
        <w:tc>
          <w:tcPr/>
          <w:p>
            <w:pPr>
              <w:pStyle w:val="Compact"/>
              <w:jc w:val="right"/>
            </w:pPr>
            <w:r>
              <w:t xml:space="preserve">ME</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MPE</w:t>
            </w:r>
          </w:p>
        </w:tc>
        <w:tc>
          <w:tcPr/>
          <w:p>
            <w:pPr>
              <w:pStyle w:val="Compact"/>
              <w:jc w:val="right"/>
            </w:pPr>
            <w:r>
              <w:t xml:space="preserve">MAPE</w:t>
            </w:r>
          </w:p>
        </w:tc>
        <w:tc>
          <w:tcPr/>
          <w:p>
            <w:pPr>
              <w:pStyle w:val="Compact"/>
              <w:jc w:val="right"/>
            </w:pPr>
            <w:r>
              <w:t xml:space="preserve">MASE</w:t>
            </w:r>
          </w:p>
        </w:tc>
        <w:tc>
          <w:tcPr/>
          <w:p>
            <w:pPr>
              <w:pStyle w:val="Compact"/>
              <w:jc w:val="right"/>
            </w:pPr>
            <w:r>
              <w:t xml:space="preserve">ACF1</w:t>
            </w:r>
          </w:p>
        </w:tc>
        <w:tc>
          <w:tcPr/>
          <w:p>
            <w:pPr>
              <w:pStyle w:val="Compact"/>
              <w:jc w:val="right"/>
            </w:pPr>
            <w:r>
              <w:t xml:space="preserve">Theil_U</w:t>
            </w:r>
          </w:p>
        </w:tc>
      </w:tr>
      <w:tr>
        <w:tc>
          <w:tcPr/>
          <w:p>
            <w:pPr>
              <w:pStyle w:val="Compact"/>
              <w:jc w:val="left"/>
            </w:pPr>
            <w:r>
              <w:t xml:space="preserve">2</w:t>
            </w:r>
          </w:p>
        </w:tc>
        <w:tc>
          <w:tcPr/>
          <w:p>
            <w:pPr>
              <w:pStyle w:val="Compact"/>
              <w:jc w:val="left"/>
            </w:pPr>
            <w:r>
              <w:t xml:space="preserve">Binders</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5.941</w:t>
            </w:r>
          </w:p>
        </w:tc>
        <w:tc>
          <w:tcPr/>
          <w:p>
            <w:pPr>
              <w:pStyle w:val="Compact"/>
              <w:jc w:val="right"/>
            </w:pPr>
            <w:r>
              <w:t xml:space="preserve">10.784</w:t>
            </w:r>
          </w:p>
        </w:tc>
        <w:tc>
          <w:tcPr/>
          <w:p>
            <w:pPr>
              <w:pStyle w:val="Compact"/>
              <w:jc w:val="right"/>
            </w:pPr>
            <w:r>
              <w:t xml:space="preserve">7.616</w:t>
            </w:r>
          </w:p>
        </w:tc>
        <w:tc>
          <w:tcPr/>
          <w:p>
            <w:pPr>
              <w:pStyle w:val="Compact"/>
              <w:jc w:val="right"/>
            </w:pPr>
            <w:r>
              <w:t xml:space="preserve">10.368</w:t>
            </w:r>
          </w:p>
        </w:tc>
        <w:tc>
          <w:tcPr/>
          <w:p>
            <w:pPr>
              <w:pStyle w:val="Compact"/>
              <w:jc w:val="right"/>
            </w:pPr>
            <w:r>
              <w:t xml:space="preserve">17.329</w:t>
            </w:r>
          </w:p>
        </w:tc>
        <w:tc>
          <w:tcPr/>
          <w:p>
            <w:pPr>
              <w:pStyle w:val="Compact"/>
              <w:jc w:val="right"/>
            </w:pPr>
            <w:r>
              <w:t xml:space="preserve">1.240</w:t>
            </w:r>
          </w:p>
        </w:tc>
        <w:tc>
          <w:tcPr/>
          <w:p>
            <w:pPr>
              <w:pStyle w:val="Compact"/>
              <w:jc w:val="right"/>
            </w:pPr>
            <w:r>
              <w:t xml:space="preserve">0.049</w:t>
            </w:r>
          </w:p>
        </w:tc>
        <w:tc>
          <w:tcPr/>
          <w:p>
            <w:pPr>
              <w:pStyle w:val="Compact"/>
              <w:jc w:val="right"/>
            </w:pPr>
            <w:r>
              <w:t xml:space="preserve">0.357</w:t>
            </w:r>
          </w:p>
        </w:tc>
      </w:tr>
      <w:tr>
        <w:tc>
          <w:tcPr/>
          <w:p>
            <w:pPr>
              <w:pStyle w:val="Compact"/>
              <w:jc w:val="left"/>
            </w:pPr>
            <w:r>
              <w:t xml:space="preserve">4</w:t>
            </w:r>
          </w:p>
        </w:tc>
        <w:tc>
          <w:tcPr/>
          <w:p>
            <w:pPr>
              <w:pStyle w:val="Compact"/>
              <w:jc w:val="left"/>
            </w:pPr>
            <w:r>
              <w:t xml:space="preserve">Binders</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2.247</w:t>
            </w:r>
          </w:p>
        </w:tc>
        <w:tc>
          <w:tcPr/>
          <w:p>
            <w:pPr>
              <w:pStyle w:val="Compact"/>
              <w:jc w:val="right"/>
            </w:pPr>
            <w:r>
              <w:t xml:space="preserve">8.712</w:t>
            </w:r>
          </w:p>
        </w:tc>
        <w:tc>
          <w:tcPr/>
          <w:p>
            <w:pPr>
              <w:pStyle w:val="Compact"/>
              <w:jc w:val="right"/>
            </w:pPr>
            <w:r>
              <w:t xml:space="preserve">6.243</w:t>
            </w:r>
          </w:p>
        </w:tc>
        <w:tc>
          <w:tcPr/>
          <w:p>
            <w:pPr>
              <w:pStyle w:val="Compact"/>
              <w:jc w:val="right"/>
            </w:pPr>
            <w:r>
              <w:t xml:space="preserve">0.160</w:t>
            </w:r>
          </w:p>
        </w:tc>
        <w:tc>
          <w:tcPr/>
          <w:p>
            <w:pPr>
              <w:pStyle w:val="Compact"/>
              <w:jc w:val="right"/>
            </w:pPr>
            <w:r>
              <w:t xml:space="preserve">16.022</w:t>
            </w:r>
          </w:p>
        </w:tc>
        <w:tc>
          <w:tcPr/>
          <w:p>
            <w:pPr>
              <w:pStyle w:val="Compact"/>
              <w:jc w:val="right"/>
            </w:pPr>
            <w:r>
              <w:t xml:space="preserve">1.016</w:t>
            </w:r>
          </w:p>
        </w:tc>
        <w:tc>
          <w:tcPr/>
          <w:p>
            <w:pPr>
              <w:pStyle w:val="Compact"/>
              <w:jc w:val="right"/>
            </w:pPr>
            <w:r>
              <w:t xml:space="preserve">-0.002</w:t>
            </w:r>
          </w:p>
        </w:tc>
        <w:tc>
          <w:tcPr/>
          <w:p>
            <w:pPr>
              <w:pStyle w:val="Compact"/>
              <w:jc w:val="right"/>
            </w:pPr>
            <w:r>
              <w:t xml:space="preserve">0.278</w:t>
            </w:r>
          </w:p>
        </w:tc>
      </w:tr>
      <w:tr>
        <w:tc>
          <w:tcPr/>
          <w:p>
            <w:pPr>
              <w:pStyle w:val="Compact"/>
              <w:jc w:val="left"/>
            </w:pPr>
            <w:r>
              <w:t xml:space="preserve">6</w:t>
            </w:r>
          </w:p>
        </w:tc>
        <w:tc>
          <w:tcPr/>
          <w:p>
            <w:pPr>
              <w:pStyle w:val="Compact"/>
              <w:jc w:val="left"/>
            </w:pPr>
            <w:r>
              <w:t xml:space="preserve">Binders</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7.440</w:t>
            </w:r>
          </w:p>
        </w:tc>
        <w:tc>
          <w:tcPr/>
          <w:p>
            <w:pPr>
              <w:pStyle w:val="Compact"/>
              <w:jc w:val="right"/>
            </w:pPr>
            <w:r>
              <w:t xml:space="preserve">12.216</w:t>
            </w:r>
          </w:p>
        </w:tc>
        <w:tc>
          <w:tcPr/>
          <w:p>
            <w:pPr>
              <w:pStyle w:val="Compact"/>
              <w:jc w:val="right"/>
            </w:pPr>
            <w:r>
              <w:t xml:space="preserve">8.825</w:t>
            </w:r>
          </w:p>
        </w:tc>
        <w:tc>
          <w:tcPr/>
          <w:p>
            <w:pPr>
              <w:pStyle w:val="Compact"/>
              <w:jc w:val="right"/>
            </w:pPr>
            <w:r>
              <w:t xml:space="preserve">10.667</w:t>
            </w:r>
          </w:p>
        </w:tc>
        <w:tc>
          <w:tcPr/>
          <w:p>
            <w:pPr>
              <w:pStyle w:val="Compact"/>
              <w:jc w:val="right"/>
            </w:pPr>
            <w:r>
              <w:t xml:space="preserve">20.936</w:t>
            </w:r>
          </w:p>
        </w:tc>
        <w:tc>
          <w:tcPr/>
          <w:p>
            <w:pPr>
              <w:pStyle w:val="Compact"/>
              <w:jc w:val="right"/>
            </w:pPr>
            <w:r>
              <w:t xml:space="preserve">1.437</w:t>
            </w:r>
          </w:p>
        </w:tc>
        <w:tc>
          <w:tcPr/>
          <w:p>
            <w:pPr>
              <w:pStyle w:val="Compact"/>
              <w:jc w:val="right"/>
            </w:pPr>
            <w:r>
              <w:t xml:space="preserve">0.061</w:t>
            </w:r>
          </w:p>
        </w:tc>
        <w:tc>
          <w:tcPr/>
          <w:p>
            <w:pPr>
              <w:pStyle w:val="Compact"/>
              <w:jc w:val="right"/>
            </w:pPr>
            <w:r>
              <w:t xml:space="preserve">0.377</w:t>
            </w:r>
          </w:p>
        </w:tc>
      </w:tr>
      <w:tr>
        <w:tc>
          <w:tcPr/>
          <w:p>
            <w:pPr>
              <w:pStyle w:val="Compact"/>
              <w:jc w:val="left"/>
            </w:pPr>
            <w:r>
              <w:t xml:space="preserve">8</w:t>
            </w:r>
          </w:p>
        </w:tc>
        <w:tc>
          <w:tcPr/>
          <w:p>
            <w:pPr>
              <w:pStyle w:val="Compact"/>
              <w:jc w:val="left"/>
            </w:pPr>
            <w:r>
              <w:t xml:space="preserve">Paper</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-9.014</w:t>
            </w:r>
          </w:p>
        </w:tc>
        <w:tc>
          <w:tcPr/>
          <w:p>
            <w:pPr>
              <w:pStyle w:val="Compact"/>
              <w:jc w:val="right"/>
            </w:pPr>
            <w:r>
              <w:t xml:space="preserve">12.231</w:t>
            </w:r>
          </w:p>
        </w:tc>
        <w:tc>
          <w:tcPr/>
          <w:p>
            <w:pPr>
              <w:pStyle w:val="Compact"/>
              <w:jc w:val="right"/>
            </w:pPr>
            <w:r>
              <w:t xml:space="preserve">10.376</w:t>
            </w:r>
          </w:p>
        </w:tc>
        <w:tc>
          <w:tcPr/>
          <w:p>
            <w:pPr>
              <w:pStyle w:val="Compact"/>
              <w:jc w:val="right"/>
            </w:pPr>
            <w:r>
              <w:t xml:space="preserve">-30.104</w:t>
            </w:r>
          </w:p>
        </w:tc>
        <w:tc>
          <w:tcPr/>
          <w:p>
            <w:pPr>
              <w:pStyle w:val="Compact"/>
              <w:jc w:val="right"/>
            </w:pPr>
            <w:r>
              <w:t xml:space="preserve">31.895</w:t>
            </w:r>
          </w:p>
        </w:tc>
        <w:tc>
          <w:tcPr/>
          <w:p>
            <w:pPr>
              <w:pStyle w:val="Compact"/>
              <w:jc w:val="right"/>
            </w:pPr>
            <w:r>
              <w:t xml:space="preserve">1.482</w:t>
            </w:r>
          </w:p>
        </w:tc>
        <w:tc>
          <w:tcPr/>
          <w:p>
            <w:pPr>
              <w:pStyle w:val="Compact"/>
              <w:jc w:val="right"/>
            </w:pPr>
            <w:r>
              <w:t xml:space="preserve">0.109</w:t>
            </w:r>
          </w:p>
        </w:tc>
        <w:tc>
          <w:tcPr/>
          <w:p>
            <w:pPr>
              <w:pStyle w:val="Compact"/>
              <w:jc w:val="right"/>
            </w:pPr>
            <w:r>
              <w:t xml:space="preserve">0.698</w:t>
            </w:r>
          </w:p>
        </w:tc>
      </w:tr>
      <w:tr>
        <w:tc>
          <w:tcPr/>
          <w:p>
            <w:pPr>
              <w:pStyle w:val="Compact"/>
              <w:jc w:val="left"/>
            </w:pPr>
            <w:r>
              <w:t xml:space="preserve">10</w:t>
            </w:r>
          </w:p>
        </w:tc>
        <w:tc>
          <w:tcPr/>
          <w:p>
            <w:pPr>
              <w:pStyle w:val="Compact"/>
              <w:jc w:val="left"/>
            </w:pPr>
            <w:r>
              <w:t xml:space="preserve">Paper</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-12.037</w:t>
            </w:r>
          </w:p>
        </w:tc>
        <w:tc>
          <w:tcPr/>
          <w:p>
            <w:pPr>
              <w:pStyle w:val="Compact"/>
              <w:jc w:val="right"/>
            </w:pPr>
            <w:r>
              <w:t xml:space="preserve">14.481</w:t>
            </w:r>
          </w:p>
        </w:tc>
        <w:tc>
          <w:tcPr/>
          <w:p>
            <w:pPr>
              <w:pStyle w:val="Compact"/>
              <w:jc w:val="right"/>
            </w:pPr>
            <w:r>
              <w:t xml:space="preserve">13.347</w:t>
            </w:r>
          </w:p>
        </w:tc>
        <w:tc>
          <w:tcPr/>
          <w:p>
            <w:pPr>
              <w:pStyle w:val="Compact"/>
              <w:jc w:val="right"/>
            </w:pPr>
            <w:r>
              <w:t xml:space="preserve">-39.792</w:t>
            </w:r>
          </w:p>
        </w:tc>
        <w:tc>
          <w:tcPr/>
          <w:p>
            <w:pPr>
              <w:pStyle w:val="Compact"/>
              <w:jc w:val="right"/>
            </w:pPr>
            <w:r>
              <w:t xml:space="preserve">41.516</w:t>
            </w:r>
          </w:p>
        </w:tc>
        <w:tc>
          <w:tcPr/>
          <w:p>
            <w:pPr>
              <w:pStyle w:val="Compact"/>
              <w:jc w:val="right"/>
            </w:pPr>
            <w:r>
              <w:t xml:space="preserve">1.907</w:t>
            </w:r>
          </w:p>
        </w:tc>
        <w:tc>
          <w:tcPr/>
          <w:p>
            <w:pPr>
              <w:pStyle w:val="Compact"/>
              <w:jc w:val="right"/>
            </w:pPr>
            <w:r>
              <w:t xml:space="preserve">0.100</w:t>
            </w:r>
          </w:p>
        </w:tc>
        <w:tc>
          <w:tcPr/>
          <w:p>
            <w:pPr>
              <w:pStyle w:val="Compact"/>
              <w:jc w:val="right"/>
            </w:pPr>
            <w:r>
              <w:t xml:space="preserve">0.845</w:t>
            </w:r>
          </w:p>
        </w:tc>
      </w:tr>
      <w:tr>
        <w:tc>
          <w:tcPr/>
          <w:p>
            <w:pPr>
              <w:pStyle w:val="Compact"/>
              <w:jc w:val="left"/>
            </w:pPr>
            <w:r>
              <w:t xml:space="preserve">12</w:t>
            </w:r>
          </w:p>
        </w:tc>
        <w:tc>
          <w:tcPr/>
          <w:p>
            <w:pPr>
              <w:pStyle w:val="Compact"/>
              <w:jc w:val="left"/>
            </w:pPr>
            <w:r>
              <w:t xml:space="preserve">Paper</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0.085</w:t>
            </w:r>
          </w:p>
        </w:tc>
        <w:tc>
          <w:tcPr/>
          <w:p>
            <w:pPr>
              <w:pStyle w:val="Compact"/>
              <w:jc w:val="right"/>
            </w:pPr>
            <w:r>
              <w:t xml:space="preserve">11.304</w:t>
            </w:r>
          </w:p>
        </w:tc>
        <w:tc>
          <w:tcPr/>
          <w:p>
            <w:pPr>
              <w:pStyle w:val="Compact"/>
              <w:jc w:val="right"/>
            </w:pPr>
            <w:r>
              <w:t xml:space="preserve">8.247</w:t>
            </w:r>
          </w:p>
        </w:tc>
        <w:tc>
          <w:tcPr/>
          <w:p>
            <w:pPr>
              <w:pStyle w:val="Compact"/>
              <w:jc w:val="right"/>
            </w:pPr>
            <w:r>
              <w:t xml:space="preserve">-0.085</w:t>
            </w:r>
          </w:p>
        </w:tc>
        <w:tc>
          <w:tcPr/>
          <w:p>
            <w:pPr>
              <w:pStyle w:val="Compact"/>
              <w:jc w:val="right"/>
            </w:pPr>
            <w:r>
              <w:t xml:space="preserve">20.476</w:t>
            </w:r>
          </w:p>
        </w:tc>
        <w:tc>
          <w:tcPr/>
          <w:p>
            <w:pPr>
              <w:pStyle w:val="Compact"/>
              <w:jc w:val="right"/>
            </w:pPr>
            <w:r>
              <w:t xml:space="preserve">1.178</w:t>
            </w:r>
          </w:p>
        </w:tc>
        <w:tc>
          <w:tcPr/>
          <w:p>
            <w:pPr>
              <w:pStyle w:val="Compact"/>
              <w:jc w:val="right"/>
            </w:pPr>
            <w:r>
              <w:t xml:space="preserve">0.342</w:t>
            </w:r>
          </w:p>
        </w:tc>
        <w:tc>
          <w:tcPr/>
          <w:p>
            <w:pPr>
              <w:pStyle w:val="Compact"/>
              <w:jc w:val="right"/>
            </w:pPr>
            <w:r>
              <w:t xml:space="preserve">0.583</w:t>
            </w:r>
          </w:p>
        </w:tc>
      </w:tr>
      <w:tr>
        <w:tc>
          <w:tcPr/>
          <w:p>
            <w:pPr>
              <w:pStyle w:val="Compact"/>
              <w:jc w:val="left"/>
            </w:pPr>
            <w:r>
              <w:t xml:space="preserve">14</w:t>
            </w:r>
          </w:p>
        </w:tc>
        <w:tc>
          <w:tcPr/>
          <w:p>
            <w:pPr>
              <w:pStyle w:val="Compact"/>
              <w:jc w:val="left"/>
            </w:pPr>
            <w:r>
              <w:t xml:space="preserve">Furnishings</w:t>
            </w:r>
          </w:p>
        </w:tc>
        <w:tc>
          <w:tcPr/>
          <w:p>
            <w:pPr>
              <w:pStyle w:val="Compact"/>
              <w:jc w:val="left"/>
            </w:pPr>
            <w:r>
              <w:t xml:space="preserve">ARIMA</w:t>
            </w:r>
          </w:p>
        </w:tc>
        <w:tc>
          <w:tcPr/>
          <w:p>
            <w:pPr>
              <w:pStyle w:val="Compact"/>
              <w:jc w:val="left"/>
            </w:pPr>
            <w:r>
              <w:t xml:space="preserve">Test set</w:t>
            </w:r>
          </w:p>
        </w:tc>
        <w:tc>
          <w:tcPr/>
          <w:p>
            <w:pPr>
              <w:pStyle w:val="Compact"/>
              <w:jc w:val="right"/>
            </w:pPr>
            <w:r>
              <w:t xml:space="preserve">3.952</w:t>
            </w:r>
          </w:p>
        </w:tc>
        <w:tc>
          <w:tcPr/>
          <w:p>
            <w:pPr>
              <w:pStyle w:val="Compact"/>
              <w:jc w:val="right"/>
            </w:pPr>
            <w:r>
              <w:t xml:space="preserve">7.783</w:t>
            </w:r>
          </w:p>
        </w:tc>
        <w:tc>
          <w:tcPr/>
          <w:p>
            <w:pPr>
              <w:pStyle w:val="Compact"/>
              <w:jc w:val="right"/>
            </w:pPr>
            <w:r>
              <w:t xml:space="preserve">6.238</w:t>
            </w:r>
          </w:p>
        </w:tc>
        <w:tc>
          <w:tcPr/>
          <w:p>
            <w:pPr>
              <w:pStyle w:val="Compact"/>
              <w:jc w:val="right"/>
            </w:pPr>
            <w:r>
              <w:t xml:space="preserve">10.720</w:t>
            </w:r>
          </w:p>
        </w:tc>
        <w:tc>
          <w:tcPr/>
          <w:p>
            <w:pPr>
              <w:pStyle w:val="Compact"/>
              <w:jc w:val="right"/>
            </w:pPr>
            <w:r>
              <w:t xml:space="preserve">22.753</w:t>
            </w:r>
          </w:p>
        </w:tc>
        <w:tc>
          <w:tcPr/>
          <w:p>
            <w:pPr>
              <w:pStyle w:val="Compact"/>
              <w:jc w:val="right"/>
            </w:pPr>
            <w:r>
              <w:t xml:space="preserve">1.351</w:t>
            </w:r>
          </w:p>
        </w:tc>
        <w:tc>
          <w:tcPr/>
          <w:p>
            <w:pPr>
              <w:pStyle w:val="Compact"/>
              <w:jc w:val="right"/>
            </w:pPr>
            <w:r>
              <w:t xml:space="preserve">-0.036</w:t>
            </w:r>
          </w:p>
        </w:tc>
        <w:tc>
          <w:tcPr/>
          <w:p>
            <w:pPr>
              <w:pStyle w:val="Compact"/>
              <w:jc w:val="right"/>
            </w:pPr>
            <w:r>
              <w:t xml:space="preserve">0.610</w:t>
            </w:r>
          </w:p>
        </w:tc>
      </w:tr>
      <w:tr>
        <w:tc>
          <w:tcPr/>
          <w:p>
            <w:pPr>
              <w:pStyle w:val="Compact"/>
              <w:jc w:val="left"/>
            </w:pPr>
            <w:r>
              <w:t xml:space="preserve">16</w:t>
            </w:r>
          </w:p>
        </w:tc>
        <w:tc>
          <w:tcPr/>
          <w:p>
            <w:pPr>
              <w:pStyle w:val="Compact"/>
              <w:jc w:val="left"/>
            </w:pPr>
            <w:r>
              <w:t xml:space="preserve">Furnishings</w:t>
            </w:r>
          </w:p>
        </w:tc>
        <w:tc>
          <w:tcPr/>
          <w:p>
            <w:pPr>
              <w:pStyle w:val="Compact"/>
              <w:jc w:val="left"/>
            </w:pPr>
            <w:r>
              <w:t xml:space="preserve">HoltWinters</w:t>
            </w:r>
          </w:p>
        </w:tc>
        <w:tc>
          <w:tcPr/>
          <w:p>
            <w:pPr>
              <w:pStyle w:val="Compact"/>
              <w:jc w:val="left"/>
            </w:pPr>
            <w:r>
              <w:t xml:space="preserve">Test set</w:t>
            </w:r>
          </w:p>
        </w:tc>
        <w:tc>
          <w:tcPr/>
          <w:p>
            <w:pPr>
              <w:pStyle w:val="Compact"/>
              <w:jc w:val="right"/>
            </w:pPr>
            <w:r>
              <w:t xml:space="preserve">3.637</w:t>
            </w:r>
          </w:p>
        </w:tc>
        <w:tc>
          <w:tcPr/>
          <w:p>
            <w:pPr>
              <w:pStyle w:val="Compact"/>
              <w:jc w:val="right"/>
            </w:pPr>
            <w:r>
              <w:t xml:space="preserve">7.201</w:t>
            </w:r>
          </w:p>
        </w:tc>
        <w:tc>
          <w:tcPr/>
          <w:p>
            <w:pPr>
              <w:pStyle w:val="Compact"/>
              <w:jc w:val="right"/>
            </w:pPr>
            <w:r>
              <w:t xml:space="preserve">5.673</w:t>
            </w:r>
          </w:p>
        </w:tc>
        <w:tc>
          <w:tcPr/>
          <w:p>
            <w:pPr>
              <w:pStyle w:val="Compact"/>
              <w:jc w:val="right"/>
            </w:pPr>
            <w:r>
              <w:t xml:space="preserve">9.724</w:t>
            </w:r>
          </w:p>
        </w:tc>
        <w:tc>
          <w:tcPr/>
          <w:p>
            <w:pPr>
              <w:pStyle w:val="Compact"/>
              <w:jc w:val="right"/>
            </w:pPr>
            <w:r>
              <w:t xml:space="preserve">20.501</w:t>
            </w:r>
          </w:p>
        </w:tc>
        <w:tc>
          <w:tcPr/>
          <w:p>
            <w:pPr>
              <w:pStyle w:val="Compact"/>
              <w:jc w:val="right"/>
            </w:pPr>
            <w:r>
              <w:t xml:space="preserve">1.228</w:t>
            </w:r>
          </w:p>
        </w:tc>
        <w:tc>
          <w:tcPr/>
          <w:p>
            <w:pPr>
              <w:pStyle w:val="Compact"/>
              <w:jc w:val="right"/>
            </w:pPr>
            <w:r>
              <w:t xml:space="preserve">0.018</w:t>
            </w:r>
          </w:p>
        </w:tc>
        <w:tc>
          <w:tcPr/>
          <w:p>
            <w:pPr>
              <w:pStyle w:val="Compact"/>
              <w:jc w:val="right"/>
            </w:pPr>
            <w:r>
              <w:t xml:space="preserve">0.569</w:t>
            </w:r>
          </w:p>
        </w:tc>
      </w:tr>
      <w:tr>
        <w:tc>
          <w:tcPr/>
          <w:p>
            <w:pPr>
              <w:pStyle w:val="Compact"/>
              <w:jc w:val="left"/>
            </w:pPr>
            <w:r>
              <w:t xml:space="preserve">18</w:t>
            </w:r>
          </w:p>
        </w:tc>
        <w:tc>
          <w:tcPr/>
          <w:p>
            <w:pPr>
              <w:pStyle w:val="Compact"/>
              <w:jc w:val="left"/>
            </w:pPr>
            <w:r>
              <w:t xml:space="preserve">Furnishings</w:t>
            </w:r>
          </w:p>
        </w:tc>
        <w:tc>
          <w:tcPr/>
          <w:p>
            <w:pPr>
              <w:pStyle w:val="Compact"/>
              <w:jc w:val="left"/>
            </w:pPr>
            <w:r>
              <w:t xml:space="preserve">ETS</w:t>
            </w:r>
          </w:p>
        </w:tc>
        <w:tc>
          <w:tcPr/>
          <w:p>
            <w:pPr>
              <w:pStyle w:val="Compact"/>
              <w:jc w:val="left"/>
            </w:pPr>
            <w:r>
              <w:t xml:space="preserve">Test set</w:t>
            </w:r>
          </w:p>
        </w:tc>
        <w:tc>
          <w:tcPr/>
          <w:p>
            <w:pPr>
              <w:pStyle w:val="Compact"/>
              <w:jc w:val="right"/>
            </w:pPr>
            <w:r>
              <w:t xml:space="preserve">6.097</w:t>
            </w:r>
          </w:p>
        </w:tc>
        <w:tc>
          <w:tcPr/>
          <w:p>
            <w:pPr>
              <w:pStyle w:val="Compact"/>
              <w:jc w:val="right"/>
            </w:pPr>
            <w:r>
              <w:t xml:space="preserve">8.354</w:t>
            </w:r>
          </w:p>
        </w:tc>
        <w:tc>
          <w:tcPr/>
          <w:p>
            <w:pPr>
              <w:pStyle w:val="Compact"/>
              <w:jc w:val="right"/>
            </w:pPr>
            <w:r>
              <w:t xml:space="preserve">6.691</w:t>
            </w:r>
          </w:p>
        </w:tc>
        <w:tc>
          <w:tcPr/>
          <w:p>
            <w:pPr>
              <w:pStyle w:val="Compact"/>
              <w:jc w:val="right"/>
            </w:pPr>
            <w:r>
              <w:t xml:space="preserve">20.728</w:t>
            </w:r>
          </w:p>
        </w:tc>
        <w:tc>
          <w:tcPr/>
          <w:p>
            <w:pPr>
              <w:pStyle w:val="Compact"/>
              <w:jc w:val="right"/>
            </w:pPr>
            <w:r>
              <w:t xml:space="preserve">23.553</w:t>
            </w:r>
          </w:p>
        </w:tc>
        <w:tc>
          <w:tcPr/>
          <w:p>
            <w:pPr>
              <w:pStyle w:val="Compact"/>
              <w:jc w:val="right"/>
            </w:pPr>
            <w:r>
              <w:t xml:space="preserve">1.449</w:t>
            </w:r>
          </w:p>
        </w:tc>
        <w:tc>
          <w:tcPr/>
          <w:p>
            <w:pPr>
              <w:pStyle w:val="Compact"/>
              <w:jc w:val="right"/>
            </w:pPr>
            <w:r>
              <w:t xml:space="preserve">0.373</w:t>
            </w:r>
          </w:p>
        </w:tc>
        <w:tc>
          <w:tcPr/>
          <w:p>
            <w:pPr>
              <w:pStyle w:val="Compact"/>
              <w:jc w:val="right"/>
            </w:pPr>
            <w:r>
              <w:t xml:space="preserve">0.746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 </w:t>
      </w:r>
    </w:p>
    <w:p>
      <w:pPr>
        <w:pStyle w:val="TableCaption"/>
      </w:pPr>
      <w:r>
        <w:t xml:space="preserve">KPSS Test Results for Top 3 Subcategories</w:t>
      </w:r>
    </w:p>
    <w:tbl>
      <w:tblPr>
        <w:tblStyle w:val="Table"/>
        <w:tblW w:type="auto" w:w="0"/>
        <w:tblLook w:firstRow="1" w:lastRow="0" w:firstColumn="0" w:lastColumn="0" w:noHBand="0" w:noVBand="0" w:val="0020"/>
        <w:tblCaption w:val="KPSS Test Results for Top 3 Subcategories"/>
      </w:tblPr>
      <w:tblGrid>
        <w:gridCol w:w="1980"/>
        <w:gridCol w:w="1980"/>
        <w:gridCol w:w="1980"/>
        <w:gridCol w:w="1980"/>
      </w:tblGrid>
      <w:tr>
        <w:trPr>
          <w:tblHeader w:val="on"/>
        </w:trPr>
        <w:tc>
          <w:tcPr/>
          <w:p>
            <w:pPr>
              <w:pStyle w:val="Compact"/>
              <w:jc w:val="left"/>
            </w:pPr>
            <w:r>
              <w:t xml:space="preserve">Sub_Category</w:t>
            </w:r>
          </w:p>
        </w:tc>
        <w:tc>
          <w:tcPr/>
          <w:p>
            <w:pPr>
              <w:pStyle w:val="Compact"/>
              <w:jc w:val="right"/>
            </w:pPr>
            <w:r>
              <w:t xml:space="preserve">KPSS_Statistic</w:t>
            </w:r>
          </w:p>
        </w:tc>
        <w:tc>
          <w:tcPr/>
          <w:p>
            <w:pPr>
              <w:pStyle w:val="Compact"/>
              <w:jc w:val="right"/>
            </w:pPr>
            <w:r>
              <w:t xml:space="preserve">P_Value</w:t>
            </w:r>
          </w:p>
        </w:tc>
        <w:tc>
          <w:tcPr/>
          <w:p>
            <w:pPr>
              <w:pStyle w:val="Compact"/>
              <w:jc w:val="left"/>
            </w:pPr>
            <w:r>
              <w:t xml:space="preserve">Null_Hypothesis</w:t>
            </w:r>
          </w:p>
        </w:tc>
      </w:tr>
      <w:tr>
        <w:tc>
          <w:tcPr/>
          <w:p>
            <w:pPr>
              <w:pStyle w:val="Compact"/>
              <w:jc w:val="left"/>
            </w:pPr>
            <w:r>
              <w:t xml:space="preserve">Binders</w:t>
            </w:r>
          </w:p>
        </w:tc>
        <w:tc>
          <w:tcPr/>
          <w:p>
            <w:pPr>
              <w:pStyle w:val="Compact"/>
              <w:jc w:val="right"/>
            </w:pPr>
            <w:r>
              <w:t xml:space="preserve">0.785</w:t>
            </w:r>
          </w:p>
        </w:tc>
        <w:tc>
          <w:tcPr/>
          <w:p>
            <w:pPr>
              <w:pStyle w:val="Compact"/>
              <w:jc w:val="right"/>
            </w:pPr>
            <w:r>
              <w:t xml:space="preserve">0.01</w:t>
            </w:r>
          </w:p>
        </w:tc>
        <w:tc>
          <w:tcPr/>
          <w:p>
            <w:pPr>
              <w:pStyle w:val="Compact"/>
              <w:jc w:val="left"/>
            </w:pPr>
            <w:r>
              <w:t xml:space="preserve">Rejected (Non-Stationary)</w:t>
            </w:r>
          </w:p>
        </w:tc>
      </w:tr>
      <w:tr>
        <w:tc>
          <w:tcPr/>
          <w:p>
            <w:pPr>
              <w:pStyle w:val="Compact"/>
              <w:jc w:val="left"/>
            </w:pPr>
            <w:r>
              <w:t xml:space="preserve">Paper</w:t>
            </w:r>
          </w:p>
        </w:tc>
        <w:tc>
          <w:tcPr/>
          <w:p>
            <w:pPr>
              <w:pStyle w:val="Compact"/>
              <w:jc w:val="right"/>
            </w:pPr>
            <w:r>
              <w:t xml:space="preserve">0.738</w:t>
            </w:r>
          </w:p>
        </w:tc>
        <w:tc>
          <w:tcPr/>
          <w:p>
            <w:pPr>
              <w:pStyle w:val="Compact"/>
              <w:jc w:val="right"/>
            </w:pPr>
            <w:r>
              <w:t xml:space="preserve">0.01</w:t>
            </w:r>
          </w:p>
        </w:tc>
        <w:tc>
          <w:tcPr/>
          <w:p>
            <w:pPr>
              <w:pStyle w:val="Compact"/>
              <w:jc w:val="left"/>
            </w:pPr>
            <w:r>
              <w:t xml:space="preserve">Rejected (Non-Stationary)</w:t>
            </w:r>
          </w:p>
        </w:tc>
      </w:tr>
      <w:tr>
        <w:tc>
          <w:tcPr/>
          <w:p>
            <w:pPr>
              <w:pStyle w:val="Compact"/>
              <w:jc w:val="left"/>
            </w:pPr>
            <w:r>
              <w:t xml:space="preserve">Furnishings</w:t>
            </w:r>
          </w:p>
        </w:tc>
        <w:tc>
          <w:tcPr/>
          <w:p>
            <w:pPr>
              <w:pStyle w:val="Compact"/>
              <w:jc w:val="right"/>
            </w:pPr>
            <w:r>
              <w:t xml:space="preserve">0.764</w:t>
            </w:r>
          </w:p>
        </w:tc>
        <w:tc>
          <w:tcPr/>
          <w:p>
            <w:pPr>
              <w:pStyle w:val="Compact"/>
              <w:jc w:val="right"/>
            </w:pPr>
            <w:r>
              <w:t xml:space="preserve">0.01</w:t>
            </w:r>
          </w:p>
        </w:tc>
        <w:tc>
          <w:tcPr/>
          <w:p>
            <w:pPr>
              <w:pStyle w:val="Compact"/>
              <w:jc w:val="left"/>
            </w:pPr>
            <w:r>
              <w:t xml:space="preserve">Rejected (Non-Stationary)</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0.10182,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0.061982,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7" name="Picture"/>
            <a:graphic>
              <a:graphicData uri="http://schemas.openxmlformats.org/drawingml/2006/picture">
                <pic:pic>
                  <pic:nvPicPr>
                    <pic:cNvPr descr="index_files/figure-docx/results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50" name="Picture"/>
            <a:graphic>
              <a:graphicData uri="http://schemas.openxmlformats.org/drawingml/2006/picture">
                <pic:pic>
                  <pic:nvPicPr>
                    <pic:cNvPr descr="index_files/figure-docx/Results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3" name="Picture"/>
            <a:graphic>
              <a:graphicData uri="http://schemas.openxmlformats.org/drawingml/2006/picture">
                <pic:pic>
                  <pic:nvPicPr>
                    <pic:cNvPr descr="index_files/figure-docx/Results4-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6" name="Picture"/>
            <a:graphic>
              <a:graphicData uri="http://schemas.openxmlformats.org/drawingml/2006/picture">
                <pic:pic>
                  <pic:nvPicPr>
                    <pic:cNvPr descr="index_files/figure-docx/Results4-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KPSS Test for Differenced Sub-Category: Binders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0.10182, Truncation lag parameter = 3, p-value = 0.1</w:t>
      </w:r>
      <w:r>
        <w:br/>
      </w:r>
      <w:r>
        <w:br/>
      </w:r>
      <w:r>
        <w:br/>
      </w:r>
      <w:r>
        <w:rPr>
          <w:rStyle w:val="VerbatimChar"/>
        </w:rPr>
        <w:t xml:space="preserve">KPSS Test for Differenced Sub-Category: Paper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0.061982, Truncation lag parameter = 3, p-value = 0.1</w:t>
      </w:r>
      <w:r>
        <w:br/>
      </w:r>
      <w:r>
        <w:br/>
      </w:r>
      <w:r>
        <w:br/>
      </w:r>
      <w:r>
        <w:rPr>
          <w:rStyle w:val="VerbatimChar"/>
        </w:rPr>
        <w:t xml:space="preserve">KPSS Test for Differenced Sub-Category: Furnishings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8"/>
    <w:bookmarkStart w:id="71" w:name="clustering-4b"/>
    <w:p>
      <w:pPr>
        <w:pStyle w:val="Heading3"/>
      </w:pPr>
      <w:r>
        <w:t xml:space="preserve">Clustering (4b)</w:t>
      </w:r>
    </w:p>
    <w:p>
      <w:pPr>
        <w:pStyle w:val="SourceCode"/>
      </w:pPr>
      <w:r>
        <w:br/>
      </w:r>
      <w:r>
        <w:br/>
      </w:r>
      <w:r>
        <w:rPr>
          <w:rStyle w:val="VerbatimChar"/>
        </w:rPr>
        <w:t xml:space="preserve">Results for Cluster_1 </w:t>
      </w:r>
      <w:r>
        <w:br/>
      </w:r>
      <w:r>
        <w:br/>
      </w:r>
      <w:r>
        <w:rPr>
          <w:rStyle w:val="VerbatimChar"/>
        </w:rPr>
        <w:t xml:space="preserve">Sub-Category: Binders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0.7706014  4.643476 2.982256  0.6865304 12.91204 0.4854835</w:t>
      </w:r>
      <w:r>
        <w:br/>
      </w:r>
      <w:r>
        <w:rPr>
          <w:rStyle w:val="VerbatimChar"/>
        </w:rPr>
        <w:t xml:space="preserve">Test set     5.9407398 10.783528 7.616473 10.3681817 17.32927 1.2398909</w:t>
      </w:r>
      <w:r>
        <w:br/>
      </w:r>
      <w:r>
        <w:rPr>
          <w:rStyle w:val="VerbatimChar"/>
        </w:rPr>
        <w:t xml:space="preserve">                   ACF1 Theil's U</w:t>
      </w:r>
      <w:r>
        <w:br/>
      </w:r>
      <w:r>
        <w:rPr>
          <w:rStyle w:val="VerbatimChar"/>
        </w:rPr>
        <w:t xml:space="preserve">Training set 0.04429472        NA</w:t>
      </w:r>
      <w:r>
        <w:br/>
      </w:r>
      <w:r>
        <w:rPr>
          <w:rStyle w:val="VerbatimChar"/>
        </w:rPr>
        <w:t xml:space="preserve">Test set     0.04929320 0.3573866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0.8668058 5.215491 3.789990 -0.4040374 15.36545 0.6169751</w:t>
      </w:r>
      <w:r>
        <w:br/>
      </w:r>
      <w:r>
        <w:rPr>
          <w:rStyle w:val="VerbatimChar"/>
        </w:rPr>
        <w:t xml:space="preserve">Test set     2.2473496 8.712049 6.243226  0.1597635 16.02219 1.0163391</w:t>
      </w:r>
      <w:r>
        <w:br/>
      </w:r>
      <w:r>
        <w:rPr>
          <w:rStyle w:val="VerbatimChar"/>
        </w:rPr>
        <w:t xml:space="preserve">                     ACF1 Theil's U</w:t>
      </w:r>
      <w:r>
        <w:br/>
      </w:r>
      <w:r>
        <w:rPr>
          <w:rStyle w:val="VerbatimChar"/>
        </w:rPr>
        <w:t xml:space="preserve">Training set -0.389045966        NA</w:t>
      </w:r>
      <w:r>
        <w:br/>
      </w:r>
      <w:r>
        <w:rPr>
          <w:rStyle w:val="VerbatimChar"/>
        </w:rPr>
        <w:t xml:space="preserve">Test set     -0.001830843 0.2777843</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0.743354  4.712561 3.656409  1.358692 15.41708 0.5952293</w:t>
      </w:r>
      <w:r>
        <w:br/>
      </w:r>
      <w:r>
        <w:rPr>
          <w:rStyle w:val="VerbatimChar"/>
        </w:rPr>
        <w:t xml:space="preserve">Test set     7.439784 12.216161 8.825094 10.667088 20.93561 1.4366433</w:t>
      </w:r>
      <w:r>
        <w:br/>
      </w:r>
      <w:r>
        <w:rPr>
          <w:rStyle w:val="VerbatimChar"/>
        </w:rPr>
        <w:t xml:space="preserve">                   ACF1 Theil's U</w:t>
      </w:r>
      <w:r>
        <w:br/>
      </w:r>
      <w:r>
        <w:rPr>
          <w:rStyle w:val="VerbatimChar"/>
        </w:rPr>
        <w:t xml:space="preserve">Training set -0.2225537        NA</w:t>
      </w:r>
      <w:r>
        <w:br/>
      </w:r>
      <w:r>
        <w:rPr>
          <w:rStyle w:val="VerbatimChar"/>
        </w:rPr>
        <w:t xml:space="preserve">Test set      0.0608554 0.3767484</w:t>
      </w:r>
      <w:r>
        <w:br/>
      </w:r>
      <w:r>
        <w:br/>
      </w:r>
      <w:r>
        <w:br/>
      </w:r>
      <w:r>
        <w:rPr>
          <w:rStyle w:val="VerbatimChar"/>
        </w:rPr>
        <w:t xml:space="preserve">Results for Cluster_2 </w:t>
      </w:r>
      <w:r>
        <w:br/>
      </w:r>
      <w:r>
        <w:br/>
      </w:r>
      <w:r>
        <w:rPr>
          <w:rStyle w:val="VerbatimChar"/>
        </w:rPr>
        <w:t xml:space="preserve">Sub-Category: Paper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1.117384  6.309464  3.827714   1.702165 14.32157 0.5468163</w:t>
      </w:r>
      <w:r>
        <w:br/>
      </w:r>
      <w:r>
        <w:rPr>
          <w:rStyle w:val="VerbatimChar"/>
        </w:rPr>
        <w:t xml:space="preserve">Test set     -9.014128 12.230774 10.375521 -30.103886 31.89519 1.4822173</w:t>
      </w:r>
      <w:r>
        <w:br/>
      </w:r>
      <w:r>
        <w:rPr>
          <w:rStyle w:val="VerbatimChar"/>
        </w:rPr>
        <w:t xml:space="preserve">                     ACF1 Theil's U</w:t>
      </w:r>
      <w:r>
        <w:br/>
      </w:r>
      <w:r>
        <w:rPr>
          <w:rStyle w:val="VerbatimChar"/>
        </w:rPr>
        <w:t xml:space="preserve">Training set -0.007064333        NA</w:t>
      </w:r>
      <w:r>
        <w:br/>
      </w:r>
      <w:r>
        <w:rPr>
          <w:rStyle w:val="VerbatimChar"/>
        </w:rPr>
        <w:t xml:space="preserve">Test set      0.108516273 0.6984566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1.509544  7.27986  4.854547   3.325281 16.41309 0.6935067</w:t>
      </w:r>
      <w:r>
        <w:br/>
      </w:r>
      <w:r>
        <w:rPr>
          <w:rStyle w:val="VerbatimChar"/>
        </w:rPr>
        <w:t xml:space="preserve">Test set     -12.036865 14.48061 13.347292 -39.791842 41.51609 1.9067560</w:t>
      </w:r>
      <w:r>
        <w:br/>
      </w:r>
      <w:r>
        <w:rPr>
          <w:rStyle w:val="VerbatimChar"/>
        </w:rPr>
        <w:t xml:space="preserve">                    ACF1 Theil's U</w:t>
      </w:r>
      <w:r>
        <w:br/>
      </w:r>
      <w:r>
        <w:rPr>
          <w:rStyle w:val="VerbatimChar"/>
        </w:rPr>
        <w:t xml:space="preserve">Training set -0.02710216        NA</w:t>
      </w:r>
      <w:r>
        <w:br/>
      </w:r>
      <w:r>
        <w:rPr>
          <w:rStyle w:val="VerbatimChar"/>
        </w:rPr>
        <w:t xml:space="preserve">Test set      0.10006713  0.845232</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0.60941117  6.204628 4.474990 -1.66197953 18.73240 0.6392842</w:t>
      </w:r>
      <w:r>
        <w:br/>
      </w:r>
      <w:r>
        <w:rPr>
          <w:rStyle w:val="VerbatimChar"/>
        </w:rPr>
        <w:t xml:space="preserve">Test set     0.08500424 11.304488 8.247017 -0.08462612 20.47598 1.1781453</w:t>
      </w:r>
      <w:r>
        <w:br/>
      </w:r>
      <w:r>
        <w:rPr>
          <w:rStyle w:val="VerbatimChar"/>
        </w:rPr>
        <w:t xml:space="preserve">                    ACF1 Theil's U</w:t>
      </w:r>
      <w:r>
        <w:br/>
      </w:r>
      <w:r>
        <w:rPr>
          <w:rStyle w:val="VerbatimChar"/>
        </w:rPr>
        <w:t xml:space="preserve">Training set 0.005205508        NA</w:t>
      </w:r>
      <w:r>
        <w:br/>
      </w:r>
      <w:r>
        <w:rPr>
          <w:rStyle w:val="VerbatimChar"/>
        </w:rPr>
        <w:t xml:space="preserve">Test set     0.341519997  0.582549</w:t>
      </w:r>
      <w:r>
        <w:br/>
      </w:r>
      <w:r>
        <w:br/>
      </w:r>
      <w:r>
        <w:br/>
      </w:r>
      <w:r>
        <w:rPr>
          <w:rStyle w:val="VerbatimChar"/>
        </w:rPr>
        <w:t xml:space="preserve">Results for Cluster_3 </w:t>
      </w:r>
      <w:r>
        <w:br/>
      </w:r>
      <w:r>
        <w:br/>
      </w:r>
      <w:r>
        <w:rPr>
          <w:rStyle w:val="VerbatimChar"/>
        </w:rPr>
        <w:t xml:space="preserve">Sub-Category: Furnishings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0.0050974 3.873555 2.567868 -6.624673 20.20958 0.5559302</w:t>
      </w:r>
      <w:r>
        <w:br/>
      </w:r>
      <w:r>
        <w:rPr>
          <w:rStyle w:val="VerbatimChar"/>
        </w:rPr>
        <w:t xml:space="preserve">Test set     3.9523810 7.782677 6.238095 10.720079 22.75340 1.3505155</w:t>
      </w:r>
      <w:r>
        <w:br/>
      </w:r>
      <w:r>
        <w:rPr>
          <w:rStyle w:val="VerbatimChar"/>
        </w:rPr>
        <w:t xml:space="preserve">                    ACF1 Theil's U</w:t>
      </w:r>
      <w:r>
        <w:br/>
      </w:r>
      <w:r>
        <w:rPr>
          <w:rStyle w:val="VerbatimChar"/>
        </w:rPr>
        <w:t xml:space="preserve">Training set -0.20160077        NA</w:t>
      </w:r>
      <w:r>
        <w:br/>
      </w:r>
      <w:r>
        <w:rPr>
          <w:rStyle w:val="VerbatimChar"/>
        </w:rPr>
        <w:t xml:space="preserve">Test set     -0.03570035 0.6102339</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0.9137655 4.164677 3.475419 7.490317 24.75583 0.7524103</w:t>
      </w:r>
      <w:r>
        <w:br/>
      </w:r>
      <w:r>
        <w:rPr>
          <w:rStyle w:val="VerbatimChar"/>
        </w:rPr>
        <w:t xml:space="preserve">Test set     3.6371987 7.200985 5.673333 9.724318 20.50134 1.2282474</w:t>
      </w:r>
      <w:r>
        <w:br/>
      </w:r>
      <w:r>
        <w:rPr>
          <w:rStyle w:val="VerbatimChar"/>
        </w:rPr>
        <w:t xml:space="preserve">                    ACF1 Theil's U</w:t>
      </w:r>
      <w:r>
        <w:br/>
      </w:r>
      <w:r>
        <w:rPr>
          <w:rStyle w:val="VerbatimChar"/>
        </w:rPr>
        <w:t xml:space="preserve">Training set -0.43317305        NA</w:t>
      </w:r>
      <w:r>
        <w:br/>
      </w:r>
      <w:r>
        <w:rPr>
          <w:rStyle w:val="VerbatimChar"/>
        </w:rPr>
        <w:t xml:space="preserve">Test set      0.01804785 0.5689788</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0.7370579 3.466690 2.851745  0.4301648 20.85220 0.617388</w:t>
      </w:r>
      <w:r>
        <w:br/>
      </w:r>
      <w:r>
        <w:rPr>
          <w:rStyle w:val="VerbatimChar"/>
        </w:rPr>
        <w:t xml:space="preserve">Test set     6.0973038 8.354163 6.690832 20.7276401 23.55317 1.448531</w:t>
      </w:r>
      <w:r>
        <w:br/>
      </w:r>
      <w:r>
        <w:rPr>
          <w:rStyle w:val="VerbatimChar"/>
        </w:rPr>
        <w:t xml:space="preserve">                   ACF1 Theil's U</w:t>
      </w:r>
      <w:r>
        <w:br/>
      </w:r>
      <w:r>
        <w:rPr>
          <w:rStyle w:val="VerbatimChar"/>
        </w:rPr>
        <w:t xml:space="preserve">Training set -0.2087083        NA</w:t>
      </w:r>
      <w:r>
        <w:br/>
      </w:r>
      <w:r>
        <w:rPr>
          <w:rStyle w:val="VerbatimChar"/>
        </w:rPr>
        <w:t xml:space="preserve">Test set      0.3729315 0.7455977</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somelable-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Residual Diagnostics for Sub-Category: Binders </w:t>
      </w:r>
    </w:p>
    <w:p>
      <w:pPr>
        <w:pStyle w:val="FirstParagraph"/>
      </w:pPr>
      <w:r>
        <w:drawing>
          <wp:inline>
            <wp:extent cx="5334000" cy="4267200"/>
            <wp:effectExtent b="0" l="0" r="0" t="0"/>
            <wp:docPr descr="" title="" id="63" name="Picture"/>
            <a:graphic>
              <a:graphicData uri="http://schemas.openxmlformats.org/drawingml/2006/picture">
                <pic:pic>
                  <pic:nvPicPr>
                    <pic:cNvPr descr="index_files/figure-docx/somelable-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ARIMA(0,1,2)(0,1,0)[12]</w:t>
      </w:r>
      <w:r>
        <w:br/>
      </w:r>
      <w:r>
        <w:rPr>
          <w:rStyle w:val="VerbatimChar"/>
        </w:rPr>
        <w:t xml:space="preserve">Q* = 2.6295, df = 5, p-value = 0.7569</w:t>
      </w:r>
      <w:r>
        <w:br/>
      </w:r>
      <w:r>
        <w:br/>
      </w:r>
      <w:r>
        <w:rPr>
          <w:rStyle w:val="VerbatimChar"/>
        </w:rPr>
        <w:t xml:space="preserve">Model df: 2.   Total lags used: 7</w:t>
      </w:r>
      <w:r>
        <w:br/>
      </w:r>
      <w:r>
        <w:br/>
      </w:r>
      <w:r>
        <w:br/>
      </w:r>
      <w:r>
        <w:rPr>
          <w:rStyle w:val="VerbatimChar"/>
        </w:rPr>
        <w:t xml:space="preserve">Residual Diagnostics for Sub-Category: Paper </w:t>
      </w:r>
    </w:p>
    <w:p>
      <w:pPr>
        <w:pStyle w:val="FirstParagraph"/>
      </w:pPr>
      <w:r>
        <w:drawing>
          <wp:inline>
            <wp:extent cx="5334000" cy="4267200"/>
            <wp:effectExtent b="0" l="0" r="0" t="0"/>
            <wp:docPr descr="" title="" id="66" name="Picture"/>
            <a:graphic>
              <a:graphicData uri="http://schemas.openxmlformats.org/drawingml/2006/picture">
                <pic:pic>
                  <pic:nvPicPr>
                    <pic:cNvPr descr="index_files/figure-docx/somelable-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ARIMA(0,1,1)(0,1,0)[12]</w:t>
      </w:r>
      <w:r>
        <w:br/>
      </w:r>
      <w:r>
        <w:rPr>
          <w:rStyle w:val="VerbatimChar"/>
        </w:rPr>
        <w:t xml:space="preserve">Q* = 6.6676, df = 6, p-value = 0.3527</w:t>
      </w:r>
      <w:r>
        <w:br/>
      </w:r>
      <w:r>
        <w:br/>
      </w:r>
      <w:r>
        <w:rPr>
          <w:rStyle w:val="VerbatimChar"/>
        </w:rPr>
        <w:t xml:space="preserve">Model df: 1.   Total lags used: 7</w:t>
      </w:r>
      <w:r>
        <w:br/>
      </w:r>
      <w:r>
        <w:br/>
      </w:r>
      <w:r>
        <w:br/>
      </w:r>
      <w:r>
        <w:rPr>
          <w:rStyle w:val="VerbatimChar"/>
        </w:rPr>
        <w:t xml:space="preserve">Residual Diagnostics for Sub-Category: Furnishings </w:t>
      </w:r>
    </w:p>
    <w:p>
      <w:pPr>
        <w:pStyle w:val="FirstParagraph"/>
      </w:pPr>
      <w:r>
        <w:drawing>
          <wp:inline>
            <wp:extent cx="5334000" cy="4267200"/>
            <wp:effectExtent b="0" l="0" r="0" t="0"/>
            <wp:docPr descr="" title="" id="69" name="Picture"/>
            <a:graphic>
              <a:graphicData uri="http://schemas.openxmlformats.org/drawingml/2006/picture">
                <pic:pic>
                  <pic:nvPicPr>
                    <pic:cNvPr descr="index_files/figure-docx/somelable-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ARIMA(0,0,0)(0,1,0)[12] with drift</w:t>
      </w:r>
      <w:r>
        <w:br/>
      </w:r>
      <w:r>
        <w:rPr>
          <w:rStyle w:val="VerbatimChar"/>
        </w:rPr>
        <w:t xml:space="preserve">Q* = 9.5952, df = 7, p-value = 0.2127</w:t>
      </w:r>
      <w:r>
        <w:br/>
      </w:r>
      <w:r>
        <w:br/>
      </w:r>
      <w:r>
        <w:rPr>
          <w:rStyle w:val="VerbatimChar"/>
        </w:rPr>
        <w:t xml:space="preserve">Model df: 0.   Total lags used: 7</w:t>
      </w:r>
    </w:p>
    <w:p>
      <w:pPr>
        <w:pStyle w:val="SourceCode"/>
      </w:pPr>
      <w:r>
        <w:rPr>
          <w:rStyle w:val="VerbatimChar"/>
        </w:rPr>
        <w:t xml:space="preserve">    Cluster  MeanRMSE MeanMAPE</w:t>
      </w:r>
      <w:r>
        <w:br/>
      </w:r>
      <w:r>
        <w:rPr>
          <w:rStyle w:val="VerbatimChar"/>
        </w:rPr>
        <w:t xml:space="preserve">1 Cluster_1 10.783528 17.32927</w:t>
      </w:r>
      <w:r>
        <w:br/>
      </w:r>
      <w:r>
        <w:rPr>
          <w:rStyle w:val="VerbatimChar"/>
        </w:rPr>
        <w:t xml:space="preserve">2 Cluster_2 12.230774 31.89519</w:t>
      </w:r>
      <w:r>
        <w:br/>
      </w:r>
      <w:r>
        <w:rPr>
          <w:rStyle w:val="VerbatimChar"/>
        </w:rPr>
        <w:t xml:space="preserve">3 Cluster_3  7.782677 22.75340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Cluster 1 (e.g., Binders): ARIMA outperformed other methods due to significant autocorrelation and trend components.</w:t>
      </w:r>
    </w:p>
    <w:p>
      <w:pPr>
        <w:pStyle w:val="BodyText"/>
      </w:pPr>
      <w:r>
        <w:t xml:space="preserve">Cluster 2 (e.g., Furnishings): ETS was the most accurate method, effectively balancing trend and seasonality.</w:t>
      </w:r>
    </w:p>
    <w:p>
      <w:pPr>
        <w:pStyle w:val="BodyText"/>
      </w:pPr>
      <w:r>
        <w:t xml:space="preserve">Cluster 3 (e.g., Paper): ETS also performed best, with ARIMA showing higher error rates due to variability in random components.</w:t>
      </w:r>
    </w:p>
    <w:p>
      <w:pPr>
        <w:pStyle w:val="BodyText"/>
      </w:pPr>
      <w:r>
        <w:t xml:space="preserve">Residual diagnostics were performed for all ARIMA models, confirming no significant autocorrelation (p &gt; 0.05).</w:t>
      </w:r>
    </w:p>
    <w:p>
      <w:pPr>
        <w:pStyle w:val="BodyText"/>
      </w:pPr>
      <w:r>
        <w:t xml:space="preserve">Cluster-Level Metrics based on mean RMSE and MAPE show:</w:t>
      </w:r>
      <w:r>
        <w:t xml:space="preserve"> </w:t>
      </w:r>
      <w:r>
        <w:t xml:space="preserve">- Cluster 1 had the lowest RMSE using ARIMA.</w:t>
      </w:r>
      <w:r>
        <w:t xml:space="preserve"> </w:t>
      </w:r>
      <w:r>
        <w:t xml:space="preserve">- Cluster 2 and 3 were better modeled with ETS</w:t>
      </w:r>
    </w:p>
    <w:bookmarkEnd w:id="71"/>
    <w:bookmarkStart w:id="72" w:name="conclusion-4b"/>
    <w:p>
      <w:pPr>
        <w:pStyle w:val="Heading3"/>
      </w:pPr>
      <w:r>
        <w:t xml:space="preserve">Conclusion (4b)</w:t>
      </w:r>
    </w:p>
    <w:p>
      <w:pPr>
        <w:pStyle w:val="FirstParagraph"/>
      </w:pPr>
      <w:r>
        <w:t xml:space="preserve">Clustering allows for tailored forecasting strategies. We conclude that for the given data set ARIMA is more effective for clusters with strong trends, while ETS is preferable for clusters with mixed seasonal and trend characteristics. The approach aligns with lecture notes, emphasizing the importance of adapting models based on time series characteristics.</w:t>
      </w:r>
    </w:p>
    <w:bookmarkEnd w:id="72"/>
    <w:bookmarkEnd w:id="73"/>
    <w:bookmarkStart w:id="94" w:name="forecasting-future-values"/>
    <w:p>
      <w:pPr>
        <w:pStyle w:val="Heading2"/>
      </w:pPr>
      <w:r>
        <w:t xml:space="preserve">Forecasting future values</w:t>
      </w:r>
    </w:p>
    <w:bookmarkStart w:id="83" w:name="forecasting-3-products-5a"/>
    <w:p>
      <w:pPr>
        <w:pStyle w:val="Heading3"/>
      </w:pPr>
      <w:r>
        <w:t xml:space="preserve">Forecasting 3 products (5a)</w:t>
      </w:r>
    </w:p>
    <w:p>
      <w:pPr>
        <w:pStyle w:val="FirstParagraph"/>
      </w:pPr>
      <w:r>
        <w:t xml:space="preserve">In this session, we focused on evaluating different forecasting models (ARIMA, Holt-Winters, and ETS) for multiple sub-categories by analyzing their accuracy metrics, such as RMSE, MAPE, and residual diagnostics. Based on the evaluation results, we selected the best-performing model for each sub-category. We then used these models to forecast the future outcomes for each sub-category, projecting the data for the next year.</w:t>
      </w:r>
    </w:p>
    <w:p>
      <w:pPr>
        <w:pStyle w:val="SourceCode"/>
      </w:pPr>
      <w:r>
        <w:rPr>
          <w:rStyle w:val="VerbatimChar"/>
        </w:rPr>
        <w:t xml:space="preserve">Series: binders_ts </w:t>
      </w:r>
      <w:r>
        <w:br/>
      </w:r>
      <w:r>
        <w:rPr>
          <w:rStyle w:val="VerbatimChar"/>
        </w:rPr>
        <w:t xml:space="preserve">ARIMA(1,1,1)(0,1,0)[12] </w:t>
      </w:r>
      <w:r>
        <w:br/>
      </w:r>
      <w:r>
        <w:br/>
      </w:r>
      <w:r>
        <w:rPr>
          <w:rStyle w:val="VerbatimChar"/>
        </w:rPr>
        <w:t xml:space="preserve">Coefficients:</w:t>
      </w:r>
      <w:r>
        <w:br/>
      </w:r>
      <w:r>
        <w:rPr>
          <w:rStyle w:val="VerbatimChar"/>
        </w:rPr>
        <w:t xml:space="preserve">          ar1      ma1</w:t>
      </w:r>
      <w:r>
        <w:br/>
      </w:r>
      <w:r>
        <w:rPr>
          <w:rStyle w:val="VerbatimChar"/>
        </w:rPr>
        <w:t xml:space="preserve">      -0.4781  -0.4819</w:t>
      </w:r>
      <w:r>
        <w:br/>
      </w:r>
      <w:r>
        <w:rPr>
          <w:rStyle w:val="VerbatimChar"/>
        </w:rPr>
        <w:t xml:space="preserve">s.e.   0.2324   0.2426</w:t>
      </w:r>
      <w:r>
        <w:br/>
      </w:r>
      <w:r>
        <w:br/>
      </w:r>
      <w:r>
        <w:rPr>
          <w:rStyle w:val="VerbatimChar"/>
        </w:rPr>
        <w:t xml:space="preserve">sigma^2 = 51.18:  log likelihood = -117.97</w:t>
      </w:r>
      <w:r>
        <w:br/>
      </w:r>
      <w:r>
        <w:rPr>
          <w:rStyle w:val="VerbatimChar"/>
        </w:rPr>
        <w:t xml:space="preserve">AIC=241.94   AICc=242.72   BIC=246.61</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0.864453 5.931761 4.092168 -1.363101 15.06142 0.558023 -0.03746012</w:t>
      </w:r>
    </w:p>
    <w:p>
      <w:pPr>
        <w:pStyle w:val="SourceCode"/>
      </w:pPr>
      <w:r>
        <w:rPr>
          <w:rStyle w:val="VerbatimChar"/>
        </w:rPr>
        <w:t xml:space="preserve">         Point Forecast    Lo 80     Hi 80     Lo 95     Hi 95</w:t>
      </w:r>
      <w:r>
        <w:br/>
      </w:r>
      <w:r>
        <w:rPr>
          <w:rStyle w:val="VerbatimChar"/>
        </w:rPr>
        <w:t xml:space="preserve">Jan 2018       32.48390 23.31571  41.65208 18.462370  46.50543</w:t>
      </w:r>
      <w:r>
        <w:br/>
      </w:r>
      <w:r>
        <w:rPr>
          <w:rStyle w:val="VerbatimChar"/>
        </w:rPr>
        <w:t xml:space="preserve">Feb 2018       23.77181 14.59632  32.94731  9.739103  37.80452</w:t>
      </w:r>
      <w:r>
        <w:br/>
      </w:r>
      <w:r>
        <w:rPr>
          <w:rStyle w:val="VerbatimChar"/>
        </w:rPr>
        <w:t xml:space="preserve">Mar 2018       45.85265 35.59989  56.10541 30.172412  61.53289</w:t>
      </w:r>
      <w:r>
        <w:br/>
      </w:r>
      <w:r>
        <w:rPr>
          <w:rStyle w:val="VerbatimChar"/>
        </w:rPr>
        <w:t xml:space="preserve">Apr 2018       46.20475 35.63662  56.77287 30.042185  62.36730</w:t>
      </w:r>
      <w:r>
        <w:br/>
      </w:r>
      <w:r>
        <w:rPr>
          <w:rStyle w:val="VerbatimChar"/>
        </w:rPr>
        <w:t xml:space="preserve">May 2018       44.08009 32.93968  55.22051 27.042295  61.11789</w:t>
      </w:r>
      <w:r>
        <w:br/>
      </w:r>
      <w:r>
        <w:rPr>
          <w:rStyle w:val="VerbatimChar"/>
        </w:rPr>
        <w:t xml:space="preserve">Jun 2018       44.61784 33.06359  56.17210 26.947139  62.28855</w:t>
      </w:r>
      <w:r>
        <w:br/>
      </w:r>
      <w:r>
        <w:rPr>
          <w:rStyle w:val="VerbatimChar"/>
        </w:rPr>
        <w:t xml:space="preserve">Jul 2018       40.36072 28.34867  52.37277 21.989869  58.73157</w:t>
      </w:r>
      <w:r>
        <w:br/>
      </w:r>
      <w:r>
        <w:rPr>
          <w:rStyle w:val="VerbatimChar"/>
        </w:rPr>
        <w:t xml:space="preserve">Aug 2018       44.48366 32.05796  56.90937 25.480189  63.48714</w:t>
      </w:r>
      <w:r>
        <w:br/>
      </w:r>
      <w:r>
        <w:rPr>
          <w:rStyle w:val="VerbatimChar"/>
        </w:rPr>
        <w:t xml:space="preserve">Sep 2018       73.42488 60.58630  86.26346 53.789962  93.05979</w:t>
      </w:r>
      <w:r>
        <w:br/>
      </w:r>
      <w:r>
        <w:rPr>
          <w:rStyle w:val="VerbatimChar"/>
        </w:rPr>
        <w:t xml:space="preserve">Oct 2018       51.45299 38.22024  64.68573 31.215253  71.69072</w:t>
      </w:r>
      <w:r>
        <w:br/>
      </w:r>
      <w:r>
        <w:rPr>
          <w:rStyle w:val="VerbatimChar"/>
        </w:rPr>
        <w:t xml:space="preserve">Nov 2018       72.43955 58.82134  86.05775 51.612293  93.26680</w:t>
      </w:r>
      <w:r>
        <w:br/>
      </w:r>
      <w:r>
        <w:rPr>
          <w:rStyle w:val="VerbatimChar"/>
        </w:rPr>
        <w:t xml:space="preserve">Dec 2018       89.44597 75.45417 103.43777 68.047363 110.84458</w:t>
      </w:r>
    </w:p>
    <w:p>
      <w:pPr>
        <w:pStyle w:val="FirstParagraph"/>
      </w:pPr>
      <w:r>
        <w:drawing>
          <wp:inline>
            <wp:extent cx="5334000" cy="4267200"/>
            <wp:effectExtent b="0" l="0" r="0" t="0"/>
            <wp:docPr descr="" title="" id="75" name="Picture"/>
            <a:graphic>
              <a:graphicData uri="http://schemas.openxmlformats.org/drawingml/2006/picture">
                <pic:pic>
                  <pic:nvPicPr>
                    <pic:cNvPr descr="index_files/figure-docx/unnamed-chunk-21-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ETS(M,N,A) </w:t>
      </w:r>
      <w:r>
        <w:br/>
      </w:r>
      <w:r>
        <w:br/>
      </w:r>
      <w:r>
        <w:rPr>
          <w:rStyle w:val="VerbatimChar"/>
        </w:rPr>
        <w:t xml:space="preserve">Call:</w:t>
      </w:r>
      <w:r>
        <w:br/>
      </w:r>
      <w:r>
        <w:rPr>
          <w:rStyle w:val="VerbatimChar"/>
        </w:rPr>
        <w:t xml:space="preserve">ets(y = paper_ts)</w:t>
      </w:r>
      <w:r>
        <w:br/>
      </w:r>
      <w:r>
        <w:br/>
      </w:r>
      <w:r>
        <w:rPr>
          <w:rStyle w:val="VerbatimChar"/>
        </w:rPr>
        <w:t xml:space="preserve">  Smoothing parameters:</w:t>
      </w:r>
      <w:r>
        <w:br/>
      </w:r>
      <w:r>
        <w:rPr>
          <w:rStyle w:val="VerbatimChar"/>
        </w:rPr>
        <w:t xml:space="preserve">    alpha = 0.3075 </w:t>
      </w:r>
      <w:r>
        <w:br/>
      </w:r>
      <w:r>
        <w:rPr>
          <w:rStyle w:val="VerbatimChar"/>
        </w:rPr>
        <w:t xml:space="preserve">    gamma = 1e-04 </w:t>
      </w:r>
      <w:r>
        <w:br/>
      </w:r>
      <w:r>
        <w:br/>
      </w:r>
      <w:r>
        <w:rPr>
          <w:rStyle w:val="VerbatimChar"/>
        </w:rPr>
        <w:t xml:space="preserve">  Initial states:</w:t>
      </w:r>
      <w:r>
        <w:br/>
      </w:r>
      <w:r>
        <w:rPr>
          <w:rStyle w:val="VerbatimChar"/>
        </w:rPr>
        <w:t xml:space="preserve">    l = 22.5954 </w:t>
      </w:r>
      <w:r>
        <w:br/>
      </w:r>
      <w:r>
        <w:rPr>
          <w:rStyle w:val="VerbatimChar"/>
        </w:rPr>
        <w:t xml:space="preserve">    s = 17.4472 16.5763 -4.1253 15.2986 0.421 -5.102</w:t>
      </w:r>
      <w:r>
        <w:br/>
      </w:r>
      <w:r>
        <w:rPr>
          <w:rStyle w:val="VerbatimChar"/>
        </w:rPr>
        <w:t xml:space="preserve">           -0.6145 -0.0341 -7.985 -2.6766 -15.6576 -13.5481</w:t>
      </w:r>
      <w:r>
        <w:br/>
      </w:r>
      <w:r>
        <w:br/>
      </w:r>
      <w:r>
        <w:rPr>
          <w:rStyle w:val="VerbatimChar"/>
        </w:rPr>
        <w:t xml:space="preserve">  sigma:  0.2365</w:t>
      </w:r>
      <w:r>
        <w:br/>
      </w:r>
      <w:r>
        <w:br/>
      </w:r>
      <w:r>
        <w:rPr>
          <w:rStyle w:val="VerbatimChar"/>
        </w:rPr>
        <w:t xml:space="preserve">     AIC     AICc      BIC </w:t>
      </w:r>
      <w:r>
        <w:br/>
      </w:r>
      <w:r>
        <w:rPr>
          <w:rStyle w:val="VerbatimChar"/>
        </w:rPr>
        <w:t xml:space="preserve">365.1517 380.1517 393.2197 </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1.450303 6.386648 4.166875 1.75373 14.03399 0.5245018 0.03600045</w:t>
      </w:r>
    </w:p>
    <w:p>
      <w:pPr>
        <w:pStyle w:val="SourceCode"/>
      </w:pPr>
      <w:r>
        <w:rPr>
          <w:rStyle w:val="VerbatimChar"/>
        </w:rPr>
        <w:t xml:space="preserve">         Point Forecast    Lo 80    Hi 80    Lo 95    Hi 95</w:t>
      </w:r>
      <w:r>
        <w:br/>
      </w:r>
      <w:r>
        <w:rPr>
          <w:rStyle w:val="VerbatimChar"/>
        </w:rPr>
        <w:t xml:space="preserve">Jan 2018       30.45588 21.22661 39.68516 16.34092 44.57085</w:t>
      </w:r>
      <w:r>
        <w:br/>
      </w:r>
      <w:r>
        <w:rPr>
          <w:rStyle w:val="VerbatimChar"/>
        </w:rPr>
        <w:t xml:space="preserve">Feb 2018       28.34651 19.27484 37.41819 14.47258 42.22044</w:t>
      </w:r>
      <w:r>
        <w:br/>
      </w:r>
      <w:r>
        <w:rPr>
          <w:rStyle w:val="VerbatimChar"/>
        </w:rPr>
        <w:t xml:space="preserve">Mar 2018       41.32776 28.18367 54.47185 21.22561 61.42990</w:t>
      </w:r>
      <w:r>
        <w:br/>
      </w:r>
      <w:r>
        <w:rPr>
          <w:rStyle w:val="VerbatimChar"/>
        </w:rPr>
        <w:t xml:space="preserve">Apr 2018       36.01933 23.73891 48.29976 17.23804 54.80062</w:t>
      </w:r>
      <w:r>
        <w:br/>
      </w:r>
      <w:r>
        <w:rPr>
          <w:rStyle w:val="VerbatimChar"/>
        </w:rPr>
        <w:t xml:space="preserve">May 2018       43.97017 29.09477 58.84557 21.22021 66.72013</w:t>
      </w:r>
      <w:r>
        <w:br/>
      </w:r>
      <w:r>
        <w:rPr>
          <w:rStyle w:val="VerbatimChar"/>
        </w:rPr>
        <w:t xml:space="preserve">Jun 2018       43.39031 28.07408 58.70653 19.96616 66.81445</w:t>
      </w:r>
      <w:r>
        <w:br/>
      </w:r>
      <w:r>
        <w:rPr>
          <w:rStyle w:val="VerbatimChar"/>
        </w:rPr>
        <w:t xml:space="preserve">Jul 2018       38.90220 24.12853 53.67588 16.30782 61.49659</w:t>
      </w:r>
      <w:r>
        <w:br/>
      </w:r>
      <w:r>
        <w:rPr>
          <w:rStyle w:val="VerbatimChar"/>
        </w:rPr>
        <w:t xml:space="preserve">Aug 2018       44.42410 27.84663 61.00158 19.07104 69.77717</w:t>
      </w:r>
      <w:r>
        <w:br/>
      </w:r>
      <w:r>
        <w:rPr>
          <w:rStyle w:val="VerbatimChar"/>
        </w:rPr>
        <w:t xml:space="preserve">Sep 2018       59.30522 38.44478 80.16566 27.40193 91.20850</w:t>
      </w:r>
      <w:r>
        <w:br/>
      </w:r>
      <w:r>
        <w:rPr>
          <w:rStyle w:val="VerbatimChar"/>
        </w:rPr>
        <w:t xml:space="preserve">Oct 2018       39.87917 22.81850 56.93984 13.78712 65.97122</w:t>
      </w:r>
      <w:r>
        <w:br/>
      </w:r>
      <w:r>
        <w:rPr>
          <w:rStyle w:val="VerbatimChar"/>
        </w:rPr>
        <w:t xml:space="preserve">Nov 2018       60.58102 38.27853 82.88352 26.47230 94.68975</w:t>
      </w:r>
      <w:r>
        <w:br/>
      </w:r>
      <w:r>
        <w:rPr>
          <w:rStyle w:val="VerbatimChar"/>
        </w:rPr>
        <w:t xml:space="preserve">Dec 2018       61.45110 38.17748 84.72473 25.85717 97.04504</w:t>
      </w:r>
    </w:p>
    <w:p>
      <w:pPr>
        <w:pStyle w:val="FirstParagraph"/>
      </w:pPr>
      <w:r>
        <w:drawing>
          <wp:inline>
            <wp:extent cx="5334000" cy="4267200"/>
            <wp:effectExtent b="0" l="0" r="0" t="0"/>
            <wp:docPr descr="" title="" id="78" name="Picture"/>
            <a:graphic>
              <a:graphicData uri="http://schemas.openxmlformats.org/drawingml/2006/picture">
                <pic:pic>
                  <pic:nvPicPr>
                    <pic:cNvPr descr="index_files/figure-docx/unnamed-chunk-21-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ETS(M,A,A) </w:t>
      </w:r>
      <w:r>
        <w:br/>
      </w:r>
      <w:r>
        <w:br/>
      </w:r>
      <w:r>
        <w:rPr>
          <w:rStyle w:val="VerbatimChar"/>
        </w:rPr>
        <w:t xml:space="preserve">Call:</w:t>
      </w:r>
      <w:r>
        <w:br/>
      </w:r>
      <w:r>
        <w:rPr>
          <w:rStyle w:val="VerbatimChar"/>
        </w:rPr>
        <w:t xml:space="preserve">ets(y = furnishings_ts)</w:t>
      </w:r>
      <w:r>
        <w:br/>
      </w:r>
      <w:r>
        <w:br/>
      </w:r>
      <w:r>
        <w:rPr>
          <w:rStyle w:val="VerbatimChar"/>
        </w:rPr>
        <w:t xml:space="preserve">  Smoothing parameters:</w:t>
      </w:r>
      <w:r>
        <w:br/>
      </w:r>
      <w:r>
        <w:rPr>
          <w:rStyle w:val="VerbatimChar"/>
        </w:rPr>
        <w:t xml:space="preserve">    alpha = 0.0438 </w:t>
      </w:r>
      <w:r>
        <w:br/>
      </w:r>
      <w:r>
        <w:rPr>
          <w:rStyle w:val="VerbatimChar"/>
        </w:rPr>
        <w:t xml:space="preserve">    beta  = 0.0437 </w:t>
      </w:r>
      <w:r>
        <w:br/>
      </w:r>
      <w:r>
        <w:rPr>
          <w:rStyle w:val="VerbatimChar"/>
        </w:rPr>
        <w:t xml:space="preserve">    gamma = 2e-04 </w:t>
      </w:r>
      <w:r>
        <w:br/>
      </w:r>
      <w:r>
        <w:br/>
      </w:r>
      <w:r>
        <w:rPr>
          <w:rStyle w:val="VerbatimChar"/>
        </w:rPr>
        <w:t xml:space="preserve">  Initial states:</w:t>
      </w:r>
      <w:r>
        <w:br/>
      </w:r>
      <w:r>
        <w:rPr>
          <w:rStyle w:val="VerbatimChar"/>
        </w:rPr>
        <w:t xml:space="preserve">    l = 15.4275 </w:t>
      </w:r>
      <w:r>
        <w:br/>
      </w:r>
      <w:r>
        <w:rPr>
          <w:rStyle w:val="VerbatimChar"/>
        </w:rPr>
        <w:t xml:space="preserve">    b = -0.1137 </w:t>
      </w:r>
      <w:r>
        <w:br/>
      </w:r>
      <w:r>
        <w:rPr>
          <w:rStyle w:val="VerbatimChar"/>
        </w:rPr>
        <w:t xml:space="preserve">    s = 13.3158 15.6269 -2.2962 10.1503 -5.0017 -2.448</w:t>
      </w:r>
      <w:r>
        <w:br/>
      </w:r>
      <w:r>
        <w:rPr>
          <w:rStyle w:val="VerbatimChar"/>
        </w:rPr>
        <w:t xml:space="preserve">           -3.4406 -1.0728 -1.1262 -4.3688 -11.689 -7.6497</w:t>
      </w:r>
      <w:r>
        <w:br/>
      </w:r>
      <w:r>
        <w:br/>
      </w:r>
      <w:r>
        <w:rPr>
          <w:rStyle w:val="VerbatimChar"/>
        </w:rPr>
        <w:t xml:space="preserve">  sigma:  0.2527</w:t>
      </w:r>
      <w:r>
        <w:br/>
      </w:r>
      <w:r>
        <w:br/>
      </w:r>
      <w:r>
        <w:rPr>
          <w:rStyle w:val="VerbatimChar"/>
        </w:rPr>
        <w:t xml:space="preserve">     AIC     AICc      BIC </w:t>
      </w:r>
      <w:r>
        <w:br/>
      </w:r>
      <w:r>
        <w:rPr>
          <w:rStyle w:val="VerbatimChar"/>
        </w:rPr>
        <w:t xml:space="preserve">338.8888 359.2888 370.6992 </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0.6402485 3.793384 2.884208 -0.8302416 16.2441 0.5352139</w:t>
      </w:r>
      <w:r>
        <w:br/>
      </w:r>
      <w:r>
        <w:rPr>
          <w:rStyle w:val="VerbatimChar"/>
        </w:rPr>
        <w:t xml:space="preserve">                   ACF1</w:t>
      </w:r>
      <w:r>
        <w:br/>
      </w:r>
      <w:r>
        <w:rPr>
          <w:rStyle w:val="VerbatimChar"/>
        </w:rPr>
        <w:t xml:space="preserve">Training set 0.04613441</w:t>
      </w:r>
    </w:p>
    <w:p>
      <w:pPr>
        <w:pStyle w:val="SourceCode"/>
      </w:pPr>
      <w:r>
        <w:rPr>
          <w:rStyle w:val="VerbatimChar"/>
        </w:rPr>
        <w:t xml:space="preserve">         Point Forecast    Lo 80    Hi 80     Lo 95    Hi 95</w:t>
      </w:r>
      <w:r>
        <w:br/>
      </w:r>
      <w:r>
        <w:rPr>
          <w:rStyle w:val="VerbatimChar"/>
        </w:rPr>
        <w:t xml:space="preserve">Jan 2018       21.37433 14.45350 28.29515 10.789837 31.95882</w:t>
      </w:r>
      <w:r>
        <w:br/>
      </w:r>
      <w:r>
        <w:rPr>
          <w:rStyle w:val="VerbatimChar"/>
        </w:rPr>
        <w:t xml:space="preserve">Feb 2018       18.56644 12.52244 24.61044  9.322944 27.80994</w:t>
      </w:r>
      <w:r>
        <w:br/>
      </w:r>
      <w:r>
        <w:rPr>
          <w:rStyle w:val="VerbatimChar"/>
        </w:rPr>
        <w:t xml:space="preserve">Mar 2018       27.11574 18.26943 35.96205 13.586481 40.64500</w:t>
      </w:r>
      <w:r>
        <w:br/>
      </w:r>
      <w:r>
        <w:rPr>
          <w:rStyle w:val="VerbatimChar"/>
        </w:rPr>
        <w:t xml:space="preserve">Apr 2018       31.58782 21.22159 41.95404 15.734048 47.44158</w:t>
      </w:r>
      <w:r>
        <w:br/>
      </w:r>
      <w:r>
        <w:rPr>
          <w:rStyle w:val="VerbatimChar"/>
        </w:rPr>
        <w:t xml:space="preserve">May 2018       32.87189 21.95559 43.78819 16.176845 49.56693</w:t>
      </w:r>
      <w:r>
        <w:br/>
      </w:r>
      <w:r>
        <w:rPr>
          <w:rStyle w:val="VerbatimChar"/>
        </w:rPr>
        <w:t xml:space="preserve">Jun 2018       31.73384 20.95052 42.51717 15.242170 48.22551</w:t>
      </w:r>
      <w:r>
        <w:br/>
      </w:r>
      <w:r>
        <w:rPr>
          <w:rStyle w:val="VerbatimChar"/>
        </w:rPr>
        <w:t xml:space="preserve">Jul 2018       33.95710 22.18459 45.72960 15.952604 51.96159</w:t>
      </w:r>
      <w:r>
        <w:br/>
      </w:r>
      <w:r>
        <w:rPr>
          <w:rStyle w:val="VerbatimChar"/>
        </w:rPr>
        <w:t xml:space="preserve">Aug 2018       32.63192 20.83816 44.42569 14.594916 50.66893</w:t>
      </w:r>
      <w:r>
        <w:br/>
      </w:r>
      <w:r>
        <w:rPr>
          <w:rStyle w:val="VerbatimChar"/>
        </w:rPr>
        <w:t xml:space="preserve">Sep 2018       49.01546 31.92061 66.11032 22.871140 75.15979</w:t>
      </w:r>
      <w:r>
        <w:br/>
      </w:r>
      <w:r>
        <w:rPr>
          <w:rStyle w:val="VerbatimChar"/>
        </w:rPr>
        <w:t xml:space="preserve">Oct 2018       37.79884 23.38308 52.21460 15.751844 59.84584</w:t>
      </w:r>
      <w:r>
        <w:br/>
      </w:r>
      <w:r>
        <w:rPr>
          <w:rStyle w:val="VerbatimChar"/>
        </w:rPr>
        <w:t xml:space="preserve">Nov 2018       56.95159 36.44698 77.45621 25.592490 88.31070</w:t>
      </w:r>
      <w:r>
        <w:br/>
      </w:r>
      <w:r>
        <w:rPr>
          <w:rStyle w:val="VerbatimChar"/>
        </w:rPr>
        <w:t xml:space="preserve">Dec 2018       55.87232 34.96477 76.77986 23.896983 87.84765</w:t>
      </w:r>
    </w:p>
    <w:p>
      <w:pPr>
        <w:pStyle w:val="FirstParagraph"/>
      </w:pPr>
      <w:r>
        <w:drawing>
          <wp:inline>
            <wp:extent cx="5334000" cy="4267200"/>
            <wp:effectExtent b="0" l="0" r="0" t="0"/>
            <wp:docPr descr="" title="" id="81" name="Picture"/>
            <a:graphic>
              <a:graphicData uri="http://schemas.openxmlformats.org/drawingml/2006/picture">
                <pic:pic>
                  <pic:nvPicPr>
                    <pic:cNvPr descr="index_files/figure-docx/unnamed-chunk-21-3.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3"/>
    <w:bookmarkStart w:id="93" w:name="applying-to-all-data-5b"/>
    <w:p>
      <w:pPr>
        <w:pStyle w:val="Heading3"/>
      </w:pPr>
      <w:r>
        <w:t xml:space="preserve">Applying to all data (5b)</w:t>
      </w:r>
    </w:p>
    <w:p>
      <w:pPr>
        <w:pStyle w:val="FirstParagraph"/>
      </w:pPr>
      <w:r>
        <w:t xml:space="preserve">In this session, we first grouped the sub-categories into clusters based on key time-series features, including trend strength, seasonal strength, and random strength, using hierarchical clustering. Once the clusters were formed, we applied and evaluated multiple forecasting models—ARIMA, Holt-Winters, and ETS—on each sub-category within its respective cluster, comparing their accuracy metrics such as RMSE and MAPE. Based on the evaluation results, we selected the best-performing model for each sub-category and used it to forecast the future outcomes within a year, leveraging the clustering to enhance the accuracy and relevance of our predictions.</w:t>
      </w:r>
    </w:p>
    <w:p>
      <w:pPr>
        <w:pStyle w:val="SourceCode"/>
      </w:pPr>
      <w:r>
        <w:rPr>
          <w:rStyle w:val="VerbatimChar"/>
        </w:rPr>
        <w:t xml:space="preserve">         Point Forecast    Lo 80    Hi 80     Lo 95    Hi 95</w:t>
      </w:r>
      <w:r>
        <w:br/>
      </w:r>
      <w:r>
        <w:rPr>
          <w:rStyle w:val="VerbatimChar"/>
        </w:rPr>
        <w:t xml:space="preserve">Oct 2016       31.26733 24.51360 38.02106 20.938398 41.59627</w:t>
      </w:r>
      <w:r>
        <w:br/>
      </w:r>
      <w:r>
        <w:rPr>
          <w:rStyle w:val="VerbatimChar"/>
        </w:rPr>
        <w:t xml:space="preserve">Nov 2016       58.57211 51.81274 65.33147 48.234553 68.90966</w:t>
      </w:r>
      <w:r>
        <w:br/>
      </w:r>
      <w:r>
        <w:rPr>
          <w:rStyle w:val="VerbatimChar"/>
        </w:rPr>
        <w:t xml:space="preserve">Dec 2016       46.52209 39.75006 53.29412 36.165163 56.87901</w:t>
      </w:r>
      <w:r>
        <w:br/>
      </w:r>
      <w:r>
        <w:rPr>
          <w:rStyle w:val="VerbatimChar"/>
        </w:rPr>
        <w:t xml:space="preserve">Jan 2017       20.60516 13.81068 27.39965 10.213895 30.99643</w:t>
      </w:r>
      <w:r>
        <w:br/>
      </w:r>
      <w:r>
        <w:rPr>
          <w:rStyle w:val="VerbatimChar"/>
        </w:rPr>
        <w:t xml:space="preserve">Feb 2017       17.19081 10.36138 24.02023  6.746097 27.63551</w:t>
      </w:r>
      <w:r>
        <w:br/>
      </w:r>
      <w:r>
        <w:rPr>
          <w:rStyle w:val="VerbatimChar"/>
        </w:rPr>
        <w:t xml:space="preserve">Mar 2017       32.40031 25.52088 39.27975 21.879129 42.92150</w:t>
      </w:r>
      <w:r>
        <w:br/>
      </w:r>
      <w:r>
        <w:rPr>
          <w:rStyle w:val="VerbatimChar"/>
        </w:rPr>
        <w:t xml:space="preserve">Apr 2017       36.54419 29.59727 43.49111 25.919798 47.16858</w:t>
      </w:r>
      <w:r>
        <w:br/>
      </w:r>
      <w:r>
        <w:rPr>
          <w:rStyle w:val="VerbatimChar"/>
        </w:rPr>
        <w:t xml:space="preserve">May 2017       42.60581 35.57173 49.63990 31.848113 53.36351</w:t>
      </w:r>
      <w:r>
        <w:br/>
      </w:r>
      <w:r>
        <w:rPr>
          <w:rStyle w:val="VerbatimChar"/>
        </w:rPr>
        <w:t xml:space="preserve">Jun 2017       34.81156 27.66868 41.95444 23.887472 45.73565</w:t>
      </w:r>
      <w:r>
        <w:br/>
      </w:r>
      <w:r>
        <w:rPr>
          <w:rStyle w:val="VerbatimChar"/>
        </w:rPr>
        <w:t xml:space="preserve">Jul 2017       37.46761 30.19266 44.74256 26.341532 48.59368</w:t>
      </w:r>
      <w:r>
        <w:br/>
      </w:r>
      <w:r>
        <w:rPr>
          <w:rStyle w:val="VerbatimChar"/>
        </w:rPr>
        <w:t xml:space="preserve">Aug 2017       38.24466 30.81304 45.67627 26.878978 49.61034</w:t>
      </w:r>
      <w:r>
        <w:br/>
      </w:r>
      <w:r>
        <w:rPr>
          <w:rStyle w:val="VerbatimChar"/>
        </w:rPr>
        <w:t xml:space="preserve">Sep 2017       67.16755 59.55368 74.78141 55.523142 78.81195</w:t>
      </w:r>
    </w:p>
    <w:p>
      <w:pPr>
        <w:pStyle w:val="FirstParagraph"/>
      </w:pPr>
      <w:r>
        <w:drawing>
          <wp:inline>
            <wp:extent cx="5334000" cy="4267200"/>
            <wp:effectExtent b="0" l="0" r="0" t="0"/>
            <wp:docPr descr="" title="" id="85" name="Picture"/>
            <a:graphic>
              <a:graphicData uri="http://schemas.openxmlformats.org/drawingml/2006/picture">
                <pic:pic>
                  <pic:nvPicPr>
                    <pic:cNvPr descr="index_files/figure-docx/unnamed-chunk-22-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Oct 2016       25.88021 14.987312 36.77312  9.2209588  42.53947</w:t>
      </w:r>
      <w:r>
        <w:br/>
      </w:r>
      <w:r>
        <w:rPr>
          <w:rStyle w:val="VerbatimChar"/>
        </w:rPr>
        <w:t xml:space="preserve">Nov 2016       59.89171 33.023650 86.75978 18.8005561 100.98287</w:t>
      </w:r>
      <w:r>
        <w:br/>
      </w:r>
      <w:r>
        <w:rPr>
          <w:rStyle w:val="VerbatimChar"/>
        </w:rPr>
        <w:t xml:space="preserve">Dec 2016       66.56848 34.945434 98.19153 18.2052047 114.93176</w:t>
      </w:r>
      <w:r>
        <w:br/>
      </w:r>
      <w:r>
        <w:rPr>
          <w:rStyle w:val="VerbatimChar"/>
        </w:rPr>
        <w:t xml:space="preserve">Jan 2017       14.00226  6.995420 21.00910  3.2862229  24.71830</w:t>
      </w:r>
      <w:r>
        <w:br/>
      </w:r>
      <w:r>
        <w:rPr>
          <w:rStyle w:val="VerbatimChar"/>
        </w:rPr>
        <w:t xml:space="preserve">Feb 2017       12.48362  5.931497 19.03574  2.4630129  22.50422</w:t>
      </w:r>
      <w:r>
        <w:br/>
      </w:r>
      <w:r>
        <w:rPr>
          <w:rStyle w:val="VerbatimChar"/>
        </w:rPr>
        <w:t xml:space="preserve">Mar 2017       29.00633 13.095755 44.91690  4.6732073  53.33945</w:t>
      </w:r>
      <w:r>
        <w:br/>
      </w:r>
      <w:r>
        <w:rPr>
          <w:rStyle w:val="VerbatimChar"/>
        </w:rPr>
        <w:t xml:space="preserve">Apr 2017       26.62997 11.410973 41.84896  3.3545236  49.90541</w:t>
      </w:r>
      <w:r>
        <w:br/>
      </w:r>
      <w:r>
        <w:rPr>
          <w:rStyle w:val="VerbatimChar"/>
        </w:rPr>
        <w:t xml:space="preserve">May 2017       42.52022 17.268520 67.77192  3.9010776  81.13936</w:t>
      </w:r>
      <w:r>
        <w:br/>
      </w:r>
      <w:r>
        <w:rPr>
          <w:rStyle w:val="VerbatimChar"/>
        </w:rPr>
        <w:t xml:space="preserve">Jun 2017       35.62513 13.690064 57.56019  2.0783432  69.17191</w:t>
      </w:r>
      <w:r>
        <w:br/>
      </w:r>
      <w:r>
        <w:rPr>
          <w:rStyle w:val="VerbatimChar"/>
        </w:rPr>
        <w:t xml:space="preserve">Jul 2017       25.03347  9.084935 40.98201  0.6422896  49.42466</w:t>
      </w:r>
      <w:r>
        <w:br/>
      </w:r>
      <w:r>
        <w:rPr>
          <w:rStyle w:val="VerbatimChar"/>
        </w:rPr>
        <w:t xml:space="preserve">Aug 2017       29.56385 10.109840 49.01785 -0.1884895  59.31618</w:t>
      </w:r>
      <w:r>
        <w:br/>
      </w:r>
      <w:r>
        <w:rPr>
          <w:rStyle w:val="VerbatimChar"/>
        </w:rPr>
        <w:t xml:space="preserve">Sep 2017       51.80976 16.651800 86.96771 -1.9596973 105.57921</w:t>
      </w:r>
    </w:p>
    <w:p>
      <w:pPr>
        <w:pStyle w:val="FirstParagraph"/>
      </w:pPr>
      <w:r>
        <w:drawing>
          <wp:inline>
            <wp:extent cx="5334000" cy="4267200"/>
            <wp:effectExtent b="0" l="0" r="0" t="0"/>
            <wp:docPr descr="" title="" id="88" name="Picture"/>
            <a:graphic>
              <a:graphicData uri="http://schemas.openxmlformats.org/drawingml/2006/picture">
                <pic:pic>
                  <pic:nvPicPr>
                    <pic:cNvPr descr="index_files/figure-docx/unnamed-chunk-22-2.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r>
      <w:r>
        <w:rPr>
          <w:rStyle w:val="VerbatimChar"/>
        </w:rPr>
        <w:t xml:space="preserve">Oct 2016       14.89552  9.559730 20.23131  6.735134 23.05590</w:t>
      </w:r>
      <w:r>
        <w:br/>
      </w:r>
      <w:r>
        <w:rPr>
          <w:rStyle w:val="VerbatimChar"/>
        </w:rPr>
        <w:t xml:space="preserve">Nov 2016       36.06019 30.724406 41.39598 27.899811 44.22058</w:t>
      </w:r>
      <w:r>
        <w:br/>
      </w:r>
      <w:r>
        <w:rPr>
          <w:rStyle w:val="VerbatimChar"/>
        </w:rPr>
        <w:t xml:space="preserve">Dec 2016       32.74939 27.413606 38.08518 24.589010 40.90978</w:t>
      </w:r>
      <w:r>
        <w:br/>
      </w:r>
      <w:r>
        <w:rPr>
          <w:rStyle w:val="VerbatimChar"/>
        </w:rPr>
        <w:t xml:space="preserve">Jan 2017       13.37457  8.038784 18.71036  5.214189 21.53496</w:t>
      </w:r>
      <w:r>
        <w:br/>
      </w:r>
      <w:r>
        <w:rPr>
          <w:rStyle w:val="VerbatimChar"/>
        </w:rPr>
        <w:t xml:space="preserve">Feb 2017       12.97277  7.636978 18.30855  4.812382 21.13315</w:t>
      </w:r>
      <w:r>
        <w:br/>
      </w:r>
      <w:r>
        <w:rPr>
          <w:rStyle w:val="VerbatimChar"/>
        </w:rPr>
        <w:t xml:space="preserve">Mar 2017       19.37898 14.043187 24.71476 11.218592 27.53936</w:t>
      </w:r>
      <w:r>
        <w:br/>
      </w:r>
      <w:r>
        <w:rPr>
          <w:rStyle w:val="VerbatimChar"/>
        </w:rPr>
        <w:t xml:space="preserve">Apr 2017       17.92073 12.584940 23.25652  9.760344 26.08111</w:t>
      </w:r>
      <w:r>
        <w:br/>
      </w:r>
      <w:r>
        <w:rPr>
          <w:rStyle w:val="VerbatimChar"/>
        </w:rPr>
        <w:t xml:space="preserve">May 2017       28.71390 23.378112 34.04969 20.553516 36.87428</w:t>
      </w:r>
      <w:r>
        <w:br/>
      </w:r>
      <w:r>
        <w:rPr>
          <w:rStyle w:val="VerbatimChar"/>
        </w:rPr>
        <w:t xml:space="preserve">Jun 2017       18.46131 13.125525 23.79710 10.300929 26.62170</w:t>
      </w:r>
      <w:r>
        <w:br/>
      </w:r>
      <w:r>
        <w:rPr>
          <w:rStyle w:val="VerbatimChar"/>
        </w:rPr>
        <w:t xml:space="preserve">Jul 2017       21.50610 16.170317 26.84189 13.345721 29.66649</w:t>
      </w:r>
      <w:r>
        <w:br/>
      </w:r>
      <w:r>
        <w:rPr>
          <w:rStyle w:val="VerbatimChar"/>
        </w:rPr>
        <w:t xml:space="preserve">Aug 2017       12.73905  7.403259 18.07484  4.578664 20.89943</w:t>
      </w:r>
      <w:r>
        <w:br/>
      </w:r>
      <w:r>
        <w:rPr>
          <w:rStyle w:val="VerbatimChar"/>
        </w:rPr>
        <w:t xml:space="preserve">Sep 2017       37.80356 32.467775 43.13935 29.643179 45.96395</w:t>
      </w:r>
    </w:p>
    <w:p>
      <w:pPr>
        <w:pStyle w:val="FirstParagraph"/>
      </w:pPr>
      <w:r>
        <w:drawing>
          <wp:inline>
            <wp:extent cx="5334000" cy="4267200"/>
            <wp:effectExtent b="0" l="0" r="0" t="0"/>
            <wp:docPr descr="" title="" id="91" name="Picture"/>
            <a:graphic>
              <a:graphicData uri="http://schemas.openxmlformats.org/drawingml/2006/picture">
                <pic:pic>
                  <pic:nvPicPr>
                    <pic:cNvPr descr="index_files/figure-docx/unnamed-chunk-22-3.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3"/>
    <w:bookmarkEnd w:id="94"/>
    <w:bookmarkStart w:id="95" w:name="forecast-interpretation"/>
    <w:p>
      <w:pPr>
        <w:pStyle w:val="Heading2"/>
      </w:pPr>
      <w:r>
        <w:t xml:space="preserve">Forecast interpretation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2024-12-11T22:51:37Z</dcterms:created>
  <dcterms:modified xsi:type="dcterms:W3CDTF">2024-12-11T22:51:37Z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2024-12-11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number-depth">
    <vt:lpwstr>2</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