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Uns ist hier Ermessen eingeräumt, wobei wir als gesetzliche Grenze im Sinne von § 40 Landesverwaltungsverfahrensgesetz die Verhältnismäßig nach Art. 20 Abs. 3 GG beachtet haben.</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Ihr Nachteil steht nicht außer Verhältnis zu den Vorteilen für die Allgemeinheit. Das Interesse am Erhalt des Denkmals gewichtet durch Art. 3 C Landes Verfassung überliegt Ihr Interesse bezüglich finanzieller Belastung und der Eigentumsrechte gewichtet durch Art. 14 GG.</w:t>
        <w:br/>
        <w:br/>
        <w:t>Die Durchführung der Maßnahme ist Ihnen auch ohne die Mitwirkung Ihres Bruders Georg möglich ist.</w:t>
        <w:br/>
        <w:t>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w:t>
        <w:br/>
        <w:br/>
        <w:t>Als Rechtsgrundlage für die Anordnung dient § 80 Abs. 2 Satz 1 Nr. 4. 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