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Ermessen:</w:t>
        <w:br/>
        <w:br/>
        <w:t>Die Stadt Kehl hat gemäß § 5 GastG ein Ermessen, das nach § 40 LVwVfG ausgeübt wird. Die Anordnung der Stadt Kehl ist verhältnismäßig und ermessensgerecht, da die Einhaltung der Vorschriften des GastG und der Bauvorschriften sowie die Vermeidung von Lärmbelästigungen im öffentlichen Interesse liegen.</w:t>
        <w:br/>
        <w:br/>
        <w:t>Bestimmtheit:</w:t>
        <w:br/>
        <w:br/>
        <w:t>Die Anordnung der Stadt Kehl ist gemäß § 37 LVwVfG bestimmt genug formuliert.</w:t>
        <w:br/>
        <w:br/>
        <w:t>Rechtsbehelfsbelehrung:</w:t>
        <w:br/>
        <w:br/>
        <w:t>Gegen diesen Bescheid kann innerhalb eines Monats nach Bekanntgabe Widerspruch eingelegt werden.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