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Die Stadt Kehl hat gemäß § 4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Die Stadt Kehl sollte jedoch auch die Erfahrungen mit ähnlichen Kneipen in der Umgebung berücksichtigen und geeignete Maßnahmen ergreifen, um Lärmbelästigungen zu vermeiden.</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