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Das Ermessen der Stadt Kehl wurde gemäß § 4 GastG und § 40 LVwVfG ausgeübt. Die Anordnung der Stadt Kehl, die Erlaubnis zu erteilen, ist verhältnismäßig und ermessensgerecht, da die Auflagen notwendig sind, um die Gesundheit der Gäste zu schützen und die Interessen der Anwohner zu wahren.</w:t>
        <w:br/>
        <w:br/>
        <w:t>Die Anordnung ist gemäß § 39 LVwVfG bestimmt genug formuliert.</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