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 xml:space="preserve">Uns ist hier Ermessen eingeräumt, wobei wir als gesetzliche Grenze im Sinne von § 40 Landesverwaltungsverfahrensgesetz die Verhältnismäßig nach Art. 20 Abs. 3 GG beachtet haben. </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 xml:space="preserve">Ihr Nachteil steht nicht außer Verhältnis zu den Vorteilen für die Allgemeinheit. Das Interesse am Erhalt des Denkmals gewichtet durch Art. 3 C Landes Verfassung überliegt Ihr Interesse bezüglich finanzieller Belastung und der Eigentumsrechte gewichtet durch Art. 14 GG. </w:t>
        <w:br/>
        <w:br/>
        <w:t xml:space="preserve">Die Durchführung der Maßnahme ist Ihnen auch ohne die Mitwirkung Ihres Bruders Georg möglich ist. </w:t>
        <w:br/>
        <w:t xml:space="preserve">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 </w:t>
        <w:br/>
        <w:br/>
        <w:t xml:space="preserve">Als Rechtsgrundlage für die Anordnung dient § 80 Abs. 2 Satz 1 Nr. 4. Landesverwaltungsverfahrensgesetz. </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 xml:space="preserve">Gegen die Dachdeckungsanordnung können Sie innerhalb eines Monats nach Bekanntgabe bei dem Landratsamt Ortenaukreis, Badstraße 22, 77652 Offenburg Widerspruch einlegen. </w:t>
        <w:br/>
        <w:br/>
        <w:t>(§37 (6) LVwVfG (§70 VwGO))</w:t>
        <w:br/>
        <w:br/>
        <w:t xml:space="preserve">Gegen die Anordnung der sofortigen Vollziehung können Sie den Antrag auf Wiederherstellung der aufschiebenden Wirkung beim Verwaltungsgericht Freiburg, Herbstburgerstraße 115, 79104 Freiburg stellen. </w:t>
        <w:br/>
        <w:br/>
        <w:t>(§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