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Es könnte eine Gefährdung des Kulturdenkmals durch das undichte Dach vorliegen, da durch das beeinträchtigte Erscheinungsbild bereits ein Schaden entstanden ist. Der Sturm hat ca. 50 Biberschwanz-Dachziegel abgedeckt.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