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Anordnung der Stadt Kehl könnte das Gaststättengesetz (GastG) sein.</w:t>
        <w:br/>
        <w:br/>
        <w:t>Materielle Voraussetzung</w:t>
        <w:br/>
        <w:br/>
        <w:t>Tatbestandsvoraussetzung</w:t>
        <w:br/>
        <w:t>Die Tatbestandsvoraussetzungen für die Erteilung der Erlaubnis gemäß § 2 GastG sind:</w:t>
        <w:br/>
        <w:t>- Zuverlässigkeit des Antragstellers</w:t>
        <w:br/>
        <w:t>- Geeignetheit der Räumlichkeiten</w:t>
        <w:br/>
        <w:t>- Erforderliche Sachkenntnis</w:t>
        <w:br/>
        <w:t>- Leumund des Antragstellers</w:t>
        <w:br/>
        <w:t>- Einhaltung der Vorschriften des Lebensmittelrechts</w:t>
        <w:br/>
        <w:br/>
        <w:t>Rechtsfolgenseite</w:t>
        <w:br/>
        <w:br/>
        <w:t>Der Pflichtige</w:t>
        <w:br/>
        <w:t>Der Pflichtige ist Michael Graeter als Antragsteller der Erlaubnis.</w:t>
        <w:br/>
        <w:br/>
        <w:t>Ermessen</w:t>
        <w:br/>
        <w:t>Die Stadt Kehl hat gemäß § 4 GastG ein Ermessen bei der Erteilung der Erlaubnis. Die Anordnung der Stadt Kehl, die Erlaubnis zu verweigern, ist verhältnismäßig und ermessensgerecht, da die fehlende Bescheinigung über lebensmittelrechtliche Kenntnisse und die fehlende Kapazität der Herrentoilette gegen die Tatbestandsvoraussetzungen des GastG verstoßen und die Erfahrung mit ähnlichen Kneipen auf Lärmbelästigungen hinweist.</w:t>
        <w:br/>
        <w:br/>
        <w:t>Unmöglichkeit</w:t>
        <w:br/>
        <w:t>Es liegt keine Unmöglichkeit vor.</w:t>
        <w:br/>
        <w:br/>
        <w:t>Bestimmtheit</w:t>
        <w:br/>
        <w:t>Die Anordnung der Stadt Kehl muss bestimmt genug formuliert werden, um den Antragsteller in die Lage zu versetzen, die Anforderungen zu erfüllen.</w:t>
        <w:br/>
        <w:br/>
        <w:t>Formelle Vorrausetzung</w:t>
        <w:br/>
        <w:br/>
        <w:t>Zuständigkeit</w:t>
        <w:br/>
        <w:br/>
        <w:t>Sachliche Zuständigkeit</w:t>
        <w:br/>
        <w:t>Die sachliche Zuständigkeit liegt bei der Stadt Kehl gemäß § 2 GastG.</w:t>
        <w:br/>
        <w:br/>
        <w:t>Örtliche Zuständigkeit</w:t>
        <w:br/>
        <w:t>Die örtliche Zuständigkeit liegt bei der Stadt Kehl gemäß § 3 GastG.</w:t>
        <w:br/>
        <w:br/>
        <w:t>Verfahren</w:t>
        <w:br/>
        <w:br/>
        <w:t>Beteiligte</w:t>
        <w:br/>
        <w:t>Michael Graeter ist der einzige Beteiligte.</w:t>
        <w:br/>
        <w:br/>
        <w:t>Anhörung</w:t>
        <w:br/>
        <w:t>Eine Anhörung ist gemäß § 28 VwVfG vorgesehen und sollte Michael Graeter die Gelegenheit zur Äußerung geben.</w:t>
        <w:br/>
        <w:br/>
        <w:t>Form</w:t>
        <w:br/>
        <w:br/>
        <w:t>Formwahl</w:t>
        <w:br/>
        <w:t>Die Anordnung der Stadt Kehl kann schriftlich erfolgen.</w:t>
        <w:br/>
        <w:br/>
        <w:t>Begründungspflicht</w:t>
        <w:br/>
        <w:t>Die Anordnung der Stadt Kehl muss schriftlich begründet werden.</w:t>
        <w:br/>
        <w:br/>
        <w:t>Rechtbehelfsbelehrung</w:t>
        <w:br/>
        <w:t>Eine Rechtsbehelfsbelehrung ist gemäß § 58 VwGO erforderlich.</w:t>
        <w:br/>
        <w:br/>
        <w:t>Bekanntgabe</w:t>
        <w:br/>
        <w:t>Die Anordnung der Stadt Kehl sollte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