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gemäß § 4 GastG ist eine Tatbestandsvoraussetzung, die erfüllt sein muss, damit eine Musikkneipe betrieben werden darf.</w:t>
        <w:br/>
        <w:br/>
        <w:t>Lebensmittelrechtliche Kenntnisse</w:t>
        <w:br/>
        <w:t>Die Bescheinigung über lebensmittelrechtliche Kenntnisse ist eine weitere Tatbestandsvoraussetzung, die erfüllt sein muss, um die Erlaubnis zu erhalten.</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Bescheinigung über lebensmittelrechtliche Kenntnisse vorzulegen und die Anzahl der Urinale auf der Herrentoilette zu erhöhen, ist verhältnismäßig und ermessensgerecht, da dies der Sicherheit und Gesundheit der Gäste dient und somit im öffentlichen Interesse liegt. Auch die Erfahrung mit ähnlichen Kneipen, die zu Lärmbelästigungen in der Umgebung geführt haben, rechtfertigt die Anordnung.</w:t>
        <w:br/>
        <w:br/>
        <w:t>Bestimmtheit</w:t>
        <w:br/>
        <w:t>Nach § 37 LVwVfG muss die Anordnung bestimmt genug formuliert werden.</w:t>
        <w:br/>
        <w:br/>
        <w:t>Formelle Vorrausetzung</w:t>
        <w:br/>
        <w:br/>
        <w:t>Zuständigkeit</w:t>
        <w:br/>
        <w:br/>
        <w:t>Sachliche Zuständigkeit</w:t>
        <w:br/>
        <w:t>Die Stadt Kehl ist gemäß § 4 GastG sachlich zuständig.</w:t>
        <w:br/>
        <w:br/>
        <w:t>Örtliche Zuständigkeit</w:t>
        <w:br/>
        <w:t>Die Stadt Kehl ist auch örtlich zuständig.</w:t>
        <w:br/>
        <w:br/>
        <w:t>Verfahren</w:t>
        <w:br/>
        <w:br/>
        <w:t>Beteiligte</w:t>
        <w:br/>
        <w:t>Michael Graeter ist der einzige Beteiligte in diesem Fall.</w:t>
        <w:br/>
        <w:br/>
        <w:t>Anhörung</w:t>
        <w:br/>
        <w:t>Eine Anhörung ist gemäß § 28 LVwVfG nicht vorgesehen.</w:t>
        <w:br/>
        <w:br/>
        <w:t>Form</w:t>
        <w:br/>
        <w:br/>
        <w:t>Formwahl</w:t>
        <w:br/>
        <w:t>Die Anordnung kann schriftlich erfolgen.</w:t>
        <w:br/>
        <w:br/>
        <w:t>Begründungspflicht</w:t>
        <w:br/>
        <w:t>Die Anordnung muss schriftlich begründet werden.</w:t>
        <w:br/>
        <w:br/>
        <w:t>Rechtbehelfsbelehrung</w:t>
        <w:br/>
        <w:t>Eine Rechtsbehelfsbelehrung ist gemäß § 37 Abs. 6 LVwVfG beizufügen.</w:t>
        <w:br/>
        <w:br/>
        <w:t>Bekanntgabe</w:t>
        <w:br/>
        <w:t>Die Anordnung wird durch Bekanntgabe wirksam, gemäß § 43 Abs. 1 LVwVfG.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