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das Gaststättengesetz (GastG) sein.</w:t>
        <w:br/>
        <w:br/>
        <w:t>Materielle Voraussetzung</w:t>
        <w:br/>
        <w:br/>
        <w:t>Tatbestandsvoraussetzung</w:t>
        <w:br/>
        <w:br/>
        <w:t>Erlaubnispflicht</w:t>
        <w:br/>
        <w:t>Gemäß § 2 GastG bedarf der Betrieb einer Gaststätte einer Erlaubnis.</w:t>
        <w:br/>
        <w:br/>
        <w:t>Lebensmittelrechtliche Kenntnisse</w:t>
        <w:br/>
        <w:t>Die Bescheinigung über lebensmittelrechtliche Kenntnisse ist eine Voraussetzung für die Erteilung der Erlaubnis gemäß § 4 GastG.</w:t>
        <w:br/>
        <w:br/>
        <w:t>Bauordnungsrechtliche Vorgaben</w:t>
        <w:br/>
        <w:t>Die bauordnungsrechtlichen Vorgaben bezüglich der Anzahl der Urinale müssen erfüllt sein.</w:t>
        <w:br/>
        <w:br/>
        <w:t>Lärmbelästigung</w:t>
        <w:br/>
        <w:t>Die Stadt hat aufgrund von Erfahrungen mit ähnlichen Kneipen das Recht, Lärmbelästigungen in der Umgebung zu befürchten.</w:t>
        <w:br/>
        <w:br/>
        <w:t>Rechtsfolgenseite</w:t>
        <w:br/>
        <w:br/>
        <w:t>Der Pflichtige</w:t>
        <w:br/>
        <w:t>Michael Graeter ist der Pflichtige, da er den Antrag auf Erlaubnis gestellt hat.</w:t>
        <w:br/>
        <w:br/>
        <w:t>Ermessen</w:t>
        <w:br/>
        <w:br/>
        <w:t>Die Stadt hat gemäß § 5 GastG ein Ermessen bei der Erteilung der Erlaubnis. Die Anordnung der Stadt, die Voraussetzungen für die Erlaubnis zu erfüllen, ist verhältnismäßig und ermessensgerecht, da die Erfüllung der Voraussetzungen notwendig ist, um den Schutz der Gesundheit der Gäste und die Einhaltung der bauordnungsrechtlichen Vorgaben sicherzustellen.</w:t>
        <w:br/>
        <w:br/>
        <w:t>Bestimmtheit</w:t>
        <w:br/>
        <w:br/>
        <w:t>Die Anordnung der Stadt muss bestimmt genug formuliert sein, um den Pflichtigen in die Lage zu versetzen, die Anforderungen zu erfüllen.</w:t>
        <w:br/>
        <w:br/>
        <w:t>Formelle Voraussetzung</w:t>
        <w:br/>
        <w:br/>
        <w:t>Zuständigkeit</w:t>
        <w:br/>
        <w:br/>
        <w:t>Sachliche Zuständigkeit</w:t>
        <w:br/>
        <w:t>Die Stadt Kehl ist gemäß § 2 GastG sachlich zuständig.</w:t>
        <w:br/>
        <w:br/>
        <w:t>Örtliche Zuständigkeit</w:t>
        <w:br/>
        <w:t>Die Stadt Kehl ist gemäß § 3 GastG örtlich zuständig.</w:t>
        <w:br/>
        <w:br/>
        <w:t>Verfahren</w:t>
        <w:br/>
        <w:br/>
        <w:t>Beteiligte</w:t>
        <w:br/>
        <w:t>Michael Graeter ist der einzige Beteiligte in diesem Fall.</w:t>
        <w:br/>
        <w:br/>
        <w:t>Anhörung</w:t>
        <w:br/>
        <w:t>Eine Anhörung ist nicht vorgesehen.</w:t>
        <w:br/>
        <w:br/>
        <w:t>Form</w:t>
        <w:br/>
        <w:br/>
        <w:t>Formwahl</w:t>
        <w:br/>
        <w:t>Die Anordnung der Stadt kann schriftlich erfolgen.</w:t>
        <w:br/>
        <w:br/>
        <w:t>Begründungspflicht</w:t>
        <w:br/>
        <w:t>Die Anordnung der Stadt muss schriftlich begründet werden.</w:t>
        <w:br/>
        <w:br/>
        <w:t>Rechtsbehelfsbelehrung</w:t>
        <w:br/>
        <w:t>Eine Rechtsbehelfsbelehrung ist gemäß § 41 VwVfG beizufügen.</w:t>
        <w:br/>
        <w:br/>
        <w:t>Bekanntgabe</w:t>
        <w:br/>
        <w:t>Die Anordnung der Stadt muss gemäß § 41 VwVfG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