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Anordnung der Stadt Kehl könnte das Gaststättengesetz (GastG) sein.</w:t>
        <w:br/>
        <w:br/>
        <w:t>Materielle Voraussetzung</w:t>
        <w:br/>
        <w:br/>
        <w:t>Tatbestandsvoraussetzung</w:t>
        <w:br/>
        <w:t>Die Tatbestandsvoraussetzung für die Erteilung der Erlaubnis nach dem GastG ist das Vorliegen der persönlichen Zuverlässigkeit und der fachlichen Eignung des Antragstellers sowie die Einhaltung der hygienischen Vorschriften und der Vorschriften zum Schutz vor Lärmbelästigung.</w:t>
        <w:br/>
        <w:br/>
        <w:t>Rechtsfolgenseite</w:t>
        <w:br/>
        <w:br/>
        <w:t>Der Pflichtige</w:t>
        <w:br/>
        <w:t>Der Pflichtige ist Michael Graeter, der Antragsteller auf die Erlaubnis zur Betreibung der Musikkneipe.</w:t>
        <w:br/>
        <w:br/>
        <w:t>Ermessen</w:t>
        <w:br/>
        <w:t>Die Stadt Kehl hat gemäß § 4 GastG ein Ermessen bei der Erteilung der Erlaubnis. Die Anordnung der Stadt Kehl, die Erlaubnis zu verweigern, ist verhältnismäßig und ermessensgerecht, da die fehlende Bescheinigung über lebensmittelrechtliche Kenntnisse und die fehlende Einhaltung der Vorschriften zum Schutz vor Lärmbelästigung ein erhebliches Risiko für die Gesundheit und das Wohlbefinden der Gäste und Anwohner darstellen.</w:t>
        <w:br/>
        <w:br/>
        <w:t>Unmöglichkeit</w:t>
        <w:br/>
        <w:t>Es liegt keine Unmöglichkeit vor.</w:t>
        <w:br/>
        <w:br/>
        <w:t>Bestimmtheit</w:t>
        <w:br/>
        <w:t>Die Anordnung der Stadt Kehl muss bestimmt genug formuliert werden, um dem Antragsteller die Möglichkeit zu geben, die erforderlichen Maßnahmen zu ergreifen.</w:t>
        <w:br/>
        <w:br/>
        <w:t>Formelle Vorrausetzung</w:t>
        <w:br/>
        <w:br/>
        <w:t>Zuständigkeit</w:t>
        <w:br/>
        <w:br/>
        <w:t>Sachliche Zuständigkeit</w:t>
        <w:br/>
        <w:t>Die sachliche Zuständigkeit für die Erteilung der Erlaubnis liegt bei der Stadt Kehl gemäß § 2 GastG.</w:t>
        <w:br/>
        <w:br/>
        <w:t>Örtliche Zuständigkeit</w:t>
        <w:br/>
        <w:t>Die örtliche Zuständigkeit für die Erteilung der Erlaubnis liegt ebenfalls bei der Stadt Kehl gemäß § 2 GastG.</w:t>
        <w:br/>
        <w:br/>
        <w:t>Verfahren</w:t>
        <w:br/>
        <w:br/>
        <w:t>Beteiligte</w:t>
        <w:br/>
        <w:t>Die Beteiligten sind Michael Graeter als Antragsteller und die Stadt Kehl als Behörde.</w:t>
        <w:br/>
        <w:br/>
        <w:t>Anhörung</w:t>
        <w:br/>
        <w:t>Eine Anhörung des Antragstellers ist gemäß § 28 VwVfG vorgesehen.</w:t>
        <w:br/>
        <w:br/>
        <w:t>Form</w:t>
        <w:br/>
        <w:br/>
        <w:t>Formwahl</w:t>
        <w:br/>
        <w:t>Die Anordnung der Stadt Kehl kann schriftlich erfolgen.</w:t>
        <w:br/>
        <w:br/>
        <w:t>Begründungspflicht</w:t>
        <w:br/>
        <w:t>Die Anordnung der Stadt Kehl muss schriftlich begründet werden.</w:t>
        <w:br/>
        <w:br/>
        <w:t>Rechtbehelfsbelehrung</w:t>
        <w:br/>
        <w:t>Eine Rechtsbehelfsbelehrung ist gemäß § 58 VwVfG erforderlich.</w:t>
        <w:br/>
        <w:br/>
        <w:t>Bekanntgabe</w:t>
        <w:br/>
        <w:t>Die Anordnung der Stadt Kehl wird durch Bekanntgabe wirksam gemäß § 41 VwVfG.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