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Erteilung der Erlaubnis könnte § 2 GastG sein.</w:t>
        <w:br/>
        <w:br/>
        <w:t>Materielle Voraussetzung</w:t>
        <w:br/>
        <w:br/>
        <w:t>Tatbestandsvoraussetzung</w:t>
        <w:br/>
        <w:br/>
        <w:t>Erlaubnispflicht</w:t>
        <w:br/>
        <w:t>Die Erlaubnispflicht nach § 2 GastG ist erfüllt, da Michael Graeter eine Musikkneipe betreiben möchte, in der er alkoholische und nichtalkoholische Getränke sowie badische Speisen servieren will.</w:t>
        <w:br/>
        <w:br/>
        <w:t>Lebensmittelrechtliche Kenntnisse</w:t>
        <w:br/>
        <w:t>Die fehlende Bescheinigung über lebensmittelrechtliche Kenntnisse stellt eine weitere Tatbestandsvoraussetzung dar, die erfüllt sein muss.</w:t>
        <w:br/>
        <w:br/>
        <w:t>Rechtsfolgenseite</w:t>
        <w:br/>
        <w:br/>
        <w:t>Der Pflichtige</w:t>
        <w:br/>
        <w:t>Als Pflichtiger kommt Michael Graeter in Betracht, da er die Musikkneipe betreiben möchte und somit die Erlaubnis beantragt hat.</w:t>
        <w:br/>
        <w:br/>
        <w:t>Ermessen</w:t>
        <w:br/>
        <w:br/>
        <w:t>Die Stadt Kehl hat gemäß § 4 GastG ein Ermessen, das nach § 40 LVwVfG ausgeübt wird. Die Anordnung der Stadt Kehl, die fehlende Bescheinigung über lebensmittelrechtliche Kenntnisse nachzureichen und die Anzahl der Urinale auf der Herrentoilette zu erhöhen, ist verhältnismäßig und ermessensgerecht, da dies der Sicherheit und Gesundheit der Gäste dient. Die Stadt Kehl sollte jedoch auch die Erfahrungen mit ähnlichen Kneipen in der Umgebung berücksichtigen und geeignete Maßnahmen ergreifen, um Lärmbelästigungen zu vermeiden.</w:t>
        <w:br/>
        <w:br/>
        <w:t>Bestimmtheit</w:t>
        <w:br/>
        <w:t>Nach § 36 VwVfG muss die Erlaubnis bestimmt genug formuliert werden.</w:t>
        <w:br/>
        <w:br/>
        <w:t>Formelle Vorrausetzung</w:t>
        <w:br/>
        <w:br/>
        <w:t>Zuständigkeit</w:t>
        <w:br/>
        <w:br/>
        <w:t>Sachliche Zuständigkeit</w:t>
        <w:br/>
        <w:t>Nach § 2 GastG ist die zuständige Behörde die Gemeinde, in deren Bezirk der Gaststättenbetrieb ausgeübt werden soll.</w:t>
        <w:br/>
        <w:br/>
        <w:t>Örtliche Zuständigkeit</w:t>
        <w:br/>
        <w:t>Örtlich zuständig ist die Stadt Kehl gemäß § 2 GastG.</w:t>
        <w:br/>
        <w:br/>
        <w:t>Verfahren</w:t>
        <w:br/>
        <w:br/>
        <w:t>Beteiligte</w:t>
        <w:br/>
        <w:t>Michael Graeter ist der einzige Beteiligte in diesem Fall.</w:t>
        <w:br/>
        <w:br/>
        <w:t>Anhörung</w:t>
        <w:br/>
        <w:t>Nach § 28 Abs. 1 LVwVfG ist Michael Graeter die Gelegenheit zur Äußerung zu geben.</w:t>
        <w:br/>
        <w:br/>
        <w:t>Form</w:t>
        <w:br/>
        <w:br/>
        <w:t>Formwahl</w:t>
        <w:br/>
        <w:t>Nach § 36 Abs. 1 VwVfG kann die Erlaubnis hier schriftlich erfolgen.</w:t>
        <w:br/>
        <w:br/>
        <w:t>Begründungspflicht</w:t>
        <w:br/>
        <w:t>Nach § 39 Abs. 1 VwVfG ist die schriftliche Erlaubnis auch schriftlich zu begründen.</w:t>
        <w:br/>
        <w:br/>
        <w:t>Rechtbehelfsbelehrung</w:t>
        <w:br/>
        <w:t>Nach § 58 VwGO ist eine Rechtsbehelfsbelehrung beizufügen.</w:t>
        <w:br/>
        <w:br/>
        <w:t>Bekanntgabe</w:t>
        <w:br/>
        <w:t>Nach § 41 Abs. 1 VwVfG wird ein Verwaltungsakt durch Bekanntgabe wirksam.</w:t>
        <w:br/>
        <w:br/>
        <w:t>Die Erlaubnis sollte Michael Graeter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