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2 GastG sein.</w:t>
        <w:br/>
        <w:br/>
        <w:t>Materielle Voraussetzung</w:t>
        <w:br/>
        <w:br/>
        <w:t>Tatbestandsvoraussetzung</w:t>
        <w:br/>
        <w:br/>
        <w:t>Erlaubnispflicht</w:t>
        <w:br/>
        <w:t>Die Erlaubnispflicht nach § 2 GastG ist eine Tatbestandsvoraussetzung, die erfüllt sein muss, damit eine Musikkneipe betrieben werden darf.</w:t>
        <w:br/>
        <w:br/>
        <w:t>Lebensmittelrechtliche Kenntnisse</w:t>
        <w:br/>
        <w:t>Die Bescheinigung über lebensmittelrechtliche Kenntnisse ist eine weitere Tatbestandsvoraussetzung, die erfüllt sein muss, damit die Erlaubnis erteilt werden kann.</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Erlaubnis zu verweigern, ist verhältnismäßig und ermessensgerecht, da die fehlende Bescheinigung über lebensmittelrechtliche Kenntnisse und die fehlende Kapazität auf der Herrentoilette gegen die gesetzlichen Vorschriften verstoßen und zu Lärmbelästigungen führen könnten.</w:t>
        <w:br/>
        <w:br/>
        <w:t>Bestimmtheit</w:t>
        <w:br/>
        <w:t>Nach § 39 VwVfG muss die Anordnung bestimmt genug formuliert werden.</w:t>
        <w:br/>
        <w:br/>
        <w:t>Formelle Vorrausetzung</w:t>
        <w:br/>
        <w:br/>
        <w:t>Zuständigkeit</w:t>
        <w:br/>
        <w:br/>
        <w:t>Sachliche Zuständigkeit</w:t>
        <w:br/>
        <w:t>Die Stadt Kehl ist gemäß § 2 GastG sachlich zuständig.</w:t>
        <w:br/>
        <w:br/>
        <w:t>Örtliche Zuständigkeit</w:t>
        <w:br/>
        <w:t>Die Stadt Kehl ist örtlich zuständig.</w:t>
        <w:br/>
        <w:br/>
        <w:t>Verfahren</w:t>
        <w:br/>
        <w:br/>
        <w:t>Beteiligte</w:t>
        <w:br/>
        <w:t>Michael Graeter ist der einzige Beteiligte.</w:t>
        <w:br/>
        <w:br/>
        <w:t>Anhörung</w:t>
        <w:br/>
        <w:t>Nach § 28 Abs. 1 LVwVfG ist Michael Graeter die Gelegenheit zur Äußerung zu geben.</w:t>
        <w:br/>
        <w:br/>
        <w:t>Form</w:t>
        <w:br/>
        <w:br/>
        <w:t>Formwahl</w:t>
        <w:br/>
        <w:t>Nach § 42 VwVfG kann die Verweigerung der Erlaubnis hier schriftlich erfolgen.</w:t>
        <w:br/>
        <w:br/>
        <w:t>Begründungspflicht</w:t>
        <w:br/>
        <w:t>Nach § 39 Abs. 1 VwVfG ist die schriftliche Verweigerung der Erlaubnis auch schriftlich zu begründen.</w:t>
        <w:br/>
        <w:br/>
        <w:t>Rechtbehelfsbelehrung</w:t>
        <w:br/>
        <w:t>Nach § 58 VwGO ist eine Rechtsbehelfsbelehrung beizufügen.</w:t>
        <w:br/>
        <w:br/>
        <w:t>Bekanntgabe</w:t>
        <w:br/>
        <w:t>Nach § 41 VwVfG wird ein Verwaltungsakt durch Bekanntgabe wirksam.</w:t>
        <w:br/>
        <w:br/>
        <w:t>Dem Michael Graeter sollte die Verweigerung der Erlaubnis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