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Erlassen von Verwaltungsakten</w:t>
        <w:br/>
        <w:br/>
        <w:t>Belastende Verwaltungsakte</w:t>
        <w:br/>
        <w:br/>
        <w:t>Fall 1:</w:t>
        <w:br/>
        <w:t>Es soll angeordnet werden, dass das Fachwerkhaus mit Biberschwanz-Dachziegeln zu reparieren ist.</w:t>
        <w:br/>
        <w:br/>
        <w:t>Gutachten</w:t>
        <w:br/>
        <w:br/>
        <w:t>Rechtsgrundlage</w:t>
        <w:br/>
        <w:t>Die Rechtsgrundlage könnte §1 Abs. 1 in Verbindung mit § 7 Abs.1 Satz 1 DSchG sein.</w:t>
        <w:br/>
        <w:br/>
        <w:t>Materielle Voraussetzung</w:t>
        <w:br/>
        <w:br/>
        <w:t>Tatbestandsvoraussetzung</w:t>
        <w:br/>
        <w:br/>
        <w:t>Kulturdenkmal</w:t>
        <w:br/>
        <w:t>Das Fachwerkhaus müsste ein Kulturdenkmal sein</w:t>
        <w:br/>
        <w:t>Nach § 2 Abs. 1 DSchG ist eine Sache, deren an Erhaltung, aus heimatgeschichtlichen Gründen, ein öffentliches Interesse besteht, ein Kulturdenkmal.</w:t>
        <w:br/>
        <w:br/>
        <w:t>Gefährdung</w:t>
        <w:br/>
        <w:t>Es könnte eine Gefährdung beim Kulturdenkmal (Fachwerkhaus) vorliegen.</w:t>
        <w:br/>
        <w:br/>
        <w:t>Rechtsfolgenseite</w:t>
        <w:br/>
        <w:br/>
        <w:t>Der Pflichtige</w:t>
        <w:br/>
        <w:t xml:space="preserve">Als Pflichtige kommen sowohl F.K als auch G.K in Betracht. </w:t>
        <w:br/>
        <w:t xml:space="preserve">F.K könnte pflichtig sein sinngemäß § 7 Abs. 1 Satz 1 DSchG und § 7 PolG dann müsste er Eigentümer einer Sache sein, von deren Zustand eine Gefahr ausgeht. Der F.K ist Eigentümer des Fachwerkhauses von dessen Dach eine Gefährdung für das Denkmal ausgeht. Also ist er Pflichtiger. </w:t>
        <w:br/>
        <w:t xml:space="preserve">Der G.K ist ebenfalls Eigentümer des Fachwerkhauses und somit nach denselben Vorschiften Pflichtig. </w:t>
        <w:br/>
        <w:br/>
        <w:t>Nach dem Grundsatz der Leistungsfähigkeit bzw. Effizienz ist letztlich der F.K der Richtige Pflichtige, da er gegenüber dem G.K über ein höheres Einkommen verfügt und somit leistungsfähiger ist.</w:t>
        <w:br/>
        <w:br/>
        <w:t>Ermessen</w:t>
        <w:br/>
        <w:br/>
        <w:t>Die Denkmalschutzbehörde hat gemäß § 7 DSchG ein Ermessen, das nach § 40 LVwVfG ausgeübt wird. Die Anordnung der BSD ist verhältnismäßig und ermessensgerecht, da eine kostengünstigere Reparatur mit Ethanitplatten nicht geeignet ist, die Denkmalanforderungen zu erfüllen. Der Vorteil für die Allgemeinheit durch die Ansehnlichkeit des Denkmals rechtfertigt den finanziellen Nachteil für den Eigentümer (F.K.).</w:t>
        <w:br/>
        <w:br/>
        <w:t>Unmöglichkeit</w:t>
        <w:br/>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t>Nach § 37 LVwVfG muss die Anordnung bestimmt genug formuliert werden.</w:t>
        <w:br/>
        <w:br/>
        <w:t>Formelle Vorrausetzung</w:t>
        <w:br/>
        <w:br/>
        <w:t>Zuständigkeit</w:t>
        <w:br/>
        <w:br/>
        <w:t>Sachliche Zuständigkeit</w:t>
        <w:br/>
        <w:t>Nach §§ 7 Abs. 4, 3 Abs. 3, Abs. 1 Nr. 3 DSchG und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 xml:space="preserve">Ausgeschlossene Personen/Befangenheit </w:t>
        <w:br/>
        <w:t>Wegen der kritischen Leserriefe des F.K könnte eine Problematik im Sinne des § 21 LVwVfg gegeben sein. Da aber der Mitarbeiter der den Fall bearbeitet nach Sachverhalt nicht bekannt ist, kann dem Letztlich nicht weiter nachgegangen werden.</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w:t>
        <w:br/>
        <w:br/>
        <w:t>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