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das Fachwerkhaus mit Biberschwanz-Dachziegeln zu reparieren, könnte auf §1 Abs. 1 in Verbindung mit § 7 Abs.1 Satz 1 DSchG gestützt werden.</w:t>
        <w:br/>
        <w:br/>
        <w:t>Materielle Voraussetzung</w:t>
        <w:br/>
        <w:t>Tatbestandsvoraussetzung</w:t>
        <w:br/>
        <w:t>Das Fachwerkhaus muss ein Kulturdenkmal sein, dessen Erhaltung im öffentlichen Interesse liegt, gemäß § 2 Abs. 1 DSchG. Es könnte eine Gefährdung des Kulturdenkmals durch das beschädigte Dach vorliegen.</w:t>
        <w:br/>
        <w:br/>
        <w:t>Rechtsfolgenseite</w:t>
        <w:br/>
        <w:t>Der Pflichtige</w:t>
        <w:br/>
        <w:t>Als Pflichtige kommen sowohl F.K als auch G.K in Betracht. F.K ist Eigentümer des Fachwerkhauses, von dessen Dach eine Gefährdung für das Denkmal ausgeht, und somit Pflichtiger gemäß § 7 Abs. 1 Satz 1 DSchG und § 7 PolG. G.K ist ebenfalls Eigentümer des Fachwerkhauses und somit nach denselben Vorschriften Pflichtiger. Letztlich ist F.K aufgrund seiner höheren Leistungsfähigkeit der richtige Pflichtige.</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Die Anordnung muss gemäß § 37 LVwVfG bestimmt genug formuliert werden.</w:t>
        <w:br/>
        <w:br/>
        <w:t>Formelle Voraussetzung</w:t>
        <w:br/>
        <w:t>Zuständigkeit</w:t>
        <w:br/>
        <w:t>Sachliche Zuständigkeit</w:t>
        <w:br/>
        <w:t>Das Landratsamt Ortenaukreis ist gemäß §§ 7 Abs. 4, 3 Abs. 3, Abs. 1 Nr. 3 DSchG und 46 Abs. 2 LBO und § 15 LVG sachlich zuständig.</w:t>
        <w:br/>
        <w:br/>
        <w:t>Örtliche Zuständigkeit</w:t>
        <w:br/>
        <w:t>Das Landratsamt Ortenaukreis ist gemäß § 3 Abs.1 Nr.1 LVwVfG örtlich zuständig.</w:t>
        <w:br/>
        <w:br/>
        <w:t>Verfahren</w:t>
        <w:br/>
        <w:t>Beteiligte</w:t>
        <w:br/>
        <w:t>F.K und G.K sind beteiligte gemäß §§ 13 Abs. 1 Nr. 2 und 4 LVwVfG. G.K ist beteiligt, da er Eigentümer des Fachwerkhauses ist. Es besteht also ein rechtliches Interesse nach § 13 Abs. 2 LVwVfG.</w:t>
        <w:br/>
        <w:br/>
        <w:t>Anhörung</w:t>
        <w:br/>
        <w:t>F.K und G.K müssen gemäß § 28 Abs. 1 LVwVfG angehört werden.</w:t>
        <w:br/>
        <w:br/>
        <w:t>Form</w:t>
        <w:br/>
        <w:t>Formwahl</w:t>
        <w:br/>
        <w:t>Die Reparaturanordnung kann gemäß § 37 Abs. 2 LVwVfG schriftlich erfolgen.</w:t>
        <w:br/>
        <w:br/>
        <w:t>Begründungspflicht</w:t>
        <w:br/>
        <w:t>Die schriftliche Reparaturanordnung muss gemäß § 39 Abs. 1 LVwVfG schriftlich begründet werden.</w:t>
        <w:br/>
        <w:br/>
        <w:t>Rechtsbehelfsbelehrung</w:t>
        <w:br/>
        <w:t>Eine Rechtsbehelfsbelehrung muss gemäß § 37 Abs. 6 LVwVfG beigefügt werden.</w:t>
        <w:br/>
        <w:br/>
        <w:t>Bekanntgabe</w:t>
        <w:br/>
        <w:t>Die Wirksamkeit der Bekanntgabe von Verwaltungsakten wird gemäß § 43 Abs. 1 LVwVfG festgelegt. Der Bescheid sollte mittels PZU nach § 3 LVwZG zugestellt und damit bekanntgegeben werden.</w:t>
        <w:br/>
        <w:br/>
        <w:t>Insgesamt ist die Anordnung der BSD zur Reparatur des Dachs mit Biberschwanz-Dachziegeln rechtlich begründet und ermessensgerecht. Die Zuständigkeit liegt beim Landratsamt Ortenaukreis, und die Anhörung der beteiligten Eigentümer sowie die Einhaltung der formellen Voraussetzungen sind erforderlich.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