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Erlassen von Verwaltungsakten</w:t>
        <w:br/>
        <w:br/>
        <w:t>Belastende Verwaltungsakte</w:t>
        <w:br/>
        <w:br/>
        <w:t>Sachverhalt</w:t>
        <w:br/>
        <w:br/>
        <w:t>Forstrat Franz Konrad und sein Bruder Georg Konrad sind Eigentümer eines Fachwerkhauses in Neuried, das zu den wenigen voll erhaltenen Exemplaren seiner Art am Oberrhein gehört. Das Haus wurde 1865 erbaut und ist mit den seinerzeit üblichen Biberschwanz-Dachziegeln gedeckt. Durch einen Sturm wurden ca. 50 Dachziegel abgedeckt, wodurch Regen durch das Dach eindringt. Das Haus soll demnächst verkauft werden, und die Eigentümer wollen keine Investitionen mehr tätigen und das Dach nicht reparieren. Das Landratsamt will einschreiten, damit das Dach mit Biberschwanz-Dachziegeln repariert wird, da der Forstrat ein aktiver Umweltschützer ist und das Amt schon des Öfteren in Leserbriefen wegen „schlechter Abfallpolitik" angegriffen hat. Die Reparatur würde etwa 1.200 Euro kosten, Eternitplatten wären erheblich billiger.</w:t>
        <w:br/>
        <w:br/>
        <w:t>Gutachten</w:t>
        <w:br/>
        <w:br/>
        <w:t>Rechtsgrundlage</w:t>
        <w:br/>
        <w:br/>
        <w:t>Die Rechtsgrundlage könnte §1 Abs. 1 in Verbindung mit § 7 Abs.1 Satz 1 DSchG sein.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 er Eigentümer einer Sache ist, von deren Zustand eine Gefahr ausgeht. Der F.K ist Eigentümer des Fachwerkhauses, von dessen Dach eine Gefährdung für das Denkmal ausgeht. Also ist er Pflichtiger. Der G.K ist ebenfalls Eigentümer des Fachwerkhauses und somit nach denselben Vorschriften pflichtig.</w:t>
        <w:br/>
        <w:br/>
        <w:t>Ermessen</w:t>
        <w:br/>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br/>
        <w:t>Nach § 37 LVwVfG muss die Anordnung bestimmt genug formuliert werden.</w:t>
        <w:br/>
        <w:br/>
        <w:t>Formelle Vorrausetzung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Wegen der kritischen Leserriefe des F.K könnte eine Problematik im Sinne des § 21 LVwVfg gegeben sein. Da aber der Mitarbeiter der den Fall bearbeitet nach Sachverhalt nicht bekannt ist, kann dem Letztlich nicht weiter nachgegangen werden.</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w:t>
        <w:br/>
        <w:br/>
        <w:t>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