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Das Haus soll demnächst verkauft werden, weshalb die Eigentümer keine Investitionen mehr tätigen und das Dach nicht reparieren wollen.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