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Die Eigentümer wollen das Dach nicht reparieren, da das Haus demnächst verkauft werden soll.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des Fachwerkhauses ist, von dessen Dach eine Gefährdung für das Denkmal ausgeht. G.K ist ebenfalls Eigentümer des Fachwerkhauses und somit nach denselben Vorschriften pflichtig. Nach dem Grundsatz der Leistungsfähigkeit bzw. Effizienz ist letztlich F.K der richtige Pflichtige, da er über ein höheres Einkommen verfügt und somit leistungsfähiger ist.</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