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Die Eigentümer wollen das Dach nicht reparieren, da das Haus demnächst verkauft werden soll. Das Landratsamt will einschreiten, damit das Dach mit Biberschwanz-Dachziegeln repariert wird, da der Forstrat ein aktiver Umweltschützer ist und das Amt schon des Öfteren in Leserbriefen wegen „schlechter Abfallpolitik" angegriffen hat.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