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0" w:after="160" w:line="259" w:lineRule="auto"/>
        <w:ind w:left="360" w:right="0" w:hanging="360"/>
        <w:jc w:val="left"/>
        <w:rPr>
          <w:rFonts w:ascii="Calibri" w:hAnsi="Calibri" w:eastAsia="Calibri" w:cs="Calibri"/>
          <w:color w:val="auto"/>
          <w:spacing w:val="0"/>
          <w:position w:val="0"/>
          <w:sz w:val="22"/>
          <w:shd w:val="clear" w:fill="auto"/>
        </w:rPr>
      </w:pPr>
      <w:bookmarkStart w:id="0" w:name="_GoBack"/>
      <w:bookmarkEnd w:id="0"/>
      <w:r>
        <w:rPr>
          <w:rFonts w:ascii="Calibri" w:hAnsi="Calibri" w:eastAsia="Calibri" w:cs="Calibri"/>
          <w:color w:val="auto"/>
          <w:spacing w:val="0"/>
          <w:position w:val="0"/>
          <w:sz w:val="22"/>
          <w:shd w:val="clear" w:fill="auto"/>
        </w:rPr>
        <w:t xml:space="preserve">Erlassen von Verwaltungsakten </w:t>
      </w:r>
    </w:p>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Belastende Verwaltungsakte</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Fall 1:</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Es soll angeordnet werden, dass das Fachwerkhaus mit Biberschwanz-Dachziegeln zu reparieren ist. </w:t>
      </w:r>
    </w:p>
    <w:p>
      <w:pPr>
        <w:numPr>
          <w:ilvl w:val="0"/>
          <w:numId w:val="1"/>
        </w:numPr>
        <w:spacing w:before="0" w:after="160" w:line="259" w:lineRule="auto"/>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Gutachten</w:t>
      </w:r>
    </w:p>
    <w:p>
      <w:pPr>
        <w:numPr>
          <w:ilvl w:val="0"/>
          <w:numId w:val="1"/>
        </w:numPr>
        <w:spacing w:before="0" w:after="160" w:line="259" w:lineRule="auto"/>
        <w:ind w:left="144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Rechtsgrundlage</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C0C0C0"/>
        </w:rPr>
        <w:t>Könnte §1 Abs. 1 in Verbindung mit § 7 Abs.1 Satz 1 DSchG sein.</w:t>
      </w:r>
    </w:p>
    <w:p>
      <w:pPr>
        <w:numPr>
          <w:ilvl w:val="0"/>
          <w:numId w:val="1"/>
        </w:numPr>
        <w:spacing w:before="0" w:after="160" w:line="259" w:lineRule="auto"/>
        <w:ind w:left="144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Materielle Voraussetzung</w:t>
      </w:r>
    </w:p>
    <w:p>
      <w:pPr>
        <w:numPr>
          <w:ilvl w:val="0"/>
          <w:numId w:val="1"/>
        </w:numPr>
        <w:spacing w:before="0" w:after="160" w:line="259" w:lineRule="auto"/>
        <w:ind w:left="180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Tatbestandsvoraussetzung</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Kulturdenkmal</w:t>
      </w:r>
      <w:r>
        <w:rPr>
          <w:rFonts w:ascii="Calibri" w:hAnsi="Calibri" w:eastAsia="Calibri" w:cs="Calibri"/>
          <w:color w:val="auto"/>
          <w:spacing w:val="0"/>
          <w:position w:val="0"/>
          <w:sz w:val="22"/>
          <w:shd w:val="clear" w:fill="C0C0C0"/>
        </w:rPr>
        <w:br w:type="textWrapping"/>
      </w:r>
      <w:r>
        <w:rPr>
          <w:rFonts w:ascii="Calibri" w:hAnsi="Calibri" w:eastAsia="Calibri" w:cs="Calibri"/>
          <w:color w:val="auto"/>
          <w:spacing w:val="0"/>
          <w:position w:val="0"/>
          <w:sz w:val="22"/>
          <w:shd w:val="clear" w:fill="C0C0C0"/>
        </w:rPr>
        <w:t>Das Fachwerkhaus müsste ein Kulturdenkmal sein</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C0C0C0"/>
        </w:rPr>
        <w:t>Nach § 2 Abs. 1 DSchG ist eine Sache, deren an Erhaltung, aus heimatgeschichtlichen Gründen, ein öffentliches Interesse besteht, ein Kulturdenkmal.</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Gefährdung</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Es könnte eine Gefährdung beim Kulturdenkmal (Fachwerkhaus) vorliegen.</w:t>
      </w:r>
    </w:p>
    <w:p>
      <w:pPr>
        <w:numPr>
          <w:ilvl w:val="0"/>
          <w:numId w:val="1"/>
        </w:numPr>
        <w:spacing w:before="0" w:after="160" w:line="259" w:lineRule="auto"/>
        <w:ind w:left="180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Rechtsfolgenseite</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Der Pflichtige</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Als Pflichtige kommen sowohl F.K als auch G.K in Betracht. </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F.K könnte pflichtig sein sinngemäß § 7 Abs. 1 Satz 1 DSchG und § 7 PolG dann müsste er Eigentümer einer Sache sein, von deren Zustand eine Gefahr ausgeht. Der F.K ist Eigentümer des Fachwerkhauses von dessen Dach eine Gefährdung für das Denkmal ausgeht. Also ist er Pflichtiger. </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Der G.K ist ebenfalls Eigentümer des Fachwerkhauses und somit nach denselben Vorschiften Pflichtig. </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dem Grundsatz der Leistungsfähigkeit bzw. Effizienz ist letztlich der F.K der Richtige Pflichtige, da er gegenüber dem G.K über ein höheres Einkommen verfügt und somit leistungsfähiger ist. </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Ermessen</w:t>
      </w:r>
    </w:p>
    <w:p>
      <w:pPr>
        <w:numPr>
          <w:numId w:val="0"/>
        </w:numPr>
        <w:spacing w:before="0" w:after="160" w:line="259" w:lineRule="auto"/>
        <w:ind w:left="1800" w:leftChars="0" w:right="0" w:rightChars="0" w:firstLine="497" w:firstLineChars="0"/>
        <w:jc w:val="left"/>
        <w:rPr>
          <w:rFonts w:ascii="Calibri" w:hAnsi="Calibri" w:eastAsia="Calibri" w:cs="Calibri"/>
          <w:color w:val="auto"/>
          <w:spacing w:val="0"/>
          <w:position w:val="0"/>
          <w:sz w:val="22"/>
          <w:shd w:val="clear" w:fill="auto"/>
        </w:rPr>
      </w:pPr>
      <w:r>
        <w:rPr>
          <w:rFonts w:ascii="SimSun" w:hAnsi="SimSun" w:eastAsia="SimSun" w:cs="SimSun"/>
          <w:sz w:val="24"/>
          <w:szCs w:val="24"/>
        </w:rPr>
        <w:br w:type="textWrapping"/>
      </w:r>
      <w:r>
        <w:rPr>
          <w:rFonts w:ascii="Calibri" w:hAnsi="Calibri" w:eastAsia="Calibri" w:cs="Calibri"/>
          <w:color w:val="auto"/>
          <w:spacing w:val="0"/>
          <w:position w:val="0"/>
          <w:sz w:val="22"/>
          <w:shd w:val="clear" w:fill="auto"/>
        </w:rPr>
        <w:t>Die Denkmalschutzbehörde hat gemäß § 7 DSchG ein Ermessen, das nach § 40 LVwVfG ausgeübt wird. Die Anordnung der BSD ist verhältnismäßig und ermessensgerecht, da eine kostengünstigere Reparatur mit Ethanitplatten nicht geeignet ist, die Denkmalanforderungen zu erfüllen. Der Vorteil für die Allgemeinheit durch die Ansehnlichkeit des Denkmals rechtfertigt den finanziellen Nachteil für den Eigentümer (F.K.).</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Unmöglichkeit</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br w:type="textWrapping"/>
      </w:r>
      <w:r>
        <w:rPr>
          <w:rFonts w:ascii="SimSun" w:hAnsi="SimSun" w:eastAsia="SimSun" w:cs="SimSun"/>
          <w:sz w:val="24"/>
          <w:szCs w:val="24"/>
        </w:rPr>
        <w:br w:type="textWrapping"/>
      </w:r>
      <w:r>
        <w:rPr>
          <w:rFonts w:ascii="Calibri" w:hAnsi="Calibri" w:eastAsia="Calibri" w:cs="Calibri"/>
          <w:color w:val="auto"/>
          <w:spacing w:val="0"/>
          <w:position w:val="0"/>
          <w:sz w:val="22"/>
          <w:shd w:val="clear" w:fill="auto"/>
        </w:rP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Bestimmtheit</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Nach § 37 LVwVfG muss die Anordnung bestimmt genug formuliert werden.</w:t>
      </w:r>
    </w:p>
    <w:p>
      <w:pPr>
        <w:numPr>
          <w:ilvl w:val="0"/>
          <w:numId w:val="1"/>
        </w:numPr>
        <w:spacing w:before="0" w:after="160" w:line="259" w:lineRule="auto"/>
        <w:ind w:left="144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Formelle Vorrausetzung</w:t>
      </w:r>
    </w:p>
    <w:p>
      <w:pPr>
        <w:numPr>
          <w:ilvl w:val="0"/>
          <w:numId w:val="1"/>
        </w:numPr>
        <w:spacing w:before="0" w:after="160" w:line="259" w:lineRule="auto"/>
        <w:ind w:left="180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Zuständigkeit</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Sachliche Zuständigkeit</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 7 Abs. 4, 3 Abs. 3, Abs. 1 Nr. 3 DSchG und 46 abs. 2 LBO und § 15 LVG ist das Landratsamt sachlich zuständig. </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Örtliche Zuständigkeit</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Örtlich zuständig ist das Landratsamt Ortenaukreis gemäß § 3 Abs.1 Nr.1 LVwVfG.</w:t>
      </w:r>
    </w:p>
    <w:p>
      <w:pPr>
        <w:numPr>
          <w:ilvl w:val="0"/>
          <w:numId w:val="1"/>
        </w:numPr>
        <w:spacing w:before="0" w:after="160" w:line="259" w:lineRule="auto"/>
        <w:ind w:left="180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Verfahren</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Beteiligte</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Nach §§ 13 Abs. 1 Nr. 2 und 4 LVwVfG sind F.K (Nr. 2) und G.K (Nr. 4) beteiligte. G.K ist beteiligt, da er Eigentümer des Fachwerkhauses ist. (§903 BGB) Es besteht also ein rechtliches Interesse nach § 13 Abs. 2 LVwVfG.</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Ausgeschlossene Personen/Befangenheit </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Wegen der kritischen Leserriefe des F.K könnte eine Problematik im Sinne des § 21 LVwVfg gegeben sein. Da aber der Mitarbeiter der den Fall bearbeitet nach Sachverhalt nicht bekannt ist, kann dem Letztlich nicht weiter nachgegangen werden. </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Beteiligung anderer Behörden.</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§3 Abs. 4 DSchG muss das Landesamt für Denkmalpflege angehört werden. </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Anhörung</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 28 Abs. 1 LVwVfG ist F.K und G.K die Gelegenheit zur Äußerung zu geben. </w:t>
      </w:r>
    </w:p>
    <w:p>
      <w:pPr>
        <w:numPr>
          <w:ilvl w:val="0"/>
          <w:numId w:val="1"/>
        </w:numPr>
        <w:spacing w:before="0" w:after="160" w:line="259" w:lineRule="auto"/>
        <w:ind w:left="180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Form</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Formwahl</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w:t>
      </w:r>
      <w:r>
        <w:rPr>
          <w:rFonts w:ascii="Calibri" w:hAnsi="Calibri" w:eastAsia="Calibri" w:cs="Calibri"/>
          <w:color w:val="auto"/>
          <w:spacing w:val="0"/>
          <w:position w:val="0"/>
          <w:sz w:val="22"/>
          <w:shd w:val="clear" w:fill="FFFF00"/>
        </w:rPr>
        <w:t>§ 37 Abs. 2</w:t>
      </w:r>
      <w:r>
        <w:rPr>
          <w:rFonts w:ascii="Calibri" w:hAnsi="Calibri" w:eastAsia="Calibri" w:cs="Calibri"/>
          <w:color w:val="auto"/>
          <w:spacing w:val="0"/>
          <w:position w:val="0"/>
          <w:sz w:val="22"/>
          <w:shd w:val="clear" w:fill="auto"/>
        </w:rPr>
        <w:t xml:space="preserve"> LVwVfG kann die Reparaturanordnung hier schriftlich erfolgen. </w:t>
      </w:r>
      <w:r>
        <w:rPr>
          <w:rFonts w:ascii="Calibri" w:hAnsi="Calibri" w:eastAsia="Calibri" w:cs="Calibri"/>
          <w:color w:val="auto"/>
          <w:spacing w:val="0"/>
          <w:position w:val="0"/>
          <w:sz w:val="22"/>
          <w:shd w:val="clear" w:fill="auto"/>
        </w:rPr>
        <w:br w:type="textWrapping"/>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Begründungspflicht</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w:t>
      </w:r>
      <w:r>
        <w:rPr>
          <w:rFonts w:ascii="Calibri" w:hAnsi="Calibri" w:eastAsia="Calibri" w:cs="Calibri"/>
          <w:color w:val="auto"/>
          <w:spacing w:val="0"/>
          <w:position w:val="0"/>
          <w:sz w:val="22"/>
          <w:shd w:val="clear" w:fill="FFFF00"/>
        </w:rPr>
        <w:t>§39 Abs. 1 LVwVfG</w:t>
      </w:r>
      <w:r>
        <w:rPr>
          <w:rFonts w:ascii="Calibri" w:hAnsi="Calibri" w:eastAsia="Calibri" w:cs="Calibri"/>
          <w:color w:val="auto"/>
          <w:spacing w:val="0"/>
          <w:position w:val="0"/>
          <w:sz w:val="22"/>
          <w:shd w:val="clear" w:fill="auto"/>
        </w:rPr>
        <w:t xml:space="preserve"> ist die schriftliche Reparaturanordnung auch schriftlich zu begründen. </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Rechtbehelfsbelehrung</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Nach </w:t>
      </w:r>
      <w:r>
        <w:rPr>
          <w:rFonts w:ascii="Calibri" w:hAnsi="Calibri" w:eastAsia="Calibri" w:cs="Calibri"/>
          <w:color w:val="auto"/>
          <w:spacing w:val="0"/>
          <w:position w:val="0"/>
          <w:sz w:val="22"/>
          <w:shd w:val="clear" w:fill="FFFF00"/>
        </w:rPr>
        <w:t>§ 37 Abs. 6</w:t>
      </w:r>
      <w:r>
        <w:rPr>
          <w:rFonts w:ascii="Calibri" w:hAnsi="Calibri" w:eastAsia="Calibri" w:cs="Calibri"/>
          <w:color w:val="auto"/>
          <w:spacing w:val="0"/>
          <w:position w:val="0"/>
          <w:sz w:val="22"/>
          <w:shd w:val="clear" w:fill="auto"/>
        </w:rPr>
        <w:t xml:space="preserve"> LVwVfG ist eine Rechtsbehelfsbelehrung beizufügen.</w:t>
      </w:r>
    </w:p>
    <w:p>
      <w:pPr>
        <w:numPr>
          <w:ilvl w:val="0"/>
          <w:numId w:val="1"/>
        </w:numPr>
        <w:spacing w:before="0" w:after="160" w:line="259" w:lineRule="auto"/>
        <w:ind w:left="21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Bekanntgabe</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Nach §43 Abs. 1 LVwVfG wird ein Verwaltungsakt durch Bekanntgabe wirksam.</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Dem F.K sollte der Bescheid mittels PZU nach § 3 LVwZG zugestellt und damit bekanntgegeben werden. </w:t>
      </w:r>
    </w:p>
    <w:p>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EB14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2024-01-13T14:35:19Z</dcterms:created>
  <dc:creator>User</dc:creator>
  <cp:lastModifiedBy>User</cp:lastModifiedBy>
  <dcterms:modified xsi:type="dcterms:W3CDTF">2024-01-13T14:43:12Z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7ECD64E178714643A70BA8C68D9BC176</vt:lpwstr>
  </property>
</Properties>
</file>