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Lange Straße 12</w:t>
        <w:br/>
        <w:t>77743 Neuried</w:t>
        <w:br/>
        <w:br/>
        <w:t>Reparaturanordnung für Ihr Fachwerkhaus in Neuried</w:t>
        <w:br/>
        <w:br/>
        <w:t>Sehr geehrter Herr Konrad,</w:t>
        <w:br/>
        <w:br/>
        <w:t>es ergeht folgender Bescheid:</w:t>
        <w:br/>
        <w:br/>
        <w:t>1.</w:t>
        <w:br/>
        <w:br/>
        <w:t>Sie sind verpflichtet, das Dach Ihres Fachwerkhauses mit Biberschwanz-Dachziegeln zu reparieren.</w:t>
        <w:br/>
        <w:br/>
        <w:t>2.</w:t>
        <w:br/>
        <w:br/>
        <w:t>Die Reparaturanordnung ist sofort vollziehbar.</w:t>
        <w:br/>
        <w:br/>
        <w:t>Begründung:</w:t>
        <w:br/>
        <w:br/>
        <w:t>Sie sind als Forstrat zusammen mit Ihrem Bruder, dem Studenten Georg Konrad, Eigentümer des o.g.</w:t>
        <w:br/>
        <w:br/>
        <w:t>Fachwerkhauses.</w:t>
        <w:br/>
        <w:br/>
        <w:t>Das Haus stammt aus dem Jahre 1865 und gehört zu den wenigen voll erhaltenen Exemplaren seiner Art am Oberrhein.</w:t>
        <w:br/>
        <w:br/>
        <w:t>Durch einen Sturm wurden ca.</w:t>
        <w:br/>
        <w:br/>
        <w:t>50 Biberschwanz-Dachziegel abgedeckt, wodurch Regenwasser in das Haus eindringt und das Denkmal beschädigt wird.</w:t>
        <w:br/>
        <w:br/>
        <w:t>Das Fachwerkhaus ist ein Kulturdenkmal im Sinne von § 2 Abs.</w:t>
        <w:br/>
        <w:br/>
        <w:t>1 DSchG, da dessen Erhaltung aus heimatgeschichtlichen Gründen ein öffentliches Interesse besteht.</w:t>
        <w:br/>
        <w:br/>
        <w:t>Das Kulturdenkmal ist gefährdet, da durch das beeinträchtigte Erscheinungsbild bereits ein Schaden entstanden ist.</w:t>
        <w:br/>
        <w:br/>
        <w:t>Die Reparaturanordnung stützt sich auf § 1 Abs.</w:t>
        <w:br/>
        <w:br/>
        <w:t>1 in Verbindung mit § 7 Abs.</w:t>
        <w:br/>
        <w:br/>
        <w:t>1 Satz 1 DSchG.</w:t>
        <w:br/>
        <w:br/>
        <w:t>Danach können wir Maßnahmen anordnen, wenn ein Kulturdenkmal gefährdet ist.</w:t>
        <w:br/>
        <w:br/>
        <w:t>Sie sind als Eigentümer des Fachwerkhauses verpflichtet, die Reparatur durchzuführen.</w:t>
        <w:br/>
        <w:br/>
        <w:t>Diese Verpflichtung ergibt sich aus § 7 PolG, da von Ihrem Fachwerkhaus eine Gefährdung des Denkmals ausgeht.</w:t>
        <w:br/>
        <w:br/>
        <w:t>Ebenfalls nach denselben Vorschriften verpflichtet ist Ihr Bruder Georg Konrad, da dieser ebenfalls Eigentümer ist.</w:t>
        <w:br/>
        <w:br/>
        <w:t>Als Forstrat sind Sie leistungsfähiger als Ihr Bruder Georg und sind deshalb verpflichtet, die Kosten zu tragen.</w:t>
        <w:br/>
        <w:br/>
        <w:t>Die Anordnung das Dach mit Biberschwanz-Dachziegeln zu reparieren ist angemessen, um die Ansehnlichkeit des Denkmals wiederherzustellen.</w:t>
        <w:br/>
        <w:br/>
        <w:t>Diese Anordnung ist auch erforderlich, da es kein milderes gleichgeeignetes Mittel gibt.</w:t>
        <w:br/>
        <w:br/>
        <w:t>Ethanitplatten wären zwar kostengünstiger, könnten aber nicht die Ansehnlichkeit wiederherstellen.</w:t>
        <w:br/>
        <w:br/>
        <w:t>Schließlich ist die Reparaturanordnung auch angemessen.</w:t>
        <w:br/>
        <w:br/>
        <w:t>Ihr Nachteil steht nicht außer Verhältnis zu den Vorteilen für die Allgemeinheit.</w:t>
        <w:br/>
        <w:br/>
        <w:t>Das Interesse am Erhalt des Denkmals gewichtet durch Art.</w:t>
        <w:br/>
        <w:br/>
        <w:t>3 C Landes Verfassung überwiegt Ihr Interesse bezüglich finanzieller Belastung und der Eigentumsrechte gewichtet durch Art.</w:t>
        <w:br/>
        <w:br/>
        <w:t>14 GG.</w:t>
        <w:br/>
        <w:br/>
        <w:t>Die Durchführung der Maßnahme ist Ihnen auch ohne die Mitwirkung Ihres Bruders Georg möglich, wodurch keine privatrechtliche Unmöglichkeit besteht.</w:t>
        <w:br/>
        <w:br/>
        <w:t>Als Rechtsgrundlage für die Anordnung dient § 80 Abs.</w:t>
        <w:br/>
        <w:br/>
        <w:t>2 Satz 1 Nr.</w:t>
        <w:br/>
        <w:br/>
        <w:t>4.</w:t>
        <w:br/>
        <w:br/>
        <w:t>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w:t>
        <w:br/>
        <w:br/>
        <w:t>Durch das Eindringen des Regenwassers kann es zu Schimmelbildung kommen und die Reparaturkosten werden sich demnach mit der Zeit erhöhen.</w:t>
        <w:br/>
        <w:br/>
        <w:t>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w:t>
        <w:br/>
        <w:br/>
        <w:t>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