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br/>
        <w:t>Landratsamt Ortenaukreis</w:t>
        <w:br/>
        <w:t>Herrn Franz Konrad</w:t>
        <w:br/>
        <w:t>Sachbearbeiter</w:t>
        <w:br/>
        <w:br/>
        <w:t>Reparatur Ihres Fachwerkhauses in Neuried, Lange Straße 12</w:t>
        <w:br/>
        <w:br/>
        <w:t>Sehr geehrter Herr Konrad,</w:t>
        <w:br/>
        <w:br/>
        <w:t>Tenor:</w:t>
        <w:br/>
        <w:br/>
        <w:t>Es wird angeordnet, dass Sie Ihr Fachwerkhaus mit Biberschwanzdachziegeln reparieren müssen.</w:t>
        <w:br/>
        <w:br/>
        <w:t>Die Anordnung der sofortigen Vollziehung dieser Maßnahme wird hiermit angeordnet.</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Verhältnismäßigkeit nach Art. 20 Abs. 3 GG beachtet haben.</w:t>
        <w:br/>
        <w:br/>
        <w:t>Die Anordnung das Dach mit Biberschwanz-Dachziegeln zu reparieren ist angemessen, um die Ansehnlichkeit des Denkmals herbeizuführen. Diese Anordnung ist auch erforderlich, da es kein milderes gleichgeeignetes Mittel gibt. Ethanitplatten wären zwar kostengünstiger, könnten aber nicht die Ansehnlichkeit wieder herstellen. Schließlich ist die Reparaturanordnung auch angemessen.</w:t>
        <w:br/>
        <w:br/>
        <w:t>Ihr Nachteil steht nicht außer Verhältnis zu den Vorteilen für die Allgemeinheit. Das Interesse am Erhalt des Denkmals gewichtet durch Art. 3 C Landes Verfassung überwiegt Ihr Interesse bezüglich finanzieller Belastung und der Eigentumsrechte gewichtet durch Art. 14 GG.</w:t>
        <w:br/>
        <w:br/>
        <w:t>Die Durchführung der Maßnahme ist Ihnen auch ohne die Mitwirkung Ihres Bruders Georg möglich ist. 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Unterschrift mit Grußformel:</w:t>
        <w:br/>
        <w:br/>
        <w:t>Mit freundlichen Grüßen,</w:t>
        <w:br/>
        <w:br/>
        <w:t>Lisa Brunzel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