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Einleitung:</w:t>
        <w:br/>
        <w:t>Sehr geehrter Herr Konrad,</w:t>
        <w:br/>
        <w:br/>
        <w:t>nach Prüfung des Sachverhalts und unter Berücksichtigung der rechtlichen Voraussetzungen ergeht folgender Bescheid:</w:t>
        <w:br/>
        <w:br/>
        <w:t>Tenor:</w:t>
        <w:br/>
        <w:t>1. Sie sind verpflichtet, das Fachwerkhaus in Neuried, Lange Straße 12, mit Biberschwanz-Dachziegeln zu reparieren.</w:t>
        <w:br/>
        <w:t>2. Die Reparaturanordnung ist sofort vollziehbar.</w:t>
        <w:br/>
        <w:br/>
        <w:t>Begründung:</w:t>
        <w:br/>
        <w:t>Das Fachwerkhaus ist ein Kulturdenkmal im Sinne von § 2 Abs. 1 DSchG, da dessen Erhaltung aus heimatgeschichtlichen Gründen ein öffentliches Interesse besteht. Durch den Sturm wurden ca. 50 Biberschwanz-Dachziegel abgedeckt, wodurch eine Gefährdung des Denkmals vorliegt.</w:t>
        <w:br/>
        <w:br/>
        <w:t>Als Pflichtige kommen sowohl Sie als auch Ihr Bruder Georg Konrad in Betracht. Sie sind nach § 7 Abs. 1 Satz 1 DSchG und § 7 PolG als Eigentümer des Fachwerkhauses verpflichtet, von dem eine Gefahr ausgeht. Ihr Bruder Georg Konrad ist ebenfalls Eigentümer des Fachwerkhauses und somit nach denselben Vorschriften pflichtig.</w:t>
        <w:br/>
        <w:br/>
        <w:t>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w:t>
        <w:br/>
        <w:br/>
        <w:t>Eine privatrechtliche Unmöglichkeit liegt nicht vor, da Sie ohne die Mitwirkung Ihres Bruders handeln können und die Maßnahme als notwendige Erhaltungsmaßnahme anzusehen ist.</w:t>
        <w:br/>
        <w:br/>
        <w:t>Die Anordnung ist bestimmt genug formuliert und entspricht den formellen Voraussetzungen.</w:t>
        <w:br/>
        <w:br/>
        <w:t>Rechtsbehelfsbelehrung:</w:t>
        <w:br/>
        <w:t>Gegen die Dachdeckungsanordnung können Sie innerhalb eines Monats nach Bekanntgabe Widerspruch einlegen (§ 37 Abs. 6 LVwVfG, § 70 VwGO). Gegen die Anordnung der sofortigen Vollziehung können Sie den Antrag auf Wiederherstellung der aufschiebenden Wirkung beim Verwaltungsgericht stellen (§ 80 Abs. 5 VwGO).</w:t>
        <w:br/>
        <w:br/>
        <w:t>Unterschrift mit Grußformel:</w:t>
        <w:br/>
        <w:t>Mit freundlichen Grüßen,</w:t>
        <w:br/>
        <w:br/>
        <w:t>[Name des Sachbearbeiters]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