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Erteilung einer Erlaubnis für eine Musikkneipe in den Räumen der ehemaligen Gaststätte "Walfisch" in Kehl</w:t>
        <w:br/>
        <w:br/>
        <w:t>Rechtsgrundlage</w:t>
        <w:br/>
        <w:t>Die Rechtsgrundlage für die Erteilung der Erlaubnis könnte § 12 GastG sein.</w:t>
        <w:br/>
        <w:br/>
        <w:t>Materielle Voraussetzungen</w:t>
        <w:br/>
        <w:br/>
        <w:t>Tatbestandsvoraussetzung</w:t>
        <w:br/>
        <w:br/>
        <w:t>Erlaubnispflicht</w:t>
        <w:br/>
        <w:t>Die Erlaubnispflicht ergibt sich aus § 2 GastG.</w:t>
        <w:br/>
        <w:br/>
        <w:t>Zuverlässigkeit</w:t>
        <w:br/>
        <w:t>Die Zuverlässigkeit des Antragstellers ist gemäß § 4 GastG zu prüfen.</w:t>
        <w:br/>
        <w:br/>
        <w:t>Sachkunde</w:t>
        <w:br/>
        <w:t>Die Sachkunde des Antragstellers ist gemäß § 5 GastG zu prüfen.</w:t>
        <w:br/>
        <w:br/>
        <w:t>Rechtsfolgenseite</w:t>
        <w:br/>
        <w:br/>
        <w:t>Der Pflichtige</w:t>
        <w:br/>
        <w:t>Als Pflichtiger kommt Michael Graeter in Betracht, da er die Erlaubnis beantragt hat.</w:t>
        <w:br/>
        <w:br/>
        <w:t>Ermessen</w:t>
        <w:br/>
        <w:t>Die Stadt Kehl hat gemäß § 12 GastG ein Ermessen, das nach § 40 LVwVfG ausgeübt wird. Die Erlaubniserteilung ist verhältnismäßig und ermessensgerecht, wenn die materiellen Voraussetzungen erfüllt sind und die öffentlichen Interessen nicht entgegenstehen.</w:t>
        <w:br/>
        <w:br/>
        <w:t>Unmöglichkeit</w:t>
        <w:br/>
        <w:t>Es könnte eine Unmöglichkeit vorliegen, wenn die Herrentoilette nicht den Anforderungen entspricht. In diesem Fall könnte die Erlaubnis nur unter der Bedingung erteilt werden, dass die Toilette entsprechend umgebaut wird.</w:t>
        <w:br/>
        <w:br/>
        <w:t>Bestimmtheit</w:t>
        <w:br/>
        <w:t>Nach § 37 LVwVfG muss die Erlaubnis bestimmt genug formuliert werden.</w:t>
        <w:br/>
        <w:br/>
        <w:t>Formelle Voraussetzungen</w:t>
        <w:br/>
        <w:br/>
        <w:t>Zuständigkeit</w:t>
        <w:br/>
        <w:br/>
        <w:t>Sachliche Zuständigkeit</w:t>
        <w:br/>
        <w:t>Nach § 2 Abs. 1 GastG ist die Stadt Kehl sachlich zuständig.</w:t>
        <w:br/>
        <w:br/>
        <w:t>Örtliche Zuständigkeit</w:t>
        <w:br/>
        <w:t>Örtlich zuständig ist die Stadt Kehl gemäß § 3 Abs.1 Nr.1 LVwVfG.</w:t>
        <w:br/>
        <w:br/>
        <w:t>Verfahren</w:t>
        <w:br/>
        <w:br/>
        <w:t>Beteiligte</w:t>
        <w:br/>
        <w:t>Nach § 28 Abs. 1 LVwVfG ist Michael Graeter beteiligt.</w:t>
        <w:br/>
        <w:br/>
        <w:t>Ausgeschlossene Personen/Befangenheit</w:t>
        <w:br/>
        <w:t>Es liegen keine Anhaltspunkte für eine Befangenheit vor.</w:t>
        <w:br/>
        <w:br/>
        <w:t>Beteiligung anderer Behörden</w:t>
        <w:br/>
        <w:t>Es sind keine anderen Behörden zu beteiligen.</w:t>
        <w:br/>
        <w:br/>
        <w:t>Anhörung</w:t>
        <w:br/>
        <w:t>Nach § 28 Abs. 1 LVwVfG ist Michael Graeter die Gelegenheit zur Äußerung zu geben.</w:t>
        <w:br/>
        <w:br/>
        <w:t>Form</w:t>
        <w:br/>
        <w:br/>
        <w:t>Formwahl</w:t>
        <w:br/>
        <w:t>Nach § 37 Abs. 2 LVwVfG kann die Erlaubnis hier schriftlich erfolgen.</w:t>
        <w:br/>
        <w:br/>
        <w:t>Begründungspflicht</w:t>
        <w:br/>
        <w:t>Nach § 39 Abs. 1 LVwVfG ist die schriftliche Erlaubnis auch schriftlich zu begründen.</w:t>
        <w:br/>
        <w:br/>
        <w:t>Rechtsbehelfsbelehrung</w:t>
        <w:br/>
        <w:t>Nach § 37 Abs. 6 LVwVfG ist eine Rechtsbehelfsbelehrung beizufügen.</w:t>
        <w:br/>
        <w:br/>
        <w:t>Bekanntgabe</w:t>
        <w:br/>
        <w:t>Nach § 43 Abs. 1 LVwVfG wird ein Verwaltungsakt durch Bekanntgabe wirksam.</w:t>
        <w:br/>
        <w:br/>
        <w:t>Dem Michael Graeter sollte die Erlaubnis mittels PZU nach § 3 LVwZG zugestellt und damit bekanntgegeben werden. Es sollte darauf hingewiesen werden, dass die Erlaubnis unter der Bedingung erteilt wird, dass die Herrentoilette entsprechend umgebaut wird. Außerdem sollte darauf hingewiesen werden, dass bei Lärmbelästigungen in der Umgebung Maßnahmen ergriffen werden müssen.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