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Rechtsgrundlage</w:t>
        <w:br/>
        <w:t>Die Anordnung des Landratsamts könnte auf § 7 Abs.</w:t>
        <w:br/>
        <w:br/>
        <w:t>1 Satz 1 DSchG gestützt werden.</w:t>
        <w:br/>
        <w:br/>
        <w:t>Materielle Voraussetzung</w:t>
        <w:br/>
        <w:br/>
        <w:t>Tatbestandsvoraussetzung</w:t>
        <w:br/>
        <w:br/>
        <w:t>Kulturdenkmal</w:t>
        <w:br/>
        <w:t>Das Fachwerkhaus könnte ein Kulturdenkmal sein, da es nach § 2 Abs.</w:t>
        <w:br/>
        <w:br/>
        <w:t>1 DSchG eine Sache ist, deren Erhaltung aus heimatgeschichtlichen Gründen ein öffentliches Interesse darstellt.</w:t>
        <w:br/>
        <w:br/>
        <w:t>Gefährdung</w:t>
        <w:br/>
        <w:t>Es könnte eine Gefährdung des Kulturdenkmals durch das undichte Dach vorliegen.</w:t>
        <w:br/>
        <w:br/>
        <w:t>Rechtsfolgenseite</w:t>
        <w:br/>
        <w:br/>
        <w:t>Der Pflichtige</w:t>
        <w:br/>
        <w:t>Als Pflichtige kommen sowohl F.K als auch G.K in Betracht.</w:t>
        <w:br/>
        <w:br/>
        <w:t>F.K könnte pflichtig sein nach § 7 Abs.</w:t>
        <w:br/>
        <w:br/>
        <w:t>1 Satz 1 DSchG und § 7 PolG, da er Eigentümer des Fachwerkhauses ist, von dessen Dach eine Gefährdung für das Denkmal ausgeht.</w:t>
        <w:br/>
        <w:br/>
        <w:t>G.K ist ebenfalls Eigentümer des Fachwerkhauses und somit nach denselben Vorschriften pflichtig.</w:t>
        <w:br/>
        <w:br/>
        <w:t>Letztlich ist F.K der richtige Pflichtige, da er über ein höheres Einkommen verfügt und somit leistungsfähiger ist.</w:t>
        <w:br/>
        <w:br/>
        <w:t>Ermessen</w:t>
        <w:br/>
        <w:t>Das Landratsamt hat gemäß § 7 DSchG ein Ermessen, das nach § 40 LVwVfG ausgeübt wird.</w:t>
        <w:br/>
        <w:br/>
        <w:t>Die Anordnung der Reparatur mit Biberschwanz-Dachziegeln ist verhältnismäßig und ermessensgerecht, da eine kostengünstigere Reparatur mit Eternitplatten nicht geeignet ist, die Denkmalanforderungen zu erfüllen.</w:t>
        <w:br/>
        <w:br/>
        <w:t>Der Vorteil für die Allgemeinheit durch die Ansehnlichkeit des Denkmals rechtfertigt den finanziellen Nachteil für den Eigentümer (F.K.).</w:t>
        <w:br/>
        <w:br/>
        <w:t>Unmöglichkeit</w:t>
        <w:br/>
        <w:t>Es könnte eine privatrechtliche Unmöglichkeit vorliegen, wenn das private Recht eines Dritten der Ausführung des Verwaltungsaktes entgegensteht.</w:t>
        <w:br/>
        <w:br/>
        <w:t>Hier könnte § 2038 Abs.</w:t>
        <w:br/>
        <w:br/>
        <w:t>1 Satz 1 BGB relevant sein, da G.K als Miterbe allen Maßnahmen zustimmen müsste, dies jedoch verweigert.</w:t>
        <w:br/>
        <w:br/>
        <w:t>Eine Ausnahme besteht gemäß § 2038 Abs.</w:t>
        <w:br/>
        <w:br/>
        <w:t>1 Satz 2 Halbsatz 2 BGB, wenn die Reparatur als notwendige Erhaltungsmaßnahme anzusehen ist.</w:t>
        <w:br/>
        <w:br/>
        <w:t>Angesichts des höheren Verkaufswerts des Fachwerkhauses erscheint die Maßnahme wirtschaftlich vernünftig, und F.K kann ohne G.K handeln, wodurch keine privatrechtliche Unmöglichkeit besteht.</w:t>
        <w:br/>
        <w:br/>
        <w:t>Bestimmtheit</w:t>
        <w:br/>
        <w:t>Die Anordnung muss gemäß § 37 LVwVfG bestimmt genug formuliert werden.</w:t>
        <w:br/>
        <w:br/>
        <w:t>Formelle Vorrausetzung</w:t>
        <w:br/>
        <w:br/>
        <w:t>Zuständigkeit</w:t>
        <w:br/>
        <w:br/>
        <w:t>Sachliche Zuständigkeit</w:t>
        <w:br/>
        <w:t>Das Landratsamt ist gemäß §§ 7 Abs.</w:t>
        <w:br/>
        <w:br/>
        <w:t>4, 3 Abs.</w:t>
        <w:br/>
        <w:br/>
        <w:t>3, Abs.</w:t>
        <w:br/>
        <w:br/>
        <w:t>1 Nr.</w:t>
        <w:br/>
        <w:br/>
        <w:t>3 DSchG und § 46 Abs.</w:t>
        <w:br/>
        <w:br/>
        <w:t>2 LBO und § 15 LVG sachlich zuständig.</w:t>
        <w:br/>
        <w:br/>
        <w:t>Örtliche Zuständigkeit</w:t>
        <w:br/>
        <w:t>Das Landratsamt Ortenaukreis ist gemäß § 3 Abs.</w:t>
        <w:br/>
        <w:br/>
        <w:t>1 Nr.</w:t>
        <w:br/>
        <w:br/>
        <w:t>1 LVwVfG örtlich zuständig.</w:t>
        <w:br/>
        <w:br/>
        <w:t>Verfahren</w:t>
        <w:br/>
        <w:br/>
        <w:t>Beteiligte</w:t>
        <w:br/>
        <w:t>F.K und G.K sind nach §§ 13 Abs.</w:t>
        <w:br/>
        <w:br/>
        <w:t>1 Nr.</w:t>
        <w:br/>
        <w:br/>
        <w:t>2 und 4 LVwVfG beteiligt.</w:t>
        <w:br/>
        <w:br/>
        <w:t>G.K ist beteiligt, da er Eigentümer des Fachwerkhauses ist.</w:t>
        <w:br/>
        <w:br/>
        <w:t>Es besteht also ein rechtliches Interesse nach § 13 Abs.</w:t>
        <w:br/>
        <w:br/>
        <w:t>2 LVwVfG.</w:t>
        <w:br/>
        <w:br/>
        <w:t>Ausgeschlossene Personen/Befangenheit</w:t>
        <w:br/>
        <w:t>Es könnte eine Problematik im Sinne des § 21 LVwVfG gegeben sein, da F.K in der Vergangenheit das Landratsamt wegen "schlechter Abfallpolitik" angegriffen hat.</w:t>
        <w:br/>
        <w:br/>
        <w:t>Eine Befangenheit kann jedoch nicht festgestellt werden, da der Mitarbeiter, der den Fall bearbeitet, den Sachverhalt nicht kennt.</w:t>
        <w:br/>
        <w:br/>
        <w:t>Beteiligung anderer Behörden</w:t>
        <w:br/>
        <w:t>Das Landesamt für Denkmalpflege muss gemäß § 3 Abs.</w:t>
        <w:br/>
        <w:br/>
        <w:t>4 DSchG angehört werden.</w:t>
        <w:br/>
        <w:br/>
        <w:t>Anhörung</w:t>
        <w:br/>
        <w:t>F.K und G.K müssen gemäß § 28 Abs.</w:t>
        <w:br/>
        <w:br/>
        <w:t>1 LVwVfG angehört werden.</w:t>
        <w:br/>
        <w:br/>
        <w:t>Form</w:t>
        <w:br/>
        <w:br/>
        <w:t>Formwahl</w:t>
        <w:br/>
        <w:t>Die Anordnung kann gemäß § 37 Abs.</w:t>
        <w:br/>
        <w:br/>
        <w:t>2 LVwVfG schriftlich erfolgen.</w:t>
        <w:br/>
        <w:br/>
        <w:t>Begründungspflicht</w:t>
        <w:br/>
        <w:t>Die Anordnung muss gemäß § 39 Abs.</w:t>
        <w:br/>
        <w:br/>
        <w:t>1 LVwVfG schriftlich begründet werden.</w:t>
        <w:br/>
        <w:br/>
        <w:t>Rechtbehelfsbelehrung</w:t>
        <w:br/>
        <w:t>Eine Rechtsbehelfsbelehrung muss gemäß § 37 Abs.</w:t>
        <w:br/>
        <w:br/>
        <w:t>6 LVwVfG beigefügt werden.</w:t>
        <w:br/>
        <w:br/>
        <w:t>Bekanntgabe</w:t>
        <w:br/>
        <w:t>Die Anordnung wird gemäß § 43 Abs.</w:t>
        <w:br/>
        <w:br/>
        <w:t>1 LVwVfG durch Bekanntgabe wirksam.</w:t>
        <w:br/>
        <w:br/>
        <w:t>F.K sollte der Bescheid mittels PZU nach § 3 LVwZG zugestellt und damit bekanntgegeben werden.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