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des Landratsamts zur Reparatur des Fachwerkhauses mit Biberschwanz-Dachziegeln könnte auf §1 Abs. 1 in Verbindung mit § 7 Abs.1 Satz 1 DSchG gestützt werden.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Der G.K ist ebenfalls Eigentümer des Fachwerkhauses und somit nach denselben Vorschriften pflichtig. Letztlich ist F.K der richtige Pflichtige, da er über ein höheres Einkommen verfügt und somit leistungsfähiger ist.</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Es könnte eine Problematik im Sinne des § 21 LVwVfg gegeben sein, da F.K in der Vergangenheit das Amt wegen "schlechter Abfallpolitik" angegriffen hat. Eine Befangenheit des Mitarbeiters, der den Fall bearbeitet, ist jedoch nicht bekannt.</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 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