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Anordnung des Landratsamts zur Reparatur des Fachwerkhauses mit Biberschwanz-Dachziegeln könnte auf §1 Abs. 1 in Verbindung mit § 7 Abs.1 Satz 1 DSchG gestützt werden.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einer Sache ist, von deren Zustand eine Gefahr ausgeht. Der G.K ist ebenfalls Eigentümer des Fachwerkhauses und somit nach denselben Vorschriften pflichtig.</w:t>
        <w:br/>
        <w:br/>
        <w:t>Ermessen</w:t>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t>Nach § 37 LVwVfG muss die Anordnung bestimmt genug formuliert werden.</w:t>
        <w:br/>
        <w:br/>
        <w:t>Formelle Vorrausetzung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Es könnte eine Problematik im Sinne des § 21 LVwVfg gegeben sein, da F.K in der Vergangenheit kritische Leserbriefe verfasst hat. Eine Befangenheit des Mitarbeiters, der den Fall bearbeitet, ist jedoch nicht bekannt.</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 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