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Anordnung des Landratsamts zur Reparatur des Fachwerkhauses mit Biberschwanz-Dachziegeln könnte auf §1 Abs. 1 in Verbindung mit § 7 Abs.1 Satz 1 DSchG gestützt werden.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könnte eine Problematik im Sinne des § 21 LVwVfg gegeben sein, da F.K in der Vergangenheit das Amt wegen "schlechter Abfallpolitik" angegriffen hat. Eine Befangenheit des Mitarbeiters, der den Fall bearbeitet, ist jedoch nicht bekannt.</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 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