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9870" w14:textId="77777777" w:rsidR="00E25459" w:rsidRDefault="00000000">
      <w:pPr>
        <w:spacing w:after="80"/>
      </w:pPr>
      <w:r>
        <w:rPr>
          <w:b/>
          <w:bCs/>
          <w:color w:val="1F4E78"/>
          <w:sz w:val="56"/>
          <w:szCs w:val="56"/>
        </w:rPr>
        <w:t>Telco Customer Churn</w:t>
      </w:r>
    </w:p>
    <w:p w14:paraId="039E00BE" w14:textId="77777777" w:rsidR="00E25459" w:rsidRDefault="00000000">
      <w:pPr>
        <w:spacing w:after="400"/>
      </w:pPr>
      <w:r>
        <w:rPr>
          <w:color w:val="444444"/>
          <w:sz w:val="32"/>
          <w:szCs w:val="32"/>
        </w:rPr>
        <w:t>Prediction &amp; Insights Report</w:t>
      </w:r>
    </w:p>
    <w:p w14:paraId="57BAC30F" w14:textId="77777777" w:rsidR="00D95B22" w:rsidRPr="00D95B22" w:rsidRDefault="00D95B22" w:rsidP="00D95B22">
      <w:pPr>
        <w:pStyle w:val="Heading1"/>
        <w:spacing w:before="300" w:after="150"/>
        <w:rPr>
          <w:i/>
          <w:iCs/>
          <w:color w:val="000000" w:themeColor="text1"/>
        </w:rPr>
      </w:pPr>
      <w:r w:rsidRPr="00D95B22">
        <w:rPr>
          <w:b/>
          <w:bCs/>
          <w:i/>
          <w:iCs/>
          <w:color w:val="000000" w:themeColor="text1"/>
        </w:rPr>
        <w:t>Author:</w:t>
      </w:r>
      <w:r w:rsidRPr="00D95B22">
        <w:rPr>
          <w:i/>
          <w:iCs/>
          <w:color w:val="000000" w:themeColor="text1"/>
        </w:rPr>
        <w:t xml:space="preserve"> Suraj Joshi</w:t>
      </w:r>
    </w:p>
    <w:p w14:paraId="32DA008C" w14:textId="77777777" w:rsidR="00D95B22" w:rsidRPr="00D95B22" w:rsidRDefault="00D95B22" w:rsidP="00D95B22">
      <w:pPr>
        <w:pStyle w:val="Heading1"/>
        <w:spacing w:before="300" w:after="150"/>
        <w:rPr>
          <w:i/>
          <w:iCs/>
          <w:color w:val="000000" w:themeColor="text1"/>
        </w:rPr>
      </w:pPr>
      <w:r w:rsidRPr="00D95B22">
        <w:rPr>
          <w:b/>
          <w:bCs/>
          <w:i/>
          <w:iCs/>
          <w:color w:val="000000" w:themeColor="text1"/>
        </w:rPr>
        <w:t>Dataset:</w:t>
      </w:r>
      <w:r w:rsidRPr="00D95B22">
        <w:rPr>
          <w:i/>
          <w:iCs/>
          <w:color w:val="000000" w:themeColor="text1"/>
        </w:rPr>
        <w:t xml:space="preserve"> Telco Customer Churn (7,043 customers, 21 attributes)</w:t>
      </w:r>
    </w:p>
    <w:p w14:paraId="7053DC7D" w14:textId="77777777" w:rsidR="00D95B22" w:rsidRPr="00D95B22" w:rsidRDefault="00D95B22" w:rsidP="00D95B22">
      <w:pPr>
        <w:pStyle w:val="Heading1"/>
        <w:spacing w:before="300" w:after="150"/>
        <w:rPr>
          <w:i/>
          <w:iCs/>
          <w:color w:val="000000" w:themeColor="text1"/>
        </w:rPr>
      </w:pPr>
      <w:r w:rsidRPr="00D95B22">
        <w:rPr>
          <w:b/>
          <w:bCs/>
          <w:i/>
          <w:iCs/>
          <w:color w:val="000000" w:themeColor="text1"/>
        </w:rPr>
        <w:t>Source:</w:t>
      </w:r>
      <w:r w:rsidRPr="00D95B22">
        <w:rPr>
          <w:i/>
          <w:iCs/>
          <w:color w:val="000000" w:themeColor="text1"/>
        </w:rPr>
        <w:t xml:space="preserve"> https://www.kaggle.com/datasets/blastchar/telco-customer-churn</w:t>
      </w:r>
    </w:p>
    <w:p w14:paraId="5C3E9B3F" w14:textId="77777777" w:rsidR="00D95B22" w:rsidRPr="00D95B22" w:rsidRDefault="00D95B22" w:rsidP="00D95B22">
      <w:pPr>
        <w:pStyle w:val="Heading1"/>
        <w:spacing w:before="300" w:after="150"/>
        <w:rPr>
          <w:i/>
          <w:iCs/>
          <w:color w:val="000000" w:themeColor="text1"/>
        </w:rPr>
      </w:pPr>
      <w:r w:rsidRPr="00D95B22">
        <w:rPr>
          <w:b/>
          <w:bCs/>
          <w:i/>
          <w:iCs/>
          <w:color w:val="000000" w:themeColor="text1"/>
        </w:rPr>
        <w:t>Context:</w:t>
      </w:r>
      <w:r w:rsidRPr="00D95B22">
        <w:rPr>
          <w:i/>
          <w:iCs/>
          <w:color w:val="000000" w:themeColor="text1"/>
        </w:rPr>
        <w:t xml:space="preserve"> Prepared for the AICTE | IBM </w:t>
      </w:r>
      <w:proofErr w:type="spellStart"/>
      <w:r w:rsidRPr="00D95B22">
        <w:rPr>
          <w:i/>
          <w:iCs/>
          <w:color w:val="000000" w:themeColor="text1"/>
        </w:rPr>
        <w:t>SkillsBuild</w:t>
      </w:r>
      <w:proofErr w:type="spellEnd"/>
      <w:r w:rsidRPr="00D95B22">
        <w:rPr>
          <w:i/>
          <w:iCs/>
          <w:color w:val="000000" w:themeColor="text1"/>
        </w:rPr>
        <w:t xml:space="preserve"> Data Analytics with AI Internship 2026 (</w:t>
      </w:r>
      <w:proofErr w:type="spellStart"/>
      <w:r w:rsidRPr="00D95B22">
        <w:rPr>
          <w:i/>
          <w:iCs/>
          <w:color w:val="000000" w:themeColor="text1"/>
        </w:rPr>
        <w:t>BharatCares</w:t>
      </w:r>
      <w:proofErr w:type="spellEnd"/>
      <w:r w:rsidRPr="00D95B22">
        <w:rPr>
          <w:i/>
          <w:iCs/>
          <w:color w:val="000000" w:themeColor="text1"/>
        </w:rPr>
        <w:t>)</w:t>
      </w:r>
    </w:p>
    <w:p w14:paraId="341689A4" w14:textId="77777777" w:rsidR="00E25459" w:rsidRDefault="00000000">
      <w:pPr>
        <w:pStyle w:val="Heading1"/>
        <w:spacing w:before="300" w:after="150"/>
      </w:pPr>
      <w:r>
        <w:t>1. Executive Summary</w:t>
      </w:r>
    </w:p>
    <w:p w14:paraId="3BDFB4D8" w14:textId="77777777" w:rsidR="00D95B22" w:rsidRPr="00D95B22" w:rsidRDefault="00D95B22" w:rsidP="00D95B22">
      <w:pPr>
        <w:spacing w:after="120"/>
      </w:pPr>
      <w:r w:rsidRPr="00D95B22">
        <w:t>This project analyzes customer churn in a telecommunications dataset. It answers two practical questions: which customers are most likely to leave, and what factors connect to that decision. After cleaning the data, I analyzed churn patterns, tested primary relationships statistically, and trained a machine learning model to identify high-risk accounts.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25459" w14:paraId="0C3D70D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4E78"/>
          </w:tcPr>
          <w:p w14:paraId="4322026B" w14:textId="77777777" w:rsidR="00E25459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00" w:type="dxa"/>
            <w:shd w:val="clear" w:color="auto" w:fill="1F4E78"/>
          </w:tcPr>
          <w:p w14:paraId="0AC39525" w14:textId="77777777" w:rsidR="00E25459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E25459" w14:paraId="025F81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C1F2ED1" w14:textId="77777777" w:rsidR="00E25459" w:rsidRDefault="00000000">
            <w:r>
              <w:rPr>
                <w:b/>
                <w:bCs/>
                <w:color w:val="000000"/>
              </w:rPr>
              <w:t>Total Customers</w:t>
            </w:r>
          </w:p>
        </w:tc>
        <w:tc>
          <w:tcPr>
            <w:tcW w:w="4500" w:type="dxa"/>
          </w:tcPr>
          <w:p w14:paraId="4353D6AD" w14:textId="77777777" w:rsidR="00E25459" w:rsidRDefault="00000000">
            <w:r>
              <w:rPr>
                <w:color w:val="000000"/>
              </w:rPr>
              <w:t>7,043</w:t>
            </w:r>
          </w:p>
        </w:tc>
      </w:tr>
      <w:tr w:rsidR="00E25459" w14:paraId="7D29101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4E54BF3" w14:textId="77777777" w:rsidR="00E25459" w:rsidRDefault="00000000">
            <w:r>
              <w:rPr>
                <w:b/>
                <w:bCs/>
                <w:color w:val="000000"/>
              </w:rPr>
              <w:t>Churned Customers</w:t>
            </w:r>
          </w:p>
        </w:tc>
        <w:tc>
          <w:tcPr>
            <w:tcW w:w="4500" w:type="dxa"/>
          </w:tcPr>
          <w:p w14:paraId="0B9F666D" w14:textId="77777777" w:rsidR="00E25459" w:rsidRDefault="00000000">
            <w:r>
              <w:rPr>
                <w:color w:val="000000"/>
              </w:rPr>
              <w:t>1,869</w:t>
            </w:r>
          </w:p>
        </w:tc>
      </w:tr>
      <w:tr w:rsidR="00E25459" w14:paraId="17F443F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B5BB19A" w14:textId="77777777" w:rsidR="00E25459" w:rsidRDefault="00000000">
            <w:r>
              <w:rPr>
                <w:b/>
                <w:bCs/>
                <w:color w:val="000000"/>
              </w:rPr>
              <w:t>Churn Rate</w:t>
            </w:r>
          </w:p>
        </w:tc>
        <w:tc>
          <w:tcPr>
            <w:tcW w:w="4500" w:type="dxa"/>
          </w:tcPr>
          <w:p w14:paraId="77B93A08" w14:textId="77777777" w:rsidR="00E25459" w:rsidRDefault="00000000">
            <w:r>
              <w:rPr>
                <w:color w:val="000000"/>
              </w:rPr>
              <w:t>26.54%</w:t>
            </w:r>
          </w:p>
        </w:tc>
      </w:tr>
    </w:tbl>
    <w:p w14:paraId="10E0F6C9" w14:textId="77777777" w:rsidR="00E25459" w:rsidRDefault="00000000">
      <w:pPr>
        <w:pStyle w:val="Heading1"/>
        <w:spacing w:before="300" w:after="150"/>
      </w:pPr>
      <w:r>
        <w:t>2. Data Cleaning</w:t>
      </w:r>
    </w:p>
    <w:p w14:paraId="4A2B5019" w14:textId="2AFAC829" w:rsidR="00D95B22" w:rsidRPr="00D95B22" w:rsidRDefault="00D95B22" w:rsidP="00D95B22">
      <w:pPr>
        <w:pStyle w:val="Heading1"/>
        <w:numPr>
          <w:ilvl w:val="0"/>
          <w:numId w:val="2"/>
        </w:numPr>
        <w:spacing w:before="300" w:after="150"/>
        <w:rPr>
          <w:color w:val="000000" w:themeColor="text1"/>
        </w:rPr>
      </w:pPr>
      <w:r w:rsidRPr="00D95B22">
        <w:rPr>
          <w:b/>
          <w:bCs/>
          <w:color w:val="000000" w:themeColor="text1"/>
        </w:rPr>
        <w:t>Total Charges</w:t>
      </w:r>
      <w:r w:rsidRPr="00D95B22">
        <w:rPr>
          <w:b/>
          <w:bCs/>
        </w:rPr>
        <w:t>:</w:t>
      </w:r>
      <w:r w:rsidRPr="00D95B22">
        <w:t xml:space="preserve"> </w:t>
      </w:r>
      <w:r w:rsidRPr="00D95B22">
        <w:rPr>
          <w:color w:val="000000" w:themeColor="text1"/>
        </w:rPr>
        <w:t>Converted from text to numeric format. This step identified 11 blank entries, all belonging to customers with a tenure of 0 months. Because these were new accounts with no billed history, the blanks were replaced with 0 rather than deleting the rows.</w:t>
      </w:r>
    </w:p>
    <w:p w14:paraId="7AACA64C" w14:textId="77777777" w:rsidR="00D95B22" w:rsidRPr="00D95B22" w:rsidRDefault="00D95B22" w:rsidP="00D95B22">
      <w:pPr>
        <w:pStyle w:val="Heading1"/>
        <w:numPr>
          <w:ilvl w:val="0"/>
          <w:numId w:val="2"/>
        </w:numPr>
        <w:spacing w:before="300" w:after="150"/>
        <w:rPr>
          <w:color w:val="000000" w:themeColor="text1"/>
        </w:rPr>
      </w:pPr>
      <w:r w:rsidRPr="00D95B22">
        <w:rPr>
          <w:b/>
          <w:bCs/>
          <w:color w:val="000000" w:themeColor="text1"/>
        </w:rPr>
        <w:t>SeniorCitizen:</w:t>
      </w:r>
      <w:r w:rsidRPr="00D95B22">
        <w:rPr>
          <w:color w:val="000000" w:themeColor="text1"/>
        </w:rPr>
        <w:t xml:space="preserve"> Recoded from binary values (0/1) to categorical labels (No/Yes) to improve readability.</w:t>
      </w:r>
    </w:p>
    <w:p w14:paraId="4C749BEF" w14:textId="77777777" w:rsidR="00D95B22" w:rsidRPr="00D95B22" w:rsidRDefault="00D95B22" w:rsidP="00D95B22">
      <w:pPr>
        <w:pStyle w:val="Heading1"/>
        <w:numPr>
          <w:ilvl w:val="0"/>
          <w:numId w:val="2"/>
        </w:numPr>
        <w:spacing w:before="300" w:after="150"/>
        <w:rPr>
          <w:color w:val="000000" w:themeColor="text1"/>
        </w:rPr>
      </w:pPr>
      <w:proofErr w:type="spellStart"/>
      <w:r w:rsidRPr="00D95B22">
        <w:rPr>
          <w:b/>
          <w:bCs/>
          <w:color w:val="000000" w:themeColor="text1"/>
        </w:rPr>
        <w:t>CustomerID</w:t>
      </w:r>
      <w:proofErr w:type="spellEnd"/>
      <w:r w:rsidRPr="00D95B22">
        <w:rPr>
          <w:b/>
          <w:bCs/>
          <w:color w:val="000000" w:themeColor="text1"/>
        </w:rPr>
        <w:t>:</w:t>
      </w:r>
      <w:r w:rsidRPr="00D95B22">
        <w:rPr>
          <w:color w:val="000000" w:themeColor="text1"/>
        </w:rPr>
        <w:t xml:space="preserve"> Excluded from predictive modeling because it serves strictly as a record identifier.</w:t>
      </w:r>
    </w:p>
    <w:p w14:paraId="7C2945A9" w14:textId="77777777" w:rsidR="00E25459" w:rsidRDefault="00000000">
      <w:pPr>
        <w:pStyle w:val="Heading1"/>
        <w:spacing w:before="300" w:after="150"/>
      </w:pPr>
      <w:r>
        <w:lastRenderedPageBreak/>
        <w:t>3. Exploratory Data Analysis</w:t>
      </w:r>
    </w:p>
    <w:p w14:paraId="56625ADB" w14:textId="77777777" w:rsidR="00E25459" w:rsidRDefault="00000000">
      <w:pPr>
        <w:pStyle w:val="Heading2"/>
        <w:spacing w:before="250" w:after="120"/>
      </w:pPr>
      <w:r>
        <w:t>3.1 Overall Churn</w:t>
      </w:r>
    </w:p>
    <w:p w14:paraId="16446425" w14:textId="77777777" w:rsidR="00E2545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04B8D4F" wp14:editId="3D78D04A">
            <wp:extent cx="3619500" cy="2409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F149" w14:textId="77777777" w:rsidR="00D95B22" w:rsidRDefault="00D95B22">
      <w:pPr>
        <w:pStyle w:val="Heading2"/>
        <w:spacing w:before="250" w:after="120"/>
        <w:rPr>
          <w:color w:val="auto"/>
          <w:sz w:val="20"/>
          <w:szCs w:val="20"/>
        </w:rPr>
      </w:pPr>
      <w:r w:rsidRPr="00D95B22">
        <w:rPr>
          <w:color w:val="auto"/>
          <w:sz w:val="20"/>
          <w:szCs w:val="20"/>
        </w:rPr>
        <w:t>Overall, 26.54% of the customers in the dataset churned (1,869 out of 7,043). About one out of every four customers left the service.</w:t>
      </w:r>
    </w:p>
    <w:p w14:paraId="3C516A1F" w14:textId="2E556C7E" w:rsidR="00E25459" w:rsidRDefault="00000000">
      <w:pPr>
        <w:pStyle w:val="Heading2"/>
        <w:spacing w:before="250" w:after="120"/>
      </w:pPr>
      <w:r>
        <w:t>3.2 Churn by Contract Type</w:t>
      </w:r>
    </w:p>
    <w:p w14:paraId="1A60F0D8" w14:textId="77777777" w:rsidR="00E2545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EDB7063" wp14:editId="23736713">
            <wp:extent cx="4000500" cy="2286000"/>
            <wp:effectExtent l="0" t="0" r="0" b="0"/>
            <wp:docPr id="1612709499" name="Picture 1612709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6719" w14:textId="77777777" w:rsidR="00D95B22" w:rsidRPr="00D95B22" w:rsidRDefault="00D95B22" w:rsidP="00D95B22">
      <w:pPr>
        <w:pStyle w:val="Heading1"/>
        <w:spacing w:before="300" w:after="150"/>
        <w:rPr>
          <w:rFonts w:ascii="Calibri" w:hAnsi="Calibri" w:cs="Calibri"/>
          <w:color w:val="000000" w:themeColor="text1"/>
          <w:sz w:val="28"/>
          <w:szCs w:val="28"/>
        </w:rPr>
      </w:pPr>
      <w:r w:rsidRPr="00D95B22">
        <w:rPr>
          <w:rFonts w:ascii="Calibri" w:hAnsi="Calibri" w:cs="Calibri"/>
          <w:color w:val="000000" w:themeColor="text1"/>
          <w:sz w:val="28"/>
          <w:szCs w:val="28"/>
        </w:rPr>
        <w:t>Churn rates vary by contract duration. Customers on month-to-month contracts churned at higher rates compared to those on one-year or two-year contracts.</w:t>
      </w:r>
    </w:p>
    <w:p w14:paraId="0484DA05" w14:textId="77777777" w:rsidR="00E25459" w:rsidRDefault="00000000">
      <w:pPr>
        <w:pStyle w:val="Heading1"/>
        <w:spacing w:before="300" w:after="150"/>
      </w:pPr>
      <w:r>
        <w:t>4. Statistical Significance Test</w:t>
      </w:r>
    </w:p>
    <w:p w14:paraId="77AC951B" w14:textId="5D310807" w:rsidR="00E25459" w:rsidRDefault="00D95B22">
      <w:pPr>
        <w:spacing w:after="120"/>
        <w:rPr>
          <w:rFonts w:ascii="Calibri" w:hAnsi="Calibri" w:cs="Calibri"/>
          <w:sz w:val="24"/>
          <w:szCs w:val="24"/>
        </w:rPr>
      </w:pPr>
      <w:r w:rsidRPr="00D95B22">
        <w:rPr>
          <w:rFonts w:ascii="Calibri" w:hAnsi="Calibri" w:cs="Calibri"/>
          <w:sz w:val="24"/>
          <w:szCs w:val="24"/>
        </w:rPr>
        <w:t>A chi-square test of independence evaluated the relationship between contract type and churn.</w:t>
      </w:r>
    </w:p>
    <w:p w14:paraId="6E35B1A7" w14:textId="77777777" w:rsidR="00D95B22" w:rsidRDefault="00D95B22">
      <w:pPr>
        <w:spacing w:after="120"/>
        <w:rPr>
          <w:rFonts w:ascii="Calibri" w:hAnsi="Calibri" w:cs="Calibri"/>
          <w:sz w:val="24"/>
          <w:szCs w:val="24"/>
        </w:rPr>
      </w:pPr>
    </w:p>
    <w:p w14:paraId="55E5CFA3" w14:textId="77777777" w:rsidR="00D95B22" w:rsidRPr="00D95B22" w:rsidRDefault="00D95B22">
      <w:pPr>
        <w:spacing w:after="120"/>
        <w:rPr>
          <w:rFonts w:ascii="Calibri" w:hAnsi="Calibri" w:cs="Calibri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25459" w14:paraId="062222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4E78"/>
          </w:tcPr>
          <w:p w14:paraId="32E11BDA" w14:textId="77777777" w:rsidR="00E25459" w:rsidRDefault="00000000">
            <w:r>
              <w:rPr>
                <w:b/>
                <w:bCs/>
                <w:color w:val="FFFFFF"/>
              </w:rPr>
              <w:lastRenderedPageBreak/>
              <w:t>Test</w:t>
            </w:r>
          </w:p>
        </w:tc>
        <w:tc>
          <w:tcPr>
            <w:tcW w:w="4500" w:type="dxa"/>
            <w:shd w:val="clear" w:color="auto" w:fill="1F4E78"/>
          </w:tcPr>
          <w:p w14:paraId="00F65B88" w14:textId="77777777" w:rsidR="00E25459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E25459" w14:paraId="7B6BB8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67F8A01" w14:textId="77777777" w:rsidR="00E25459" w:rsidRDefault="00000000">
            <w:r>
              <w:rPr>
                <w:b/>
                <w:bCs/>
                <w:color w:val="000000"/>
              </w:rPr>
              <w:t>Chi-square statistic</w:t>
            </w:r>
          </w:p>
        </w:tc>
        <w:tc>
          <w:tcPr>
            <w:tcW w:w="4500" w:type="dxa"/>
          </w:tcPr>
          <w:p w14:paraId="45DE478D" w14:textId="77777777" w:rsidR="00E25459" w:rsidRDefault="00000000">
            <w:r>
              <w:rPr>
                <w:color w:val="000000"/>
              </w:rPr>
              <w:t>1184.6</w:t>
            </w:r>
          </w:p>
        </w:tc>
      </w:tr>
      <w:tr w:rsidR="00E25459" w14:paraId="0BC254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E837D89" w14:textId="77777777" w:rsidR="00E25459" w:rsidRDefault="00000000">
            <w:r>
              <w:rPr>
                <w:b/>
                <w:bCs/>
                <w:color w:val="000000"/>
              </w:rPr>
              <w:t>p-value</w:t>
            </w:r>
          </w:p>
        </w:tc>
        <w:tc>
          <w:tcPr>
            <w:tcW w:w="4500" w:type="dxa"/>
          </w:tcPr>
          <w:p w14:paraId="4573EFC6" w14:textId="77777777" w:rsidR="00E25459" w:rsidRDefault="00000000">
            <w:r>
              <w:rPr>
                <w:color w:val="000000"/>
              </w:rPr>
              <w:t>5.86 x 10⁻²⁵⁸</w:t>
            </w:r>
          </w:p>
        </w:tc>
      </w:tr>
      <w:tr w:rsidR="00E25459" w14:paraId="06CF13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927D700" w14:textId="77777777" w:rsidR="00E25459" w:rsidRDefault="00000000">
            <w:r>
              <w:rPr>
                <w:b/>
                <w:bCs/>
                <w:color w:val="000000"/>
              </w:rPr>
              <w:t>Conclusion</w:t>
            </w:r>
          </w:p>
        </w:tc>
        <w:tc>
          <w:tcPr>
            <w:tcW w:w="4500" w:type="dxa"/>
          </w:tcPr>
          <w:p w14:paraId="486FDF1C" w14:textId="77777777" w:rsidR="00E25459" w:rsidRDefault="00000000">
            <w:r>
              <w:rPr>
                <w:color w:val="000000"/>
              </w:rPr>
              <w:t>Statistically significant (p &lt; 0.001)</w:t>
            </w:r>
          </w:p>
        </w:tc>
      </w:tr>
    </w:tbl>
    <w:p w14:paraId="7562E7A2" w14:textId="77777777" w:rsidR="00D95B22" w:rsidRDefault="00D95B22">
      <w:pPr>
        <w:spacing w:after="120"/>
      </w:pPr>
    </w:p>
    <w:p w14:paraId="69D53CDD" w14:textId="77777777" w:rsidR="00D95B22" w:rsidRPr="00D95B22" w:rsidRDefault="00D95B22" w:rsidP="00D95B22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D95B22">
        <w:rPr>
          <w:color w:val="000000" w:themeColor="text1"/>
          <w:sz w:val="28"/>
          <w:szCs w:val="28"/>
        </w:rPr>
        <w:t>The p-value is below the 0.05 threshold, showing strong evidence of an association between contract type and churn. Contract type and churn are not independent in this dataset.</w:t>
      </w:r>
    </w:p>
    <w:p w14:paraId="348CCF11" w14:textId="77777777" w:rsidR="00D95B22" w:rsidRPr="00D95B22" w:rsidRDefault="00D95B22" w:rsidP="00D95B22">
      <w:pPr>
        <w:pStyle w:val="Heading1"/>
        <w:spacing w:before="300" w:after="150"/>
        <w:rPr>
          <w:color w:val="000000" w:themeColor="text1"/>
          <w:sz w:val="28"/>
          <w:szCs w:val="28"/>
        </w:rPr>
      </w:pPr>
      <w:r w:rsidRPr="00D95B22">
        <w:rPr>
          <w:color w:val="000000" w:themeColor="text1"/>
          <w:sz w:val="28"/>
          <w:szCs w:val="28"/>
        </w:rPr>
        <w:t>A logistic regression model was also fitted to evaluate individual variable coefficients and provide statistical context alongside the tree-based model.</w:t>
      </w:r>
    </w:p>
    <w:p w14:paraId="2219B92F" w14:textId="77777777" w:rsidR="00E25459" w:rsidRDefault="00000000">
      <w:pPr>
        <w:pStyle w:val="Heading1"/>
        <w:spacing w:before="300" w:after="150"/>
      </w:pPr>
      <w:r>
        <w:t>5. Prediction Model</w:t>
      </w:r>
    </w:p>
    <w:p w14:paraId="23C05F16" w14:textId="77777777" w:rsidR="00D95B22" w:rsidRPr="00D95B22" w:rsidRDefault="00D95B22" w:rsidP="00D95B22">
      <w:pPr>
        <w:spacing w:after="120"/>
        <w:rPr>
          <w:sz w:val="24"/>
          <w:szCs w:val="24"/>
        </w:rPr>
      </w:pPr>
      <w:r w:rsidRPr="00D95B22">
        <w:rPr>
          <w:sz w:val="24"/>
          <w:szCs w:val="24"/>
        </w:rPr>
        <w:t>Because churn accounts for 26.54% of total observations, evaluation focused on precision, recall, and F1 score alongside accuracy. A Random Forest Classifier with 300 trees, a maximum depth of 8, and class-balanced weighting was trained on an 80/20 train-test split.</w:t>
      </w:r>
    </w:p>
    <w:p w14:paraId="4FE1F473" w14:textId="3C299EDD" w:rsidR="00E25459" w:rsidRDefault="00000000">
      <w:pPr>
        <w:spacing w:after="120"/>
      </w:pP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25459" w14:paraId="6CA7E7C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4E78"/>
          </w:tcPr>
          <w:p w14:paraId="2A6BB858" w14:textId="77777777" w:rsidR="00E25459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500" w:type="dxa"/>
            <w:shd w:val="clear" w:color="auto" w:fill="1F4E78"/>
          </w:tcPr>
          <w:p w14:paraId="018BD646" w14:textId="77777777" w:rsidR="00E25459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E25459" w14:paraId="39BDEED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073F83F" w14:textId="77777777" w:rsidR="00E25459" w:rsidRDefault="00000000">
            <w:r>
              <w:rPr>
                <w:color w:val="000000"/>
              </w:rPr>
              <w:t>Accuracy</w:t>
            </w:r>
          </w:p>
        </w:tc>
        <w:tc>
          <w:tcPr>
            <w:tcW w:w="4500" w:type="dxa"/>
          </w:tcPr>
          <w:p w14:paraId="7C072907" w14:textId="77777777" w:rsidR="00E25459" w:rsidRDefault="00000000">
            <w:r>
              <w:rPr>
                <w:color w:val="000000"/>
              </w:rPr>
              <w:t>75.2%</w:t>
            </w:r>
          </w:p>
        </w:tc>
      </w:tr>
      <w:tr w:rsidR="00E25459" w14:paraId="65E8A7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67FEEA4" w14:textId="77777777" w:rsidR="00E25459" w:rsidRDefault="00000000">
            <w:r>
              <w:rPr>
                <w:color w:val="000000"/>
              </w:rPr>
              <w:t>Precision (Churn)</w:t>
            </w:r>
          </w:p>
        </w:tc>
        <w:tc>
          <w:tcPr>
            <w:tcW w:w="4500" w:type="dxa"/>
          </w:tcPr>
          <w:p w14:paraId="34F2E930" w14:textId="77777777" w:rsidR="00E25459" w:rsidRDefault="00000000">
            <w:r>
              <w:rPr>
                <w:color w:val="000000"/>
              </w:rPr>
              <w:t>52.1%</w:t>
            </w:r>
          </w:p>
        </w:tc>
      </w:tr>
      <w:tr w:rsidR="00E25459" w14:paraId="3D60CD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971F478" w14:textId="77777777" w:rsidR="00E25459" w:rsidRDefault="00000000">
            <w:r>
              <w:rPr>
                <w:color w:val="000000"/>
              </w:rPr>
              <w:t>Recall (Churn)</w:t>
            </w:r>
          </w:p>
        </w:tc>
        <w:tc>
          <w:tcPr>
            <w:tcW w:w="4500" w:type="dxa"/>
          </w:tcPr>
          <w:p w14:paraId="13BC644E" w14:textId="77777777" w:rsidR="00E25459" w:rsidRDefault="00000000">
            <w:r>
              <w:rPr>
                <w:color w:val="000000"/>
              </w:rPr>
              <w:t>79.4%</w:t>
            </w:r>
          </w:p>
        </w:tc>
      </w:tr>
      <w:tr w:rsidR="00E25459" w14:paraId="1241DD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5B732DC" w14:textId="77777777" w:rsidR="00E25459" w:rsidRDefault="00000000">
            <w:r>
              <w:rPr>
                <w:color w:val="000000"/>
              </w:rPr>
              <w:t>F1 Score</w:t>
            </w:r>
          </w:p>
        </w:tc>
        <w:tc>
          <w:tcPr>
            <w:tcW w:w="4500" w:type="dxa"/>
          </w:tcPr>
          <w:p w14:paraId="2026F997" w14:textId="77777777" w:rsidR="00E25459" w:rsidRDefault="00000000">
            <w:r>
              <w:rPr>
                <w:color w:val="000000"/>
              </w:rPr>
              <w:t>62.9%</w:t>
            </w:r>
          </w:p>
        </w:tc>
      </w:tr>
    </w:tbl>
    <w:p w14:paraId="03D23127" w14:textId="77777777" w:rsidR="00E25459" w:rsidRDefault="00E25459">
      <w:pPr>
        <w:spacing w:after="120"/>
      </w:pPr>
    </w:p>
    <w:p w14:paraId="056529BF" w14:textId="77777777" w:rsidR="00D95B22" w:rsidRPr="00D95B22" w:rsidRDefault="00D95B22" w:rsidP="00D95B22">
      <w:pPr>
        <w:pStyle w:val="Heading2"/>
        <w:spacing w:before="250" w:after="120"/>
        <w:rPr>
          <w:color w:val="000000" w:themeColor="text1"/>
          <w:sz w:val="24"/>
          <w:szCs w:val="24"/>
        </w:rPr>
      </w:pPr>
      <w:r w:rsidRPr="00D95B22">
        <w:rPr>
          <w:color w:val="000000" w:themeColor="text1"/>
          <w:sz w:val="24"/>
          <w:szCs w:val="24"/>
        </w:rPr>
        <w:t>Recall served as the primary evaluation metric. A recall of 79.4% means the model identified 297 out of 374 churned customers in the test set. In a retention setting, missing a customer who leaves costs more than contacting a customer who stays.</w:t>
      </w:r>
    </w:p>
    <w:p w14:paraId="711AE832" w14:textId="77777777" w:rsidR="00E25459" w:rsidRDefault="00000000">
      <w:pPr>
        <w:pStyle w:val="Heading2"/>
        <w:spacing w:before="250" w:after="120"/>
      </w:pPr>
      <w:r>
        <w:t>5.1 Confusion Matrix</w:t>
      </w:r>
    </w:p>
    <w:p w14:paraId="304AA83F" w14:textId="77777777" w:rsidR="00E2545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D4606F7" wp14:editId="2285FB03">
            <wp:extent cx="3048000" cy="2438400"/>
            <wp:effectExtent l="0" t="0" r="0" b="0"/>
            <wp:docPr id="2140389314" name="Picture 2140389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F827" w14:textId="77777777" w:rsidR="00D95B22" w:rsidRDefault="00D95B22">
      <w:pPr>
        <w:pStyle w:val="Heading2"/>
        <w:spacing w:before="250" w:after="120"/>
        <w:rPr>
          <w:color w:val="auto"/>
          <w:sz w:val="20"/>
          <w:szCs w:val="20"/>
        </w:rPr>
      </w:pPr>
      <w:r w:rsidRPr="00D95B22">
        <w:rPr>
          <w:color w:val="auto"/>
          <w:sz w:val="20"/>
          <w:szCs w:val="20"/>
        </w:rPr>
        <w:lastRenderedPageBreak/>
        <w:t>Out of 374 actual churned customers in the test set, the model correctly identified 297, reaching a recall of 79.4%.</w:t>
      </w:r>
    </w:p>
    <w:p w14:paraId="20904A81" w14:textId="3EE01FEF" w:rsidR="00E25459" w:rsidRDefault="00000000">
      <w:pPr>
        <w:pStyle w:val="Heading2"/>
        <w:spacing w:before="250" w:after="120"/>
      </w:pPr>
      <w:r>
        <w:t>5.2 Top Churn Drivers</w:t>
      </w:r>
    </w:p>
    <w:p w14:paraId="5A8703D0" w14:textId="77777777" w:rsidR="00E25459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8FB6E4C" wp14:editId="30C302AC">
            <wp:extent cx="4000500" cy="2857500"/>
            <wp:effectExtent l="0" t="0" r="0" b="0"/>
            <wp:docPr id="1943762102" name="Picture 1943762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6903" w14:textId="66B24790" w:rsidR="00E25459" w:rsidRDefault="00D95B22">
      <w:r w:rsidRPr="00D95B22">
        <w:t>The model assigns the highest feature importance to tenure, contract type, total charges, fiber optic internet service, and monthly charges.</w:t>
      </w:r>
    </w:p>
    <w:p w14:paraId="1CF34C3E" w14:textId="77777777" w:rsidR="00E25459" w:rsidRDefault="00000000">
      <w:pPr>
        <w:pStyle w:val="Heading1"/>
        <w:spacing w:before="300" w:after="150"/>
      </w:pPr>
      <w:r>
        <w:t>6. Recommendations and Practical Actions</w:t>
      </w:r>
    </w:p>
    <w:p w14:paraId="3CC0AA2F" w14:textId="77777777" w:rsidR="00E25459" w:rsidRDefault="00000000">
      <w:pPr>
        <w:pStyle w:val="Heading2"/>
        <w:spacing w:before="250" w:after="120"/>
      </w:pPr>
      <w:r>
        <w:t>6.1 Contract Length</w:t>
      </w:r>
    </w:p>
    <w:p w14:paraId="06701F6F" w14:textId="2B468AB1" w:rsidR="00D95B22" w:rsidRPr="00D95B22" w:rsidRDefault="00D95B22" w:rsidP="00D95B22">
      <w:pPr>
        <w:pStyle w:val="Heading2"/>
        <w:numPr>
          <w:ilvl w:val="0"/>
          <w:numId w:val="3"/>
        </w:numPr>
        <w:spacing w:before="250" w:after="120"/>
        <w:rPr>
          <w:color w:val="000000" w:themeColor="text1"/>
          <w:sz w:val="20"/>
          <w:szCs w:val="20"/>
        </w:rPr>
      </w:pPr>
      <w:r w:rsidRPr="00D95B22">
        <w:rPr>
          <w:b/>
          <w:bCs/>
          <w:color w:val="000000" w:themeColor="text1"/>
          <w:sz w:val="20"/>
          <w:szCs w:val="20"/>
        </w:rPr>
        <w:t>Fact:</w:t>
      </w:r>
      <w:r w:rsidRPr="00D95B22">
        <w:rPr>
          <w:color w:val="000000" w:themeColor="text1"/>
          <w:sz w:val="20"/>
          <w:szCs w:val="20"/>
        </w:rPr>
        <w:t xml:space="preserve"> Contract type has a statistically significant relationship with churn (</w:t>
      </w:r>
      <w:r w:rsidRPr="00D95B22">
        <w:rPr>
          <w:color w:val="000000" w:themeColor="text1"/>
          <w:sz w:val="20"/>
          <w:szCs w:val="20"/>
        </w:rPr>
        <w:drawing>
          <wp:inline distT="0" distB="0" distL="0" distR="0" wp14:anchorId="6A98E402" wp14:editId="782E8238">
            <wp:extent cx="807720" cy="251460"/>
            <wp:effectExtent l="0" t="0" r="0" b="0"/>
            <wp:docPr id="1802820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B22">
        <w:rPr>
          <w:color w:val="000000" w:themeColor="text1"/>
          <w:sz w:val="20"/>
          <w:szCs w:val="20"/>
        </w:rPr>
        <w:t>) and ranks among the highest predictors in the model.</w:t>
      </w:r>
    </w:p>
    <w:p w14:paraId="16729EB9" w14:textId="77777777" w:rsidR="00D95B22" w:rsidRPr="00D95B22" w:rsidRDefault="00D95B22" w:rsidP="00D95B22">
      <w:pPr>
        <w:pStyle w:val="Heading2"/>
        <w:numPr>
          <w:ilvl w:val="0"/>
          <w:numId w:val="3"/>
        </w:numPr>
        <w:spacing w:before="250" w:after="120"/>
        <w:rPr>
          <w:color w:val="000000" w:themeColor="text1"/>
          <w:sz w:val="20"/>
          <w:szCs w:val="20"/>
        </w:rPr>
      </w:pPr>
      <w:r w:rsidRPr="00D95B22">
        <w:rPr>
          <w:b/>
          <w:bCs/>
          <w:color w:val="000000" w:themeColor="text1"/>
          <w:sz w:val="20"/>
          <w:szCs w:val="20"/>
        </w:rPr>
        <w:t>Observation:</w:t>
      </w:r>
      <w:r w:rsidRPr="00D95B22">
        <w:rPr>
          <w:color w:val="000000" w:themeColor="text1"/>
          <w:sz w:val="20"/>
          <w:szCs w:val="20"/>
        </w:rPr>
        <w:t xml:space="preserve"> Differences across contract types indicate that contract structure directly relates to retention.</w:t>
      </w:r>
    </w:p>
    <w:p w14:paraId="463FD7ED" w14:textId="77777777" w:rsidR="00D95B22" w:rsidRPr="00D95B22" w:rsidRDefault="00D95B22" w:rsidP="00D95B22">
      <w:pPr>
        <w:pStyle w:val="Heading2"/>
        <w:numPr>
          <w:ilvl w:val="0"/>
          <w:numId w:val="3"/>
        </w:numPr>
        <w:spacing w:before="250" w:after="120"/>
        <w:rPr>
          <w:color w:val="000000" w:themeColor="text1"/>
          <w:sz w:val="20"/>
          <w:szCs w:val="20"/>
        </w:rPr>
      </w:pPr>
      <w:r w:rsidRPr="00D95B22">
        <w:rPr>
          <w:b/>
          <w:bCs/>
          <w:color w:val="000000" w:themeColor="text1"/>
          <w:sz w:val="20"/>
          <w:szCs w:val="20"/>
        </w:rPr>
        <w:t>Opportunity:</w:t>
      </w:r>
      <w:r w:rsidRPr="00D95B22">
        <w:rPr>
          <w:color w:val="000000" w:themeColor="text1"/>
          <w:sz w:val="20"/>
          <w:szCs w:val="20"/>
        </w:rPr>
        <w:t xml:space="preserve"> Encourage eligible customers to select multi-year contracts.</w:t>
      </w:r>
    </w:p>
    <w:p w14:paraId="1A4B8C32" w14:textId="77777777" w:rsidR="00D95B22" w:rsidRPr="00D95B22" w:rsidRDefault="00D95B22" w:rsidP="00D95B22">
      <w:pPr>
        <w:pStyle w:val="Heading2"/>
        <w:numPr>
          <w:ilvl w:val="0"/>
          <w:numId w:val="3"/>
        </w:numPr>
        <w:spacing w:before="250"/>
        <w:rPr>
          <w:color w:val="000000" w:themeColor="text1"/>
          <w:sz w:val="20"/>
          <w:szCs w:val="20"/>
        </w:rPr>
      </w:pPr>
      <w:r w:rsidRPr="00D95B22">
        <w:rPr>
          <w:b/>
          <w:bCs/>
          <w:color w:val="000000" w:themeColor="text1"/>
          <w:sz w:val="20"/>
          <w:szCs w:val="20"/>
        </w:rPr>
        <w:t>Action:</w:t>
      </w:r>
      <w:r w:rsidRPr="00D95B22">
        <w:rPr>
          <w:color w:val="000000" w:themeColor="text1"/>
          <w:sz w:val="20"/>
          <w:szCs w:val="20"/>
        </w:rPr>
        <w:t xml:space="preserve"> Test targeted incentives for month-to-month customers who transition to one-year or two-year contracts, focusing on customers in their first year.</w:t>
      </w:r>
    </w:p>
    <w:p w14:paraId="0926944A" w14:textId="3B62985B" w:rsidR="00D95B22" w:rsidRDefault="00000000">
      <w:pPr>
        <w:pStyle w:val="Heading2"/>
        <w:spacing w:before="250" w:after="120"/>
      </w:pPr>
      <w:r>
        <w:t>6.2 Tenure &amp; Early Churn Risk</w:t>
      </w:r>
    </w:p>
    <w:p w14:paraId="72811053" w14:textId="77777777" w:rsidR="00D95B22" w:rsidRPr="00D95B22" w:rsidRDefault="00D95B22" w:rsidP="00D95B22">
      <w:pPr>
        <w:numPr>
          <w:ilvl w:val="0"/>
          <w:numId w:val="4"/>
        </w:numPr>
        <w:spacing w:after="120"/>
      </w:pPr>
      <w:r w:rsidRPr="00D95B22">
        <w:rPr>
          <w:b/>
          <w:bCs/>
        </w:rPr>
        <w:t>Fact:</w:t>
      </w:r>
      <w:r w:rsidRPr="00D95B22">
        <w:t xml:space="preserve"> Tenure is the strongest predictor in the model.</w:t>
      </w:r>
    </w:p>
    <w:p w14:paraId="5C5C2C80" w14:textId="77777777" w:rsidR="00D95B22" w:rsidRPr="00D95B22" w:rsidRDefault="00D95B22" w:rsidP="00D95B22">
      <w:pPr>
        <w:numPr>
          <w:ilvl w:val="0"/>
          <w:numId w:val="4"/>
        </w:numPr>
        <w:spacing w:after="120"/>
      </w:pPr>
      <w:r w:rsidRPr="00D95B22">
        <w:rPr>
          <w:b/>
          <w:bCs/>
        </w:rPr>
        <w:t>Observation:</w:t>
      </w:r>
      <w:r w:rsidRPr="00D95B22">
        <w:t xml:space="preserve"> Accounts in their first few months show higher churn rates.</w:t>
      </w:r>
    </w:p>
    <w:p w14:paraId="57240E14" w14:textId="77777777" w:rsidR="00D95B22" w:rsidRPr="00D95B22" w:rsidRDefault="00D95B22" w:rsidP="00D95B22">
      <w:pPr>
        <w:numPr>
          <w:ilvl w:val="0"/>
          <w:numId w:val="4"/>
        </w:numPr>
        <w:spacing w:after="120"/>
      </w:pPr>
      <w:r w:rsidRPr="00D95B22">
        <w:rPr>
          <w:b/>
          <w:bCs/>
        </w:rPr>
        <w:t>Opportunity:</w:t>
      </w:r>
      <w:r w:rsidRPr="00D95B22">
        <w:t xml:space="preserve"> Improve the onboarding process during early tenure.</w:t>
      </w:r>
    </w:p>
    <w:p w14:paraId="1D3CFE78" w14:textId="77777777" w:rsidR="00D95B22" w:rsidRPr="00D95B22" w:rsidRDefault="00D95B22" w:rsidP="00D95B22">
      <w:pPr>
        <w:numPr>
          <w:ilvl w:val="0"/>
          <w:numId w:val="4"/>
        </w:numPr>
        <w:spacing w:after="120"/>
      </w:pPr>
      <w:r w:rsidRPr="00D95B22">
        <w:rPr>
          <w:b/>
          <w:bCs/>
        </w:rPr>
        <w:t>Action:</w:t>
      </w:r>
      <w:r w:rsidRPr="00D95B22">
        <w:t xml:space="preserve"> Apply the prediction model to flag new accounts with </w:t>
      </w:r>
      <w:proofErr w:type="gramStart"/>
      <w:r w:rsidRPr="00D95B22">
        <w:t>high risk</w:t>
      </w:r>
      <w:proofErr w:type="gramEnd"/>
      <w:r w:rsidRPr="00D95B22">
        <w:t xml:space="preserve"> scores and initiate check-ins during their initial months.</w:t>
      </w:r>
    </w:p>
    <w:p w14:paraId="13BBD4E7" w14:textId="77777777" w:rsidR="00D95B22" w:rsidRDefault="00D95B22">
      <w:pPr>
        <w:spacing w:after="120"/>
      </w:pPr>
    </w:p>
    <w:p w14:paraId="342B34FD" w14:textId="528D8B32" w:rsidR="00D95B22" w:rsidRDefault="00000000">
      <w:pPr>
        <w:pStyle w:val="Heading2"/>
        <w:spacing w:before="250" w:after="120"/>
      </w:pPr>
      <w:r>
        <w:lastRenderedPageBreak/>
        <w:t>6.3 Fiber Optic Service</w:t>
      </w:r>
    </w:p>
    <w:p w14:paraId="33BE9BD4" w14:textId="77777777" w:rsidR="00D95B22" w:rsidRPr="00D95B22" w:rsidRDefault="00D95B22" w:rsidP="00D95B22">
      <w:pPr>
        <w:pStyle w:val="Heading2"/>
        <w:numPr>
          <w:ilvl w:val="0"/>
          <w:numId w:val="6"/>
        </w:numPr>
        <w:spacing w:before="250" w:after="120"/>
        <w:rPr>
          <w:color w:val="000000" w:themeColor="text1"/>
          <w:sz w:val="22"/>
          <w:szCs w:val="22"/>
        </w:rPr>
      </w:pPr>
      <w:r w:rsidRPr="00D95B22">
        <w:rPr>
          <w:b/>
          <w:bCs/>
          <w:color w:val="000000" w:themeColor="text1"/>
          <w:sz w:val="22"/>
          <w:szCs w:val="22"/>
        </w:rPr>
        <w:t>Fact:</w:t>
      </w:r>
      <w:r w:rsidRPr="00D95B22">
        <w:rPr>
          <w:color w:val="000000" w:themeColor="text1"/>
          <w:sz w:val="22"/>
          <w:szCs w:val="22"/>
        </w:rPr>
        <w:t xml:space="preserve"> Fiber optic internet service ranks among the top predictors of churn.</w:t>
      </w:r>
    </w:p>
    <w:p w14:paraId="326CD97A" w14:textId="77777777" w:rsidR="00D95B22" w:rsidRPr="00D95B22" w:rsidRDefault="00D95B22" w:rsidP="00D95B22">
      <w:pPr>
        <w:pStyle w:val="Heading2"/>
        <w:numPr>
          <w:ilvl w:val="0"/>
          <w:numId w:val="6"/>
        </w:numPr>
        <w:spacing w:before="250" w:after="120"/>
        <w:rPr>
          <w:color w:val="000000" w:themeColor="text1"/>
          <w:sz w:val="22"/>
          <w:szCs w:val="22"/>
        </w:rPr>
      </w:pPr>
      <w:r w:rsidRPr="00D95B22">
        <w:rPr>
          <w:b/>
          <w:bCs/>
          <w:color w:val="000000" w:themeColor="text1"/>
          <w:sz w:val="22"/>
          <w:szCs w:val="22"/>
        </w:rPr>
        <w:t>Observation:</w:t>
      </w:r>
      <w:r w:rsidRPr="00D95B22">
        <w:rPr>
          <w:color w:val="000000" w:themeColor="text1"/>
          <w:sz w:val="22"/>
          <w:szCs w:val="22"/>
        </w:rPr>
        <w:t xml:space="preserve"> The model indicates an association with churn, though specific causes such as pricing or service quality require separate investigation.</w:t>
      </w:r>
    </w:p>
    <w:p w14:paraId="14DFDF69" w14:textId="77777777" w:rsidR="00D95B22" w:rsidRPr="00D95B22" w:rsidRDefault="00D95B22" w:rsidP="00D95B22">
      <w:pPr>
        <w:pStyle w:val="Heading2"/>
        <w:numPr>
          <w:ilvl w:val="0"/>
          <w:numId w:val="6"/>
        </w:numPr>
        <w:spacing w:before="250" w:after="120"/>
        <w:rPr>
          <w:color w:val="000000" w:themeColor="text1"/>
          <w:sz w:val="22"/>
          <w:szCs w:val="22"/>
        </w:rPr>
      </w:pPr>
      <w:r w:rsidRPr="00D95B22">
        <w:rPr>
          <w:b/>
          <w:bCs/>
          <w:color w:val="000000" w:themeColor="text1"/>
          <w:sz w:val="22"/>
          <w:szCs w:val="22"/>
        </w:rPr>
        <w:t>Opportunity:</w:t>
      </w:r>
      <w:r w:rsidRPr="00D95B22">
        <w:rPr>
          <w:color w:val="000000" w:themeColor="text1"/>
          <w:sz w:val="22"/>
          <w:szCs w:val="22"/>
        </w:rPr>
        <w:t xml:space="preserve"> Examine satisfaction levels and pricing structures for fiber optic accounts.</w:t>
      </w:r>
    </w:p>
    <w:p w14:paraId="6B8A7A8F" w14:textId="77777777" w:rsidR="00D95B22" w:rsidRPr="00D95B22" w:rsidRDefault="00D95B22" w:rsidP="00D95B22">
      <w:pPr>
        <w:pStyle w:val="Heading2"/>
        <w:numPr>
          <w:ilvl w:val="0"/>
          <w:numId w:val="6"/>
        </w:numPr>
        <w:spacing w:before="250"/>
        <w:rPr>
          <w:color w:val="000000" w:themeColor="text1"/>
          <w:sz w:val="22"/>
          <w:szCs w:val="22"/>
        </w:rPr>
      </w:pPr>
      <w:r w:rsidRPr="00D95B22">
        <w:rPr>
          <w:b/>
          <w:bCs/>
          <w:color w:val="000000" w:themeColor="text1"/>
          <w:sz w:val="22"/>
          <w:szCs w:val="22"/>
        </w:rPr>
        <w:t>Action:</w:t>
      </w:r>
      <w:r w:rsidRPr="00D95B22">
        <w:rPr>
          <w:color w:val="000000" w:themeColor="text1"/>
          <w:sz w:val="22"/>
          <w:szCs w:val="22"/>
        </w:rPr>
        <w:t xml:space="preserve"> Gather customer feedback from fiber optic subscribers and test targeted retention efforts for accounts flagged as high risk.</w:t>
      </w:r>
    </w:p>
    <w:p w14:paraId="2E0FC86F" w14:textId="5007B3E7" w:rsidR="00D95B22" w:rsidRDefault="00000000">
      <w:pPr>
        <w:pStyle w:val="Heading2"/>
        <w:spacing w:before="250" w:after="120"/>
      </w:pPr>
      <w:r>
        <w:t>6.4 Payment Method</w:t>
      </w:r>
    </w:p>
    <w:p w14:paraId="0AA08921" w14:textId="77777777" w:rsidR="00D95B22" w:rsidRPr="00D95B22" w:rsidRDefault="00D95B22" w:rsidP="00D95B22">
      <w:pPr>
        <w:numPr>
          <w:ilvl w:val="0"/>
          <w:numId w:val="7"/>
        </w:numPr>
        <w:spacing w:after="120"/>
        <w:rPr>
          <w:sz w:val="24"/>
          <w:szCs w:val="24"/>
        </w:rPr>
      </w:pPr>
      <w:r w:rsidRPr="00D95B22">
        <w:rPr>
          <w:b/>
          <w:bCs/>
          <w:sz w:val="24"/>
          <w:szCs w:val="24"/>
        </w:rPr>
        <w:t>Fact:</w:t>
      </w:r>
      <w:r w:rsidRPr="00D95B22">
        <w:rPr>
          <w:sz w:val="24"/>
          <w:szCs w:val="24"/>
        </w:rPr>
        <w:t xml:space="preserve"> Electronic check payment is associated with higher churn in the model.</w:t>
      </w:r>
    </w:p>
    <w:p w14:paraId="4BB97AA6" w14:textId="77777777" w:rsidR="00D95B22" w:rsidRPr="00D95B22" w:rsidRDefault="00D95B22" w:rsidP="00D95B22">
      <w:pPr>
        <w:numPr>
          <w:ilvl w:val="0"/>
          <w:numId w:val="7"/>
        </w:numPr>
        <w:spacing w:after="120"/>
        <w:rPr>
          <w:sz w:val="24"/>
          <w:szCs w:val="24"/>
        </w:rPr>
      </w:pPr>
      <w:r w:rsidRPr="00D95B22">
        <w:rPr>
          <w:b/>
          <w:bCs/>
          <w:sz w:val="24"/>
          <w:szCs w:val="24"/>
        </w:rPr>
        <w:t>Observation:</w:t>
      </w:r>
      <w:r w:rsidRPr="00D95B22">
        <w:rPr>
          <w:sz w:val="24"/>
          <w:szCs w:val="24"/>
        </w:rPr>
        <w:t xml:space="preserve"> This association shows a pattern but does not prove direct causation.</w:t>
      </w:r>
    </w:p>
    <w:p w14:paraId="25A30CF8" w14:textId="77777777" w:rsidR="00D95B22" w:rsidRPr="00D95B22" w:rsidRDefault="00D95B22" w:rsidP="00D95B22">
      <w:pPr>
        <w:numPr>
          <w:ilvl w:val="0"/>
          <w:numId w:val="7"/>
        </w:numPr>
        <w:spacing w:after="120"/>
        <w:rPr>
          <w:sz w:val="24"/>
          <w:szCs w:val="24"/>
        </w:rPr>
      </w:pPr>
      <w:r w:rsidRPr="00D95B22">
        <w:rPr>
          <w:b/>
          <w:bCs/>
          <w:sz w:val="24"/>
          <w:szCs w:val="24"/>
        </w:rPr>
        <w:t>Opportunity:</w:t>
      </w:r>
      <w:r w:rsidRPr="00D95B22">
        <w:rPr>
          <w:sz w:val="24"/>
          <w:szCs w:val="24"/>
        </w:rPr>
        <w:t xml:space="preserve"> Encourage adoption of automated payment methods.</w:t>
      </w:r>
    </w:p>
    <w:p w14:paraId="7B3557B0" w14:textId="77777777" w:rsidR="00D95B22" w:rsidRPr="00D95B22" w:rsidRDefault="00D95B22" w:rsidP="00D95B22">
      <w:pPr>
        <w:numPr>
          <w:ilvl w:val="0"/>
          <w:numId w:val="7"/>
        </w:numPr>
        <w:spacing w:after="120"/>
        <w:rPr>
          <w:sz w:val="24"/>
          <w:szCs w:val="24"/>
        </w:rPr>
      </w:pPr>
      <w:r w:rsidRPr="00D95B22">
        <w:rPr>
          <w:b/>
          <w:bCs/>
          <w:sz w:val="24"/>
          <w:szCs w:val="24"/>
        </w:rPr>
        <w:t>Action:</w:t>
      </w:r>
      <w:r w:rsidRPr="00D95B22">
        <w:rPr>
          <w:sz w:val="24"/>
          <w:szCs w:val="24"/>
        </w:rPr>
        <w:t xml:space="preserve"> Test voluntary incentives for customers who switch from electronic checks to automated bank or card payments.</w:t>
      </w:r>
    </w:p>
    <w:p w14:paraId="4031DE2B" w14:textId="2510A542" w:rsidR="00E25459" w:rsidRDefault="00D95B22">
      <w:pPr>
        <w:spacing w:after="120"/>
      </w:pPr>
      <w:r>
        <w:br/>
      </w:r>
    </w:p>
    <w:p w14:paraId="601A4398" w14:textId="60705207" w:rsidR="00D95B22" w:rsidRDefault="00000000">
      <w:pPr>
        <w:pStyle w:val="Heading1"/>
        <w:spacing w:before="300" w:after="150"/>
      </w:pPr>
      <w:r>
        <w:t>7. Conclusion</w:t>
      </w:r>
    </w:p>
    <w:p w14:paraId="2635813D" w14:textId="77777777" w:rsidR="00D95B22" w:rsidRPr="00D95B22" w:rsidRDefault="00D95B22" w:rsidP="00D95B22">
      <w:pPr>
        <w:spacing w:after="120"/>
        <w:rPr>
          <w:sz w:val="24"/>
          <w:szCs w:val="24"/>
        </w:rPr>
      </w:pPr>
      <w:r w:rsidRPr="00D95B22">
        <w:rPr>
          <w:sz w:val="24"/>
          <w:szCs w:val="24"/>
        </w:rPr>
        <w:t xml:space="preserve">The Random Forest model identified 79.4% of churned customers in the test set. Statistical testing confirmed a clear relationship between contract type and churn. </w:t>
      </w:r>
      <w:proofErr w:type="gramStart"/>
      <w:r w:rsidRPr="00D95B22">
        <w:rPr>
          <w:sz w:val="24"/>
          <w:szCs w:val="24"/>
        </w:rPr>
        <w:t>Practical next</w:t>
      </w:r>
      <w:proofErr w:type="gramEnd"/>
      <w:r w:rsidRPr="00D95B22">
        <w:rPr>
          <w:sz w:val="24"/>
          <w:szCs w:val="24"/>
        </w:rPr>
        <w:t xml:space="preserve"> steps include testing longer contract options, improving early tenure onboarding, examining fiber optic service feedback, and offering automated payment incentives.</w:t>
      </w:r>
    </w:p>
    <w:p w14:paraId="290DC501" w14:textId="738DE921" w:rsidR="00E25459" w:rsidRDefault="00E25459" w:rsidP="00D95B22">
      <w:pPr>
        <w:spacing w:after="120"/>
      </w:pPr>
    </w:p>
    <w:sectPr w:rsidR="00E2545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1E41"/>
    <w:multiLevelType w:val="multilevel"/>
    <w:tmpl w:val="B214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9635C"/>
    <w:multiLevelType w:val="hybridMultilevel"/>
    <w:tmpl w:val="C27A7396"/>
    <w:lvl w:ilvl="0" w:tplc="A9C20732">
      <w:start w:val="1"/>
      <w:numFmt w:val="bullet"/>
      <w:lvlText w:val="●"/>
      <w:lvlJc w:val="left"/>
      <w:pPr>
        <w:ind w:left="720" w:hanging="360"/>
      </w:pPr>
    </w:lvl>
    <w:lvl w:ilvl="1" w:tplc="6DBEB570">
      <w:start w:val="1"/>
      <w:numFmt w:val="bullet"/>
      <w:lvlText w:val="○"/>
      <w:lvlJc w:val="left"/>
      <w:pPr>
        <w:ind w:left="1440" w:hanging="360"/>
      </w:pPr>
    </w:lvl>
    <w:lvl w:ilvl="2" w:tplc="3934C98E">
      <w:start w:val="1"/>
      <w:numFmt w:val="bullet"/>
      <w:lvlText w:val="■"/>
      <w:lvlJc w:val="left"/>
      <w:pPr>
        <w:ind w:left="2160" w:hanging="360"/>
      </w:pPr>
    </w:lvl>
    <w:lvl w:ilvl="3" w:tplc="FDC62738">
      <w:start w:val="1"/>
      <w:numFmt w:val="bullet"/>
      <w:lvlText w:val="●"/>
      <w:lvlJc w:val="left"/>
      <w:pPr>
        <w:ind w:left="2880" w:hanging="360"/>
      </w:pPr>
    </w:lvl>
    <w:lvl w:ilvl="4" w:tplc="E0E420E6">
      <w:start w:val="1"/>
      <w:numFmt w:val="bullet"/>
      <w:lvlText w:val="○"/>
      <w:lvlJc w:val="left"/>
      <w:pPr>
        <w:ind w:left="3600" w:hanging="360"/>
      </w:pPr>
    </w:lvl>
    <w:lvl w:ilvl="5" w:tplc="768077C6">
      <w:start w:val="1"/>
      <w:numFmt w:val="bullet"/>
      <w:lvlText w:val="■"/>
      <w:lvlJc w:val="left"/>
      <w:pPr>
        <w:ind w:left="4320" w:hanging="360"/>
      </w:pPr>
    </w:lvl>
    <w:lvl w:ilvl="6" w:tplc="6316A258">
      <w:start w:val="1"/>
      <w:numFmt w:val="bullet"/>
      <w:lvlText w:val="●"/>
      <w:lvlJc w:val="left"/>
      <w:pPr>
        <w:ind w:left="5040" w:hanging="360"/>
      </w:pPr>
    </w:lvl>
    <w:lvl w:ilvl="7" w:tplc="AE243192">
      <w:start w:val="1"/>
      <w:numFmt w:val="bullet"/>
      <w:lvlText w:val="●"/>
      <w:lvlJc w:val="left"/>
      <w:pPr>
        <w:ind w:left="5760" w:hanging="360"/>
      </w:pPr>
    </w:lvl>
    <w:lvl w:ilvl="8" w:tplc="028E6F2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803B35"/>
    <w:multiLevelType w:val="hybridMultilevel"/>
    <w:tmpl w:val="49661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E42907"/>
    <w:multiLevelType w:val="multilevel"/>
    <w:tmpl w:val="3F7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1402C"/>
    <w:multiLevelType w:val="multilevel"/>
    <w:tmpl w:val="3DB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56CBD"/>
    <w:multiLevelType w:val="multilevel"/>
    <w:tmpl w:val="D8C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C1E95"/>
    <w:multiLevelType w:val="multilevel"/>
    <w:tmpl w:val="CED2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612744">
    <w:abstractNumId w:val="1"/>
    <w:lvlOverride w:ilvl="0">
      <w:startOverride w:val="1"/>
    </w:lvlOverride>
  </w:num>
  <w:num w:numId="2" w16cid:durableId="1737312904">
    <w:abstractNumId w:val="4"/>
  </w:num>
  <w:num w:numId="3" w16cid:durableId="242758142">
    <w:abstractNumId w:val="5"/>
  </w:num>
  <w:num w:numId="4" w16cid:durableId="1692222362">
    <w:abstractNumId w:val="6"/>
  </w:num>
  <w:num w:numId="5" w16cid:durableId="1855798397">
    <w:abstractNumId w:val="2"/>
  </w:num>
  <w:num w:numId="6" w16cid:durableId="1384939264">
    <w:abstractNumId w:val="0"/>
  </w:num>
  <w:num w:numId="7" w16cid:durableId="1391420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459"/>
    <w:rsid w:val="00D95B22"/>
    <w:rsid w:val="00E25459"/>
    <w:rsid w:val="00F2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43D0"/>
  <w15:docId w15:val="{6459F47E-3F14-4C12-BB11-A6C7240F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Suraj Joshi</cp:lastModifiedBy>
  <cp:revision>2</cp:revision>
  <dcterms:created xsi:type="dcterms:W3CDTF">2026-09-23T20:09:00Z</dcterms:created>
  <dcterms:modified xsi:type="dcterms:W3CDTF">2026-09-23T21:16:00Z</dcterms:modified>
</cp:coreProperties>
</file>