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B2A4A"/>
          <w:sz w:val="48"/>
        </w:rPr>
        <w:t>Q-Diagnose: Hybrid Quantum-Classical AI Platform for Early Disease Risk Detection</w:t>
      </w:r>
    </w:p>
    <w:p>
      <w:pPr>
        <w:jc w:val="center"/>
      </w:pPr>
      <w:r>
        <w:rPr>
          <w:b/>
          <w:color w:val="2E5C8A"/>
          <w:sz w:val="32"/>
        </w:rPr>
        <w:t>Smart India Hackathon 2025 — Problem Statement ID 26139</w:t>
      </w:r>
    </w:p>
    <w:p/>
    <w:p/>
    <w:p/>
    <w:p/>
    <w:p/>
    <w:p>
      <w:pPr>
        <w:jc w:val="center"/>
      </w:pPr>
      <w:r>
        <w:rPr>
          <w:b/>
          <w:sz w:val="24"/>
        </w:rPr>
        <w:t>Organization: Egreen Quanta</w:t>
        <w:br/>
        <w:t>Category: Software</w:t>
        <w:br/>
        <w:t>Theme: MedTech / BioTech / HealthTech</w:t>
        <w:br/>
        <w:t>Version: 1.0</w:t>
        <w:br/>
        <w:t>September 2025</w:t>
      </w:r>
    </w:p>
    <w:p>
      <w:r>
        <w:br w:type="page"/>
      </w:r>
    </w:p>
    <w:p>
      <w:pPr>
        <w:pStyle w:val="Heading1"/>
      </w:pPr>
      <w:r>
        <w:t>DOCUMENT OVERVIEW</w:t>
      </w:r>
    </w:p>
    <w:p>
      <w:r>
        <w:t>This report is organized into four labeled parts. Part A — Research Foundation establishes the scientific context, literature review, research questions, and hypotheses. Part B — Technical Design details the system architecture, classical and quantum models, datasets, evaluation framework, and technology stack. Part C — Feasibility, Risk, Cost, Positioning &amp; Compliance addresses viability, cost estimation, risk mitigation, competitive positioning, regulatory compliance, and team structure — sections most proposals omit but that are essential for a fundable, defensible submission. Part D — Roadmap &amp; Close presents the minimum viable product, phased development plan, limitations, future scope, and a closing research statement. All claims are evidence-hedged; the project treats 'does QML help at all?' as an open empirical question.</w:t>
      </w:r>
    </w:p>
    <w:p>
      <w:r>
        <w:br w:type="page"/>
      </w:r>
    </w:p>
    <w:p>
      <w:pPr>
        <w:pStyle w:val="Heading1"/>
      </w:pPr>
      <w:r>
        <w:t>PART A — RESEARCH FOUNDATION</w:t>
      </w:r>
    </w:p>
    <w:p>
      <w:pPr>
        <w:pStyle w:val="Heading2"/>
      </w:pPr>
      <w:r>
        <w:t>1. Abstract</w:t>
      </w:r>
    </w:p>
    <w:p>
      <w:r>
        <w:t>Early and accurate disease detection remains one of the most impactful challenges in modern healthcare. Classical machine learning has achieved notable success across diagnostic tasks, yet it can struggle with the high-dimensional, heterogeneous, and often sparse nature of real-world biomedical data — spanning electronic health records (EHRs), medical imaging, electrocardiography (ECG), genomic profiles, laboratory panels, and wearable-device streams. Hybrid quantum-classical machine learning offers a complementary approach: by encoding dimensionality-reduced clinical features into parameterized quantum circuits and training them alongside classical models, such pipelines may exploit quantum Hilbert-space expressivity while remaining implementable on today's noisy intermediate-scale quantum (NISQ) hardware. Crucially, however, the most rigorous recent systematic review of quantum machine learning (QML) in digital health (Gupta et al., 2025, npj Digital Medicine) found no consistent trend supporting QML advantage over classical methods under realistic operating conditions. This project, Q-Diagnose, therefore does not assume quantum superiority. Instead, it builds a standardized benchmarking harness — identical preprocessing, train/test splits, random seeds, and metrics across Logistic Regression, SVM, Random Forest, XGBoost, Quantum SVC, Variational Quantum Classifier, and Quantum Neural Networks — to rigorously measure whether, when, and by how much hybrid QML adds value for early disease-risk detection. The goal is honest measurement, not advocacy.</w:t>
      </w:r>
    </w:p>
    <w:p>
      <w:pPr>
        <w:pStyle w:val="Heading2"/>
      </w:pPr>
      <w:r>
        <w:t>2. Introduction</w:t>
      </w:r>
    </w:p>
    <w:p>
      <w:r>
        <w:t>Healthcare data is generated from diverse sources: electronic health records (EHRs) containing demographics, diagnoses, medications, and lab values; medical imaging (X-ray, CT, MRI, histopathology); electrocardiographic (ECG) and other biosignal recordings; genomic and multi-omic profiling; routine laboratory panels; and increasingly, continuous wearable-device telemetry. This diversity creates high-dimensional feature spaces with complex inter-feature dependencies, class imbalance, missing values, and noise — conditions under which classical ML models may plateau or require extensive feature engineering.</w:t>
      </w:r>
    </w:p>
    <w:p>
      <w:r>
        <w:t>Hybrid quantum-classical machine learning proposes a different computational substrate: data features, after classical preprocessing and dimensionality reduction, are encoded into quantum states via parameterized circuits. The quantum circuit acts as a kernel or a variational model whose expressivity arises from the exponential dimensionality of quantum Hilbert space. The full pipeline is:</w:t>
      </w:r>
    </w:p>
    <w:p>
      <w:r>
        <w:t>Data Ingestion → Validation &amp; Cleaning → Feature Selection → Dimensionality Reduction (PCA) → Classical ML Lab / Quantum Encoding &amp; Quantum ML Lab → Benchmarking Engine → Explainability Engine → Disease-Risk Prediction</w:t>
      </w:r>
    </w:p>
    <w:p>
      <w:r>
        <w:t>Smart India Hackathon Problem Statement ID 26139 (Egreen Quanta, Software, MedTech/BioTech/HealthTech) specifically requires: a platform for early disease detection using hybrid quantum-classical machine learning, with capabilities spanning data ingestion, preprocessing, model training on both classical and quantum backends, performance benchmarking, and interpretable output.</w:t>
      </w:r>
    </w:p>
    <w:p>
      <w:pPr>
        <w:pStyle w:val="Heading2"/>
      </w:pPr>
      <w:r>
        <w:t>3. Problem Statement</w:t>
      </w:r>
    </w:p>
    <w:p>
      <w:r>
        <w:t>The challenge requires building a hybrid quantum-classical machine learning platform capable of:</w:t>
      </w:r>
    </w:p>
    <w:p>
      <w:pPr>
        <w:pStyle w:val="ListBullet"/>
      </w:pPr>
      <w:r>
        <w:rPr>
          <w:rFonts w:ascii="Calibri" w:hAnsi="Calibri"/>
          <w:sz w:val="22"/>
        </w:rPr>
        <w:t>Ingesting structured and unstructured healthcare data from multiple modalities</w:t>
      </w:r>
    </w:p>
    <w:p>
      <w:pPr>
        <w:pStyle w:val="ListBullet"/>
      </w:pPr>
      <w:r>
        <w:rPr>
          <w:rFonts w:ascii="Calibri" w:hAnsi="Calibri"/>
          <w:sz w:val="22"/>
        </w:rPr>
        <w:t>Robust preprocessing: handling missing values, outlier detection, normalization, class-imbalance mitigation</w:t>
      </w:r>
    </w:p>
    <w:p>
      <w:pPr>
        <w:pStyle w:val="ListBullet"/>
      </w:pPr>
      <w:r>
        <w:rPr>
          <w:rFonts w:ascii="Calibri" w:hAnsi="Calibri"/>
          <w:sz w:val="22"/>
        </w:rPr>
        <w:t>Automated and manual feature selection (mutual information, variance threshold, domain-guided)</w:t>
      </w:r>
    </w:p>
    <w:p>
      <w:pPr>
        <w:pStyle w:val="ListBullet"/>
      </w:pPr>
      <w:r>
        <w:rPr>
          <w:rFonts w:ascii="Calibri" w:hAnsi="Calibri"/>
          <w:sz w:val="22"/>
        </w:rPr>
        <w:t>Dimensionality reduction (PCA, potentially kernel PCA) to map high-dimensional features to qubit-compatible representations</w:t>
      </w:r>
    </w:p>
    <w:p>
      <w:pPr>
        <w:pStyle w:val="ListBullet"/>
      </w:pPr>
      <w:r>
        <w:rPr>
          <w:rFonts w:ascii="Calibri" w:hAnsi="Calibri"/>
          <w:sz w:val="22"/>
        </w:rPr>
        <w:t>Quantum data encoding: mapping reduced features into quantum circuit parameters</w:t>
      </w:r>
    </w:p>
    <w:p>
      <w:pPr>
        <w:pStyle w:val="ListBullet"/>
      </w:pPr>
      <w:r>
        <w:rPr>
          <w:rFonts w:ascii="Calibri" w:hAnsi="Calibri"/>
          <w:sz w:val="22"/>
        </w:rPr>
        <w:t>Parallel classical and quantum model training with shared evaluation protocols</w:t>
      </w:r>
    </w:p>
    <w:p>
      <w:pPr>
        <w:pStyle w:val="ListBullet"/>
      </w:pPr>
      <w:r>
        <w:rPr>
          <w:rFonts w:ascii="Calibri" w:hAnsi="Calibri"/>
          <w:sz w:val="22"/>
        </w:rPr>
        <w:t>Disease-risk prediction with calibrated probability outputs</w:t>
      </w:r>
    </w:p>
    <w:p>
      <w:pPr>
        <w:pStyle w:val="ListBullet"/>
      </w:pPr>
      <w:r>
        <w:rPr>
          <w:rFonts w:ascii="Calibri" w:hAnsi="Calibri"/>
          <w:sz w:val="22"/>
        </w:rPr>
        <w:t>Explainability for both model families</w:t>
      </w:r>
    </w:p>
    <w:p>
      <w:pPr>
        <w:pStyle w:val="ListBullet"/>
      </w:pPr>
      <w:r>
        <w:rPr>
          <w:rFonts w:ascii="Calibri" w:hAnsi="Calibri"/>
          <w:sz w:val="22"/>
        </w:rPr>
        <w:t>Rigorous evaluation: sensitivity, specificity, precision, F1, ROC-AUC, PR-AUC, with statistical significance testing</w:t>
      </w:r>
    </w:p>
    <w:p>
      <w:pPr>
        <w:pStyle w:val="ListBullet"/>
      </w:pPr>
      <w:r>
        <w:rPr>
          <w:rFonts w:ascii="Calibri" w:hAnsi="Calibri"/>
          <w:sz w:val="22"/>
        </w:rPr>
        <w:t>Benchmarking across ideal simulators, noisy simulators, and (where feasible) near-term quantum hardware</w:t>
      </w:r>
    </w:p>
    <w:p>
      <w:pPr>
        <w:pStyle w:val="ListBullet"/>
      </w:pPr>
      <w:r>
        <w:rPr>
          <w:rFonts w:ascii="Calibri" w:hAnsi="Calibri"/>
          <w:sz w:val="22"/>
        </w:rPr>
        <w:t>Noise and circuit-depth sensitivity analysis</w:t>
      </w:r>
    </w:p>
    <w:p>
      <w:pPr>
        <w:pStyle w:val="ListBullet"/>
      </w:pPr>
      <w:r>
        <w:rPr>
          <w:rFonts w:ascii="Calibri" w:hAnsi="Calibri"/>
          <w:sz w:val="22"/>
        </w:rPr>
        <w:t>Support for both quantum simulators and near-term quantum processing units (QPUs)</w:t>
      </w:r>
    </w:p>
    <w:p>
      <w:r>
        <w:t>Target disease domains: cancer (breast, with future extension), cardiovascular disease, cardiac arrhythmia (ECG-based), neurological conditions (future phase), imaging-based pathology, genomics-informed risk scoring, and EHR-derived multi-morbidity risk.</w:t>
      </w:r>
    </w:p>
    <w:p>
      <w:pPr>
        <w:pStyle w:val="Heading2"/>
      </w:pPr>
      <w:r>
        <w:t>4. Research Question</w:t>
      </w:r>
    </w:p>
    <w:p>
      <w:r>
        <w:t>"Does a hybrid quantum-classical machine learning pipeline — incorporating PCA-based dimensionality reduction, parameterized quantum circuit encoding, and systematic noise/depth analysis — yield statistically significant, reproducible, and interpretable performance differences compared with strong classical baselines (including gradient-boosted ensembles) on standardized healthcare classification benchmarks, under both ideal-simulator and realistic noisy-simulator/hardware conditions?"</w:t>
      </w:r>
    </w:p>
    <w:p>
      <w:pPr>
        <w:pStyle w:val="Heading2"/>
      </w:pPr>
      <w:r>
        <w:t>5. Research Objectives</w:t>
      </w:r>
    </w:p>
    <w:p>
      <w:r>
        <w:t>Primary Objective: To design, implement, and rigorously evaluate a hybrid quantum-classical ML pipeline for early disease-risk detection, measuring its performance against strong classical baselines under controlled, reproducible conditions.</w:t>
      </w:r>
    </w:p>
    <w:p>
      <w:r>
        <w:t>Secondary Objectives:</w:t>
      </w:r>
    </w:p>
    <w:p>
      <w:pPr>
        <w:pStyle w:val="ListBullet"/>
      </w:pPr>
      <w:r>
        <w:rPr>
          <w:rFonts w:ascii="Calibri" w:hAnsi="Calibri"/>
          <w:sz w:val="22"/>
        </w:rPr>
        <w:t>Develop a modular, end-to-end data pipeline supporting ingestion, validation, cleaning, feature selection, and dimensionality reduction for heterogeneous healthcare datasets</w:t>
      </w:r>
    </w:p>
    <w:p>
      <w:pPr>
        <w:pStyle w:val="ListBullet"/>
      </w:pPr>
      <w:r>
        <w:rPr>
          <w:rFonts w:ascii="Calibri" w:hAnsi="Calibri"/>
          <w:sz w:val="22"/>
        </w:rPr>
        <w:t>Implement classical baseline models — Logistic Regression, SVM (RBF kernel), Random Forest, and XGBoost — with hyperparameter tuning</w:t>
      </w:r>
    </w:p>
    <w:p>
      <w:pPr>
        <w:pStyle w:val="ListBullet"/>
      </w:pPr>
      <w:r>
        <w:rPr>
          <w:rFonts w:ascii="Calibri" w:hAnsi="Calibri"/>
          <w:sz w:val="22"/>
        </w:rPr>
        <w:t>Implement quantum models — Quantum Support Vector Classifier (QSVC), Variational Quantum Classifier (VQC), and Quantum Neural Network (EstimatorQNN/SamplerQNN) — using Qiskit and Qiskit Machine Learning</w:t>
      </w:r>
    </w:p>
    <w:p>
      <w:pPr>
        <w:pStyle w:val="ListBullet"/>
      </w:pPr>
      <w:r>
        <w:rPr>
          <w:rFonts w:ascii="Calibri" w:hAnsi="Calibri"/>
          <w:sz w:val="22"/>
        </w:rPr>
        <w:t>Investigate the effect of PCA-based dimensionality reduction on both classical and quantum model performance as a function of retained feature count</w:t>
      </w:r>
    </w:p>
    <w:p>
      <w:pPr>
        <w:pStyle w:val="ListBullet"/>
      </w:pPr>
      <w:r>
        <w:rPr>
          <w:rFonts w:ascii="Calibri" w:hAnsi="Calibri"/>
          <w:sz w:val="22"/>
        </w:rPr>
        <w:t>Define and apply a comparison methodology ensuring identical preprocessing, train-test splits, random seeds, and evaluation metrics across all models</w:t>
      </w:r>
    </w:p>
    <w:p>
      <w:pPr>
        <w:pStyle w:val="ListBullet"/>
      </w:pPr>
      <w:r>
        <w:rPr>
          <w:rFonts w:ascii="Calibri" w:hAnsi="Calibri"/>
          <w:sz w:val="22"/>
        </w:rPr>
        <w:t>Prioritize sensitivity and specificity in evaluation, given their clinical importance for disease screening</w:t>
      </w:r>
    </w:p>
    <w:p>
      <w:pPr>
        <w:pStyle w:val="ListBullet"/>
      </w:pPr>
      <w:r>
        <w:rPr>
          <w:rFonts w:ascii="Calibri" w:hAnsi="Calibri"/>
          <w:sz w:val="22"/>
        </w:rPr>
        <w:t>Conduct a noise sensitivity study across ideal simulator, depolarizing-noise simulator, and (where available) real IBM Quantum hardware</w:t>
      </w:r>
    </w:p>
    <w:p>
      <w:pPr>
        <w:pStyle w:val="ListBullet"/>
      </w:pPr>
      <w:r>
        <w:rPr>
          <w:rFonts w:ascii="Calibri" w:hAnsi="Calibri"/>
          <w:sz w:val="22"/>
        </w:rPr>
        <w:t>Perform a circuit-depth sweep (1–4 repetitions) to characterize barren-plateau onset and its effect on trainability</w:t>
      </w:r>
    </w:p>
    <w:p>
      <w:pPr>
        <w:pStyle w:val="ListBullet"/>
      </w:pPr>
      <w:r>
        <w:rPr>
          <w:rFonts w:ascii="Calibri" w:hAnsi="Calibri"/>
          <w:sz w:val="22"/>
        </w:rPr>
        <w:t>Provide explainability for both classical (SHAP, permutation importance) and quantum (circuit visualization, parameter sensitivity, expectation-value analysis) models, with explicit caveats about the limits of quantum explainability</w:t>
      </w:r>
    </w:p>
    <w:p>
      <w:pPr>
        <w:pStyle w:val="ListBullet"/>
      </w:pPr>
      <w:r>
        <w:rPr>
          <w:rFonts w:ascii="Calibri" w:hAnsi="Calibri"/>
          <w:sz w:val="22"/>
        </w:rPr>
        <w:t>Ensure full reproducibility through fixed random seeds, published code, documented hyperparameters, and mean ± std reporting across multiple cross-validation folds</w:t>
      </w:r>
    </w:p>
    <w:p>
      <w:pPr>
        <w:pStyle w:val="ListBullet"/>
      </w:pPr>
      <w:r>
        <w:rPr>
          <w:rFonts w:ascii="Calibri" w:hAnsi="Calibri"/>
          <w:sz w:val="22"/>
        </w:rPr>
        <w:t>Generate automated benchmarking reports with confusion matrices, ROC curves, and statistical comparison summaries</w:t>
      </w:r>
    </w:p>
    <w:p>
      <w:pPr>
        <w:pStyle w:val="Heading2"/>
      </w:pPr>
      <w:r>
        <w:t>6. Current State of Research</w:t>
      </w:r>
    </w:p>
    <w:p>
      <w:r>
        <w:t>Quantum machine learning for healthcare has generated substantial academic interest, with publication volume accelerating sharply since 2020. However, two recent comprehensive reviews paint a sobering picture of the field's maturity.</w:t>
      </w:r>
    </w:p>
    <w:p>
      <w:r>
        <w:t>Gupta et al. (2025), in a systematic review published in npj Digital Medicine titled "A systematic review of quantum machine learning for digital health," screened 4,915 studies published between January 2015 and June 2024. Of these, 169 met initial eligibility criteria. After applying quality filters for analytical rigor, 123 were excluded, leaving 46 studies with adequate methodology. Among those 46, only 16 tested their algorithms under what the authors define as "realistic operating conditions" — meaning actual quantum hardware or noisy quantum simulations rather than ideal (noiseless) simulators. The review's central finding: there is no consistent trend to support the claim that QML currently outperforms classical machine learning in digital health applications. The authors further note that nearly all identified quantum models are linear quantum models representing only a subset of general quantum algorithm structures, and that data-encoding strategies for large health datasets face scalability issues requiring restrictive hardware assumptions.</w:t>
      </w:r>
    </w:p>
    <w:p>
      <w:r>
        <w:t>A 2026 survey by Idzikowski et al., published in MDPI Applied Sciences, reviewed more than 60 studies (spanning 2018–2025) on quantum machine learning applications in medicine and healthcare. The survey cataloged research across seven dimensions: publication trends, quantum hardware vs. simulator usage, quantum architectures, dataset types, medical domains, algorithmic frameworks, and reported performance. Key findings include: Quantum Convolutional Neural Networks (QCNNs) dominate image-based tasks, while VQCs and QSVMs are used for feature-based clinical datasets; most research relies on simulators rather than real hardware; and while high accuracy figures (95–99%) are frequently reported, the authors caution that these do not constitute proof of quantum superiority and note significant gaps in reproducibility and standardized benchmarking.</w:t>
      </w:r>
    </w:p>
    <w:p>
      <w:r>
        <w:t>Foundational theoretical work by Havlíček et al. (2019, Nature) demonstrated supervised learning with quantum-enhanced feature spaces on IBM hardware, establishing the quantum kernel framework. Huang et al. (2021, Nature Communications) showed that classical models can be surprisingly competitive with quantum models even on quantum-generated data, and that data availability significantly changes the complexity landscape — a result that tempers expectations of easy quantum advantage.</w:t>
      </w:r>
    </w:p>
    <w:p>
      <w:pPr>
        <w:pStyle w:val="Heading2"/>
      </w:pPr>
      <w:r>
        <w:t>7. Key Research Finding</w:t>
      </w:r>
    </w:p>
    <w:p>
      <w:r>
        <w:t>Thesis: QML for healthcare is promising in theory but remains experimental and unproven in practice.</w:t>
      </w:r>
    </w:p>
    <w:p>
      <w:r>
        <w:t>Specific literature weaknesses identified:</w:t>
      </w:r>
    </w:p>
    <w:p>
      <w:pPr>
        <w:pStyle w:val="ListBullet"/>
      </w:pPr>
      <w:r>
        <w:rPr>
          <w:rFonts w:ascii="Calibri" w:hAnsi="Calibri"/>
          <w:sz w:val="22"/>
        </w:rPr>
        <w:t>Over-reliance on ideal (noiseless) quantum simulators, masking the noise-induced performance degradation that occurs on real hardware</w:t>
      </w:r>
    </w:p>
    <w:p>
      <w:pPr>
        <w:pStyle w:val="ListBullet"/>
      </w:pPr>
      <w:r>
        <w:rPr>
          <w:rFonts w:ascii="Calibri" w:hAnsi="Calibri"/>
          <w:sz w:val="22"/>
        </w:rPr>
        <w:t>Use of small, non-representative datasets that inflate accuracy and prevent generalization claims</w:t>
      </w:r>
    </w:p>
    <w:p>
      <w:pPr>
        <w:pStyle w:val="ListBullet"/>
      </w:pPr>
      <w:r>
        <w:rPr>
          <w:rFonts w:ascii="Calibri" w:hAnsi="Calibri"/>
          <w:sz w:val="22"/>
        </w:rPr>
        <w:t>Comparison against weak classical baselines (e.g., basic logistic regression only), making quantum models appear artificially competitive; strong baselines like XGBoost or tuned SVMs are rarely included</w:t>
      </w:r>
    </w:p>
    <w:p>
      <w:pPr>
        <w:pStyle w:val="ListBullet"/>
      </w:pPr>
      <w:r>
        <w:rPr>
          <w:rFonts w:ascii="Calibri" w:hAnsi="Calibri"/>
          <w:sz w:val="22"/>
        </w:rPr>
        <w:t>Poor reproducibility: missing random seeds, unreported hyperparameters, non-standard train-test splits</w:t>
      </w:r>
    </w:p>
    <w:p>
      <w:pPr>
        <w:pStyle w:val="ListBullet"/>
      </w:pPr>
      <w:r>
        <w:rPr>
          <w:rFonts w:ascii="Calibri" w:hAnsi="Calibri"/>
          <w:sz w:val="22"/>
        </w:rPr>
        <w:t>Insufficient noise and uncertainty analysis: few studies report results under realistic noise models or on actual QPUs</w:t>
      </w:r>
    </w:p>
    <w:p>
      <w:pPr>
        <w:pStyle w:val="ListBullet"/>
      </w:pPr>
      <w:r>
        <w:rPr>
          <w:rFonts w:ascii="Calibri" w:hAnsi="Calibri"/>
          <w:sz w:val="22"/>
        </w:rPr>
        <w:t>Lack of clinical validation: nearly all studies operate on public benchmark datasets with no path to clinical deployment</w:t>
      </w:r>
    </w:p>
    <w:p>
      <w:pPr>
        <w:pStyle w:val="ListBullet"/>
      </w:pPr>
      <w:r>
        <w:rPr>
          <w:rFonts w:ascii="Calibri" w:hAnsi="Calibri"/>
          <w:sz w:val="22"/>
        </w:rPr>
        <w:t>Limited explainability: quantum circuit outputs are rarely interpreted in clinically meaningful terms</w:t>
      </w:r>
    </w:p>
    <w:p>
      <w:pPr>
        <w:pStyle w:val="ListBullet"/>
      </w:pPr>
      <w:r>
        <w:rPr>
          <w:rFonts w:ascii="Calibri" w:hAnsi="Calibri"/>
          <w:sz w:val="22"/>
        </w:rPr>
        <w:t>Inconsistent evaluation metrics: some studies report only accuracy, ignoring sensitivity, specificity, and calibration — metrics critical for medical applications</w:t>
      </w:r>
    </w:p>
    <w:p>
      <w:pPr>
        <w:pStyle w:val="Heading2"/>
      </w:pPr>
      <w:r>
        <w:t>8. Research Questions RQ1–RQ9</w:t>
      </w:r>
    </w:p>
    <w:p>
      <w:pPr>
        <w:pStyle w:val="ListNumber"/>
      </w:pPr>
      <w:r>
        <w:rPr>
          <w:rFonts w:ascii="Calibri" w:hAnsi="Calibri"/>
          <w:sz w:val="22"/>
        </w:rPr>
        <w:t>RQ1: How does PCA-based dimensionality reduction (from 30 features to 4–8 principal components) affect the classification performance of both classical and quantum models on the WDBC dataset?</w:t>
      </w:r>
    </w:p>
    <w:p>
      <w:pPr>
        <w:pStyle w:val="ListNumber"/>
      </w:pPr>
      <w:r>
        <w:rPr>
          <w:rFonts w:ascii="Calibri" w:hAnsi="Calibri"/>
          <w:sz w:val="22"/>
        </w:rPr>
        <w:t>RQ2: Does a Quantum Support Vector Classifier (QSVC) using a quantum kernel (ZZFeatureMap) achieve statistically comparable or superior performance to a classical SVM (RBF kernel) under identical preprocessing and evaluation conditions?</w:t>
      </w:r>
    </w:p>
    <w:p>
      <w:pPr>
        <w:pStyle w:val="ListNumber"/>
      </w:pPr>
      <w:r>
        <w:rPr>
          <w:rFonts w:ascii="Calibri" w:hAnsi="Calibri"/>
          <w:sz w:val="22"/>
        </w:rPr>
        <w:t>RQ3: Does a Variational Quantum Classifier (VQC) with optimized ansatz depth match or exceed the performance of nonlinear classical models (Random Forest, XGBoost) on tabular healthcare data?</w:t>
      </w:r>
    </w:p>
    <w:p>
      <w:pPr>
        <w:pStyle w:val="ListNumber"/>
      </w:pPr>
      <w:r>
        <w:rPr>
          <w:rFonts w:ascii="Calibri" w:hAnsi="Calibri"/>
          <w:sz w:val="22"/>
        </w:rPr>
        <w:t>RQ4: How sensitive is quantum model performance to the number of qubits (i.e., retained PCA features), and is there an optimal feature count that balances expressivity against noise accumulation?</w:t>
      </w:r>
    </w:p>
    <w:p>
      <w:pPr>
        <w:pStyle w:val="ListNumber"/>
      </w:pPr>
      <w:r>
        <w:rPr>
          <w:rFonts w:ascii="Calibri" w:hAnsi="Calibri"/>
          <w:sz w:val="22"/>
        </w:rPr>
        <w:t>RQ5: How does quantum model performance degrade from ideal simulator → noisy simulator (depolarizing noise, p = 0.001–0.01) → real IBM Quantum hardware, and does the degradation pattern differ qualitatively from classical model performance under analogous data perturbation?</w:t>
      </w:r>
    </w:p>
    <w:p>
      <w:pPr>
        <w:pStyle w:val="ListNumber"/>
      </w:pPr>
      <w:r>
        <w:rPr>
          <w:rFonts w:ascii="Calibri" w:hAnsi="Calibri"/>
          <w:sz w:val="22"/>
        </w:rPr>
        <w:t>RQ6: At what circuit depth (number of ansatz repetitions) do barren plateaus emerge for VQC and QNN on healthcare-scale feature sets, and how does this constrain practical model design?</w:t>
      </w:r>
    </w:p>
    <w:p>
      <w:pPr>
        <w:pStyle w:val="ListNumber"/>
      </w:pPr>
      <w:r>
        <w:rPr>
          <w:rFonts w:ascii="Calibri" w:hAnsi="Calibri"/>
          <w:sz w:val="22"/>
        </w:rPr>
        <w:t>RQ7: Can the quantum models trained on Qiskit Aer simulators transfer to real IBM Quantum QPUs (e.g., ibm_brisbane, ibm_sherbrooke) with acceptable performance loss (&lt; 5% accuracy drop)?</w:t>
      </w:r>
    </w:p>
    <w:p>
      <w:pPr>
        <w:pStyle w:val="ListNumber"/>
      </w:pPr>
      <w:r>
        <w:rPr>
          <w:rFonts w:ascii="Calibri" w:hAnsi="Calibri"/>
          <w:sz w:val="22"/>
        </w:rPr>
        <w:t>RQ8: Can post-hoc explainability methods (SHAP for classical; parameter sensitivity and expectation-value decomposition for quantum) provide clinically interpretable feature-importance rankings that are consistent across model families?</w:t>
      </w:r>
    </w:p>
    <w:p>
      <w:pPr>
        <w:pStyle w:val="ListNumber"/>
      </w:pPr>
      <w:r>
        <w:rPr>
          <w:rFonts w:ascii="Calibri" w:hAnsi="Calibri"/>
          <w:sz w:val="22"/>
        </w:rPr>
        <w:t>RQ9: Considering all evidence — performance metrics, noise robustness, training cost, and explainability — does the hybrid QML pipeline offer sufficient utility over classical-only approaches to justify its additional complexity for early disease-risk detection?</w:t>
      </w:r>
    </w:p>
    <w:p>
      <w:pPr>
        <w:pStyle w:val="Heading2"/>
      </w:pPr>
      <w:r>
        <w:t>9. Hypotheses</w:t>
      </w:r>
    </w:p>
    <w:p>
      <w:r>
        <w:t>H₀ (Null Hypothesis): There is no statistically significant difference in classification performance (measured by ROC-AUC, sensitivity, and specificity) between the best-performing classical model and the best-performing quantum model across all tested conditions (ideal simulator, noisy simulator, real hardware) on standardized healthcare benchmarks.</w:t>
      </w:r>
    </w:p>
    <w:p>
      <w:r>
        <w:t>H₁ (Alternative Hypothesis): There exists at least one experimental condition (defined by dataset, feature count, noise level, or circuit depth) under which the quantum model achieves a statistically significant difference in classification performance compared with the best classical baseline, as determined by paired bootstrap confidence intervals or corrected paired t-tests across multiple random seeds and cross-validation folds.</w:t>
      </w:r>
    </w:p>
    <w:p>
      <w:r>
        <w:t>Note: Rejecting H₀ does not imply quantum superiority in general — it implies a measurable difference under specific conditions. Failing to reject H₀ is equally valuable: it provides rigorous evidence that, for this class of datasets and models, classical approaches suffice, which is itself a contribution given the current hype cycle.</w:t>
      </w:r>
    </w:p>
    <w:p>
      <w:pPr>
        <w:pStyle w:val="Heading2"/>
      </w:pPr>
      <w:r>
        <w:t>10. Research Gaps</w:t>
      </w:r>
    </w:p>
    <w:p>
      <w:r>
        <w:t>This project directly addresses the following gaps identified in the literature:</w:t>
      </w:r>
    </w:p>
    <w:p>
      <w:pPr>
        <w:pStyle w:val="ListBullet"/>
      </w:pPr>
      <w:r>
        <w:rPr>
          <w:rFonts w:ascii="Calibri" w:hAnsi="Calibri"/>
          <w:sz w:val="22"/>
        </w:rPr>
        <w:t>Real hardware scarcity: Most QML healthcare studies test only on ideal simulators. Q-Diagnose includes noisy simulation and, where queue access permits, real QPU evaluation.</w:t>
      </w:r>
    </w:p>
    <w:p>
      <w:pPr>
        <w:pStyle w:val="ListBullet"/>
      </w:pPr>
      <w:r>
        <w:rPr>
          <w:rFonts w:ascii="Calibri" w:hAnsi="Calibri"/>
          <w:sz w:val="22"/>
        </w:rPr>
        <w:t>Simulator over-reliance: By explicitly reporting ideal vs. noisy vs. hardware results side by side, the project quantifies the simulator-to-reality gap that most studies ignore.</w:t>
      </w:r>
    </w:p>
    <w:p>
      <w:pPr>
        <w:pStyle w:val="ListBullet"/>
      </w:pPr>
      <w:r>
        <w:rPr>
          <w:rFonts w:ascii="Calibri" w:hAnsi="Calibri"/>
          <w:sz w:val="22"/>
        </w:rPr>
        <w:t>Inconsistent benchmarking methodology: Q-Diagnose enforces identical preprocessing, splits, seeds, and metrics across all classical and quantum models — the standardized harness that reviews call for.</w:t>
      </w:r>
    </w:p>
    <w:p>
      <w:pPr>
        <w:pStyle w:val="ListBullet"/>
      </w:pPr>
      <w:r>
        <w:rPr>
          <w:rFonts w:ascii="Calibri" w:hAnsi="Calibri"/>
          <w:sz w:val="22"/>
        </w:rPr>
        <w:t>Weak classical baselines: XGBoost is included as a strong gradient-boosted baseline alongside SVM and Random Forest, preventing the artificial inflation of quantum model competitiveness.</w:t>
      </w:r>
    </w:p>
    <w:p>
      <w:pPr>
        <w:pStyle w:val="ListBullet"/>
      </w:pPr>
      <w:r>
        <w:rPr>
          <w:rFonts w:ascii="Calibri" w:hAnsi="Calibri"/>
          <w:sz w:val="22"/>
        </w:rPr>
        <w:t>Insufficient noise and uncertainty analysis: Circuit-depth sweeps and depolarizing-noise parameter sweeps are built into the evaluation framework.</w:t>
      </w:r>
    </w:p>
    <w:p>
      <w:pPr>
        <w:pStyle w:val="ListBullet"/>
      </w:pPr>
      <w:r>
        <w:rPr>
          <w:rFonts w:ascii="Calibri" w:hAnsi="Calibri"/>
          <w:sz w:val="22"/>
        </w:rPr>
        <w:t>Poor reproducibility: All code, hyperparameters, seeds, and results will be published; results reported as mean ± std across stratified k-fold cross-validation.</w:t>
      </w:r>
    </w:p>
    <w:p>
      <w:pPr>
        <w:pStyle w:val="ListBullet"/>
      </w:pPr>
      <w:r>
        <w:rPr>
          <w:rFonts w:ascii="Calibri" w:hAnsi="Calibri"/>
          <w:sz w:val="22"/>
        </w:rPr>
        <w:t>Lack of dual explainability: Both SHAP-based classical explanations and circuit-level quantum explanations are provided, with explicit caveats about the interpretive limits of the latter.</w:t>
      </w:r>
    </w:p>
    <w:p>
      <w:r>
        <w:br w:type="page"/>
      </w:r>
    </w:p>
    <w:p>
      <w:pPr>
        <w:pStyle w:val="Heading1"/>
      </w:pPr>
      <w:r>
        <w:t>PART B — TECHNICAL DESIGN</w:t>
      </w:r>
    </w:p>
    <w:p>
      <w:pPr>
        <w:pStyle w:val="Heading2"/>
      </w:pPr>
      <w:r>
        <w:t>11. Why Hybrid (Not Pure Quantum)</w:t>
      </w:r>
    </w:p>
    <w:p>
      <w:r>
        <w:t>Current NISQ-era quantum processors operate with 50–1,000+ physical qubits, but effective (error-corrected, usable) qubit counts are far lower, typically 5–20 for variational algorithms before noise overwhelms the signal. Gate fidelities remain below 99.9% for two-qubit gates, and coherence times limit circuit depth. These hardware realities mean:</w:t>
      </w:r>
    </w:p>
    <w:p>
      <w:pPr>
        <w:pStyle w:val="ListBullet"/>
      </w:pPr>
      <w:r>
        <w:rPr>
          <w:rFonts w:ascii="Calibri" w:hAnsi="Calibri"/>
          <w:sz w:val="22"/>
        </w:rPr>
        <w:t>Raw feature counts (e.g., 30 features in WDBC) should NOT be mapped 1:1 to qubits. A 30-qubit circuit would require hundreds of two-qubit gates, yielding noise-dominated outputs.</w:t>
      </w:r>
    </w:p>
    <w:p>
      <w:pPr>
        <w:pStyle w:val="ListBullet"/>
      </w:pPr>
      <w:r>
        <w:rPr>
          <w:rFonts w:ascii="Calibri" w:hAnsi="Calibri"/>
          <w:sz w:val="22"/>
        </w:rPr>
        <w:t>Dimensionality reduction is not optional — it is a hardware necessity. PCA from 30 → 4–8 features maps naturally to a 4–8 qubit circuit with manageable depth.</w:t>
      </w:r>
    </w:p>
    <w:p>
      <w:pPr>
        <w:pStyle w:val="ListBullet"/>
      </w:pPr>
      <w:r>
        <w:rPr>
          <w:rFonts w:ascii="Calibri" w:hAnsi="Calibri"/>
          <w:sz w:val="22"/>
        </w:rPr>
        <w:t>Classical preprocessing (cleaning, imputation, normalization, feature selection) is irreplaceable. Quantum circuits cannot efficiently handle missing data, categorical encoding, or outlier removal.</w:t>
      </w:r>
    </w:p>
    <w:p>
      <w:pPr>
        <w:pStyle w:val="ListBullet"/>
      </w:pPr>
      <w:r>
        <w:rPr>
          <w:rFonts w:ascii="Calibri" w:hAnsi="Calibri"/>
          <w:sz w:val="22"/>
        </w:rPr>
        <w:t>The hybrid architecture is thus: classical layers handle everything up to and including dimensionality reduction; quantum layers handle the reduced-feature classification kernel or variational model; classical layers handle post-processing, optimization (COBYLA/SPSA), and explainability.</w:t>
      </w:r>
    </w:p>
    <w:p>
      <w:r>
        <w:t>The flow: Raw Data (N features) → Classical Preprocessing → Feature Selection → PCA (N → k features, k ≤ 8) → Quantum Encoding (k qubits) → Quantum Circuit (parameterized) → Measurement → Classical Optimizer → Prediction.</w:t>
      </w:r>
    </w:p>
    <w:p>
      <w:pPr>
        <w:pStyle w:val="Heading2"/>
      </w:pPr>
      <w:r>
        <w:t>12. System Architecture</w:t>
      </w:r>
    </w:p>
    <w:p>
      <w:r>
        <w:t>The Q-Diagnose platform consists of the following modules:</w:t>
      </w:r>
    </w:p>
    <w:p>
      <w:r>
        <w:t>1. Data Validation &amp; Ingestion Module: Accepts CSV/tabular datasets; validates schema, types, and ranges; logs data quality metrics.</w:t>
      </w:r>
    </w:p>
    <w:p>
      <w:r>
        <w:t>2. Preprocessing Engine: Handles missing-value imputation (median/KNN), outlier detection (IQR/Z-score), normalization (StandardScaler fitted on training data only), and class-imbalance mitigation (SMOTE, class weighting).</w:t>
      </w:r>
    </w:p>
    <w:p>
      <w:r>
        <w:t>3. Feature Selection Module: Implements variance threshold, mutual information, and domain-guided selection.</w:t>
      </w:r>
    </w:p>
    <w:p>
      <w:r>
        <w:t>4. Dimensionality Reduction Module: PCA with configurable component count (4–8 for quantum compatibility); variance-explained reporting.</w:t>
      </w:r>
    </w:p>
    <w:p>
      <w:r>
        <w:t>5. Classical ML Lab: Trains Logistic Regression, SVM (RBF), Random Forest, XGBoost with GridSearchCV hyperparameter tuning.</w:t>
      </w:r>
    </w:p>
    <w:p>
      <w:r>
        <w:t>6. Quantum ML Lab: Trains QSVC (ZZFeatureMap + quantum kernel), VQC (RealAmplitudes ansatz + COBYLA), QNN (EstimatorQNN with parameterized circuit). Supports Aer ideal simulator, Aer noisy simulator, and IBM Quantum cloud backends.</w:t>
      </w:r>
    </w:p>
    <w:p>
      <w:r>
        <w:t>7. Benchmark Engine: Computes accuracy, precision, sensitivity, specificity, F1, ROC-AUC, PR-AUC for all models; generates confusion matrices, ROC curves; performs statistical comparison (bootstrap CIs, paired t-tests).</w:t>
      </w:r>
    </w:p>
    <w:p>
      <w:r>
        <w:t>8. Explainability Engine: SHAP TreeExplainer/KernelExplainer for classical models; circuit visualization, parameter sensitivity plots, and expectation-value decomposition for quantum models.</w:t>
      </w:r>
    </w:p>
    <w:p>
      <w:r>
        <w:t>9. Dashboard (React/TypeScript): Displays benchmark results, model comparisons, ROC curves, and explainability visualizations.</w:t>
      </w:r>
    </w:p>
    <w:p>
      <w:r>
        <w:t>10. Report Generator: Produces automated PDF/HTML comparison reports.</w:t>
      </w:r>
    </w:p>
    <w:p>
      <w:pPr>
        <w:pStyle w:val="Heading2"/>
      </w:pPr>
      <w:r>
        <w:t>13. Classical ML Models</w:t>
      </w:r>
    </w:p>
    <w:p>
      <w:r>
        <w:t>Four classical models serve as baselines, intentionally spanning the complexity spectrum:</w:t>
      </w:r>
    </w:p>
    <w:p>
      <w:r>
        <w:t>Logistic Regression: A linear model that estimates the probability P(y=1|x) = σ(wᵀx + b), where σ is the sigmoid function. Serves as the simplest baseline and a linearity check.</w:t>
      </w:r>
    </w:p>
    <w:p>
      <w:r>
        <w:t>Support Vector Machine (RBF Kernel): Finds the maximum-margin hyperplane in a kernel-induced feature space. The RBF kernel K(x, x') = exp(-γ‖x − x'‖²) maps data into infinite-dimensional space, providing a classical nonlinear comparator to the quantum kernel.</w:t>
      </w:r>
    </w:p>
    <w:p>
      <w:r>
        <w:t>Random Forest: An ensemble of B decision trees, each trained on a bootstrap sample with random feature subsets. The final prediction is the majority vote: ŷ = mode{h_b(x)} for b = 1, ..., B. Provides a robust, high-variance-tolerant baseline.</w:t>
      </w:r>
    </w:p>
    <w:p>
      <w:r>
        <w:t>XGBoost (Extreme Gradient Boosting): A regularized gradient-boosted tree ensemble that sequentially fits residuals. The objective at step t is: L(t) = Σ l(yᵢ, ŷᵢ^(t-1) + fₜ(xᵢ)) + Ω(fₜ), where Ω penalizes tree complexity. XGBoost is explicitly included as the strongest classical baseline to ensure quantum models are not compared against weak opponents — a flaw identified in the majority of existing QML studies.</w:t>
      </w:r>
    </w:p>
    <w:p>
      <w:pPr>
        <w:pStyle w:val="Heading2"/>
      </w:pPr>
      <w:r>
        <w:t>14. Quantum ML Models</w:t>
      </w:r>
    </w:p>
    <w:p>
      <w:r>
        <w:t>Quantum Support Vector Classifier (QSVC): Uses a quantum kernel computed on a quantum device. A feature map circuit U(x) encodes classical data x into a quantum state: |φ(x)⟩ = U(x)|0⟩^(⊗n). The quantum kernel is: K(xᵢ, xⱼ) = |⟨φ(xᵢ)|φ(xⱼ)⟩|². This kernel matrix is passed to a classical SVM solver. The feature map (e.g., ZZFeatureMap) creates entangled states capturing pairwise feature interactions, potentially accessing correlations difficult for classical kernels.</w:t>
      </w:r>
    </w:p>
    <w:p>
      <w:r>
        <w:t>Variational Quantum Classifier (VQC): A hybrid variational model where the quantum state is: |ψ(x,θ)⟩ = U(θ)U(x)|0⟩^(⊗n). U(x) is the data-encoding circuit (feature map); U(θ) is the trainable ansatz (e.g., RealAmplitudes) with parameters θ optimized by a classical optimizer (COBYLA or SPSA). Measurement of the output qubit yields class probabilities.</w:t>
      </w:r>
    </w:p>
    <w:p>
      <w:r>
        <w:t>Quantum Neural Network (QNN): Implemented via Qiskit's EstimatorQNN (for expectation-value-based outputs) or SamplerQNN (for sampling-based outputs). The QNN wraps a parameterized quantum circuit as a drop-in layer, enabling integration with classical neural network training loops (e.g., PyTorch via TorchConnector).</w:t>
      </w:r>
    </w:p>
    <w:p>
      <w:r>
        <w:t>Quantum CNN (QCNN) — Future Phase: An extension for image-based tasks that applies quantum convolution and pooling layers. Planned for Phase 2+ if qubit counts and coherence times support the required circuit depth. Not included in the MVP.</w:t>
      </w:r>
    </w:p>
    <w:p>
      <w:pPr>
        <w:pStyle w:val="Heading2"/>
      </w:pPr>
      <w:r>
        <w:t>15. Datasets</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shd w:fill="1B2A4A"/>
          </w:tcPr>
          <w:p>
            <w:r>
              <w:rPr>
                <w:rFonts w:ascii="Calibri" w:hAnsi="Calibri"/>
                <w:b/>
                <w:color w:val="FFFFFF"/>
                <w:sz w:val="22"/>
              </w:rPr>
              <w:t>Dataset</w:t>
            </w:r>
          </w:p>
        </w:tc>
        <w:tc>
          <w:tcPr>
            <w:tcW w:type="dxa" w:w="1505"/>
            <w:shd w:fill="1B2A4A"/>
          </w:tcPr>
          <w:p>
            <w:r>
              <w:rPr>
                <w:rFonts w:ascii="Calibri" w:hAnsi="Calibri"/>
                <w:b/>
                <w:color w:val="FFFFFF"/>
                <w:sz w:val="22"/>
              </w:rPr>
              <w:t>Source</w:t>
            </w:r>
          </w:p>
        </w:tc>
        <w:tc>
          <w:tcPr>
            <w:tcW w:type="dxa" w:w="1505"/>
            <w:shd w:fill="1B2A4A"/>
          </w:tcPr>
          <w:p>
            <w:r>
              <w:rPr>
                <w:rFonts w:ascii="Calibri" w:hAnsi="Calibri"/>
                <w:b/>
                <w:color w:val="FFFFFF"/>
                <w:sz w:val="22"/>
              </w:rPr>
              <w:t>Samples</w:t>
            </w:r>
          </w:p>
        </w:tc>
        <w:tc>
          <w:tcPr>
            <w:tcW w:type="dxa" w:w="1505"/>
            <w:shd w:fill="1B2A4A"/>
          </w:tcPr>
          <w:p>
            <w:r>
              <w:rPr>
                <w:rFonts w:ascii="Calibri" w:hAnsi="Calibri"/>
                <w:b/>
                <w:color w:val="FFFFFF"/>
                <w:sz w:val="22"/>
              </w:rPr>
              <w:t>Features</w:t>
            </w:r>
          </w:p>
        </w:tc>
        <w:tc>
          <w:tcPr>
            <w:tcW w:type="dxa" w:w="1505"/>
            <w:shd w:fill="1B2A4A"/>
          </w:tcPr>
          <w:p>
            <w:r>
              <w:rPr>
                <w:rFonts w:ascii="Calibri" w:hAnsi="Calibri"/>
                <w:b/>
                <w:color w:val="FFFFFF"/>
                <w:sz w:val="22"/>
              </w:rPr>
              <w:t>Classes</w:t>
            </w:r>
          </w:p>
        </w:tc>
        <w:tc>
          <w:tcPr>
            <w:tcW w:type="dxa" w:w="1505"/>
            <w:shd w:fill="1B2A4A"/>
          </w:tcPr>
          <w:p>
            <w:r>
              <w:rPr>
                <w:rFonts w:ascii="Calibri" w:hAnsi="Calibri"/>
                <w:b/>
                <w:color w:val="FFFFFF"/>
                <w:sz w:val="22"/>
              </w:rPr>
              <w:t>URL</w:t>
            </w:r>
          </w:p>
        </w:tc>
      </w:tr>
      <w:tr>
        <w:tc>
          <w:tcPr>
            <w:tcW w:type="dxa" w:w="1505"/>
            <w:shd w:fill="FFFFFF"/>
          </w:tcPr>
          <w:p>
            <w:r>
              <w:rPr>
                <w:rFonts w:ascii="Calibri" w:hAnsi="Calibri"/>
                <w:sz w:val="22"/>
              </w:rPr>
              <w:t>UCI Breast Cancer Wisconsin Diagnostic (WDBC)</w:t>
            </w:r>
          </w:p>
        </w:tc>
        <w:tc>
          <w:tcPr>
            <w:tcW w:type="dxa" w:w="1505"/>
            <w:shd w:fill="FFFFFF"/>
          </w:tcPr>
          <w:p>
            <w:r>
              <w:rPr>
                <w:rFonts w:ascii="Calibri" w:hAnsi="Calibri"/>
                <w:sz w:val="22"/>
              </w:rPr>
              <w:t>UCI ML Repository</w:t>
            </w:r>
          </w:p>
        </w:tc>
        <w:tc>
          <w:tcPr>
            <w:tcW w:type="dxa" w:w="1505"/>
            <w:shd w:fill="FFFFFF"/>
          </w:tcPr>
          <w:p>
            <w:r>
              <w:rPr>
                <w:rFonts w:ascii="Calibri" w:hAnsi="Calibri"/>
                <w:sz w:val="22"/>
              </w:rPr>
              <w:t>569</w:t>
            </w:r>
          </w:p>
        </w:tc>
        <w:tc>
          <w:tcPr>
            <w:tcW w:type="dxa" w:w="1505"/>
            <w:shd w:fill="FFFFFF"/>
          </w:tcPr>
          <w:p>
            <w:r>
              <w:rPr>
                <w:rFonts w:ascii="Calibri" w:hAnsi="Calibri"/>
                <w:sz w:val="22"/>
              </w:rPr>
              <w:t>30 (10 real-valued features × 3 statistics)</w:t>
            </w:r>
          </w:p>
        </w:tc>
        <w:tc>
          <w:tcPr>
            <w:tcW w:type="dxa" w:w="1505"/>
            <w:shd w:fill="FFFFFF"/>
          </w:tcPr>
          <w:p>
            <w:r>
              <w:rPr>
                <w:rFonts w:ascii="Calibri" w:hAnsi="Calibri"/>
                <w:sz w:val="22"/>
              </w:rPr>
              <w:t>2 (Malignant/Benign)</w:t>
            </w:r>
          </w:p>
        </w:tc>
        <w:tc>
          <w:tcPr>
            <w:tcW w:type="dxa" w:w="1505"/>
            <w:shd w:fill="FFFFFF"/>
          </w:tcPr>
          <w:p>
            <w:r>
              <w:rPr>
                <w:rFonts w:ascii="Calibri" w:hAnsi="Calibri"/>
                <w:sz w:val="22"/>
              </w:rPr>
              <w:t>https://archive.ics.uci.edu/ml/datasets/Breast+Cancer+Wisconsin+(Diagnostic)</w:t>
            </w:r>
          </w:p>
        </w:tc>
      </w:tr>
      <w:tr>
        <w:tc>
          <w:tcPr>
            <w:tcW w:type="dxa" w:w="1505"/>
            <w:shd w:fill="F2F2F2"/>
          </w:tcPr>
          <w:p>
            <w:r>
              <w:rPr>
                <w:rFonts w:ascii="Calibri" w:hAnsi="Calibri"/>
                <w:sz w:val="22"/>
              </w:rPr>
              <w:t>UCI Heart Disease (Cleveland)</w:t>
            </w:r>
          </w:p>
        </w:tc>
        <w:tc>
          <w:tcPr>
            <w:tcW w:type="dxa" w:w="1505"/>
            <w:shd w:fill="F2F2F2"/>
          </w:tcPr>
          <w:p>
            <w:r>
              <w:rPr>
                <w:rFonts w:ascii="Calibri" w:hAnsi="Calibri"/>
                <w:sz w:val="22"/>
              </w:rPr>
              <w:t>UCI ML Repository</w:t>
            </w:r>
          </w:p>
        </w:tc>
        <w:tc>
          <w:tcPr>
            <w:tcW w:type="dxa" w:w="1505"/>
            <w:shd w:fill="F2F2F2"/>
          </w:tcPr>
          <w:p>
            <w:r>
              <w:rPr>
                <w:rFonts w:ascii="Calibri" w:hAnsi="Calibri"/>
                <w:sz w:val="22"/>
              </w:rPr>
              <w:t>303</w:t>
            </w:r>
          </w:p>
        </w:tc>
        <w:tc>
          <w:tcPr>
            <w:tcW w:type="dxa" w:w="1505"/>
            <w:shd w:fill="F2F2F2"/>
          </w:tcPr>
          <w:p>
            <w:r>
              <w:rPr>
                <w:rFonts w:ascii="Calibri" w:hAnsi="Calibri"/>
                <w:sz w:val="22"/>
              </w:rPr>
              <w:t>13 (after standard preprocessing)</w:t>
            </w:r>
          </w:p>
        </w:tc>
        <w:tc>
          <w:tcPr>
            <w:tcW w:type="dxa" w:w="1505"/>
            <w:shd w:fill="F2F2F2"/>
          </w:tcPr>
          <w:p>
            <w:r>
              <w:rPr>
                <w:rFonts w:ascii="Calibri" w:hAnsi="Calibri"/>
                <w:sz w:val="22"/>
              </w:rPr>
              <w:t>2 (Presence/Absence)</w:t>
            </w:r>
          </w:p>
        </w:tc>
        <w:tc>
          <w:tcPr>
            <w:tcW w:type="dxa" w:w="1505"/>
            <w:shd w:fill="F2F2F2"/>
          </w:tcPr>
          <w:p>
            <w:r>
              <w:rPr>
                <w:rFonts w:ascii="Calibri" w:hAnsi="Calibri"/>
                <w:sz w:val="22"/>
              </w:rPr>
              <w:t>https://archive.ics.uci.edu/ml/datasets/Heart+Disease</w:t>
            </w:r>
          </w:p>
        </w:tc>
      </w:tr>
      <w:tr>
        <w:tc>
          <w:tcPr>
            <w:tcW w:type="dxa" w:w="1505"/>
            <w:shd w:fill="FFFFFF"/>
          </w:tcPr>
          <w:p>
            <w:r>
              <w:rPr>
                <w:rFonts w:ascii="Calibri" w:hAnsi="Calibri"/>
                <w:sz w:val="22"/>
              </w:rPr>
              <w:t>MIT-BIH Arrhythmia Database</w:t>
            </w:r>
          </w:p>
        </w:tc>
        <w:tc>
          <w:tcPr>
            <w:tcW w:type="dxa" w:w="1505"/>
            <w:shd w:fill="FFFFFF"/>
          </w:tcPr>
          <w:p>
            <w:r>
              <w:rPr>
                <w:rFonts w:ascii="Calibri" w:hAnsi="Calibri"/>
                <w:sz w:val="22"/>
              </w:rPr>
              <w:t>PhysioNet</w:t>
            </w:r>
          </w:p>
        </w:tc>
        <w:tc>
          <w:tcPr>
            <w:tcW w:type="dxa" w:w="1505"/>
            <w:shd w:fill="FFFFFF"/>
          </w:tcPr>
          <w:p>
            <w:r>
              <w:rPr>
                <w:rFonts w:ascii="Calibri" w:hAnsi="Calibri"/>
                <w:sz w:val="22"/>
              </w:rPr>
              <w:t>48 records, ~110,000 annotated beats</w:t>
            </w:r>
          </w:p>
        </w:tc>
        <w:tc>
          <w:tcPr>
            <w:tcW w:type="dxa" w:w="1505"/>
            <w:shd w:fill="FFFFFF"/>
          </w:tcPr>
          <w:p>
            <w:r>
              <w:rPr>
                <w:rFonts w:ascii="Calibri" w:hAnsi="Calibri"/>
                <w:sz w:val="22"/>
              </w:rPr>
              <w:t>Variable (ECG signal features)</w:t>
            </w:r>
          </w:p>
        </w:tc>
        <w:tc>
          <w:tcPr>
            <w:tcW w:type="dxa" w:w="1505"/>
            <w:shd w:fill="FFFFFF"/>
          </w:tcPr>
          <w:p>
            <w:r>
              <w:rPr>
                <w:rFonts w:ascii="Calibri" w:hAnsi="Calibri"/>
                <w:sz w:val="22"/>
              </w:rPr>
              <w:t>Multiple (arrhythmia types)</w:t>
            </w:r>
          </w:p>
        </w:tc>
        <w:tc>
          <w:tcPr>
            <w:tcW w:type="dxa" w:w="1505"/>
            <w:shd w:fill="FFFFFF"/>
          </w:tcPr>
          <w:p>
            <w:r>
              <w:rPr>
                <w:rFonts w:ascii="Calibri" w:hAnsi="Calibri"/>
                <w:sz w:val="22"/>
              </w:rPr>
              <w:t>https://physionet.org/content/mitdb/1.0.0/</w:t>
            </w:r>
          </w:p>
        </w:tc>
      </w:tr>
    </w:tbl>
    <w:p>
      <w:pPr>
        <w:pStyle w:val="Heading2"/>
      </w:pPr>
      <w:r>
        <w:t>16. Data Pipeline &amp; Leakage Prevention</w:t>
      </w:r>
    </w:p>
    <w:p>
      <w:r>
        <w:t>Critical pipeline ordering to prevent data leakage:</w:t>
      </w:r>
    </w:p>
    <w:p>
      <w:pPr>
        <w:pStyle w:val="ListNumber"/>
      </w:pPr>
      <w:r>
        <w:rPr>
          <w:rFonts w:ascii="Calibri" w:hAnsi="Calibri"/>
          <w:sz w:val="22"/>
        </w:rPr>
        <w:t>Train/Test Split First: All data is split before any transformation. Scalers, PCA, and SMOTE are fitted only on the training fold and applied (transform-only) to the test fold.</w:t>
      </w:r>
    </w:p>
    <w:p>
      <w:pPr>
        <w:pStyle w:val="ListNumber"/>
      </w:pPr>
      <w:r>
        <w:rPr>
          <w:rFonts w:ascii="Calibri" w:hAnsi="Calibri"/>
          <w:sz w:val="22"/>
        </w:rPr>
        <w:t>Patient-Level Splitting: For signal/imaging data (MIT-BIH), splits are performed at the patient (record) level using GroupKFold to prevent beats from the same patient appearing in both train and test sets — a common leakage source in ECG studies.</w:t>
      </w:r>
    </w:p>
    <w:p>
      <w:pPr>
        <w:pStyle w:val="ListNumber"/>
      </w:pPr>
      <w:r>
        <w:rPr>
          <w:rFonts w:ascii="Calibri" w:hAnsi="Calibri"/>
          <w:sz w:val="22"/>
        </w:rPr>
        <w:t>Class-Imbalance Awareness: Accuracy alone is misleading under class imbalance. Evaluation emphasizes sensitivity (recall for the positive/disease class), specificity, PR-AUC, and calibrated probabilities.</w:t>
      </w:r>
    </w:p>
    <w:p>
      <w:pPr>
        <w:pStyle w:val="ListNumber"/>
      </w:pPr>
      <w:r>
        <w:rPr>
          <w:rFonts w:ascii="Calibri" w:hAnsi="Calibri"/>
          <w:sz w:val="22"/>
        </w:rPr>
        <w:t>No Test-Set Snooping: Hyperparameter tuning uses inner cross-validation on the training set only.</w:t>
      </w:r>
    </w:p>
    <w:p>
      <w:pPr>
        <w:pStyle w:val="Heading2"/>
      </w:pPr>
      <w:r>
        <w:t>17. Evaluation Framework</w:t>
      </w:r>
    </w:p>
    <w:p>
      <w:r>
        <w:t>Metrics (with formulas):</w:t>
      </w:r>
    </w:p>
    <w:p>
      <w:r>
        <w:t>- Accuracy = (TP + TN) / (TP + TN + FP + FN)</w:t>
      </w:r>
    </w:p>
    <w:p>
      <w:r>
        <w:t>- Precision = TP / (TP + FP)</w:t>
      </w:r>
    </w:p>
    <w:p>
      <w:r>
        <w:t>- Sensitivity (Recall) = TP / (TP + FN)</w:t>
      </w:r>
    </w:p>
    <w:p>
      <w:r>
        <w:t>- Specificity = TN / (TN + FP)</w:t>
      </w:r>
    </w:p>
    <w:p>
      <w:r>
        <w:t>- F1 Score = 2 × (Precision × Recall) / (Precision + Recall)</w:t>
      </w:r>
    </w:p>
    <w:p>
      <w:r>
        <w:t>- ROC-AUC: Area under the Receiver Operating Characteristic curve (TPR vs. FPR at varying thresholds)</w:t>
      </w:r>
    </w:p>
    <w:p>
      <w:r>
        <w:t>- PR-AUC: Area under the Precision-Recall curve (important under class imbalance)</w:t>
      </w:r>
    </w:p>
    <w:p>
      <w:r>
        <w:t>Evaluation Protocol:</w:t>
      </w:r>
    </w:p>
    <w:p>
      <w:pPr>
        <w:pStyle w:val="ListBullet"/>
      </w:pPr>
      <w:r>
        <w:rPr>
          <w:rFonts w:ascii="Calibri" w:hAnsi="Calibri"/>
          <w:sz w:val="22"/>
        </w:rPr>
        <w:t>Stratified 5-fold cross-validation for all models, reported as mean ± standard deviation</w:t>
      </w:r>
    </w:p>
    <w:p>
      <w:pPr>
        <w:pStyle w:val="ListBullet"/>
      </w:pPr>
      <w:r>
        <w:rPr>
          <w:rFonts w:ascii="Calibri" w:hAnsi="Calibri"/>
          <w:sz w:val="22"/>
        </w:rPr>
        <w:t>Confusion matrix for each model on the held-out test set</w:t>
      </w:r>
    </w:p>
    <w:p>
      <w:pPr>
        <w:pStyle w:val="ListBullet"/>
      </w:pPr>
      <w:r>
        <w:rPr>
          <w:rFonts w:ascii="Calibri" w:hAnsi="Calibri"/>
          <w:sz w:val="22"/>
        </w:rPr>
        <w:t>ROC curves overlaid for visual comparison</w:t>
      </w:r>
    </w:p>
    <w:p>
      <w:pPr>
        <w:pStyle w:val="ListBullet"/>
      </w:pPr>
      <w:r>
        <w:rPr>
          <w:rFonts w:ascii="Calibri" w:hAnsi="Calibri"/>
          <w:sz w:val="22"/>
        </w:rPr>
        <w:t>Statistical significance testing: bootstrap 95% confidence intervals on ROC-AUC differences; corrected paired t-tests across folds; results from a minimum of 5 random seeds</w:t>
      </w:r>
    </w:p>
    <w:p>
      <w:pPr>
        <w:pStyle w:val="ListBullet"/>
      </w:pPr>
      <w:r>
        <w:rPr>
          <w:rFonts w:ascii="Calibri" w:hAnsi="Calibri"/>
          <w:sz w:val="22"/>
        </w:rPr>
        <w:t>Small performance gaps (&lt; 1–2% AUC) are not over-interpreted as meaningful advantages</w:t>
      </w:r>
    </w:p>
    <w:p>
      <w:pPr>
        <w:pStyle w:val="Heading2"/>
      </w:pPr>
      <w:r>
        <w:t>18. Quantum Noise, Depth &amp; Encoding</w:t>
      </w:r>
    </w:p>
    <w:p>
      <w:r>
        <w:t>Three Backend Tiers:</w:t>
      </w:r>
    </w:p>
    <w:p>
      <w:pPr>
        <w:pStyle w:val="ListBullet"/>
      </w:pPr>
      <w:r>
        <w:rPr>
          <w:rFonts w:ascii="Calibri" w:hAnsi="Calibri"/>
          <w:sz w:val="22"/>
        </w:rPr>
        <w:t>Tier 1 — Ideal Simulator: Qiskit Aer statevector/qasm_simulator with no noise. Establishes the upper-bound performance ceiling.</w:t>
      </w:r>
    </w:p>
    <w:p>
      <w:pPr>
        <w:pStyle w:val="ListBullet"/>
      </w:pPr>
      <w:r>
        <w:rPr>
          <w:rFonts w:ascii="Calibri" w:hAnsi="Calibri"/>
          <w:sz w:val="22"/>
        </w:rPr>
        <w:t>Tier 2 — Noisy Simulator: Qiskit Aer with depolarizing noise model (p = 0.001, 0.005, 0.01). Mimics realistic gate errors.</w:t>
      </w:r>
    </w:p>
    <w:p>
      <w:pPr>
        <w:pStyle w:val="ListBullet"/>
      </w:pPr>
      <w:r>
        <w:rPr>
          <w:rFonts w:ascii="Calibri" w:hAnsi="Calibri"/>
          <w:sz w:val="22"/>
        </w:rPr>
        <w:t>Tier 3 — Real QPU: IBM Quantum cloud backends (e.g., ibm_brisbane, ibm_sherbrooke) via Qiskit Runtime. Subject to queue availability.</w:t>
      </w:r>
    </w:p>
    <w:p>
      <w:r>
        <w:t>Circuit-Depth Sweep: Ansatz repetitions (reps = 1, 2, 3, 4) are systematically tested. Deeper circuits increase expressivity but risk barren plateaus — vanishing gradients that make optimization intractable. The sweep identifies the practical depth limit.</w:t>
      </w:r>
    </w:p>
    <w:p>
      <w:r>
        <w:t>Encoding Methods:</w:t>
      </w:r>
    </w:p>
    <w:p>
      <w:pPr>
        <w:pStyle w:val="ListBullet"/>
      </w:pPr>
      <w:r>
        <w:rPr>
          <w:rFonts w:ascii="Calibri" w:hAnsi="Calibri"/>
          <w:sz w:val="22"/>
        </w:rPr>
        <w:t>Angle Encoding (default): Each feature is encoded as a rotation angle on a single qubit. Requires n qubits for n features. Simple, near-term friendly.</w:t>
      </w:r>
    </w:p>
    <w:p>
      <w:pPr>
        <w:pStyle w:val="ListBullet"/>
      </w:pPr>
      <w:r>
        <w:rPr>
          <w:rFonts w:ascii="Calibri" w:hAnsi="Calibri"/>
          <w:sz w:val="22"/>
        </w:rPr>
        <w:t>Amplitude Encoding: Encodes 2^n amplitudes using n qubits. More compact but requires deep state-preparation circuits, making it impractical for NISQ.</w:t>
      </w:r>
    </w:p>
    <w:p>
      <w:pPr>
        <w:pStyle w:val="ListBullet"/>
      </w:pPr>
      <w:r>
        <w:rPr>
          <w:rFonts w:ascii="Calibri" w:hAnsi="Calibri"/>
          <w:sz w:val="22"/>
        </w:rPr>
        <w:t>ZZFeatureMap: Angle encoding with entangling ZZ gates capturing pairwise feature interactions. Used for QSVC kernels.</w:t>
      </w:r>
    </w:p>
    <w:p>
      <w:pPr>
        <w:pStyle w:val="ListBullet"/>
      </w:pPr>
      <w:r>
        <w:rPr>
          <w:rFonts w:ascii="Calibri" w:hAnsi="Calibri"/>
          <w:sz w:val="22"/>
        </w:rPr>
        <w:t>Custom Feature Maps: Extensible architecture allows testing alternative encodings in future phases.</w:t>
      </w:r>
    </w:p>
    <w:p>
      <w:pPr>
        <w:pStyle w:val="Heading2"/>
      </w:pPr>
      <w:r>
        <w:t>19. Explainability, Uncertainty &amp; Calibration</w:t>
      </w:r>
    </w:p>
    <w:p>
      <w:r>
        <w:t>Classical Explainability:</w:t>
      </w:r>
    </w:p>
    <w:p>
      <w:pPr>
        <w:pStyle w:val="ListBullet"/>
      </w:pPr>
      <w:r>
        <w:rPr>
          <w:rFonts w:ascii="Calibri" w:hAnsi="Calibri"/>
          <w:sz w:val="22"/>
        </w:rPr>
        <w:t>SHAP (SHapley Additive exPlanations): TreeExplainer for Random Forest/XGBoost; KernelExplainer for SVM. Provides per-feature, per-prediction importance scores with theoretical guarantees.</w:t>
      </w:r>
    </w:p>
    <w:p>
      <w:pPr>
        <w:pStyle w:val="ListBullet"/>
      </w:pPr>
      <w:r>
        <w:rPr>
          <w:rFonts w:ascii="Calibri" w:hAnsi="Calibri"/>
          <w:sz w:val="22"/>
        </w:rPr>
        <w:t>Permutation Importance: Model-agnostic; measures performance drop when each feature is randomly shuffled.</w:t>
      </w:r>
    </w:p>
    <w:p>
      <w:r>
        <w:t>Quantum Explainability (with caveats):</w:t>
      </w:r>
    </w:p>
    <w:p>
      <w:pPr>
        <w:pStyle w:val="ListBullet"/>
      </w:pPr>
      <w:r>
        <w:rPr>
          <w:rFonts w:ascii="Calibri" w:hAnsi="Calibri"/>
          <w:sz w:val="22"/>
        </w:rPr>
        <w:t>Circuit Structure Visualization: Shows the quantum gates and entanglement pattern, but does NOT constitute a clinical explanation.</w:t>
      </w:r>
    </w:p>
    <w:p>
      <w:pPr>
        <w:pStyle w:val="ListBullet"/>
      </w:pPr>
      <w:r>
        <w:rPr>
          <w:rFonts w:ascii="Calibri" w:hAnsi="Calibri"/>
          <w:sz w:val="22"/>
        </w:rPr>
        <w:t>Expectation-Value Decomposition: Decomposes the output into contributions from individual Pauli observables.</w:t>
      </w:r>
    </w:p>
    <w:p>
      <w:pPr>
        <w:pStyle w:val="ListBullet"/>
      </w:pPr>
      <w:r>
        <w:rPr>
          <w:rFonts w:ascii="Calibri" w:hAnsi="Calibri"/>
          <w:sz w:val="22"/>
        </w:rPr>
        <w:t>Parameter Sensitivity Analysis: Measures how the prediction changes as each variational parameter θᵢ is perturbed.</w:t>
      </w:r>
    </w:p>
    <w:p>
      <w:pPr>
        <w:pStyle w:val="ListBullet"/>
      </w:pPr>
      <w:r>
        <w:rPr>
          <w:rFonts w:ascii="Calibri" w:hAnsi="Calibri"/>
          <w:sz w:val="22"/>
        </w:rPr>
        <w:t>Explicit Caveat: Quantum circuit visualizations are informative for algorithm designers but are not interpretable by clinicians. The project does not claim quantum models are "explainable" in the clinical sense.</w:t>
      </w:r>
    </w:p>
    <w:p>
      <w:r>
        <w:t>Calibration &amp; Uncertainty:</w:t>
      </w:r>
    </w:p>
    <w:p>
      <w:pPr>
        <w:pStyle w:val="ListBullet"/>
      </w:pPr>
      <w:r>
        <w:rPr>
          <w:rFonts w:ascii="Calibri" w:hAnsi="Calibri"/>
          <w:sz w:val="22"/>
        </w:rPr>
        <w:t>Reliability Diagrams: Plot predicted probability vs. observed frequency in bins.</w:t>
      </w:r>
    </w:p>
    <w:p>
      <w:pPr>
        <w:pStyle w:val="ListBullet"/>
      </w:pPr>
      <w:r>
        <w:rPr>
          <w:rFonts w:ascii="Calibri" w:hAnsi="Calibri"/>
          <w:sz w:val="22"/>
        </w:rPr>
        <w:t>Brier Score: Mean squared error of predicted probabilities; Brier = (1/N) Σ(pᵢ − yᵢ)².</w:t>
      </w:r>
    </w:p>
    <w:p>
      <w:pPr>
        <w:pStyle w:val="ListBullet"/>
      </w:pPr>
      <w:r>
        <w:rPr>
          <w:rFonts w:ascii="Calibri" w:hAnsi="Calibri"/>
          <w:sz w:val="22"/>
        </w:rPr>
        <w:t>Expected Calibration Error (ECE): Weighted average of per-bin calibration gap.</w:t>
      </w:r>
    </w:p>
    <w:p>
      <w:pPr>
        <w:pStyle w:val="ListBullet"/>
      </w:pPr>
      <w:r>
        <w:rPr>
          <w:rFonts w:ascii="Calibri" w:hAnsi="Calibri"/>
          <w:sz w:val="22"/>
        </w:rPr>
        <w:t>Platt Scaling / Isotonic Regression: Applied post-hoc to miscalibrated models.</w:t>
      </w:r>
    </w:p>
    <w:p>
      <w:pPr>
        <w:pStyle w:val="Heading2"/>
      </w:pPr>
      <w:r>
        <w:t>20. Technology Stack</w:t>
      </w:r>
    </w:p>
    <w:tbl>
      <w:tblPr>
        <w:tblStyle w:val="TableGrid"/>
        <w:tblW w:type="auto" w:w="0"/>
        <w:tblLook w:firstColumn="1" w:firstRow="1" w:lastColumn="0" w:lastRow="0" w:noHBand="0" w:noVBand="1" w:val="04A0"/>
      </w:tblPr>
      <w:tblGrid>
        <w:gridCol w:w="3010"/>
        <w:gridCol w:w="3010"/>
        <w:gridCol w:w="3010"/>
      </w:tblGrid>
      <w:tr>
        <w:tc>
          <w:tcPr>
            <w:tcW w:type="dxa" w:w="3010"/>
            <w:shd w:fill="1B2A4A"/>
          </w:tcPr>
          <w:p>
            <w:r>
              <w:rPr>
                <w:rFonts w:ascii="Calibri" w:hAnsi="Calibri"/>
                <w:b/>
                <w:color w:val="FFFFFF"/>
                <w:sz w:val="22"/>
              </w:rPr>
              <w:t>Layer</w:t>
            </w:r>
          </w:p>
        </w:tc>
        <w:tc>
          <w:tcPr>
            <w:tcW w:type="dxa" w:w="3010"/>
            <w:shd w:fill="1B2A4A"/>
          </w:tcPr>
          <w:p>
            <w:r>
              <w:rPr>
                <w:rFonts w:ascii="Calibri" w:hAnsi="Calibri"/>
                <w:b/>
                <w:color w:val="FFFFFF"/>
                <w:sz w:val="22"/>
              </w:rPr>
              <w:t>Technology</w:t>
            </w:r>
          </w:p>
        </w:tc>
        <w:tc>
          <w:tcPr>
            <w:tcW w:type="dxa" w:w="3010"/>
            <w:shd w:fill="1B2A4A"/>
          </w:tcPr>
          <w:p>
            <w:r>
              <w:rPr>
                <w:rFonts w:ascii="Calibri" w:hAnsi="Calibri"/>
                <w:b/>
                <w:color w:val="FFFFFF"/>
                <w:sz w:val="22"/>
              </w:rPr>
              <w:t>Notes</w:t>
            </w:r>
          </w:p>
        </w:tc>
      </w:tr>
      <w:tr>
        <w:tc>
          <w:tcPr>
            <w:tcW w:type="dxa" w:w="3010"/>
            <w:shd w:fill="FFFFFF"/>
          </w:tcPr>
          <w:p>
            <w:r>
              <w:rPr>
                <w:rFonts w:ascii="Calibri" w:hAnsi="Calibri"/>
                <w:sz w:val="22"/>
              </w:rPr>
              <w:t>Frontend</w:t>
            </w:r>
          </w:p>
        </w:tc>
        <w:tc>
          <w:tcPr>
            <w:tcW w:type="dxa" w:w="3010"/>
            <w:shd w:fill="FFFFFF"/>
          </w:tcPr>
          <w:p>
            <w:r>
              <w:rPr>
                <w:rFonts w:ascii="Calibri" w:hAnsi="Calibri"/>
                <w:sz w:val="22"/>
              </w:rPr>
              <w:t>React, TypeScript, Tailwind CSS, Recharts</w:t>
            </w:r>
          </w:p>
        </w:tc>
        <w:tc>
          <w:tcPr>
            <w:tcW w:type="dxa" w:w="3010"/>
            <w:shd w:fill="FFFFFF"/>
          </w:tcPr>
          <w:p>
            <w:r>
              <w:rPr>
                <w:rFonts w:ascii="Calibri" w:hAnsi="Calibri"/>
                <w:sz w:val="22"/>
              </w:rPr>
              <w:t>Interactive dashboard for benchmark visualization</w:t>
            </w:r>
          </w:p>
        </w:tc>
      </w:tr>
      <w:tr>
        <w:tc>
          <w:tcPr>
            <w:tcW w:type="dxa" w:w="3010"/>
            <w:shd w:fill="F2F2F2"/>
          </w:tcPr>
          <w:p>
            <w:r>
              <w:rPr>
                <w:rFonts w:ascii="Calibri" w:hAnsi="Calibri"/>
                <w:sz w:val="22"/>
              </w:rPr>
              <w:t>Backend</w:t>
            </w:r>
          </w:p>
        </w:tc>
        <w:tc>
          <w:tcPr>
            <w:tcW w:type="dxa" w:w="3010"/>
            <w:shd w:fill="F2F2F2"/>
          </w:tcPr>
          <w:p>
            <w:r>
              <w:rPr>
                <w:rFonts w:ascii="Calibri" w:hAnsi="Calibri"/>
                <w:sz w:val="22"/>
              </w:rPr>
              <w:t>Python 3.11+, FastAPI, Pandas, NumPy, scikit-learn, XGBoost, SHAP</w:t>
            </w:r>
          </w:p>
        </w:tc>
        <w:tc>
          <w:tcPr>
            <w:tcW w:type="dxa" w:w="3010"/>
            <w:shd w:fill="F2F2F2"/>
          </w:tcPr>
          <w:p>
            <w:r>
              <w:rPr>
                <w:rFonts w:ascii="Calibri" w:hAnsi="Calibri"/>
                <w:sz w:val="22"/>
              </w:rPr>
              <w:t>REST API serving model predictions and explanations</w:t>
            </w:r>
          </w:p>
        </w:tc>
      </w:tr>
      <w:tr>
        <w:tc>
          <w:tcPr>
            <w:tcW w:type="dxa" w:w="3010"/>
            <w:shd w:fill="FFFFFF"/>
          </w:tcPr>
          <w:p>
            <w:r>
              <w:rPr>
                <w:rFonts w:ascii="Calibri" w:hAnsi="Calibri"/>
                <w:sz w:val="22"/>
              </w:rPr>
              <w:t>Quantum</w:t>
            </w:r>
          </w:p>
        </w:tc>
        <w:tc>
          <w:tcPr>
            <w:tcW w:type="dxa" w:w="3010"/>
            <w:shd w:fill="FFFFFF"/>
          </w:tcPr>
          <w:p>
            <w:r>
              <w:rPr>
                <w:rFonts w:ascii="Calibri" w:hAnsi="Calibri"/>
                <w:sz w:val="22"/>
              </w:rPr>
              <w:t>Qiskit 1.x, Qiskit Machine Learning, Qiskit Aer, Qiskit Runtime</w:t>
            </w:r>
          </w:p>
        </w:tc>
        <w:tc>
          <w:tcPr>
            <w:tcW w:type="dxa" w:w="3010"/>
            <w:shd w:fill="FFFFFF"/>
          </w:tcPr>
          <w:p>
            <w:r>
              <w:rPr>
                <w:rFonts w:ascii="Calibri" w:hAnsi="Calibri"/>
                <w:sz w:val="22"/>
              </w:rPr>
              <w:t>PennyLane noted as an alternative framework for future portability</w:t>
            </w:r>
          </w:p>
        </w:tc>
      </w:tr>
      <w:tr>
        <w:tc>
          <w:tcPr>
            <w:tcW w:type="dxa" w:w="3010"/>
            <w:shd w:fill="F2F2F2"/>
          </w:tcPr>
          <w:p>
            <w:r>
              <w:rPr>
                <w:rFonts w:ascii="Calibri" w:hAnsi="Calibri"/>
                <w:sz w:val="22"/>
              </w:rPr>
              <w:t>Database</w:t>
            </w:r>
          </w:p>
        </w:tc>
        <w:tc>
          <w:tcPr>
            <w:tcW w:type="dxa" w:w="3010"/>
            <w:shd w:fill="F2F2F2"/>
          </w:tcPr>
          <w:p>
            <w:r>
              <w:rPr>
                <w:rFonts w:ascii="Calibri" w:hAnsi="Calibri"/>
                <w:sz w:val="22"/>
              </w:rPr>
              <w:t>PostgreSQL</w:t>
            </w:r>
          </w:p>
        </w:tc>
        <w:tc>
          <w:tcPr>
            <w:tcW w:type="dxa" w:w="3010"/>
            <w:shd w:fill="F2F2F2"/>
          </w:tcPr>
          <w:p>
            <w:r>
              <w:rPr>
                <w:rFonts w:ascii="Calibri" w:hAnsi="Calibri"/>
                <w:sz w:val="22"/>
              </w:rPr>
              <w:t>Stores experiment configurations, results, and audit logs</w:t>
            </w:r>
          </w:p>
        </w:tc>
      </w:tr>
      <w:tr>
        <w:tc>
          <w:tcPr>
            <w:tcW w:type="dxa" w:w="3010"/>
            <w:shd w:fill="FFFFFF"/>
          </w:tcPr>
          <w:p>
            <w:r>
              <w:rPr>
                <w:rFonts w:ascii="Calibri" w:hAnsi="Calibri"/>
                <w:sz w:val="22"/>
              </w:rPr>
              <w:t>Deployment</w:t>
            </w:r>
          </w:p>
        </w:tc>
        <w:tc>
          <w:tcPr>
            <w:tcW w:type="dxa" w:w="3010"/>
            <w:shd w:fill="FFFFFF"/>
          </w:tcPr>
          <w:p>
            <w:r>
              <w:rPr>
                <w:rFonts w:ascii="Calibri" w:hAnsi="Calibri"/>
                <w:sz w:val="22"/>
              </w:rPr>
              <w:t>Vercel (frontend), Render (backend API), IBM Quantum Cloud (QPU access)</w:t>
            </w:r>
          </w:p>
        </w:tc>
        <w:tc>
          <w:tcPr>
            <w:tcW w:type="dxa" w:w="3010"/>
            <w:shd w:fill="FFFFFF"/>
          </w:tcPr>
          <w:p>
            <w:r>
              <w:rPr>
                <w:rFonts w:ascii="Calibri" w:hAnsi="Calibri"/>
                <w:sz w:val="22"/>
              </w:rPr>
              <w:t>Free/open tiers sufficient for prototype</w:t>
            </w:r>
          </w:p>
        </w:tc>
      </w:tr>
    </w:tbl>
    <w:p>
      <w:r>
        <w:br w:type="page"/>
      </w:r>
    </w:p>
    <w:p>
      <w:pPr>
        <w:pStyle w:val="Heading1"/>
      </w:pPr>
      <w:r>
        <w:t>PART C — FEASIBILITY, RISK, COST, POSITIONING &amp; COMPLIANCE</w:t>
      </w:r>
    </w:p>
    <w:p>
      <w:pPr>
        <w:pStyle w:val="Heading2"/>
      </w:pPr>
      <w:r>
        <w:t>21. Feasibility &amp; Viability Analysis</w:t>
      </w:r>
    </w:p>
    <w:tbl>
      <w:tblPr>
        <w:tblStyle w:val="TableGrid"/>
        <w:tblW w:type="auto" w:w="0"/>
        <w:tblLook w:firstColumn="1" w:firstRow="1" w:lastColumn="0" w:lastRow="0" w:noHBand="0" w:noVBand="1" w:val="04A0"/>
      </w:tblPr>
      <w:tblGrid>
        <w:gridCol w:w="3010"/>
        <w:gridCol w:w="3010"/>
        <w:gridCol w:w="3010"/>
      </w:tblGrid>
      <w:tr>
        <w:tc>
          <w:tcPr>
            <w:tcW w:type="dxa" w:w="3010"/>
            <w:shd w:fill="1B2A4A"/>
          </w:tcPr>
          <w:p>
            <w:r>
              <w:rPr>
                <w:rFonts w:ascii="Calibri" w:hAnsi="Calibri"/>
                <w:b/>
                <w:color w:val="FFFFFF"/>
                <w:sz w:val="22"/>
              </w:rPr>
              <w:t>Dimension</w:t>
            </w:r>
          </w:p>
        </w:tc>
        <w:tc>
          <w:tcPr>
            <w:tcW w:type="dxa" w:w="3010"/>
            <w:shd w:fill="1B2A4A"/>
          </w:tcPr>
          <w:p>
            <w:r>
              <w:rPr>
                <w:rFonts w:ascii="Calibri" w:hAnsi="Calibri"/>
                <w:b/>
                <w:color w:val="FFFFFF"/>
                <w:sz w:val="22"/>
              </w:rPr>
              <w:t>Assessment</w:t>
            </w:r>
          </w:p>
        </w:tc>
        <w:tc>
          <w:tcPr>
            <w:tcW w:type="dxa" w:w="3010"/>
            <w:shd w:fill="1B2A4A"/>
          </w:tcPr>
          <w:p>
            <w:r>
              <w:rPr>
                <w:rFonts w:ascii="Calibri" w:hAnsi="Calibri"/>
                <w:b/>
                <w:color w:val="FFFFFF"/>
                <w:sz w:val="22"/>
              </w:rPr>
              <w:t>Evidence/Justification</w:t>
            </w:r>
          </w:p>
        </w:tc>
      </w:tr>
      <w:tr>
        <w:tc>
          <w:tcPr>
            <w:tcW w:type="dxa" w:w="3010"/>
            <w:shd w:fill="FFFFFF"/>
          </w:tcPr>
          <w:p>
            <w:r>
              <w:rPr>
                <w:rFonts w:ascii="Calibri" w:hAnsi="Calibri"/>
                <w:sz w:val="22"/>
              </w:rPr>
              <w:t>Technical</w:t>
            </w:r>
          </w:p>
        </w:tc>
        <w:tc>
          <w:tcPr>
            <w:tcW w:type="dxa" w:w="3010"/>
            <w:shd w:fill="FFFFFF"/>
          </w:tcPr>
          <w:p>
            <w:r>
              <w:rPr>
                <w:rFonts w:ascii="Calibri" w:hAnsi="Calibri"/>
                <w:sz w:val="22"/>
              </w:rPr>
              <w:t>HIGH — All components use mature, well-documented libraries</w:t>
            </w:r>
          </w:p>
        </w:tc>
        <w:tc>
          <w:tcPr>
            <w:tcW w:type="dxa" w:w="3010"/>
            <w:shd w:fill="FFFFFF"/>
          </w:tcPr>
          <w:p>
            <w:r>
              <w:rPr>
                <w:rFonts w:ascii="Calibri" w:hAnsi="Calibri"/>
                <w:sz w:val="22"/>
              </w:rPr>
              <w:t>scikit-learn, XGBoost, Qiskit, and FastAPI are production-grade; Qiskit ML provides pre-built QSVC/VQC/QNN classes</w:t>
            </w:r>
          </w:p>
        </w:tc>
      </w:tr>
      <w:tr>
        <w:tc>
          <w:tcPr>
            <w:tcW w:type="dxa" w:w="3010"/>
            <w:shd w:fill="F2F2F2"/>
          </w:tcPr>
          <w:p>
            <w:r>
              <w:rPr>
                <w:rFonts w:ascii="Calibri" w:hAnsi="Calibri"/>
                <w:sz w:val="22"/>
              </w:rPr>
              <w:t>Data</w:t>
            </w:r>
          </w:p>
        </w:tc>
        <w:tc>
          <w:tcPr>
            <w:tcW w:type="dxa" w:w="3010"/>
            <w:shd w:fill="F2F2F2"/>
          </w:tcPr>
          <w:p>
            <w:r>
              <w:rPr>
                <w:rFonts w:ascii="Calibri" w:hAnsi="Calibri"/>
                <w:sz w:val="22"/>
              </w:rPr>
              <w:t>HIGH — All datasets are publicly available</w:t>
            </w:r>
          </w:p>
        </w:tc>
        <w:tc>
          <w:tcPr>
            <w:tcW w:type="dxa" w:w="3010"/>
            <w:shd w:fill="F2F2F2"/>
          </w:tcPr>
          <w:p>
            <w:r>
              <w:rPr>
                <w:rFonts w:ascii="Calibri" w:hAnsi="Calibri"/>
                <w:sz w:val="22"/>
              </w:rPr>
              <w:t>UCI WDBC, UCI Heart Disease, and MIT-BIH are open-access with no ethics approval required</w:t>
            </w:r>
          </w:p>
        </w:tc>
      </w:tr>
      <w:tr>
        <w:tc>
          <w:tcPr>
            <w:tcW w:type="dxa" w:w="3010"/>
            <w:shd w:fill="FFFFFF"/>
          </w:tcPr>
          <w:p>
            <w:r>
              <w:rPr>
                <w:rFonts w:ascii="Calibri" w:hAnsi="Calibri"/>
                <w:sz w:val="22"/>
              </w:rPr>
              <w:t>Compute</w:t>
            </w:r>
          </w:p>
        </w:tc>
        <w:tc>
          <w:tcPr>
            <w:tcW w:type="dxa" w:w="3010"/>
            <w:shd w:fill="FFFFFF"/>
          </w:tcPr>
          <w:p>
            <w:r>
              <w:rPr>
                <w:rFonts w:ascii="Calibri" w:hAnsi="Calibri"/>
                <w:sz w:val="22"/>
              </w:rPr>
              <w:t>HIGH — Classical training is trivial; quantum simulation is feasible</w:t>
            </w:r>
          </w:p>
        </w:tc>
        <w:tc>
          <w:tcPr>
            <w:tcW w:type="dxa" w:w="3010"/>
            <w:shd w:fill="FFFFFF"/>
          </w:tcPr>
          <w:p>
            <w:r>
              <w:rPr>
                <w:rFonts w:ascii="Calibri" w:hAnsi="Calibri"/>
                <w:sz w:val="22"/>
              </w:rPr>
              <w:t>Datasets are small (≤1K samples); 4–8 qubit circuits simulate in seconds on a laptop</w:t>
            </w:r>
          </w:p>
        </w:tc>
      </w:tr>
      <w:tr>
        <w:tc>
          <w:tcPr>
            <w:tcW w:type="dxa" w:w="3010"/>
            <w:shd w:fill="F2F2F2"/>
          </w:tcPr>
          <w:p>
            <w:r>
              <w:rPr>
                <w:rFonts w:ascii="Calibri" w:hAnsi="Calibri"/>
                <w:sz w:val="22"/>
              </w:rPr>
              <w:t>Skill</w:t>
            </w:r>
          </w:p>
        </w:tc>
        <w:tc>
          <w:tcPr>
            <w:tcW w:type="dxa" w:w="3010"/>
            <w:shd w:fill="F2F2F2"/>
          </w:tcPr>
          <w:p>
            <w:r>
              <w:rPr>
                <w:rFonts w:ascii="Calibri" w:hAnsi="Calibri"/>
                <w:sz w:val="22"/>
              </w:rPr>
              <w:t>MEDIUM-HIGH — Requires quantum computing knowledge</w:t>
            </w:r>
          </w:p>
        </w:tc>
        <w:tc>
          <w:tcPr>
            <w:tcW w:type="dxa" w:w="3010"/>
            <w:shd w:fill="F2F2F2"/>
          </w:tcPr>
          <w:p>
            <w:r>
              <w:rPr>
                <w:rFonts w:ascii="Calibri" w:hAnsi="Calibri"/>
                <w:sz w:val="22"/>
              </w:rPr>
              <w:t>Team includes members with Qiskit experience; extensive Qiskit tutorials and documentation available</w:t>
            </w:r>
          </w:p>
        </w:tc>
      </w:tr>
      <w:tr>
        <w:tc>
          <w:tcPr>
            <w:tcW w:type="dxa" w:w="3010"/>
            <w:shd w:fill="FFFFFF"/>
          </w:tcPr>
          <w:p>
            <w:r>
              <w:rPr>
                <w:rFonts w:ascii="Calibri" w:hAnsi="Calibri"/>
                <w:sz w:val="22"/>
              </w:rPr>
              <w:t>Time</w:t>
            </w:r>
          </w:p>
        </w:tc>
        <w:tc>
          <w:tcPr>
            <w:tcW w:type="dxa" w:w="3010"/>
            <w:shd w:fill="FFFFFF"/>
          </w:tcPr>
          <w:p>
            <w:r>
              <w:rPr>
                <w:rFonts w:ascii="Calibri" w:hAnsi="Calibri"/>
                <w:sz w:val="22"/>
              </w:rPr>
              <w:t>HIGH — MVP buildable in 2–3 days</w:t>
            </w:r>
          </w:p>
        </w:tc>
        <w:tc>
          <w:tcPr>
            <w:tcW w:type="dxa" w:w="3010"/>
            <w:shd w:fill="FFFFFF"/>
          </w:tcPr>
          <w:p>
            <w:r>
              <w:rPr>
                <w:rFonts w:ascii="Calibri" w:hAnsi="Calibri"/>
                <w:sz w:val="22"/>
              </w:rPr>
              <w:t>Core pipeline (WDBC + PCA + SVM + QSVC + benchmarks) is implementable in a focused sprint; dashboard is a separate, parallelizable task</w:t>
            </w:r>
          </w:p>
        </w:tc>
      </w:tr>
      <w:tr>
        <w:tc>
          <w:tcPr>
            <w:tcW w:type="dxa" w:w="3010"/>
            <w:shd w:fill="F2F2F2"/>
          </w:tcPr>
          <w:p>
            <w:r>
              <w:rPr>
                <w:rFonts w:ascii="Calibri" w:hAnsi="Calibri"/>
                <w:sz w:val="22"/>
              </w:rPr>
              <w:t>Financial</w:t>
            </w:r>
          </w:p>
        </w:tc>
        <w:tc>
          <w:tcPr>
            <w:tcW w:type="dxa" w:w="3010"/>
            <w:shd w:fill="F2F2F2"/>
          </w:tcPr>
          <w:p>
            <w:r>
              <w:rPr>
                <w:rFonts w:ascii="Calibri" w:hAnsi="Calibri"/>
                <w:sz w:val="22"/>
              </w:rPr>
              <w:t>HIGH — Near-zero cost for prototype</w:t>
            </w:r>
          </w:p>
        </w:tc>
        <w:tc>
          <w:tcPr>
            <w:tcW w:type="dxa" w:w="3010"/>
            <w:shd w:fill="F2F2F2"/>
          </w:tcPr>
          <w:p>
            <w:r>
              <w:rPr>
                <w:rFonts w:ascii="Calibri" w:hAnsi="Calibri"/>
                <w:sz w:val="22"/>
              </w:rPr>
              <w:t>Free IBM Quantum tier provides 10 min/month real QPU access; Vercel/Render free tiers suffice; no paid datasets required</w:t>
            </w:r>
          </w:p>
        </w:tc>
      </w:tr>
    </w:tbl>
    <w:p>
      <w:pPr>
        <w:pStyle w:val="Heading2"/>
      </w:pPr>
      <w:r>
        <w:t>22. Cost &amp; Resource Estimate</w:t>
      </w:r>
    </w:p>
    <w:tbl>
      <w:tblPr>
        <w:tblStyle w:val="TableGrid"/>
        <w:tblW w:type="auto" w:w="0"/>
        <w:tblLook w:firstColumn="1" w:firstRow="1" w:lastColumn="0" w:lastRow="0" w:noHBand="0" w:noVBand="1" w:val="04A0"/>
      </w:tblPr>
      <w:tblGrid>
        <w:gridCol w:w="3010"/>
        <w:gridCol w:w="3010"/>
        <w:gridCol w:w="3010"/>
      </w:tblGrid>
      <w:tr>
        <w:tc>
          <w:tcPr>
            <w:tcW w:type="dxa" w:w="3010"/>
            <w:shd w:fill="1B2A4A"/>
          </w:tcPr>
          <w:p>
            <w:r>
              <w:rPr>
                <w:rFonts w:ascii="Calibri" w:hAnsi="Calibri"/>
                <w:b/>
                <w:color w:val="FFFFFF"/>
                <w:sz w:val="22"/>
              </w:rPr>
              <w:t>Resource</w:t>
            </w:r>
          </w:p>
        </w:tc>
        <w:tc>
          <w:tcPr>
            <w:tcW w:type="dxa" w:w="3010"/>
            <w:shd w:fill="1B2A4A"/>
          </w:tcPr>
          <w:p>
            <w:r>
              <w:rPr>
                <w:rFonts w:ascii="Calibri" w:hAnsi="Calibri"/>
                <w:b/>
                <w:color w:val="FFFFFF"/>
                <w:sz w:val="22"/>
              </w:rPr>
              <w:t>Estimated Cost</w:t>
            </w:r>
          </w:p>
        </w:tc>
        <w:tc>
          <w:tcPr>
            <w:tcW w:type="dxa" w:w="3010"/>
            <w:shd w:fill="1B2A4A"/>
          </w:tcPr>
          <w:p>
            <w:r>
              <w:rPr>
                <w:rFonts w:ascii="Calibri" w:hAnsi="Calibri"/>
                <w:b/>
                <w:color w:val="FFFFFF"/>
                <w:sz w:val="22"/>
              </w:rPr>
              <w:t>Notes</w:t>
            </w:r>
          </w:p>
        </w:tc>
      </w:tr>
      <w:tr>
        <w:tc>
          <w:tcPr>
            <w:tcW w:type="dxa" w:w="3010"/>
            <w:shd w:fill="FFFFFF"/>
          </w:tcPr>
          <w:p>
            <w:r>
              <w:rPr>
                <w:rFonts w:ascii="Calibri" w:hAnsi="Calibri"/>
                <w:sz w:val="22"/>
              </w:rPr>
              <w:t>Classical Compute (local)</w:t>
            </w:r>
          </w:p>
        </w:tc>
        <w:tc>
          <w:tcPr>
            <w:tcW w:type="dxa" w:w="3010"/>
            <w:shd w:fill="FFFFFF"/>
          </w:tcPr>
          <w:p>
            <w:r>
              <w:rPr>
                <w:rFonts w:ascii="Calibri" w:hAnsi="Calibri"/>
                <w:sz w:val="22"/>
              </w:rPr>
              <w:t>₹0 (existing laptops)</w:t>
            </w:r>
          </w:p>
        </w:tc>
        <w:tc>
          <w:tcPr>
            <w:tcW w:type="dxa" w:w="3010"/>
            <w:shd w:fill="FFFFFF"/>
          </w:tcPr>
          <w:p>
            <w:r>
              <w:rPr>
                <w:rFonts w:ascii="Calibri" w:hAnsi="Calibri"/>
                <w:sz w:val="22"/>
              </w:rPr>
              <w:t>Datasets are small; no GPU required for tabular ML</w:t>
            </w:r>
          </w:p>
        </w:tc>
      </w:tr>
      <w:tr>
        <w:tc>
          <w:tcPr>
            <w:tcW w:type="dxa" w:w="3010"/>
            <w:shd w:fill="F2F2F2"/>
          </w:tcPr>
          <w:p>
            <w:r>
              <w:rPr>
                <w:rFonts w:ascii="Calibri" w:hAnsi="Calibri"/>
                <w:sz w:val="22"/>
              </w:rPr>
              <w:t>Quantum Simulator</w:t>
            </w:r>
          </w:p>
        </w:tc>
        <w:tc>
          <w:tcPr>
            <w:tcW w:type="dxa" w:w="3010"/>
            <w:shd w:fill="F2F2F2"/>
          </w:tcPr>
          <w:p>
            <w:r>
              <w:rPr>
                <w:rFonts w:ascii="Calibri" w:hAnsi="Calibri"/>
                <w:sz w:val="22"/>
              </w:rPr>
              <w:t>₹0 (Qiskit Aer, local)</w:t>
            </w:r>
          </w:p>
        </w:tc>
        <w:tc>
          <w:tcPr>
            <w:tcW w:type="dxa" w:w="3010"/>
            <w:shd w:fill="F2F2F2"/>
          </w:tcPr>
          <w:p>
            <w:r>
              <w:rPr>
                <w:rFonts w:ascii="Calibri" w:hAnsi="Calibri"/>
                <w:sz w:val="22"/>
              </w:rPr>
              <w:t>Simulates 4–8 qubit circuits in seconds</w:t>
            </w:r>
          </w:p>
        </w:tc>
      </w:tr>
      <w:tr>
        <w:tc>
          <w:tcPr>
            <w:tcW w:type="dxa" w:w="3010"/>
            <w:shd w:fill="FFFFFF"/>
          </w:tcPr>
          <w:p>
            <w:r>
              <w:rPr>
                <w:rFonts w:ascii="Calibri" w:hAnsi="Calibri"/>
                <w:sz w:val="22"/>
              </w:rPr>
              <w:t>Real QPU Access (IBM Quantum Open Plan)</w:t>
            </w:r>
          </w:p>
        </w:tc>
        <w:tc>
          <w:tcPr>
            <w:tcW w:type="dxa" w:w="3010"/>
            <w:shd w:fill="FFFFFF"/>
          </w:tcPr>
          <w:p>
            <w:r>
              <w:rPr>
                <w:rFonts w:ascii="Calibri" w:hAnsi="Calibri"/>
                <w:sz w:val="22"/>
              </w:rPr>
              <w:t>₹0 (free tier)</w:t>
            </w:r>
          </w:p>
        </w:tc>
        <w:tc>
          <w:tcPr>
            <w:tcW w:type="dxa" w:w="3010"/>
            <w:shd w:fill="FFFFFF"/>
          </w:tcPr>
          <w:p>
            <w:r>
              <w:rPr>
                <w:rFonts w:ascii="Calibri" w:hAnsi="Calibri"/>
                <w:sz w:val="22"/>
              </w:rPr>
              <w:t>10 minutes/month of QPU time; sufficient for small-circuit experiments</w:t>
            </w:r>
          </w:p>
        </w:tc>
      </w:tr>
      <w:tr>
        <w:tc>
          <w:tcPr>
            <w:tcW w:type="dxa" w:w="3010"/>
            <w:shd w:fill="F2F2F2"/>
          </w:tcPr>
          <w:p>
            <w:r>
              <w:rPr>
                <w:rFonts w:ascii="Calibri" w:hAnsi="Calibri"/>
                <w:sz w:val="22"/>
              </w:rPr>
              <w:t>Real QPU Access (IBM Quantum Pay-As-You-Go)</w:t>
            </w:r>
          </w:p>
        </w:tc>
        <w:tc>
          <w:tcPr>
            <w:tcW w:type="dxa" w:w="3010"/>
            <w:shd w:fill="F2F2F2"/>
          </w:tcPr>
          <w:p>
            <w:r>
              <w:rPr>
                <w:rFonts w:ascii="Calibri" w:hAnsi="Calibri"/>
                <w:sz w:val="22"/>
              </w:rPr>
              <w:t>~$1.60/minute (≈₹135/min)</w:t>
            </w:r>
          </w:p>
        </w:tc>
        <w:tc>
          <w:tcPr>
            <w:tcW w:type="dxa" w:w="3010"/>
            <w:shd w:fill="F2F2F2"/>
          </w:tcPr>
          <w:p>
            <w:r>
              <w:rPr>
                <w:rFonts w:ascii="Calibri" w:hAnsi="Calibri"/>
                <w:sz w:val="22"/>
              </w:rPr>
              <w:t>Only if free tier exhausted; budget ₹2,000–5,000 for extended experiments</w:t>
            </w:r>
          </w:p>
        </w:tc>
      </w:tr>
      <w:tr>
        <w:tc>
          <w:tcPr>
            <w:tcW w:type="dxa" w:w="3010"/>
            <w:shd w:fill="FFFFFF"/>
          </w:tcPr>
          <w:p>
            <w:r>
              <w:rPr>
                <w:rFonts w:ascii="Calibri" w:hAnsi="Calibri"/>
                <w:sz w:val="22"/>
              </w:rPr>
              <w:t>Backend Hosting (Render)</w:t>
            </w:r>
          </w:p>
        </w:tc>
        <w:tc>
          <w:tcPr>
            <w:tcW w:type="dxa" w:w="3010"/>
            <w:shd w:fill="FFFFFF"/>
          </w:tcPr>
          <w:p>
            <w:r>
              <w:rPr>
                <w:rFonts w:ascii="Calibri" w:hAnsi="Calibri"/>
                <w:sz w:val="22"/>
              </w:rPr>
              <w:t>₹0 (free tier)</w:t>
            </w:r>
          </w:p>
        </w:tc>
        <w:tc>
          <w:tcPr>
            <w:tcW w:type="dxa" w:w="3010"/>
            <w:shd w:fill="FFFFFF"/>
          </w:tcPr>
          <w:p>
            <w:r>
              <w:rPr>
                <w:rFonts w:ascii="Calibri" w:hAnsi="Calibri"/>
                <w:sz w:val="22"/>
              </w:rPr>
              <w:t>750 hrs/month free; sufficient for demo API</w:t>
            </w:r>
          </w:p>
        </w:tc>
      </w:tr>
      <w:tr>
        <w:tc>
          <w:tcPr>
            <w:tcW w:type="dxa" w:w="3010"/>
            <w:shd w:fill="F2F2F2"/>
          </w:tcPr>
          <w:p>
            <w:r>
              <w:rPr>
                <w:rFonts w:ascii="Calibri" w:hAnsi="Calibri"/>
                <w:sz w:val="22"/>
              </w:rPr>
              <w:t>Frontend Hosting (Vercel)</w:t>
            </w:r>
          </w:p>
        </w:tc>
        <w:tc>
          <w:tcPr>
            <w:tcW w:type="dxa" w:w="3010"/>
            <w:shd w:fill="F2F2F2"/>
          </w:tcPr>
          <w:p>
            <w:r>
              <w:rPr>
                <w:rFonts w:ascii="Calibri" w:hAnsi="Calibri"/>
                <w:sz w:val="22"/>
              </w:rPr>
              <w:t>₹0 (free tier)</w:t>
            </w:r>
          </w:p>
        </w:tc>
        <w:tc>
          <w:tcPr>
            <w:tcW w:type="dxa" w:w="3010"/>
            <w:shd w:fill="F2F2F2"/>
          </w:tcPr>
          <w:p>
            <w:r>
              <w:rPr>
                <w:rFonts w:ascii="Calibri" w:hAnsi="Calibri"/>
                <w:sz w:val="22"/>
              </w:rPr>
              <w:t>Hobby plan supports demo-scale traffic</w:t>
            </w:r>
          </w:p>
        </w:tc>
      </w:tr>
      <w:tr>
        <w:tc>
          <w:tcPr>
            <w:tcW w:type="dxa" w:w="3010"/>
            <w:shd w:fill="FFFFFF"/>
          </w:tcPr>
          <w:p>
            <w:r>
              <w:rPr>
                <w:rFonts w:ascii="Calibri" w:hAnsi="Calibri"/>
                <w:sz w:val="22"/>
              </w:rPr>
              <w:t>Database (PostgreSQL on Render)</w:t>
            </w:r>
          </w:p>
        </w:tc>
        <w:tc>
          <w:tcPr>
            <w:tcW w:type="dxa" w:w="3010"/>
            <w:shd w:fill="FFFFFF"/>
          </w:tcPr>
          <w:p>
            <w:r>
              <w:rPr>
                <w:rFonts w:ascii="Calibri" w:hAnsi="Calibri"/>
                <w:sz w:val="22"/>
              </w:rPr>
              <w:t>₹0 (free tier)</w:t>
            </w:r>
          </w:p>
        </w:tc>
        <w:tc>
          <w:tcPr>
            <w:tcW w:type="dxa" w:w="3010"/>
            <w:shd w:fill="FFFFFF"/>
          </w:tcPr>
          <w:p>
            <w:r>
              <w:rPr>
                <w:rFonts w:ascii="Calibri" w:hAnsi="Calibri"/>
                <w:sz w:val="22"/>
              </w:rPr>
              <w:t>256 MB free; sufficient for experiment logs</w:t>
            </w:r>
          </w:p>
        </w:tc>
      </w:tr>
      <w:tr>
        <w:tc>
          <w:tcPr>
            <w:tcW w:type="dxa" w:w="3010"/>
            <w:shd w:fill="F2F2F2"/>
          </w:tcPr>
          <w:p>
            <w:r>
              <w:rPr>
                <w:rFonts w:ascii="Calibri" w:hAnsi="Calibri"/>
                <w:sz w:val="22"/>
              </w:rPr>
              <w:t>Domain Name (optional)</w:t>
            </w:r>
          </w:p>
        </w:tc>
        <w:tc>
          <w:tcPr>
            <w:tcW w:type="dxa" w:w="3010"/>
            <w:shd w:fill="F2F2F2"/>
          </w:tcPr>
          <w:p>
            <w:r>
              <w:rPr>
                <w:rFonts w:ascii="Calibri" w:hAnsi="Calibri"/>
                <w:sz w:val="22"/>
              </w:rPr>
              <w:t>~₹800–1,500/year</w:t>
            </w:r>
          </w:p>
        </w:tc>
        <w:tc>
          <w:tcPr>
            <w:tcW w:type="dxa" w:w="3010"/>
            <w:shd w:fill="F2F2F2"/>
          </w:tcPr>
          <w:p>
            <w:r>
              <w:rPr>
                <w:rFonts w:ascii="Calibri" w:hAnsi="Calibri"/>
                <w:sz w:val="22"/>
              </w:rPr>
              <w:t>Optional; not required for hackathon demo</w:t>
            </w:r>
          </w:p>
        </w:tc>
      </w:tr>
      <w:tr>
        <w:tc>
          <w:tcPr>
            <w:tcW w:type="dxa" w:w="3010"/>
            <w:shd w:fill="FFFFFF"/>
          </w:tcPr>
          <w:p>
            <w:r>
              <w:rPr>
                <w:rFonts w:ascii="Calibri" w:hAnsi="Calibri"/>
                <w:sz w:val="22"/>
              </w:rPr>
              <w:t>Total Estimated (MVP)</w:t>
            </w:r>
          </w:p>
        </w:tc>
        <w:tc>
          <w:tcPr>
            <w:tcW w:type="dxa" w:w="3010"/>
            <w:shd w:fill="FFFFFF"/>
          </w:tcPr>
          <w:p>
            <w:r>
              <w:rPr>
                <w:rFonts w:ascii="Calibri" w:hAnsi="Calibri"/>
                <w:sz w:val="22"/>
              </w:rPr>
              <w:t>₹0–5,000</w:t>
            </w:r>
          </w:p>
        </w:tc>
        <w:tc>
          <w:tcPr>
            <w:tcW w:type="dxa" w:w="3010"/>
            <w:shd w:fill="FFFFFF"/>
          </w:tcPr>
          <w:p>
            <w:r>
              <w:rPr>
                <w:rFonts w:ascii="Calibri" w:hAnsi="Calibri"/>
                <w:sz w:val="22"/>
              </w:rPr>
              <w:t>All planning estimates, not vendor quotes</w:t>
            </w:r>
          </w:p>
        </w:tc>
      </w:tr>
    </w:tbl>
    <w:p>
      <w:pPr>
        <w:pStyle w:val="Heading2"/>
      </w:pPr>
      <w:r>
        <w:t>23. Risk Analysis &amp; Mitigation</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fill="1B2A4A"/>
          </w:tcPr>
          <w:p>
            <w:r>
              <w:rPr>
                <w:rFonts w:ascii="Calibri" w:hAnsi="Calibri"/>
                <w:b/>
                <w:color w:val="FFFFFF"/>
                <w:sz w:val="22"/>
              </w:rPr>
              <w:t>Risk</w:t>
            </w:r>
          </w:p>
        </w:tc>
        <w:tc>
          <w:tcPr>
            <w:tcW w:type="dxa" w:w="2257"/>
            <w:shd w:fill="1B2A4A"/>
          </w:tcPr>
          <w:p>
            <w:r>
              <w:rPr>
                <w:rFonts w:ascii="Calibri" w:hAnsi="Calibri"/>
                <w:b/>
                <w:color w:val="FFFFFF"/>
                <w:sz w:val="22"/>
              </w:rPr>
              <w:t>Severity</w:t>
            </w:r>
          </w:p>
        </w:tc>
        <w:tc>
          <w:tcPr>
            <w:tcW w:type="dxa" w:w="2257"/>
            <w:shd w:fill="1B2A4A"/>
          </w:tcPr>
          <w:p>
            <w:r>
              <w:rPr>
                <w:rFonts w:ascii="Calibri" w:hAnsi="Calibri"/>
                <w:b/>
                <w:color w:val="FFFFFF"/>
                <w:sz w:val="22"/>
              </w:rPr>
              <w:t>Likelihood</w:t>
            </w:r>
          </w:p>
        </w:tc>
        <w:tc>
          <w:tcPr>
            <w:tcW w:type="dxa" w:w="2257"/>
            <w:shd w:fill="1B2A4A"/>
          </w:tcPr>
          <w:p>
            <w:r>
              <w:rPr>
                <w:rFonts w:ascii="Calibri" w:hAnsi="Calibri"/>
                <w:b/>
                <w:color w:val="FFFFFF"/>
                <w:sz w:val="22"/>
              </w:rPr>
              <w:t>Mitigation Strategy</w:t>
            </w:r>
          </w:p>
        </w:tc>
      </w:tr>
      <w:tr>
        <w:tc>
          <w:tcPr>
            <w:tcW w:type="dxa" w:w="2257"/>
            <w:shd w:fill="FFFFFF"/>
          </w:tcPr>
          <w:p>
            <w:r>
              <w:rPr>
                <w:rFonts w:ascii="Calibri" w:hAnsi="Calibri"/>
                <w:sz w:val="22"/>
              </w:rPr>
              <w:t>Quantum models underperform classical baselines</w:t>
            </w:r>
          </w:p>
        </w:tc>
        <w:tc>
          <w:tcPr>
            <w:tcW w:type="dxa" w:w="2257"/>
            <w:shd w:fill="FFFFFF"/>
          </w:tcPr>
          <w:p>
            <w:r>
              <w:rPr>
                <w:rFonts w:ascii="Calibri" w:hAnsi="Calibri"/>
                <w:sz w:val="22"/>
              </w:rPr>
              <w:t>Medium</w:t>
            </w:r>
          </w:p>
        </w:tc>
        <w:tc>
          <w:tcPr>
            <w:tcW w:type="dxa" w:w="2257"/>
            <w:shd w:fill="FFFFFF"/>
          </w:tcPr>
          <w:p>
            <w:r>
              <w:rPr>
                <w:rFonts w:ascii="Calibri" w:hAnsi="Calibri"/>
                <w:sz w:val="22"/>
              </w:rPr>
              <w:t>High</w:t>
            </w:r>
          </w:p>
        </w:tc>
        <w:tc>
          <w:tcPr>
            <w:tcW w:type="dxa" w:w="2257"/>
            <w:shd w:fill="FFFFFF"/>
          </w:tcPr>
          <w:p>
            <w:r>
              <w:rPr>
                <w:rFonts w:ascii="Calibri" w:hAnsi="Calibri"/>
                <w:sz w:val="22"/>
              </w:rPr>
              <w:t>This is an expected, literature-consistent outcome (Gupta et al. 2025 found no consistent QML advantage). Framed as a valid null-hypothesis result, not a project failure. The benchmarking harness itself is the contribution.</w:t>
            </w:r>
          </w:p>
        </w:tc>
      </w:tr>
      <w:tr>
        <w:tc>
          <w:tcPr>
            <w:tcW w:type="dxa" w:w="2257"/>
            <w:shd w:fill="F2F2F2"/>
          </w:tcPr>
          <w:p>
            <w:r>
              <w:rPr>
                <w:rFonts w:ascii="Calibri" w:hAnsi="Calibri"/>
                <w:sz w:val="22"/>
              </w:rPr>
              <w:t>IBM Quantum hardware queue delays during live demo</w:t>
            </w:r>
          </w:p>
        </w:tc>
        <w:tc>
          <w:tcPr>
            <w:tcW w:type="dxa" w:w="2257"/>
            <w:shd w:fill="F2F2F2"/>
          </w:tcPr>
          <w:p>
            <w:r>
              <w:rPr>
                <w:rFonts w:ascii="Calibri" w:hAnsi="Calibri"/>
                <w:sz w:val="22"/>
              </w:rPr>
              <w:t>High</w:t>
            </w:r>
          </w:p>
        </w:tc>
        <w:tc>
          <w:tcPr>
            <w:tcW w:type="dxa" w:w="2257"/>
            <w:shd w:fill="F2F2F2"/>
          </w:tcPr>
          <w:p>
            <w:r>
              <w:rPr>
                <w:rFonts w:ascii="Calibri" w:hAnsi="Calibri"/>
                <w:sz w:val="22"/>
              </w:rPr>
              <w:t>Medium</w:t>
            </w:r>
          </w:p>
        </w:tc>
        <w:tc>
          <w:tcPr>
            <w:tcW w:type="dxa" w:w="2257"/>
            <w:shd w:fill="F2F2F2"/>
          </w:tcPr>
          <w:p>
            <w:r>
              <w:rPr>
                <w:rFonts w:ascii="Calibri" w:hAnsi="Calibri"/>
                <w:sz w:val="22"/>
              </w:rPr>
              <w:t>Pre-cache real-hardware results before demo; default to noisy-simulator live runs; show pre-computed QPU results as recorded evidence.</w:t>
            </w:r>
          </w:p>
        </w:tc>
      </w:tr>
      <w:tr>
        <w:tc>
          <w:tcPr>
            <w:tcW w:type="dxa" w:w="2257"/>
            <w:shd w:fill="FFFFFF"/>
          </w:tcPr>
          <w:p>
            <w:r>
              <w:rPr>
                <w:rFonts w:ascii="Calibri" w:hAnsi="Calibri"/>
                <w:sz w:val="22"/>
              </w:rPr>
              <w:t>Barren plateaus prevent VQC/QNN convergence</w:t>
            </w:r>
          </w:p>
        </w:tc>
        <w:tc>
          <w:tcPr>
            <w:tcW w:type="dxa" w:w="2257"/>
            <w:shd w:fill="FFFFFF"/>
          </w:tcPr>
          <w:p>
            <w:r>
              <w:rPr>
                <w:rFonts w:ascii="Calibri" w:hAnsi="Calibri"/>
                <w:sz w:val="22"/>
              </w:rPr>
              <w:t>Medium</w:t>
            </w:r>
          </w:p>
        </w:tc>
        <w:tc>
          <w:tcPr>
            <w:tcW w:type="dxa" w:w="2257"/>
            <w:shd w:fill="FFFFFF"/>
          </w:tcPr>
          <w:p>
            <w:r>
              <w:rPr>
                <w:rFonts w:ascii="Calibri" w:hAnsi="Calibri"/>
                <w:sz w:val="22"/>
              </w:rPr>
              <w:t>Medium</w:t>
            </w:r>
          </w:p>
        </w:tc>
        <w:tc>
          <w:tcPr>
            <w:tcW w:type="dxa" w:w="2257"/>
            <w:shd w:fill="FFFFFF"/>
          </w:tcPr>
          <w:p>
            <w:r>
              <w:rPr>
                <w:rFonts w:ascii="Calibri" w:hAnsi="Calibri"/>
                <w:sz w:val="22"/>
              </w:rPr>
              <w:t>Limit circuit depth to 1–3 repetitions; use hardware-efficient ansatzes (RealAmplitudes); monitor gradient norms during training; report non-convergence honestly.</w:t>
            </w:r>
          </w:p>
        </w:tc>
      </w:tr>
      <w:tr>
        <w:tc>
          <w:tcPr>
            <w:tcW w:type="dxa" w:w="2257"/>
            <w:shd w:fill="F2F2F2"/>
          </w:tcPr>
          <w:p>
            <w:r>
              <w:rPr>
                <w:rFonts w:ascii="Calibri" w:hAnsi="Calibri"/>
                <w:sz w:val="22"/>
              </w:rPr>
              <w:t>Overclaiming quantum advantage to judges/reviewers</w:t>
            </w:r>
          </w:p>
        </w:tc>
        <w:tc>
          <w:tcPr>
            <w:tcW w:type="dxa" w:w="2257"/>
            <w:shd w:fill="F2F2F2"/>
          </w:tcPr>
          <w:p>
            <w:r>
              <w:rPr>
                <w:rFonts w:ascii="Calibri" w:hAnsi="Calibri"/>
                <w:sz w:val="22"/>
              </w:rPr>
              <w:t>High</w:t>
            </w:r>
          </w:p>
        </w:tc>
        <w:tc>
          <w:tcPr>
            <w:tcW w:type="dxa" w:w="2257"/>
            <w:shd w:fill="F2F2F2"/>
          </w:tcPr>
          <w:p>
            <w:r>
              <w:rPr>
                <w:rFonts w:ascii="Calibri" w:hAnsi="Calibri"/>
                <w:sz w:val="22"/>
              </w:rPr>
              <w:t>Medium</w:t>
            </w:r>
          </w:p>
        </w:tc>
        <w:tc>
          <w:tcPr>
            <w:tcW w:type="dxa" w:w="2257"/>
            <w:shd w:fill="F2F2F2"/>
          </w:tcPr>
          <w:p>
            <w:r>
              <w:rPr>
                <w:rFonts w:ascii="Calibri" w:hAnsi="Calibri"/>
                <w:sz w:val="22"/>
              </w:rPr>
              <w:t>Mitigated by explicit H₀/H₁ framing throughout the report; citation of the Gupta et al. review finding no consistent advantage; all results reported with confidence intervals; project rhetoric centers on measurement, not advocacy.</w:t>
            </w:r>
          </w:p>
        </w:tc>
      </w:tr>
      <w:tr>
        <w:tc>
          <w:tcPr>
            <w:tcW w:type="dxa" w:w="2257"/>
            <w:shd w:fill="FFFFFF"/>
          </w:tcPr>
          <w:p>
            <w:r>
              <w:rPr>
                <w:rFonts w:ascii="Calibri" w:hAnsi="Calibri"/>
                <w:sz w:val="22"/>
              </w:rPr>
              <w:t>Small, non-diverse datasets limiting generalization claims</w:t>
            </w:r>
          </w:p>
        </w:tc>
        <w:tc>
          <w:tcPr>
            <w:tcW w:type="dxa" w:w="2257"/>
            <w:shd w:fill="FFFFFF"/>
          </w:tcPr>
          <w:p>
            <w:r>
              <w:rPr>
                <w:rFonts w:ascii="Calibri" w:hAnsi="Calibri"/>
                <w:sz w:val="22"/>
              </w:rPr>
              <w:t>Medium</w:t>
            </w:r>
          </w:p>
        </w:tc>
        <w:tc>
          <w:tcPr>
            <w:tcW w:type="dxa" w:w="2257"/>
            <w:shd w:fill="FFFFFF"/>
          </w:tcPr>
          <w:p>
            <w:r>
              <w:rPr>
                <w:rFonts w:ascii="Calibri" w:hAnsi="Calibri"/>
                <w:sz w:val="22"/>
              </w:rPr>
              <w:t>High</w:t>
            </w:r>
          </w:p>
        </w:tc>
        <w:tc>
          <w:tcPr>
            <w:tcW w:type="dxa" w:w="2257"/>
            <w:shd w:fill="FFFFFF"/>
          </w:tcPr>
          <w:p>
            <w:r>
              <w:rPr>
                <w:rFonts w:ascii="Calibri" w:hAnsi="Calibri"/>
                <w:sz w:val="22"/>
              </w:rPr>
              <w:t>Explicitly acknowledged in Limitations section; results are presented as benchmark-specific, not clinically generalizable; future work includes larger, multi-site datasets.</w:t>
            </w:r>
          </w:p>
        </w:tc>
      </w:tr>
      <w:tr>
        <w:tc>
          <w:tcPr>
            <w:tcW w:type="dxa" w:w="2257"/>
            <w:shd w:fill="F2F2F2"/>
          </w:tcPr>
          <w:p>
            <w:r>
              <w:rPr>
                <w:rFonts w:ascii="Calibri" w:hAnsi="Calibri"/>
                <w:sz w:val="22"/>
              </w:rPr>
              <w:t>Future privacy risk if real patient data is ever used</w:t>
            </w:r>
          </w:p>
        </w:tc>
        <w:tc>
          <w:tcPr>
            <w:tcW w:type="dxa" w:w="2257"/>
            <w:shd w:fill="F2F2F2"/>
          </w:tcPr>
          <w:p>
            <w:r>
              <w:rPr>
                <w:rFonts w:ascii="Calibri" w:hAnsi="Calibri"/>
                <w:sz w:val="22"/>
              </w:rPr>
              <w:t>High</w:t>
            </w:r>
          </w:p>
        </w:tc>
        <w:tc>
          <w:tcPr>
            <w:tcW w:type="dxa" w:w="2257"/>
            <w:shd w:fill="F2F2F2"/>
          </w:tcPr>
          <w:p>
            <w:r>
              <w:rPr>
                <w:rFonts w:ascii="Calibri" w:hAnsi="Calibri"/>
                <w:sz w:val="22"/>
              </w:rPr>
              <w:t>Low (not in current scope)</w:t>
            </w:r>
          </w:p>
        </w:tc>
        <w:tc>
          <w:tcPr>
            <w:tcW w:type="dxa" w:w="2257"/>
            <w:shd w:fill="F2F2F2"/>
          </w:tcPr>
          <w:p>
            <w:r>
              <w:rPr>
                <w:rFonts w:ascii="Calibri" w:hAnsi="Calibri"/>
                <w:sz w:val="22"/>
              </w:rPr>
              <w:t>Current prototype uses only public, de-identified datasets. If real patient data is introduced in future phases, DPDP Act 2023 compliance (consent, purpose limitation, data minimization) and IRB/ethics approval will be required. Privacy-by-design principles are documented now.</w:t>
            </w:r>
          </w:p>
        </w:tc>
      </w:tr>
    </w:tbl>
    <w:p>
      <w:pPr>
        <w:pStyle w:val="Heading2"/>
      </w:pPr>
      <w:r>
        <w:t>24. Competitive / Prior-Art Positioning</w:t>
      </w:r>
    </w:p>
    <w:p>
      <w:r>
        <w:t>Existing work falls into three categories:</w:t>
      </w:r>
    </w:p>
    <w:p>
      <w:r>
        <w:t>1. Academic Single-Dataset QML Papers: Individual studies testing one quantum model on one dataset, often without strong classical baselines, noise analysis, or reproducibility measures. This is the majority of the ~60+ papers reviewed by Idzikowski et al. (2026) and the ~46 qualifying studies in Gupta et al. (2025).</w:t>
      </w:r>
    </w:p>
    <w:p>
      <w:r>
        <w:t>2. Vendor Demo Notebooks: IBM Qiskit, Google Cirq, and Xanadu PennyLane provide tutorial notebooks demonstrating QML on toy datasets. These are educational, not benchmarking tools — they lack systematic comparison infrastructure, noise sweeps, and clinical-data pipelines.</w:t>
      </w:r>
    </w:p>
    <w:p>
      <w:r>
        <w:t>3. Mature Classical Medical-AI Platforms: Production systems (e.g., Google Health, Aidoc, Viz.ai) using deep learning for radiology, pathology, and cardiology. These are clinically validated but have no quantum component and are not research platforms.</w:t>
      </w:r>
    </w:p>
    <w:p>
      <w:r>
        <w:t>Q-Diagnose's Differentiation: A standardized benchmarking harness — identical preprocessing, splits, seeds, and metrics across classical and quantum models, plus noise/depth/feature sweeps and dual explainability — which is exactly the gap named in both the Gupta et al. (2025) and Idzikowski et al. (2026) reviews. The platform is not a clinical product; it is a research instrument for answering the question both reviews leave open.</w:t>
      </w:r>
    </w:p>
    <w:p>
      <w:pPr>
        <w:pStyle w:val="Heading2"/>
      </w:pPr>
      <w:r>
        <w:t>25. Regulatory &amp; Compliance</w:t>
      </w:r>
    </w:p>
    <w:p>
      <w:r>
        <w:t>India-Specific Frameworks:</w:t>
      </w:r>
    </w:p>
    <w:p>
      <w:pPr>
        <w:pStyle w:val="ListBullet"/>
      </w:pPr>
      <w:r>
        <w:rPr>
          <w:rFonts w:ascii="Calibri" w:hAnsi="Calibri"/>
          <w:sz w:val="22"/>
        </w:rPr>
        <w:t>Digital Personal Data Protection Act, 2023 (DPDP Act): Governs processing of digital personal data in India. Requires lawful purpose, informed consent, data minimization, and purpose limitation. The current prototype uses only public, de-identified datasets and does not process personal data. If future phases involve real patient data, DPDP compliance — including consent management, data principal rights, and breach notification — will be mandatory.</w:t>
      </w:r>
    </w:p>
    <w:p>
      <w:pPr>
        <w:pStyle w:val="ListBullet"/>
      </w:pPr>
      <w:r>
        <w:rPr>
          <w:rFonts w:ascii="Calibri" w:hAnsi="Calibri"/>
          <w:sz w:val="22"/>
        </w:rPr>
        <w:t>CDSCO / Medical Devices Rules, 2017: India's Central Drugs Standard Control Organization regulates Software as a Medical Device (SaMD) under the Medical Devices Rules, 2017. Any software intended for diagnosis, screening, or treatment must obtain CDSCO registration/license. Q-Diagnose is currently a research prototype and does NOT claim to be a diagnostic tool. If future versions are intended for clinical use, CDSCO Class B–D registration would be required depending on risk classification.</w:t>
      </w:r>
    </w:p>
    <w:p>
      <w:r>
        <w:t>International References (design best practice, not current compliance obligations):</w:t>
      </w:r>
    </w:p>
    <w:p>
      <w:pPr>
        <w:pStyle w:val="ListBullet"/>
      </w:pPr>
      <w:r>
        <w:rPr>
          <w:rFonts w:ascii="Calibri" w:hAnsi="Calibri"/>
          <w:sz w:val="22"/>
        </w:rPr>
        <w:t>FDA Good Machine Learning Practice (GMLP), 2021: 10 guiding principles for AI/ML-based medical devices, developed jointly by FDA, Health Canada, and UK MHRA. Covers data quality, bias mitigation, algorithm transparency, and real-world performance monitoring. Q-Diagnose's design aligns with these principles as a best-practice target.</w:t>
      </w:r>
    </w:p>
    <w:p>
      <w:pPr>
        <w:pStyle w:val="ListBullet"/>
      </w:pPr>
      <w:r>
        <w:rPr>
          <w:rFonts w:ascii="Calibri" w:hAnsi="Calibri"/>
          <w:sz w:val="22"/>
        </w:rPr>
        <w:t>IMDRF SaMD Framework: International Medical Device Regulators Forum framework for Software as a Medical Device classification and lifecycle management.</w:t>
      </w:r>
    </w:p>
    <w:p>
      <w:pPr>
        <w:pStyle w:val="ListBullet"/>
      </w:pPr>
      <w:r>
        <w:rPr>
          <w:rFonts w:ascii="Calibri" w:hAnsi="Calibri"/>
          <w:sz w:val="22"/>
        </w:rPr>
        <w:t>WHO Ethics and Governance of Artificial Intelligence for Health, 2021: Six ethical principles including autonomy, transparency, equity, and sustainability. Informs Q-Diagnose's explainability and fairness design goals.</w:t>
      </w:r>
    </w:p>
    <w:p>
      <w:r>
        <w:t>Standing Disclaimer: Q-Diagnose is a research and benchmarking prototype. It is NOT a clinically validated diagnostic device. It has not been evaluated, approved, or cleared by any regulatory authority (CDSCO, FDA, or equivalent) for clinical use. No treatment decisions should be based on its outputs.</w:t>
      </w:r>
    </w:p>
    <w:p>
      <w:pPr>
        <w:pStyle w:val="Heading2"/>
      </w:pPr>
      <w:r>
        <w:t>26. Team Structure &amp; Roles</w:t>
      </w:r>
    </w:p>
    <w:tbl>
      <w:tblPr>
        <w:tblStyle w:val="TableGrid"/>
        <w:tblW w:type="auto" w:w="0"/>
        <w:tblLook w:firstColumn="1" w:firstRow="1" w:lastColumn="0" w:lastRow="0" w:noHBand="0" w:noVBand="1" w:val="04A0"/>
      </w:tblPr>
      <w:tblGrid>
        <w:gridCol w:w="3010"/>
        <w:gridCol w:w="3010"/>
        <w:gridCol w:w="3010"/>
      </w:tblGrid>
      <w:tr>
        <w:tc>
          <w:tcPr>
            <w:tcW w:type="dxa" w:w="3010"/>
            <w:shd w:fill="1B2A4A"/>
          </w:tcPr>
          <w:p>
            <w:r>
              <w:rPr>
                <w:rFonts w:ascii="Calibri" w:hAnsi="Calibri"/>
                <w:b/>
                <w:color w:val="FFFFFF"/>
                <w:sz w:val="22"/>
              </w:rPr>
              <w:t>Role</w:t>
            </w:r>
          </w:p>
        </w:tc>
        <w:tc>
          <w:tcPr>
            <w:tcW w:type="dxa" w:w="3010"/>
            <w:shd w:fill="1B2A4A"/>
          </w:tcPr>
          <w:p>
            <w:r>
              <w:rPr>
                <w:rFonts w:ascii="Calibri" w:hAnsi="Calibri"/>
                <w:b/>
                <w:color w:val="FFFFFF"/>
                <w:sz w:val="22"/>
              </w:rPr>
              <w:t>Responsibilities</w:t>
            </w:r>
          </w:p>
        </w:tc>
        <w:tc>
          <w:tcPr>
            <w:tcW w:type="dxa" w:w="3010"/>
            <w:shd w:fill="1B2A4A"/>
          </w:tcPr>
          <w:p>
            <w:r>
              <w:rPr>
                <w:rFonts w:ascii="Calibri" w:hAnsi="Calibri"/>
                <w:b/>
                <w:color w:val="FFFFFF"/>
                <w:sz w:val="22"/>
              </w:rPr>
              <w:t>Core Skills</w:t>
            </w:r>
          </w:p>
        </w:tc>
      </w:tr>
      <w:tr>
        <w:tc>
          <w:tcPr>
            <w:tcW w:type="dxa" w:w="3010"/>
            <w:shd w:fill="FFFFFF"/>
          </w:tcPr>
          <w:p>
            <w:r>
              <w:rPr>
                <w:rFonts w:ascii="Calibri" w:hAnsi="Calibri"/>
                <w:sz w:val="22"/>
              </w:rPr>
              <w:t>Quantum ML Engineer</w:t>
            </w:r>
          </w:p>
        </w:tc>
        <w:tc>
          <w:tcPr>
            <w:tcW w:type="dxa" w:w="3010"/>
            <w:shd w:fill="FFFFFF"/>
          </w:tcPr>
          <w:p>
            <w:r>
              <w:rPr>
                <w:rFonts w:ascii="Calibri" w:hAnsi="Calibri"/>
                <w:sz w:val="22"/>
              </w:rPr>
              <w:t>Implement QSVC, VQC, QNN circuits; manage quantum backends; run noise/depth sweeps; analyze barren plateaus</w:t>
            </w:r>
          </w:p>
        </w:tc>
        <w:tc>
          <w:tcPr>
            <w:tcW w:type="dxa" w:w="3010"/>
            <w:shd w:fill="FFFFFF"/>
          </w:tcPr>
          <w:p>
            <w:r>
              <w:rPr>
                <w:rFonts w:ascii="Calibri" w:hAnsi="Calibri"/>
                <w:sz w:val="22"/>
              </w:rPr>
              <w:t>Qiskit, quantum information theory, variational algorithms, IBM Quantum platform</w:t>
            </w:r>
          </w:p>
        </w:tc>
      </w:tr>
      <w:tr>
        <w:tc>
          <w:tcPr>
            <w:tcW w:type="dxa" w:w="3010"/>
            <w:shd w:fill="F2F2F2"/>
          </w:tcPr>
          <w:p>
            <w:r>
              <w:rPr>
                <w:rFonts w:ascii="Calibri" w:hAnsi="Calibri"/>
                <w:sz w:val="22"/>
              </w:rPr>
              <w:t>Classical ML Engineer</w:t>
            </w:r>
          </w:p>
        </w:tc>
        <w:tc>
          <w:tcPr>
            <w:tcW w:type="dxa" w:w="3010"/>
            <w:shd w:fill="F2F2F2"/>
          </w:tcPr>
          <w:p>
            <w:r>
              <w:rPr>
                <w:rFonts w:ascii="Calibri" w:hAnsi="Calibri"/>
                <w:sz w:val="22"/>
              </w:rPr>
              <w:t>Implement LR, SVM, RF, XGBoost baselines; hyperparameter tuning; SHAP explainability; evaluation metrics</w:t>
            </w:r>
          </w:p>
        </w:tc>
        <w:tc>
          <w:tcPr>
            <w:tcW w:type="dxa" w:w="3010"/>
            <w:shd w:fill="F2F2F2"/>
          </w:tcPr>
          <w:p>
            <w:r>
              <w:rPr>
                <w:rFonts w:ascii="Calibri" w:hAnsi="Calibri"/>
                <w:sz w:val="22"/>
              </w:rPr>
              <w:t>scikit-learn, XGBoost, SHAP, statistical testing, cross-validation</w:t>
            </w:r>
          </w:p>
        </w:tc>
      </w:tr>
      <w:tr>
        <w:tc>
          <w:tcPr>
            <w:tcW w:type="dxa" w:w="3010"/>
            <w:shd w:fill="FFFFFF"/>
          </w:tcPr>
          <w:p>
            <w:r>
              <w:rPr>
                <w:rFonts w:ascii="Calibri" w:hAnsi="Calibri"/>
                <w:sz w:val="22"/>
              </w:rPr>
              <w:t>Backend Engineer</w:t>
            </w:r>
          </w:p>
        </w:tc>
        <w:tc>
          <w:tcPr>
            <w:tcW w:type="dxa" w:w="3010"/>
            <w:shd w:fill="FFFFFF"/>
          </w:tcPr>
          <w:p>
            <w:r>
              <w:rPr>
                <w:rFonts w:ascii="Calibri" w:hAnsi="Calibri"/>
                <w:sz w:val="22"/>
              </w:rPr>
              <w:t>Build FastAPI REST API; database schema; data pipeline; model serving; experiment logging</w:t>
            </w:r>
          </w:p>
        </w:tc>
        <w:tc>
          <w:tcPr>
            <w:tcW w:type="dxa" w:w="3010"/>
            <w:shd w:fill="FFFFFF"/>
          </w:tcPr>
          <w:p>
            <w:r>
              <w:rPr>
                <w:rFonts w:ascii="Calibri" w:hAnsi="Calibri"/>
                <w:sz w:val="22"/>
              </w:rPr>
              <w:t>Python, FastAPI, PostgreSQL, Pandas, NumPy, API design</w:t>
            </w:r>
          </w:p>
        </w:tc>
      </w:tr>
      <w:tr>
        <w:tc>
          <w:tcPr>
            <w:tcW w:type="dxa" w:w="3010"/>
            <w:shd w:fill="F2F2F2"/>
          </w:tcPr>
          <w:p>
            <w:r>
              <w:rPr>
                <w:rFonts w:ascii="Calibri" w:hAnsi="Calibri"/>
                <w:sz w:val="22"/>
              </w:rPr>
              <w:t>Frontend Engineer</w:t>
            </w:r>
          </w:p>
        </w:tc>
        <w:tc>
          <w:tcPr>
            <w:tcW w:type="dxa" w:w="3010"/>
            <w:shd w:fill="F2F2F2"/>
          </w:tcPr>
          <w:p>
            <w:r>
              <w:rPr>
                <w:rFonts w:ascii="Calibri" w:hAnsi="Calibri"/>
                <w:sz w:val="22"/>
              </w:rPr>
              <w:t>Build React dashboard; visualization components; model comparison UI; responsive design</w:t>
            </w:r>
          </w:p>
        </w:tc>
        <w:tc>
          <w:tcPr>
            <w:tcW w:type="dxa" w:w="3010"/>
            <w:shd w:fill="F2F2F2"/>
          </w:tcPr>
          <w:p>
            <w:r>
              <w:rPr>
                <w:rFonts w:ascii="Calibri" w:hAnsi="Calibri"/>
                <w:sz w:val="22"/>
              </w:rPr>
              <w:t>React, TypeScript, Tailwind CSS, Recharts, REST API integration</w:t>
            </w:r>
          </w:p>
        </w:tc>
      </w:tr>
      <w:tr>
        <w:tc>
          <w:tcPr>
            <w:tcW w:type="dxa" w:w="3010"/>
            <w:shd w:fill="FFFFFF"/>
          </w:tcPr>
          <w:p>
            <w:r>
              <w:rPr>
                <w:rFonts w:ascii="Calibri" w:hAnsi="Calibri"/>
                <w:sz w:val="22"/>
              </w:rPr>
              <w:t>Research &amp; Documentation Lead</w:t>
            </w:r>
          </w:p>
        </w:tc>
        <w:tc>
          <w:tcPr>
            <w:tcW w:type="dxa" w:w="3010"/>
            <w:shd w:fill="FFFFFF"/>
          </w:tcPr>
          <w:p>
            <w:r>
              <w:rPr>
                <w:rFonts w:ascii="Calibri" w:hAnsi="Calibri"/>
                <w:sz w:val="22"/>
              </w:rPr>
              <w:t>Literature review; report writing; regulatory compliance research; presentation preparation; reproducibility documentation</w:t>
            </w:r>
          </w:p>
        </w:tc>
        <w:tc>
          <w:tcPr>
            <w:tcW w:type="dxa" w:w="3010"/>
            <w:shd w:fill="FFFFFF"/>
          </w:tcPr>
          <w:p>
            <w:r>
              <w:rPr>
                <w:rFonts w:ascii="Calibri" w:hAnsi="Calibri"/>
                <w:sz w:val="22"/>
              </w:rPr>
              <w:t>Technical writing, literature synthesis, regulatory awareness, LaTeX/Markdown</w:t>
            </w:r>
          </w:p>
        </w:tc>
      </w:tr>
    </w:tbl>
    <w:p>
      <w:r>
        <w:br w:type="page"/>
      </w:r>
    </w:p>
    <w:p>
      <w:pPr>
        <w:pStyle w:val="Heading1"/>
      </w:pPr>
      <w:r>
        <w:t>PART D — ROADMAP &amp; CLOSE</w:t>
      </w:r>
    </w:p>
    <w:p>
      <w:pPr>
        <w:pStyle w:val="Heading2"/>
      </w:pPr>
      <w:r>
        <w:t>27. Minimum Viable Product (MVP)</w:t>
      </w:r>
    </w:p>
    <w:p>
      <w:r>
        <w:t>The MVP is the single smallest buildable artifact that demonstrates the core value proposition:</w:t>
      </w:r>
    </w:p>
    <w:p>
      <w:r>
        <w:t>Scope: WDBC dataset → standard preprocessing (imputation, normalization) → PCA to 4–6 principal components → parallel training of classical SVM (RBF kernel) and Quantum SVC (ZZFeatureMap, 6-qubit ideal simulator) → shared evaluation: confusion matrix, ROC-AUC, sensitivity, specificity, F1 → side-by-side comparison output.</w:t>
      </w:r>
    </w:p>
    <w:p>
      <w:r>
        <w:t>Critical Constraint: The MVP must be built and validated BEFORE any dashboard or UI work begins. The comparison pipeline is the product; the dashboard is a presentation layer.</w:t>
      </w:r>
    </w:p>
    <w:p>
      <w:r>
        <w:t>Expected Outcome: The MVP will likely show that SVM and QSVC achieve similar performance on WDBC (a well-separated, 569-sample dataset). This is a valid and expected result — it confirms the pipeline works and establishes the benchmarking methodology.</w:t>
      </w:r>
    </w:p>
    <w:p>
      <w:pPr>
        <w:pStyle w:val="Heading2"/>
      </w:pPr>
      <w:r>
        <w:t>28. Development Roadmap</w:t>
      </w:r>
    </w:p>
    <w:p>
      <w:pPr>
        <w:pStyle w:val="ListNumber"/>
      </w:pPr>
      <w:r>
        <w:rPr>
          <w:rFonts w:ascii="Calibri" w:hAnsi="Calibri"/>
          <w:sz w:val="22"/>
        </w:rPr>
        <w:t>Phase 1 — Environment Setup (Day 1, Hours 1–2): Install Python, Qiskit, scikit-learn, XGBoost, SHAP. Configure IBM Quantum account. Verify Aer simulator functionality.</w:t>
      </w:r>
    </w:p>
    <w:p>
      <w:pPr>
        <w:pStyle w:val="ListNumber"/>
      </w:pPr>
      <w:r>
        <w:rPr>
          <w:rFonts w:ascii="Calibri" w:hAnsi="Calibri"/>
          <w:sz w:val="22"/>
        </w:rPr>
        <w:t>Phase 2 — Data Pipeline &amp; Classical Baselines (Day 1, Hours 3–8): Load WDBC dataset. Implement preprocessing (StandardScaler, train-test split). Implement PCA (4–6 components). Train Logistic Regression, SVM, Random Forest, XGBoost. Compute all evaluation metrics.</w:t>
      </w:r>
    </w:p>
    <w:p>
      <w:pPr>
        <w:pStyle w:val="ListNumber"/>
      </w:pPr>
      <w:r>
        <w:rPr>
          <w:rFonts w:ascii="Calibri" w:hAnsi="Calibri"/>
          <w:sz w:val="22"/>
        </w:rPr>
        <w:t>Phase 3 — QSVC Implementation (Day 2, Hours 1–4): Implement ZZFeatureMap encoding. Compute quantum kernel matrix on Aer simulator. Train QSVC. Benchmark against classical SVM.</w:t>
      </w:r>
    </w:p>
    <w:p>
      <w:pPr>
        <w:pStyle w:val="ListNumber"/>
      </w:pPr>
      <w:r>
        <w:rPr>
          <w:rFonts w:ascii="Calibri" w:hAnsi="Calibri"/>
          <w:sz w:val="22"/>
        </w:rPr>
        <w:t>Phase 4 — VQC Implementation (Day 2, Hours 5–8): Implement RealAmplitudes ansatz VQC. Train with COBYLA optimizer. Benchmark against all classical models.</w:t>
      </w:r>
    </w:p>
    <w:p>
      <w:pPr>
        <w:pStyle w:val="ListNumber"/>
      </w:pPr>
      <w:r>
        <w:rPr>
          <w:rFonts w:ascii="Calibri" w:hAnsi="Calibri"/>
          <w:sz w:val="22"/>
        </w:rPr>
        <w:t>Phase 5 — QNN Implementation (Day 3, Hours 1–4): Implement EstimatorQNN. Train with gradient-based optimizer. Complete quantum model suite.</w:t>
      </w:r>
    </w:p>
    <w:p>
      <w:pPr>
        <w:pStyle w:val="ListNumber"/>
      </w:pPr>
      <w:r>
        <w:rPr>
          <w:rFonts w:ascii="Calibri" w:hAnsi="Calibri"/>
          <w:sz w:val="22"/>
        </w:rPr>
        <w:t>Phase 6 — Dashboard MVP (Day 3–4): React + TypeScript + Tailwind scaffold. Model comparison charts (Recharts). Confusion matrix and ROC curve displays.</w:t>
      </w:r>
    </w:p>
    <w:p>
      <w:pPr>
        <w:pStyle w:val="ListNumber"/>
      </w:pPr>
      <w:r>
        <w:rPr>
          <w:rFonts w:ascii="Calibri" w:hAnsi="Calibri"/>
          <w:sz w:val="22"/>
        </w:rPr>
        <w:t>Phase 7 — Explainability Integration (Day 4–5): SHAP integration for classical models. Circuit visualization for quantum models. Parameter sensitivity plots.</w:t>
      </w:r>
    </w:p>
    <w:p>
      <w:pPr>
        <w:pStyle w:val="ListNumber"/>
      </w:pPr>
      <w:r>
        <w:rPr>
          <w:rFonts w:ascii="Calibri" w:hAnsi="Calibri"/>
          <w:sz w:val="22"/>
        </w:rPr>
        <w:t>Phase 8 — Noisy Simulation (Day 5–6): Add depolarizing noise models to Aer. Run noise-sweep experiments (p = 0.001, 0.005, 0.01). Compare ideal vs. noisy results.</w:t>
      </w:r>
    </w:p>
    <w:p>
      <w:pPr>
        <w:pStyle w:val="ListNumber"/>
      </w:pPr>
      <w:r>
        <w:rPr>
          <w:rFonts w:ascii="Calibri" w:hAnsi="Calibri"/>
          <w:sz w:val="22"/>
        </w:rPr>
        <w:t>Phase 9 — Real Hardware (Day 6–7, queue permitting): Submit circuits to IBM Quantum QPU. Collect and compare real-hardware results. Document simulator-to-hardware gap.</w:t>
      </w:r>
    </w:p>
    <w:p>
      <w:pPr>
        <w:pStyle w:val="ListNumber"/>
      </w:pPr>
      <w:r>
        <w:rPr>
          <w:rFonts w:ascii="Calibri" w:hAnsi="Calibri"/>
          <w:sz w:val="22"/>
        </w:rPr>
        <w:t>Phase 10 — Second Dataset (Day 7–8): Extend pipeline to UCI Heart Disease dataset. Validate generalizability of benchmarking methodology.</w:t>
      </w:r>
    </w:p>
    <w:p>
      <w:pPr>
        <w:pStyle w:val="ListNumber"/>
      </w:pPr>
      <w:r>
        <w:rPr>
          <w:rFonts w:ascii="Calibri" w:hAnsi="Calibri"/>
          <w:sz w:val="22"/>
        </w:rPr>
        <w:t>Phase 11 — Full Platform Integration (Day 8–10): Connect all modules via FastAPI backend. PostgreSQL experiment logging. End-to-end demo flow.</w:t>
      </w:r>
    </w:p>
    <w:p>
      <w:pPr>
        <w:pStyle w:val="ListNumber"/>
      </w:pPr>
      <w:r>
        <w:rPr>
          <w:rFonts w:ascii="Calibri" w:hAnsi="Calibri"/>
          <w:sz w:val="22"/>
        </w:rPr>
        <w:t>Phase 12 — Automated Report Generation (Day 10–12): Generate PDF/HTML benchmark reports. Include all metrics, plots, and statistical tests. Final documentation and submission preparation.</w:t>
      </w:r>
    </w:p>
    <w:p>
      <w:pPr>
        <w:pStyle w:val="Heading2"/>
      </w:pPr>
      <w:r>
        <w:t>29. Limitations</w:t>
      </w:r>
    </w:p>
    <w:p>
      <w:pPr>
        <w:pStyle w:val="ListBullet"/>
      </w:pPr>
      <w:r>
        <w:rPr>
          <w:rFonts w:ascii="Calibri" w:hAnsi="Calibri"/>
          <w:sz w:val="22"/>
        </w:rPr>
        <w:t>Hardware Qubit and Noise Limits: Current NISQ devices limit practical circuit widths to ~6–8 qubits for variational algorithms; gate noise degrades performance, and error mitigation adds overhead without guaranteeing improvement.</w:t>
      </w:r>
    </w:p>
    <w:p>
      <w:pPr>
        <w:pStyle w:val="ListBullet"/>
      </w:pPr>
      <w:r>
        <w:rPr>
          <w:rFonts w:ascii="Calibri" w:hAnsi="Calibri"/>
          <w:sz w:val="22"/>
        </w:rPr>
        <w:t>Small, Non-Diverse Public Datasets: WDBC (569 samples), Heart Disease (303 samples), and MIT-BIH (48 patients) are small, well-studied benchmarks. High performance on these datasets does not imply clinical effectiveness on real-world, diverse patient populations.</w:t>
      </w:r>
    </w:p>
    <w:p>
      <w:pPr>
        <w:pStyle w:val="ListBullet"/>
      </w:pPr>
      <w:r>
        <w:rPr>
          <w:rFonts w:ascii="Calibri" w:hAnsi="Calibri"/>
          <w:sz w:val="22"/>
        </w:rPr>
        <w:t>Single-Dataset Performance ≠ Clinical Effectiveness: Benchmark accuracy does not translate to clinical validity without prospective validation, external test sets, and regulatory review.</w:t>
      </w:r>
    </w:p>
    <w:p>
      <w:pPr>
        <w:pStyle w:val="ListBullet"/>
      </w:pPr>
      <w:r>
        <w:rPr>
          <w:rFonts w:ascii="Calibri" w:hAnsi="Calibri"/>
          <w:sz w:val="22"/>
        </w:rPr>
        <w:t>Information Loss from Dimensionality Reduction: PCA is a linear method; it may discard nonlinear feature relationships important for classification. The trade-off between qubit feasibility and information retention is a fundamental constraint.</w:t>
      </w:r>
    </w:p>
    <w:p>
      <w:pPr>
        <w:pStyle w:val="ListBullet"/>
      </w:pPr>
      <w:r>
        <w:rPr>
          <w:rFonts w:ascii="Calibri" w:hAnsi="Calibri"/>
          <w:sz w:val="22"/>
        </w:rPr>
        <w:t>Barren Plateau Training Difficulty: Deep variational circuits exhibit exponentially vanishing gradients, limiting the expressivity achievable in practice. This is a known theoretical limitation, not a bug in the implementation.</w:t>
      </w:r>
    </w:p>
    <w:p>
      <w:pPr>
        <w:pStyle w:val="ListBullet"/>
      </w:pPr>
      <w:r>
        <w:rPr>
          <w:rFonts w:ascii="Calibri" w:hAnsi="Calibri"/>
          <w:sz w:val="22"/>
        </w:rPr>
        <w:t>Prototype Status: Q-Diagnose is a research prototype. It lacks the infrastructure, validation, and regulatory clearance required for any clinical deployment.</w:t>
      </w:r>
    </w:p>
    <w:p>
      <w:pPr>
        <w:pStyle w:val="Heading2"/>
      </w:pPr>
      <w:r>
        <w:t>30. Future Scope</w:t>
      </w:r>
    </w:p>
    <w:p>
      <w:pPr>
        <w:pStyle w:val="ListBullet"/>
      </w:pPr>
      <w:r>
        <w:rPr>
          <w:rFonts w:ascii="Calibri" w:hAnsi="Calibri"/>
          <w:sz w:val="22"/>
        </w:rPr>
        <w:t>Multi-Disease, Multi-Modal Classification: Extend beyond binary classification on single datasets to multi-class, multi-dataset risk scoring integrating EHR, imaging, and biosignal data.</w:t>
      </w:r>
    </w:p>
    <w:p>
      <w:pPr>
        <w:pStyle w:val="ListBullet"/>
      </w:pPr>
      <w:r>
        <w:rPr>
          <w:rFonts w:ascii="Calibri" w:hAnsi="Calibri"/>
          <w:sz w:val="22"/>
        </w:rPr>
        <w:t>Genomics and Multi-Omics Integration: Incorporate genomic variant data, gene expression profiles, and proteomic markers as high-dimensional feature sources where quantum kernels may offer expressivity advantages.</w:t>
      </w:r>
    </w:p>
    <w:p>
      <w:pPr>
        <w:pStyle w:val="ListBullet"/>
      </w:pPr>
      <w:r>
        <w:rPr>
          <w:rFonts w:ascii="Calibri" w:hAnsi="Calibri"/>
          <w:sz w:val="22"/>
        </w:rPr>
        <w:t>Real-Time Prediction Pipeline: Develop streaming inference capability for wearable-device data (e.g., continuous ECG monitoring with real-time arrhythmia risk scoring).</w:t>
      </w:r>
    </w:p>
    <w:p>
      <w:pPr>
        <w:pStyle w:val="ListBullet"/>
      </w:pPr>
      <w:r>
        <w:rPr>
          <w:rFonts w:ascii="Calibri" w:hAnsi="Calibri"/>
          <w:sz w:val="22"/>
        </w:rPr>
        <w:t>Federated and Privacy-Preserving Learning: Implement federated learning to train models across multiple hospital sites without centralizing patient data; explore quantum-secure communication for model updates.</w:t>
      </w:r>
    </w:p>
    <w:p>
      <w:pPr>
        <w:pStyle w:val="ListBullet"/>
      </w:pPr>
      <w:r>
        <w:rPr>
          <w:rFonts w:ascii="Calibri" w:hAnsi="Calibri"/>
          <w:sz w:val="22"/>
        </w:rPr>
        <w:t>Formal Clinical Validation Pathway: Partner with clinical institutions to conduct prospective validation studies; pursue CDSCO and/or FDA regulatory pathways if clinical utility is demonstrated.</w:t>
      </w:r>
    </w:p>
    <w:p>
      <w:pPr>
        <w:pStyle w:val="ListBullet"/>
      </w:pPr>
      <w:r>
        <w:rPr>
          <w:rFonts w:ascii="Calibri" w:hAnsi="Calibri"/>
          <w:sz w:val="22"/>
        </w:rPr>
        <w:t>Quantum Error Correction and Fault-Tolerant Algorithms: As hardware matures beyond NISQ, revisit pure-quantum approaches that are currently impractical.</w:t>
      </w:r>
    </w:p>
    <w:p>
      <w:pPr>
        <w:pStyle w:val="Heading2"/>
      </w:pPr>
      <w:r>
        <w:t>31. Final Research Statement</w:t>
      </w:r>
    </w:p>
    <w:p>
      <w:r>
        <w:t>Q-Diagnose is designed as a measurement instrument, not an advocacy platform. The central question — whether hybrid quantum-classical machine learning provides any measurable advantage over strong classical baselines for early disease-risk detection — remains genuinely open. The most rigorous systematic review to date (Gupta et al., 2025) found no consistent advantage under realistic conditions. This project does not seek to overturn that finding; it seeks to contribute one more carefully controlled data point to the evidence base. If quantum models match or underperform classical baselines in our experiments, that is not a failure — it is a valid, publishable, and practically useful result that informs resource-allocation decisions for future quantum-healthcare research. If, under specific conditions, a quantum model shows a statistically significant edge, we will report the effect size, confidence interval, and the exact conditions under which it was observed, without extrapolating to general claims. Honest science requires honest measurement. A null result, rigorously obtained, is as valuable as a positive one.</w:t>
      </w:r>
    </w:p>
    <w:p>
      <w:pPr>
        <w:pStyle w:val="Heading2"/>
      </w:pPr>
      <w:r>
        <w:t>32. Key References</w:t>
      </w:r>
    </w:p>
    <w:p>
      <w:r>
        <w:t>[1] Havlíček, V., Córcoles, A.D., Temme, K., Harrow, A.W., Kandala, A., Chow, J.M. and Gambetta, J.M. (2019). Supervised learning with quantum-enhanced feature spaces. Nature, 567(7747), pp.209–212.</w:t>
      </w:r>
    </w:p>
    <w:p>
      <w:r>
        <w:t>[2] Huang, H.-Y., Broughton, M., Mohseni, M., Babbush, R., Boixo, S., Neven, H. and McClean, J.R. (2021). Power of data in quantum machine learning. Nature Communications, 12, 2631.</w:t>
      </w:r>
    </w:p>
    <w:p>
      <w:r>
        <w:t>[3] Gupta, R.S., Wood, C.E., Engstrom, T., Pole, J.D. and Shrapnel, S. (2025). A systematic review of quantum machine learning for digital health. npj Digital Medicine, 8, 56.</w:t>
      </w:r>
    </w:p>
    <w:p>
      <w:r>
        <w:t>[4] Idzikowski, R., Kucharski, M.A., Pempera, K. and Jaroszczuk, M. (2026). A Survey on Quantum Machine Learning Applications in Medicine and Healthcare. Applied Sciences, 16(3), 1630.</w:t>
      </w:r>
    </w:p>
    <w:p>
      <w:r>
        <w:t>[5] UCI Machine Learning Repository. Breast Cancer Wisconsin (Diagnostic) Data Set. https://archive.ics.uci.edu/ml/datasets/Breast+Cancer+Wisconsin+(Diagnostic)</w:t>
      </w:r>
    </w:p>
    <w:p>
      <w:r>
        <w:t>[6] UCI Machine Learning Repository. Heart Disease Data Set. https://archive.ics.uci.edu/ml/datasets/Heart+Disease</w:t>
      </w:r>
    </w:p>
    <w:p>
      <w:r>
        <w:t>[7] Moody, G.B. and Mark, R.G. (2001). The impact of the MIT-BIH Arrhythmia Database. IEEE Engineering in Medicine and Biology Magazine, 20(3), pp.45–50. PhysioNet: https://physionet.org/content/mitdb/1.0.0/</w:t>
      </w:r>
    </w:p>
    <w:p>
      <w:r>
        <w:t>[8] Qiskit Machine Learning Documentation. https://qiskit-community.github.io/qiskit-machine-learning/</w:t>
      </w:r>
    </w:p>
    <w:p>
      <w:r>
        <w:t>[9] IBM Quantum Documentation. https://docs.quantum.ibm.com/</w:t>
      </w:r>
    </w:p>
    <w:p>
      <w:r>
        <w:t>[10] U.S. FDA, Health Canada, and UK MHRA (2021). Good Machine Learning Practice for Medical Device Development: Guiding Principles. https://www.fda.gov/medical-devices/software-medical-device-samd/good-machine-learning-practice-medical-device-development-guiding-principles</w:t>
      </w:r>
    </w:p>
    <w:p>
      <w:r>
        <w:t>[11] World Health Organization (2021). Ethics and Governance of Artificial Intelligence for Health. WHO Guidance. https://www.who.int/publications/i/item/9789240029200</w:t>
      </w:r>
    </w:p>
    <w:p>
      <w:r>
        <w:t>[12] Government of India (2023). The Digital Personal Data Protection Act, 2023. https://www.meity.gov.in/writereaddata/files/Digital%20Personal%20Data%20Protection%20Act%202023.pdf</w:t>
      </w:r>
    </w:p>
    <w:p>
      <w:r>
        <w:t>[13] Central Drugs Standard Control Organization (CDSCO). Guidance on Medical Device Software / Software as a Medical Device. https://cdsco.gov.in/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