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ISTitle"/>
        <w:keepNext/>
      </w:pPr>
      <w:r/>
      <w:r>
        <w:rPr>
          <w:rFonts w:ascii="Calibri" w:hAnsi="Calibri" w:eastAsia="Malgun Gothic"/>
          <w:b/>
          <w:i w:val="0"/>
          <w:color w:val="1F4D78"/>
          <w:sz w:val="40"/>
        </w:rPr>
        <w:t>3.2 OPEN API(REST API) 표준 추가본</w:t>
      </w:r>
    </w:p>
    <w:p>
      <w:pPr>
        <w:pStyle w:val="AXISSubtitle"/>
        <w:keepNext/>
      </w:pPr>
      <w:r/>
      <w:r>
        <w:rPr>
          <w:rFonts w:ascii="Calibri" w:hAnsi="Calibri" w:eastAsia="Malgun Gothic"/>
          <w:b w:val="0"/>
          <w:i w:val="0"/>
          <w:color w:val="5C5C5C"/>
          <w:sz w:val="21"/>
        </w:rPr>
        <w:t>axis-backend 개발표준 정의서 삽입용 | Resource · Method · Message · URI · Request/Response · Error · Paging/Sorting/Filtering · Versioning</w:t>
      </w:r>
    </w:p>
    <w:p>
      <w:pPr>
        <w:spacing w:before="0" w:after="80" w:line="276" w:lineRule="auto"/>
      </w:pPr>
      <w:r/>
      <w:r>
        <w:rPr>
          <w:rFonts w:ascii="Calibri" w:hAnsi="Calibri" w:eastAsia="Malgun Gothic"/>
          <w:b w:val="0"/>
          <w:i w:val="0"/>
          <w:color w:val="5C5C5C"/>
          <w:sz w:val="19"/>
        </w:rPr>
        <w:t>작성 기준일: 2026-06-15 | 적용 대상: axis-backend Spring Boot REST API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  <w:insideH w:val="single" w:sz="6" w:space="0" w:color="D6B656"/>
              <w:insideV w:val="single" w:sz="6" w:space="0" w:color="D6B656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20"/>
              </w:rPr>
              <w:t>적용 범위: 본 내용은 기존 개발표준 정의서의 3.2 OPEN API 표준 절에 삽입하는 것을 전제로 작성한다. API 계약은 axis-infra/api/openapi.yaml을 최우선 기준으로 한다.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3.2 OPEN API 표준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axis-backend의 외부 API는 Frontend가 호출하는 REST API를 기준으로 하며, 모든 API는 Resource(자원), Method(행위), Message(내용)를 명확히 정의해야 한다. API 구현은 OpenAPI 명세, Controller mapping, Request/Response DTO, 공통 응답 wrapper, 예외 처리, 테스트가 동일한 계약을 바라보도록 작성한다.</w:t>
      </w:r>
    </w:p>
    <w:p>
      <w:pPr>
        <w:pStyle w:val="Heading2"/>
        <w:keepNext/>
      </w:pPr>
      <w:r>
        <w:t>3.2.1 API 설계 원칙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Open API(REST API)는 클라이언트가 서버의 기능을 일관된 방식으로 사용할 수 있도록 자원(Resource), 행위(Method), 내용(Message)을 분리해 표현한다. URI는 접근할 자원을 나타내고, HTTP Method는 자원에 대한 행위를 나타내며, Message는 Header, Body, Status Code, 공통 응답 형식을 통해 요청·응답 내용을 정의한다.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3650"/>
        <w:gridCol w:w="4110"/>
      </w:tblGrid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구성 요소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의미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AXIS 적용 기준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Resource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접근할 자원 또는 업무 대상을 URI로 정의한다.</w:t>
            </w:r>
          </w:p>
        </w:tc>
        <w:tc>
          <w:tcPr>
            <w:tcW w:type="dxa" w:w="4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/api/cards, /api/briefings, /api/monitoring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Method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자원에 대한 처리 행위를 HTTP Method로 정의한다.</w:t>
            </w:r>
          </w:p>
        </w:tc>
        <w:tc>
          <w:tcPr>
            <w:tcW w:type="dxa" w:w="4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GET, POST, PUT, PATCH, DELETE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Message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요청과 응답의 Header, Body, Status Code, 공통 응답 구조를 정의한다.</w:t>
            </w:r>
          </w:p>
        </w:tc>
        <w:tc>
          <w:tcPr>
            <w:tcW w:type="dxa" w:w="4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JSON Body, ApiResponse wrapper, 표준 error.code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Resource(자원)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Resource는 클라이언트가 접근하려는 업무 대상을 URI로 표현한 것이다. URI는 행위가 아니라 자원을 나타내야 하며, 조회·생성·수정·삭제 같은 행위는 HTTP Method로 표현한다.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1150"/>
        <w:gridCol w:w="5210"/>
      </w:tblGrid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URI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Method</w:t>
            </w:r>
          </w:p>
        </w:tc>
        <w:tc>
          <w:tcPr>
            <w:tcW w:type="dxa" w:w="52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</w:t>
            </w:r>
          </w:p>
        </w:tc>
        <w:tc>
          <w:tcPr>
            <w:tcW w:type="dxa" w:w="11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52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카드 뉴스 목록 조회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/api/cards/today</w:t>
            </w:r>
          </w:p>
        </w:tc>
        <w:tc>
          <w:tcPr>
            <w:tcW w:type="dxa" w:w="11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52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오늘의 카드 뉴스 조회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/api/cards/{id}</w:t>
            </w:r>
          </w:p>
        </w:tc>
        <w:tc>
          <w:tcPr>
            <w:tcW w:type="dxa" w:w="11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52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카드 뉴스 단건 조회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/api/cards/{id}/verify-link</w:t>
            </w:r>
          </w:p>
        </w:tc>
        <w:tc>
          <w:tcPr>
            <w:tcW w:type="dxa" w:w="11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52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카드 뉴스 링크 검증 요청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/api/briefings/generate</w:t>
            </w:r>
          </w:p>
        </w:tc>
        <w:tc>
          <w:tcPr>
            <w:tcW w:type="dxa" w:w="11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52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브리핑 생성 요청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/api/bookmarks/{cardId}</w:t>
            </w:r>
          </w:p>
        </w:tc>
        <w:tc>
          <w:tcPr>
            <w:tcW w:type="dxa" w:w="11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DELETE</w:t>
            </w:r>
          </w:p>
        </w:tc>
        <w:tc>
          <w:tcPr>
            <w:tcW w:type="dxa" w:w="52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북마크 삭제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/api/pipeline/trigger</w:t>
            </w:r>
          </w:p>
        </w:tc>
        <w:tc>
          <w:tcPr>
            <w:tcW w:type="dxa" w:w="11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52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파이프라인 실행 요청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Method(행위)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Method는 Resource에 대해 수행할 행위를 정의한다. 같은 URI라도 Method에 따라 의미가 달라지므로 API 설계 시 URI와 Method를 하나의 계약으로 본다.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1650"/>
        <w:gridCol w:w="2900"/>
        <w:gridCol w:w="1350"/>
        <w:gridCol w:w="2560"/>
      </w:tblGrid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Method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Operation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Description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Qualities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AXIS 사용 기준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1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Resource 조회</w:t>
            </w:r>
          </w:p>
        </w:tc>
        <w:tc>
          <w:tcPr>
            <w:tcW w:type="dxa" w:w="2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명시된 Resource에 대한 정보를 가져온다.</w:t>
            </w:r>
          </w:p>
        </w:tc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Idempotent</w:t>
            </w:r>
          </w:p>
        </w:tc>
        <w:tc>
          <w:tcPr>
            <w:tcW w:type="dxa" w:w="25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목록 조회, 단건 조회, 상태 조회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1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Resource 생성/처리 요청</w:t>
            </w:r>
          </w:p>
        </w:tc>
        <w:tc>
          <w:tcPr>
            <w:tcW w:type="dxa" w:w="2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처리할 데이터를 특정 Resource에 전송하여 생성하거나 서버 작업을 요청한다.</w:t>
            </w:r>
          </w:p>
        </w:tc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Not Idempotent</w:t>
            </w:r>
          </w:p>
        </w:tc>
        <w:tc>
          <w:tcPr>
            <w:tcW w:type="dxa" w:w="25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회원가입, 북마크 생성, 브리핑 생성, 파이프라인 실행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PUT</w:t>
            </w:r>
          </w:p>
        </w:tc>
        <w:tc>
          <w:tcPr>
            <w:tcW w:type="dxa" w:w="1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Resource 전체 수정</w:t>
            </w:r>
          </w:p>
        </w:tc>
        <w:tc>
          <w:tcPr>
            <w:tcW w:type="dxa" w:w="2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기존 Resource의 전체 값을 교체한다.</w:t>
            </w:r>
          </w:p>
        </w:tc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Idempotent</w:t>
            </w:r>
          </w:p>
        </w:tc>
        <w:tc>
          <w:tcPr>
            <w:tcW w:type="dxa" w:w="25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설정, 프로필처럼 전체 갱신이 명확한 경우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PATCH</w:t>
            </w:r>
          </w:p>
        </w:tc>
        <w:tc>
          <w:tcPr>
            <w:tcW w:type="dxa" w:w="1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Resource 부분 수정</w:t>
            </w:r>
          </w:p>
        </w:tc>
        <w:tc>
          <w:tcPr>
            <w:tcW w:type="dxa" w:w="2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기존 Resource의 일부 필드만 수정한다.</w:t>
            </w:r>
          </w:p>
        </w:tc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조건부</w:t>
            </w:r>
          </w:p>
        </w:tc>
        <w:tc>
          <w:tcPr>
            <w:tcW w:type="dxa" w:w="25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OpenAPI에 명확히 정의된 경우에만 사용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DELETE</w:t>
            </w:r>
          </w:p>
        </w:tc>
        <w:tc>
          <w:tcPr>
            <w:tcW w:type="dxa" w:w="1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Resource 삭제</w:t>
            </w:r>
          </w:p>
        </w:tc>
        <w:tc>
          <w:tcPr>
            <w:tcW w:type="dxa" w:w="2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명시된 Resource를 삭제한다.</w:t>
            </w:r>
          </w:p>
        </w:tc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Idempotent</w:t>
            </w:r>
          </w:p>
        </w:tc>
        <w:tc>
          <w:tcPr>
            <w:tcW w:type="dxa" w:w="25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북마크 삭제, 관리자 리소스 삭제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Message(내용)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Message는 자원에 대한 처리행위의 내용(Payload)을 정의한다. HTTP Header, HTTP Body, Query Parameter, Path Variable, Status Code, Response Body가 모두 Message에 포함된다.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450"/>
        <w:gridCol w:w="4010"/>
      </w:tblGrid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Item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Description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AXIS 적용 기준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HTTP Header</w:t>
            </w:r>
          </w:p>
        </w:tc>
        <w:tc>
          <w:tcPr>
            <w:tcW w:type="dxa" w:w="3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Body의 Content-Type과 응답 형식을 명시한다.</w:t>
            </w:r>
          </w:p>
        </w:tc>
        <w:tc>
          <w:tcPr>
            <w:tcW w:type="dxa" w:w="40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Content-Type: application/json, Accept: application/json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Authorization Header</w:t>
            </w:r>
          </w:p>
        </w:tc>
        <w:tc>
          <w:tcPr>
            <w:tcW w:type="dxa" w:w="3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인증이 필요한 API에서 JWT를 전달한다.</w:t>
            </w:r>
          </w:p>
        </w:tc>
        <w:tc>
          <w:tcPr>
            <w:tcW w:type="dxa" w:w="40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Authorization: Bearer {accessToken}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HTTP Body</w:t>
            </w:r>
          </w:p>
        </w:tc>
        <w:tc>
          <w:tcPr>
            <w:tcW w:type="dxa" w:w="3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요청 데이터를 전달한다.</w:t>
            </w:r>
          </w:p>
        </w:tc>
        <w:tc>
          <w:tcPr>
            <w:tcW w:type="dxa" w:w="40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JSON 포맷 사용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Query Parameter</w:t>
            </w:r>
          </w:p>
        </w:tc>
        <w:tc>
          <w:tcPr>
            <w:tcW w:type="dxa" w:w="3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검색, 필터, 정렬, 페이징 조건을 전달한다.</w:t>
            </w:r>
          </w:p>
        </w:tc>
        <w:tc>
          <w:tcPr>
            <w:tcW w:type="dxa" w:w="40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limit, offset, peer_id, sort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Path Variable</w:t>
            </w:r>
          </w:p>
        </w:tc>
        <w:tc>
          <w:tcPr>
            <w:tcW w:type="dxa" w:w="3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단건 Resource 식별자를 전달한다.</w:t>
            </w:r>
          </w:p>
        </w:tc>
        <w:tc>
          <w:tcPr>
            <w:tcW w:type="dxa" w:w="40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/api/cards/{id}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Status Code</w:t>
            </w:r>
          </w:p>
        </w:tc>
        <w:tc>
          <w:tcPr>
            <w:tcW w:type="dxa" w:w="3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요청 처리 결과를 HTTP 상태로 표현한다.</w:t>
            </w:r>
          </w:p>
        </w:tc>
        <w:tc>
          <w:tcPr>
            <w:tcW w:type="dxa" w:w="40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200, 201, 202, 204, 400, 401, 403, 404, 409, 422, 500, 503, 504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Response Body</w:t>
            </w:r>
          </w:p>
        </w:tc>
        <w:tc>
          <w:tcPr>
            <w:tcW w:type="dxa" w:w="3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공통 응답 Wrapper를 사용한다.</w:t>
            </w:r>
          </w:p>
        </w:tc>
        <w:tc>
          <w:tcPr>
            <w:tcW w:type="dxa" w:w="40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{ success, data, timestamp } 또는 { success, error, timestamp }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3.2.2 URI 작성 규칙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URI는 행위를 표현하는 문자열이 아니라 Resource를 식별하는 경로다. 행위는 HTTP Method로 표현하고, 업무상 명령성 작업이 필요한 경우에만 action sub-resource를 제한적으로 사용한다.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3100"/>
        <w:gridCol w:w="2850"/>
        <w:gridCol w:w="1960"/>
      </w:tblGrid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구분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표준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예시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금지 예시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Base Path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외부 API는 /api/{domain} 형식을 사용한다.</w:t>
            </w:r>
          </w:p>
        </w:tc>
        <w:tc>
          <w:tcPr>
            <w:tcW w:type="dxa" w:w="2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/api/cards, /api/auth</w:t>
            </w:r>
          </w:p>
        </w:tc>
        <w:tc>
          <w:tcPr>
            <w:tcW w:type="dxa" w:w="19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/cards, /v1Cards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Collection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복수 명사를 사용한다.</w:t>
            </w:r>
          </w:p>
        </w:tc>
        <w:tc>
          <w:tcPr>
            <w:tcW w:type="dxa" w:w="2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 /api/cards</w:t>
            </w:r>
          </w:p>
        </w:tc>
        <w:tc>
          <w:tcPr>
            <w:tcW w:type="dxa" w:w="19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 /api/card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단건 Resource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Collection 뒤에 Path Variable을 둔다.</w:t>
            </w:r>
          </w:p>
        </w:tc>
        <w:tc>
          <w:tcPr>
            <w:tcW w:type="dxa" w:w="2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 /api/cards/{id}</w:t>
            </w:r>
          </w:p>
        </w:tc>
        <w:tc>
          <w:tcPr>
            <w:tcW w:type="dxa" w:w="19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 /api/getCard?id=1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하위 Resource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상위 Resource 뒤에 하위 Collection을 둔다.</w:t>
            </w:r>
          </w:p>
        </w:tc>
        <w:tc>
          <w:tcPr>
            <w:tcW w:type="dxa" w:w="2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 /api/monitoring/{peerId}/cards</w:t>
            </w:r>
          </w:p>
        </w:tc>
        <w:tc>
          <w:tcPr>
            <w:tcW w:type="dxa" w:w="19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 /api/cardsByPeer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Action Sub-resource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검증, 생성 요청, 트리거처럼 명령성 작업이 명확한 경우에만 사용한다.</w:t>
            </w:r>
          </w:p>
        </w:tc>
        <w:tc>
          <w:tcPr>
            <w:tcW w:type="dxa" w:w="2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 /api/cards/{id}/verify-link</w:t>
            </w:r>
          </w:p>
        </w:tc>
        <w:tc>
          <w:tcPr>
            <w:tcW w:type="dxa" w:w="19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 /api/cards/{id}/verifyLink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Trailing Slash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URI 끝에 /를 붙이지 않는다.</w:t>
            </w:r>
          </w:p>
        </w:tc>
        <w:tc>
          <w:tcPr>
            <w:tcW w:type="dxa" w:w="2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</w:t>
            </w:r>
          </w:p>
        </w:tc>
        <w:tc>
          <w:tcPr>
            <w:tcW w:type="dxa" w:w="19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확장자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Content-Type과 Accept Header로 표현한다.</w:t>
            </w:r>
          </w:p>
        </w:tc>
        <w:tc>
          <w:tcPr>
            <w:tcW w:type="dxa" w:w="2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Accept: application/json</w:t>
            </w:r>
          </w:p>
        </w:tc>
        <w:tc>
          <w:tcPr>
            <w:tcW w:type="dxa" w:w="19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/api/cards.json, /api/cards.do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  <w:insideH w:val="single" w:sz="6" w:space="0" w:color="D6B656"/>
              <w:insideV w:val="single" w:sz="6" w:space="0" w:color="D6B656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20"/>
              </w:rPr>
              <w:t>경계 기준: axis-backend는 axis-ai 내부 URI(/search, /link/verify, /mixer/analyze 등)를 Frontend 외부 API로 노출하지 않는다. 내부 AI 호출은 AiClientService 내부에서만 캡슐화한다.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3.2.3 Request / Response 규칙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Request와 Response는 OpenAPI schema와 Controller DTO가 동일한 구조를 사용해야 한다. Controller는 Request Body에 @Valid를 적용하고, Query/Path Parameter는 OpenAPI에 정의된 required, enum, min/max, format 기준과 동일하게 검증한다.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3650"/>
        <w:gridCol w:w="3860"/>
      </w:tblGrid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구분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작성 기준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주의사항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Request Body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고정 계약은 Request DTO를 정의하고 Validation annotation을 적용한다.</w:t>
            </w:r>
          </w:p>
        </w:tc>
        <w:tc>
          <w:tcPr>
            <w:tcW w:type="dxa" w:w="38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Map&lt;String, Object&gt;는 schema가 유동적인 내부 위임성 요청에만 제한적으로 허용한다.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Query Parameter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검색, 필터, 정렬, 페이징 조건에 사용한다.</w:t>
            </w:r>
          </w:p>
        </w:tc>
        <w:tc>
          <w:tcPr>
            <w:tcW w:type="dxa" w:w="38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기본값, 허용값, 최대값을 OpenAPI에 명시한다.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Path Variable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단건 Resource 식별자에 사용한다.</w:t>
            </w:r>
          </w:p>
        </w:tc>
        <w:tc>
          <w:tcPr>
            <w:tcW w:type="dxa" w:w="38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식별자 format과 존재 여부를 Service에서 검증한다.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Response Body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ApiResponse&lt;T&gt; wrapper를 사용한다.</w:t>
            </w:r>
          </w:p>
        </w:tc>
        <w:tc>
          <w:tcPr>
            <w:tcW w:type="dxa" w:w="38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Entity를 직접 반환하지 않고 Response DTO로 변환한다.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Empty Result</w:t>
            </w:r>
          </w:p>
        </w:tc>
        <w:tc>
          <w:tcPr>
            <w:tcW w:type="dxa" w:w="36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빈 배열, total=0, no_result 상태처럼 명시적으로 반환한다.</w:t>
            </w:r>
          </w:p>
        </w:tc>
        <w:tc>
          <w:tcPr>
            <w:tcW w:type="dxa" w:w="38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샘플 데이터를 실제 결과처럼 반환하지 않는다.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정상 응답은 success=true, data, timestamp 구조를 사용한다. 목록 응답은 items, total, limit, offset 등 화면과 페이징 처리에 필요한 메타 정보를 data 내부에 포함한다.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"data": {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"items": [],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"total": 0,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"limit": 20,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"offset": 0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"timestamp": "2026-06-15T09:00:00Z"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3.2.4 공통 Error Response Format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실패 응답은 success=false, error, timestamp 구조를 사용한다. error.code는 OpenAPI 공통 ErrorCodeEnum 또는 도메인별 표준 접두사를 따르고, error.message는 사용자 또는 Frontend가 표시 가능한 수준으로 작성한다.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"success": false,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"code": "COMMON_VALIDATION_ERROR",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"message": "요청 데이터 검증에 실패했습니다.",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"field_errors": [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  { "field": "email", "reason": "올바른 이메일 형식이어야 합니다." }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],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"trace_id": "req_01HYA0002"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"timestamp": "2026-06-15T09:00:00Z"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}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1100"/>
        <w:gridCol w:w="3900"/>
        <w:gridCol w:w="2760"/>
      </w:tblGrid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필드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필수 여부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설명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주의사항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success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필수</w:t>
            </w:r>
          </w:p>
        </w:tc>
        <w:tc>
          <w:tcPr>
            <w:tcW w:type="dxa" w:w="3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실패 응답에서는 항상 false로 반환한다.</w:t>
            </w:r>
          </w:p>
        </w:tc>
        <w:tc>
          <w:tcPr>
            <w:tcW w:type="dxa" w:w="27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문자열 "false"가 아닌 boolean false 사용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error.code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필수</w:t>
            </w:r>
          </w:p>
        </w:tc>
        <w:tc>
          <w:tcPr>
            <w:tcW w:type="dxa" w:w="3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Frontend 분기와 운영 분석에 사용하는 표준 오류 코드</w:t>
            </w:r>
          </w:p>
        </w:tc>
        <w:tc>
          <w:tcPr>
            <w:tcW w:type="dxa" w:w="27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임의 문자열 금지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error.message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필수</w:t>
            </w:r>
          </w:p>
        </w:tc>
        <w:tc>
          <w:tcPr>
            <w:tcW w:type="dxa" w:w="3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사용자 또는 Frontend 표시 가능한 오류 메시지</w:t>
            </w:r>
          </w:p>
        </w:tc>
        <w:tc>
          <w:tcPr>
            <w:tcW w:type="dxa" w:w="27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stack trace, SQL, 내부 host 노출 금지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error.field_errors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선택</w:t>
            </w:r>
          </w:p>
        </w:tc>
        <w:tc>
          <w:tcPr>
            <w:tcW w:type="dxa" w:w="3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필드 단위 검증 실패 목록</w:t>
            </w:r>
          </w:p>
        </w:tc>
        <w:tc>
          <w:tcPr>
            <w:tcW w:type="dxa" w:w="27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Request Body 검증 실패 시 사용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error.trace_id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선택</w:t>
            </w:r>
          </w:p>
        </w:tc>
        <w:tc>
          <w:tcPr>
            <w:tcW w:type="dxa" w:w="3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로그 추적용 요청 식별자</w:t>
            </w:r>
          </w:p>
        </w:tc>
        <w:tc>
          <w:tcPr>
            <w:tcW w:type="dxa" w:w="27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민감 정보 포함 금지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timestamp</w:t>
            </w:r>
          </w:p>
        </w:tc>
        <w:tc>
          <w:tcPr>
            <w:tcW w:type="dxa" w:w="1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필수</w:t>
            </w:r>
          </w:p>
        </w:tc>
        <w:tc>
          <w:tcPr>
            <w:tcW w:type="dxa" w:w="3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서버 응답 생성 시간</w:t>
            </w:r>
          </w:p>
        </w:tc>
        <w:tc>
          <w:tcPr>
            <w:tcW w:type="dxa" w:w="27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ISO-8601 문자열 사용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50"/>
        <w:gridCol w:w="3100"/>
        <w:gridCol w:w="4910"/>
      </w:tblGrid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HTTP Status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Error Code 기준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사용 시점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400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COMMON_BAD_REQUEST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지원하지 않는 query 값, 잘못된 parameter 형식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401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COMMON_UNAUTHORIZED / AUTH_*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인증 없음, token 만료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403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COMMON_FORBIDDEN / AUTH_FORBIDDEN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권한 부족, 관리자 API 접근 거부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404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COMMON_NOT_FOUND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URI 또는 Resource 식별자에 해당하는 자원이 없음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405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COMMON_METHOD_NOT_ALLOWED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허용되지 않은 HTTP Method 사용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409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COMMON_CONFLICT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중복 생성, 동시성 충돌, 중복 발송 위험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415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COMMON_UNSUPPORTED_MEDIA_TYPE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지원하지 않는 Content-Type 요청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422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COMMON_VALIDATION_ERROR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Request Body 필드 검증 실패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500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COMMON_INTERNAL_SERVER_ERROR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예상하지 못한 서버 오류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503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EXTERNAL_SERVICE_UNAVAILABLE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axis-ai, SES 등 외부 의존 서비스 장애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504</w:t>
            </w:r>
          </w:p>
        </w:tc>
        <w:tc>
          <w:tcPr>
            <w:tcW w:type="dxa" w:w="31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EXTERNAL_GATEWAY_TIMEOUT</w:t>
            </w:r>
          </w:p>
        </w:tc>
        <w:tc>
          <w:tcPr>
            <w:tcW w:type="dxa" w:w="49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axis-ai 호출 timeout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3.2.5 Pagination / Sorting / Filtering 기준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목록 조회 API는 데이터 규모가 작아 보이더라도 기본적으로 Pagination 기준을 정의한다. 무제한 목록 반환은 금지하며, 검색·필터·정렬 조건은 OpenAPI schema에 허용값과 기본값을 명시한다.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1800"/>
        <w:gridCol w:w="4050"/>
        <w:gridCol w:w="2060"/>
      </w:tblGrid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구분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파라미터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표준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Pagination</w:t>
            </w:r>
          </w:p>
        </w:tc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limit</w:t>
            </w:r>
          </w:p>
        </w:tc>
        <w:tc>
          <w:tcPr>
            <w:tcW w:type="dxa" w:w="40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응답 item 개수. 기본값과 최대값을 명시한다.</w:t>
            </w:r>
          </w:p>
        </w:tc>
        <w:tc>
          <w:tcPr>
            <w:tcW w:type="dxa" w:w="2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limit=20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Pagination</w:t>
            </w:r>
          </w:p>
        </w:tc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offset</w:t>
            </w:r>
          </w:p>
        </w:tc>
        <w:tc>
          <w:tcPr>
            <w:tcW w:type="dxa" w:w="40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조회 시작 위치. 음수는 허용하지 않는다.</w:t>
            </w:r>
          </w:p>
        </w:tc>
        <w:tc>
          <w:tcPr>
            <w:tcW w:type="dxa" w:w="2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offset=0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Sorting</w:t>
            </w:r>
          </w:p>
        </w:tc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sort</w:t>
            </w:r>
          </w:p>
        </w:tc>
        <w:tc>
          <w:tcPr>
            <w:tcW w:type="dxa" w:w="40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허용된 정렬 키만 enum으로 제공한다.</w:t>
            </w:r>
          </w:p>
        </w:tc>
        <w:tc>
          <w:tcPr>
            <w:tcW w:type="dxa" w:w="2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sort=latest, sort=importance_desc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Filtering</w:t>
            </w:r>
          </w:p>
        </w:tc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peer_id</w:t>
            </w:r>
          </w:p>
        </w:tc>
        <w:tc>
          <w:tcPr>
            <w:tcW w:type="dxa" w:w="40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Peer사 식별자. OpenAPI enum 또는 DB master와 일치해야 한다.</w:t>
            </w:r>
          </w:p>
        </w:tc>
        <w:tc>
          <w:tcPr>
            <w:tcW w:type="dxa" w:w="2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peer_id=samsung_sds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Filtering</w:t>
            </w:r>
          </w:p>
        </w:tc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event_type</w:t>
            </w:r>
          </w:p>
        </w:tc>
        <w:tc>
          <w:tcPr>
            <w:tcW w:type="dxa" w:w="40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이벤트 유형. 저장값과 대소문자를 통일한다.</w:t>
            </w:r>
          </w:p>
        </w:tc>
        <w:tc>
          <w:tcPr>
            <w:tcW w:type="dxa" w:w="2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event_type=investment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Filtering</w:t>
            </w:r>
          </w:p>
        </w:tc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date_from/date_to</w:t>
            </w:r>
          </w:p>
        </w:tc>
        <w:tc>
          <w:tcPr>
            <w:tcW w:type="dxa" w:w="40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기간 필터. ISO-8601 date 형식을 사용한다.</w:t>
            </w:r>
          </w:p>
        </w:tc>
        <w:tc>
          <w:tcPr>
            <w:tcW w:type="dxa" w:w="2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date_from=2026-06-01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Search</w:t>
            </w:r>
          </w:p>
        </w:tc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keyword</w:t>
            </w:r>
          </w:p>
        </w:tc>
        <w:tc>
          <w:tcPr>
            <w:tcW w:type="dxa" w:w="40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사용자 입력 검색어. 길이와 특수문자 정책을 정의한다.</w:t>
            </w:r>
          </w:p>
        </w:tc>
        <w:tc>
          <w:tcPr>
            <w:tcW w:type="dxa" w:w="2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keyword=cloud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목록 응답은 data 내부에 items, total, limit, offset을 포함한다. total 계산 비용이 큰 대량 데이터는 has_next 또는 next_cursor 방식 도입을 검토하되, OpenAPI에 명확히 정의한 뒤 사용한다.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GET /api/cards?peer_id=samsung_sds&amp;event_type=investment&amp;limit=20&amp;offset=0&amp;sort=latest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"data": {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"items": [ ... ],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"total": 128,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"limit": 20,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"offset": 0,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"sort": "latest",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"filters": {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  "peer_id": "samsung_sds",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  "event_type": "investment"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 xml:space="preserve">  "timestamp": "2026-06-15T09:00:00Z"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3.2.6 API Versioning 기준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AXIS API는 기본적으로 OpenAPI 계약 파일과 배포 단위로 호환성을 관리한다. URI version은 남용하지 않으며, 호환되지 않는 외부 계약 변경이 발생할 때만 명시적 versioning을 적용한다.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300"/>
        <w:gridCol w:w="3260"/>
      </w:tblGrid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구분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표준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적용 기준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기본 정책</w:t>
            </w:r>
          </w:p>
        </w:tc>
        <w:tc>
          <w:tcPr>
            <w:tcW w:type="dxa" w:w="4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동일 major 계약 내에서는 기존 URI를 유지한다.</w:t>
            </w:r>
          </w:p>
        </w:tc>
        <w:tc>
          <w:tcPr>
            <w:tcW w:type="dxa" w:w="32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필드 추가, 선택 필드 확장, enum 추가처럼 하위 호환 가능한 변경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비호환 변경</w:t>
            </w:r>
          </w:p>
        </w:tc>
        <w:tc>
          <w:tcPr>
            <w:tcW w:type="dxa" w:w="4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기존 필드 제거, 타입 변경, 의미 변경은 신규 version 또는 신규 endpoint를 검토한다.</w:t>
            </w:r>
          </w:p>
        </w:tc>
        <w:tc>
          <w:tcPr>
            <w:tcW w:type="dxa" w:w="32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Frontend 수정이 필수이고 기존 클라이언트가 깨지는 변경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URI Versioning</w:t>
            </w:r>
          </w:p>
        </w:tc>
        <w:tc>
          <w:tcPr>
            <w:tcW w:type="dxa" w:w="4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/api/v2/{domain} 형식은 major 비호환 변경 시 사용한다.</w:t>
            </w:r>
          </w:p>
        </w:tc>
        <w:tc>
          <w:tcPr>
            <w:tcW w:type="dxa" w:w="32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/api/v2/cards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Header Versioning</w:t>
            </w:r>
          </w:p>
        </w:tc>
        <w:tc>
          <w:tcPr>
            <w:tcW w:type="dxa" w:w="4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특수한 클라이언트별 호환이 필요할 때만 사용한다.</w:t>
            </w:r>
          </w:p>
        </w:tc>
        <w:tc>
          <w:tcPr>
            <w:tcW w:type="dxa" w:w="32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Accept: application/vnd.axis.v2+json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Deprecation</w:t>
            </w:r>
          </w:p>
        </w:tc>
        <w:tc>
          <w:tcPr>
            <w:tcW w:type="dxa" w:w="4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기존 API 폐기 전 대체 API, 제거 예정일, 영향 범위를 문서화한다.</w:t>
            </w:r>
          </w:p>
        </w:tc>
        <w:tc>
          <w:tcPr>
            <w:tcW w:type="dxa" w:w="32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OpenAPI deprecated=true, PR 설명, release note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테스트</w:t>
            </w:r>
          </w:p>
        </w:tc>
        <w:tc>
          <w:tcPr>
            <w:tcW w:type="dxa" w:w="4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신규 version과 기존 version의 계약 테스트를 분리한다.</w:t>
            </w:r>
          </w:p>
        </w:tc>
        <w:tc>
          <w:tcPr>
            <w:tcW w:type="dxa" w:w="32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OpenApiContractSmokeTests v1/v2 group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  <w:insideH w:val="single" w:sz="6" w:space="0" w:color="D6B656"/>
              <w:insideV w:val="single" w:sz="6" w:space="0" w:color="D6B656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20"/>
              </w:rPr>
              <w:t>Versioning 원칙: 현재 axis-backend는 /api/{domain}을 기본 경로로 사용한다. /api/v1을 소급 도입하지 않고, 실제 비호환 변경이 발생할 때 /api/v2 도입을 검토한다.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3.2.7 API 설계 예시</w:t>
      </w:r>
    </w:p>
    <w:p>
      <w:pPr>
        <w:spacing w:before="0" w:after="120" w:line="300" w:lineRule="auto"/>
      </w:pPr>
      <w:r/>
      <w:r>
        <w:rPr>
          <w:rFonts w:ascii="Calibri" w:hAnsi="Calibri" w:eastAsia="Malgun Gothic"/>
          <w:b w:val="0"/>
          <w:i w:val="0"/>
          <w:color w:val="191919"/>
          <w:sz w:val="22"/>
        </w:rPr>
        <w:t>다음 예시는 axis-backend에서 실제로 사용하거나 표준으로 권장하는 API 설계 방식이다. 외부 API와 내부 axis-ai 위임 URI는 명확히 분리한다.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00"/>
        <w:gridCol w:w="2450"/>
        <w:gridCol w:w="900"/>
        <w:gridCol w:w="2500"/>
        <w:gridCol w:w="2110"/>
      </w:tblGrid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업무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URI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Method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Request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Response 기준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카드 목록 조회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limit, offset, peer_id, sort query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items, total, limit, offset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오늘 카드 조회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/api/cards/today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peer_id, limit query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오늘 기준 카드 목록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카드 상세 조회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/api/cards/{id}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Path Variable id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카드 상세 DTO 또는 404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링크 검증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/api/cards/{id}/verify-link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Path Variable id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verification status, checked_at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브리핑 생성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/api/briefings/generate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GenerateBriefingRequest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202 Accepted 또는 생성 상태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브리핑 상태 조회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/api/briefings/{briefingId}/status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Path Variable briefingId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queued/running/succeeded/failed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북마크 생성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/api/bookmarks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BookmarkRequest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201 Created 또는 200 OK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북마크 삭제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/api/bookmarks/{cardId}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DELETE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Path Variable cardId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200 OK 또는 204 No Content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파이프라인 실행</w:t>
            </w:r>
          </w:p>
        </w:tc>
        <w:tc>
          <w:tcPr>
            <w:tcW w:type="dxa" w:w="245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/api/pipeline/trigger</w:t>
            </w:r>
          </w:p>
        </w:tc>
        <w:tc>
          <w:tcPr>
            <w:tcW w:type="dxa" w:w="9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jobName, track, peerIds</w:t>
            </w:r>
          </w:p>
        </w:tc>
        <w:tc>
          <w:tcPr>
            <w:tcW w:type="dxa" w:w="211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202 Accepted, request_id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// 외부 Frontend API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GET  /api/cards?peer_id=samsung_sds&amp;limit=20&amp;offset=0&amp;sort=latest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GET  /api/cards/{id}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POST /api/cards/{id}/verify-link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POST /api/briefings/generate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GET  /api/briefings/{briefingId}/status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POST /api/pipeline/trigger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// 내부 위임 URI: AiClientService 내부에서만 사용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POST /search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POST /link/verify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POST /mixer/analyze</w:t>
            </w:r>
            <w:r>
              <w:br/>
            </w:r>
            <w:r>
              <w:rPr>
                <w:rFonts w:ascii="Consolas" w:hAnsi="Consolas" w:eastAsia="Malgun Gothic"/>
                <w:b w:val="0"/>
                <w:i w:val="0"/>
                <w:color w:val="191919"/>
                <w:sz w:val="17"/>
              </w:rPr>
              <w:t>POST /briefing/generate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3.2.8 개발 완료 체크리스트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점검 항목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i w:val="0"/>
                <w:color w:val="191919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Resource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URI가 자원을 표현하고 동사를 남용하지 않는다.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Method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GET/POST/PUT/PATCH/DELETE 의미와 멱등성 기준이 맞다.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Message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Header, Body, Status Code, Response Body가 OpenAPI에 정의되어 있다.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Request DTO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@Valid와 Validation annotation이 적용되어 있다.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Response DTO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Entity를 직접 반환하지 않고 ApiResponse&lt;T&gt; wrapper를 사용한다.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Error Response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success=false, error.code, error.message, timestamp 구조를 유지한다.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Paging/Sorting/Filtering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limit, offset, sort, filter 값의 기본값·최대값·허용값이 명시되어 있다.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Versioning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비호환 변경 여부와 deprecated 정책을 검토했다.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테스트</w:t>
            </w:r>
          </w:p>
        </w:tc>
        <w:tc>
          <w:tcPr>
            <w:tcW w:type="dxa" w:w="7060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i w:val="0"/>
                <w:color w:val="191919"/>
                <w:sz w:val="18"/>
              </w:rPr>
              <w:t>Controller/Service/Contract 테스트가 작성되어 있다.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algun Gothic"/>
        <w:b w:val="0"/>
        <w:i w:val="0"/>
        <w:color w:val="5C5C5C"/>
        <w:sz w:val="18"/>
      </w:rPr>
      <w:t>© 2026 SKALA AI 13조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algun Gothic"/>
        <w:b w:val="0"/>
        <w:i w:val="0"/>
        <w:color w:val="5C5C5C"/>
        <w:sz w:val="18"/>
      </w:rPr>
      <w:t>AXIS Open API(REST API) 표준 | 3.2 추가본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STitle">
    <w:name w:val="AXIS Title"/>
    <w:pPr>
      <w:spacing w:before="0" w:after="80" w:line="276" w:lineRule="auto"/>
    </w:pPr>
    <w:rPr>
      <w:rFonts w:ascii="Calibri" w:hAnsi="Calibri" w:eastAsia="Malgun Gothic"/>
      <w:b/>
      <w:color w:val="1F4D78"/>
      <w:sz w:val="40"/>
    </w:rPr>
  </w:style>
  <w:style w:type="paragraph" w:customStyle="1" w:styleId="AXISSubtitle">
    <w:name w:val="AXIS Subtitle"/>
    <w:pPr>
      <w:spacing w:before="0" w:after="280" w:line="276" w:lineRule="auto"/>
    </w:pPr>
    <w:rPr>
      <w:rFonts w:ascii="Calibri" w:hAnsi="Calibri" w:eastAsia="Malgun Gothic"/>
      <w:b w:val="0"/>
      <w:color w:val="5C5C5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