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 Aqua Farms — Case Study 02 Website Content</w:t>
      </w:r>
    </w:p>
    <w:p>
      <w:r>
        <w:t>SOURCE OF TRUTH: KE_Aqua_Farms_Case_Study_02_Smart_Aquaculture(1).docx</w:t>
      </w:r>
    </w:p>
    <w:p>
      <w:r>
        <w:t>Implementation instruction: Use this content for the dedicated Case Study 02 page. Preserve the source's practical field-observation framing and limitations. Do not convert observations into guarantees or controlled-scientific claims.</w:t>
      </w:r>
    </w:p>
    <w:p>
      <w:r>
        <w:t>KE AQUA FARMS</w:t>
      </w:r>
    </w:p>
    <w:p>
      <w:pPr>
        <w:pStyle w:val="Heading1"/>
      </w:pPr>
      <w:r>
        <w:t>CASE STUDY 02</w:t>
      </w:r>
    </w:p>
    <w:p>
      <w:pPr>
        <w:pStyle w:val="Heading1"/>
      </w:pPr>
      <w:r>
        <w:t>From Traditional Farming to Data-Driven Smart Aquaculture</w:t>
      </w:r>
    </w:p>
    <w:p>
      <w:r>
        <w:t>Integrating Seed Quality Assessment, Scientific Monitoring, Auto Feeding, Farm Automation and Risk Management</w:t>
      </w:r>
    </w:p>
    <w:p>
      <w:r>
        <w:t>Practical Farm Case Study | Field Observation &amp; Technology Evaluation</w:t>
      </w:r>
    </w:p>
    <w:p>
      <w:pPr>
        <w:pStyle w:val="Heading2"/>
      </w:pPr>
      <w:r>
        <w:t>1. Background – Why We Started Looking for a Better Farming System</w:t>
      </w:r>
    </w:p>
    <w:p>
      <w:r>
        <w:t>Our transition toward smart aquaculture began with practical challenges in traditional shrimp farming. Manual feeding depended heavily on labour availability. Work efficiency varied, maintaining the same feeding accuracy every day was difficult, and absence of a worker could disturb routine operations. Manual broadcasting also made it difficult to maintain complete control over feed quantity, feeding frequency, distribution and wastage.</w:t>
      </w:r>
    </w:p>
    <w:p>
      <w:r>
        <w:t>Can we reduce labour dependency, improve feeding accuracy and make shrimp farming more measurable without compromising animal health?</w:t>
      </w:r>
    </w:p>
    <w:p>
      <w:pPr>
        <w:pStyle w:val="Heading2"/>
      </w:pPr>
      <w:r>
        <w:t>2. Studying Technology Before Adopting It</w:t>
      </w:r>
    </w:p>
    <w:p>
      <w:r>
        <w:t>Before investing in auto feeders, we studied their use among farmers in Andhra Pradesh and collected practical feedback. Much of the initial feedback was negative: some farmers reported poor performance and some machines had been abandoned. A common doubt was how a fixed feeder could effectively feed shrimp throughout a pond when manual workers normally walk around the pond.</w:t>
      </w:r>
    </w:p>
    <w:p>
      <w:r>
        <w:t>Rather than accepting either positive or negative opinions, KE Aqua Farms decided to conduct its own practical field evaluation.</w:t>
      </w:r>
    </w:p>
    <w:p>
      <w:r>
        <w:t>Don't accept technology because somebody promotes it. Don't reject technology because somebody else failed with it. Study it, install it correctly, measure it and then decide.</w:t>
      </w:r>
    </w:p>
    <w:p>
      <w:pPr>
        <w:pStyle w:val="Heading2"/>
      </w:pPr>
      <w:r>
        <w:t>3. Smart Farming Starts at the Hatchery</w:t>
      </w:r>
    </w:p>
    <w:p>
      <w:r>
        <w:t>We realized that advanced farm management should begin before stocking. Approximately two days before planned stocking, we visit the hatchery and identify two to three candidate tanks for evaluation. Samples are compared before final selection.</w:t>
      </w:r>
    </w:p>
    <w:p>
      <w:pPr>
        <w:pStyle w:val="Heading2"/>
      </w:pPr>
      <w:r>
        <w:t>4. Microscopic PL Assessment</w:t>
      </w:r>
    </w:p>
    <w:p>
      <w:r>
        <w:t>Because shrimp post-larvae are extremely small, microscopy is used as one part of PL assessment. Depending on PL stage and practical assessment conditions, observations include:</w:t>
      </w:r>
    </w:p>
    <w:p>
      <w:r>
        <w:t>Activity and swimming behaviour</w:t>
      </w:r>
    </w:p>
    <w:p>
      <w:r>
        <w:t>Size and uniformity</w:t>
      </w:r>
    </w:p>
    <w:p>
      <w:r>
        <w:t>Gut condition and gut filling</w:t>
      </w:r>
    </w:p>
    <w:p>
      <w:r>
        <w:t>Muscle-to-gut relationship and related morphological observations</w:t>
      </w:r>
    </w:p>
    <w:p>
      <w:r>
        <w:t>Muscle condition</w:t>
      </w:r>
    </w:p>
    <w:p>
      <w:r>
        <w:t>Digestive/hepatopancreatic appearance where practically assessable</w:t>
      </w:r>
    </w:p>
    <w:p>
      <w:r>
        <w:t>External abnormalities or deformities</w:t>
      </w:r>
    </w:p>
    <w:p>
      <w:r>
        <w:t>Fouling or attached organisms</w:t>
      </w:r>
    </w:p>
    <w:p>
      <w:r>
        <w:t>General PL condition</w:t>
      </w:r>
    </w:p>
    <w:p>
      <w:r>
        <w:t>Good seed selection is a combination of observations—not one test.</w:t>
      </w:r>
    </w:p>
    <w:p>
      <w:pPr>
        <w:pStyle w:val="Heading2"/>
      </w:pPr>
      <w:r>
        <w:t>5. Stress Testing, Tank Selection &amp; PCR Screening</w:t>
      </w:r>
    </w:p>
    <w:p>
      <w:r>
        <w:t>Candidate PL samples undergo an appropriate stress test. Response and survival are considered together with microscopic observations, activity, uniformity and physical condition. The best-performing candidate tank is shortlisted. Representative PL samples from the preferred tank are then submitted for appropriate PCR disease screening before final seed acceptance.</w:t>
      </w:r>
    </w:p>
    <w:p>
      <w:r>
        <w:t>Microscopy and stress testing assess observable PL quality and robustness; PCR testing screens for specified pathogens. One does not replace the other.</w:t>
      </w:r>
    </w:p>
    <w:p>
      <w:pPr>
        <w:pStyle w:val="Heading2"/>
      </w:pPr>
      <w:r>
        <w:t>6. Traceability &amp; Documentation</w:t>
      </w:r>
    </w:p>
    <w:p>
      <w:r>
        <w:t>Where applicable and available, KE Aqua Farms maintains hatchery details, tank number, batch information, broodstock-related information, relevant CAA hatchery/maturation documentation, available broodstock/date information, microscopic observations, stress-test information, PCR reports, seed invoices, transport records and stocking records. This creates traceability from hatchery to pond and ultimately to harvest.</w:t>
      </w:r>
    </w:p>
    <w:p>
      <w:pPr>
        <w:pStyle w:val="Heading2"/>
      </w:pPr>
      <w:r>
        <w:t>7. Soil-Based Pond Preparation</w:t>
      </w:r>
    </w:p>
    <w:p>
      <w:r>
        <w:t>Technology did not replace the successful pond-management foundation developed during traditional farming. Bottom soil and soil pH continued to be assessed. In our earlier farm observations, soil pH was approximately 8.2–8.3. Instead of automatically applying a standard lime quantity, lime application was adjusted according to actual soil condition.</w:t>
      </w:r>
    </w:p>
    <w:p>
      <w:r>
        <w:t>Test first. Apply only what the pond requires.</w:t>
      </w:r>
    </w:p>
    <w:p>
      <w:pPr>
        <w:pStyle w:val="Heading2"/>
      </w:pPr>
      <w:r>
        <w:t>8. Initial Water Preparation</w:t>
      </w:r>
    </w:p>
    <w:p>
      <w:r>
        <w:t>After water filling, saponin-based Tea Seed Powder was incorporated as part of initial water preparation to manage unwanted aquatic organisms such as wild fish, crabs and snails. It was treated as one component of the overall preparation protocol, not as an independent treatment or cure for white gut.</w:t>
      </w:r>
    </w:p>
    <w:p>
      <w:pPr>
        <w:pStyle w:val="Heading2"/>
      </w:pPr>
      <w:r>
        <w:t>9. pH &amp; Pond-Bottom Management</w:t>
      </w:r>
    </w:p>
    <w:p>
      <w:r>
        <w:t>pH was monitored three times daily, with emphasis on both the reading and its daily fluctuation. Routine probiotic management was continued weekly, while approximately every two weeks soil/bottom management was carried out using soil probiotics and inputs such as zeolite and Super PS according to pond condition. The objective was preventive management of organic loading, uneaten feed, faecal matter and bottom deterioration.</w:t>
      </w:r>
    </w:p>
    <w:p>
      <w:pPr>
        <w:pStyle w:val="Heading2"/>
      </w:pPr>
      <w:r>
        <w:t>10. Auto Feeder Installation &amp; Check-Tray Design</w:t>
      </w:r>
    </w:p>
    <w:p>
      <w:r>
        <w:t>The feeder was positioned approximately 30 feet inside the pond. To evaluate feed distribution and shrimp feeding activity, the first check tray was positioned approximately 1 metre from the feeder and the second approximately 3 metres beyond the first check tray.</w:t>
      </w:r>
    </w:p>
    <w:p>
      <w:r>
        <w:t>Auto Feeder → 1 m → Check Tray 1 → 3 m → Check Tray 2</w:t>
      </w:r>
    </w:p>
    <w:p>
      <w:pPr>
        <w:pStyle w:val="Heading2"/>
      </w:pPr>
      <w:r>
        <w:t>11. From Batch Feeding to Frequent Feeding</w:t>
      </w:r>
    </w:p>
    <w:p>
      <w:r>
        <w:t>Traditional manual feeding generally involved broadcasting feed around the pond four or five times per day. Auto feeding changed this concept. The daily ration was divided into many smaller quantities delivered progressively over an extended feeding period. Feed settings were adjusted according to check-tray response, animal activity, feed demand, growth and pond condition.</w:t>
      </w:r>
    </w:p>
    <w:p>
      <w:pPr>
        <w:pStyle w:val="Heading2"/>
      </w:pPr>
      <w:r>
        <w:t>12. Feed Preparation, Mobile Control &amp; Labour Efficiency</w:t>
      </w:r>
    </w:p>
    <w:p>
      <w:r>
        <w:t>Feed was prepared using a feed mixer and loaded into the feeder drum. Feeding settings could be increased or decreased through the connected mobile system according to observations. Under the evaluated setup, feeding operations for approximately six acres could be managed by one person. The worker's role shifted toward feed preparation, feeder management, check-tray observation, animal observation and farm monitoring.</w:t>
      </w:r>
    </w:p>
    <w:p>
      <w:pPr>
        <w:pStyle w:val="Heading2"/>
      </w:pPr>
      <w:r>
        <w:t>13. Scientific Farm Monitoring &amp; Microscopy</w:t>
      </w:r>
    </w:p>
    <w:p>
      <w:r>
        <w:t>Automation was combined with a structured farm-monitoring system. Water and shrimp were examined weekly using laboratory testing and microscopy as supporting observational tools. Water microscopy helped us observe changes in pond biology alongside routine water-quality results. Shrimp observations included activity, gut condition and filling, hepatopancreas appearance where assessable, external condition, general health and feed response.</w:t>
      </w:r>
    </w:p>
    <w:p>
      <w:r>
        <w:t>Microscopy alone does not prove that an applied probiotic has established itself or is functioning as claimed; it is used as one additional observation alongside laboratory data and farm response.</w:t>
      </w:r>
    </w:p>
    <w:p>
      <w:pPr>
        <w:pStyle w:val="Heading2"/>
      </w:pPr>
      <w:r>
        <w:t>14. Multi-Level Monitoring Schedule</w:t>
      </w:r>
    </w:p>
    <w:p>
      <w:pPr>
        <w:pStyle w:val="Heading2"/>
      </w:pPr>
      <w:r>
        <w:t>15. White-Gut Observation</w:t>
      </w:r>
    </w:p>
    <w:p>
      <w:r>
        <w:t>The preventive practices developed during our previous traditional crop were continued alongside the new technology: soil assessment, need-based liming, Tea Seed Powder during initial preparation, pH stability monitoring, probiotics, bottom management, weekly laboratory monitoring, periodic Vibrio monitoring and microscopic animal/water observations.</w:t>
      </w:r>
    </w:p>
    <w:p>
      <w:r>
        <w:t>Under this combined management system, no white-gut episode was observed during approximately 92–100 DOC of the monitored crop. This repeated field observation increased our confidence in the overall preventive management system. It does not establish that any individual input or practice independently prevents or cures white gut.</w:t>
      </w:r>
    </w:p>
    <w:p>
      <w:pPr>
        <w:pStyle w:val="Heading2"/>
      </w:pPr>
      <w:r>
        <w:t>16. First Auto-Feeder Crop – Field Results</w:t>
      </w:r>
    </w:p>
    <w:p>
      <w:r>
        <w:t>The first major auto-feeder evaluation covered approximately 6 acres across 4 ponds. Two ponds were harvested at approximately 95 DOC and two at approximately 105 DOC. Observed harvest sizes across the ponds included approximately 45 count/kg, 40 count/kg and 32 count/kg, with other crop observations around 32 count/kg at approximately 105 DOC.</w:t>
      </w:r>
    </w:p>
    <w:p>
      <w:r>
        <w:t>Some ponds showed particularly encouraging harvest population relative to stocking, described operationally as 'bonus numbers'. Another important field observation was comparatively improved size uniformity. The harvest results also helped address doubts among farmers and associates who had initially questioned fixed-location auto feeding.</w:t>
      </w:r>
    </w:p>
    <w:p>
      <w:pPr>
        <w:pStyle w:val="Heading2"/>
      </w:pPr>
      <w:r>
        <w:t>17. Second High-Density Crop – Learning the Capacity Limit</w:t>
      </w:r>
    </w:p>
    <w:p>
      <w:r>
        <w:t>The first crop gave us confidence, but the second crop revealed an important limitation. In the first crop, approximately 1.5 lakh PL were stocked in a 1.5-acre pond. In the second crop, stocking was increased to approximately 3.5 lakh PL in a similar 1.5-acre pond, without proportionately increasing feeder capacity.</w:t>
      </w:r>
    </w:p>
    <w:p>
      <w:r>
        <w:t>Based on the feeder guidance available to us, approximately one feeder was intended to support around 2.5 lakh shrimp under the relevant operating conditions. At higher density we observed delayed growth, greater size variation and inadequate feeding capacity for the increased biomass.</w:t>
      </w:r>
    </w:p>
    <w:p>
      <w:r>
        <w:t>Technology must be correctly sized for the biological load.</w:t>
      </w:r>
    </w:p>
    <w:p>
      <w:pPr>
        <w:pStyle w:val="Heading2"/>
      </w:pPr>
      <w:r>
        <w:t>18. Power &amp; Aerator Monitoring</w:t>
      </w:r>
    </w:p>
    <w:p>
      <w:r>
        <w:t>Farm automation was extended beyond feeding. A power-monitoring/alert system was introduced to provide mobile notifications or calls for critical electrical events including power failure, power restoration, supported aerator fault/operating conditions, generator operating requirements and generator shutdown after grid restoration. Electrical capacitor/power-factor management was also incorporated as part of farm electrical management.</w:t>
      </w:r>
    </w:p>
    <w:p>
      <w:pPr>
        <w:pStyle w:val="Heading2"/>
      </w:pPr>
      <w:r>
        <w:t>19. Nano-Bubble Technology – Failure Became Learning</w:t>
      </w:r>
    </w:p>
    <w:p>
      <w:r>
        <w:t>As stocking density increased, oxygen demand also increased. KE Aqua Farms began evaluating nano-bubble technology as an additional oxygen-support option. During the earlier high-density crop, however, available electrical infrastructure was insufficient to operate the system continuously as intended. Rather than claim a result under inadequate conditions, the evaluation was stepped back.</w:t>
      </w:r>
    </w:p>
    <w:p>
      <w:r>
        <w:t>Advanced technology cannot overcome inadequate supporting infrastructure.</w:t>
      </w:r>
    </w:p>
    <w:p>
      <w:pPr>
        <w:pStyle w:val="Heading2"/>
      </w:pPr>
      <w:r>
        <w:t>20. Preparing for a Structured Nano-Bubble Evaluation</w:t>
      </w:r>
    </w:p>
    <w:p>
      <w:r>
        <w:t>Based on that learning, KE Aqua Farms has strengthened electrical infrastructure, including a 100 kVA transformer, to support a more structured field evaluation. The upcoming crop will monitor dissolved oxygen, operating hours, power consumption, animal behaviour, feed response, growth, survival, biomass, conventional aeration requirement, reliability, operating expenditure and cost-benefit. Until measured results are available, nano-bubble technology is classified as an ongoing field evaluation—not a proven commercial result.</w:t>
      </w:r>
    </w:p>
    <w:p>
      <w:pPr>
        <w:pStyle w:val="Heading2"/>
      </w:pPr>
      <w:r>
        <w:t>21. Crop Insurance as Financial Risk Management</w:t>
      </w:r>
    </w:p>
    <w:p>
      <w:r>
        <w:t>Even with good seed selection, PCR screening, soil testing, scientific pond preparation, monitoring, automation, power management and biosecurity, aquaculture remains exposed to biological, environmental and operational risks. Crop insurance is therefore incorporated as an additional financial risk-management layer, subject to the applicable policy terms, exclusions and claim requirements.</w:t>
      </w:r>
    </w:p>
    <w:p>
      <w:pPr>
        <w:pStyle w:val="Heading2"/>
      </w:pPr>
      <w:r>
        <w:t>22. Turning Farming into Data</w:t>
      </w:r>
    </w:p>
    <w:p>
      <w:r>
        <w:t>One of the biggest changes in our farming practice has been documentation. We progressively maintain records from hatchery to seed, pond, crop and harvest, including seed source, tank/batch information, PCR reports, stress-test observations, bills, soil and water reports, Vibrio reports, microscopic observations, feed records, pH records, growth/sampling records, technology operating records, insurance documentation and harvest information.</w:t>
      </w:r>
    </w:p>
    <w:p>
      <w:pPr>
        <w:pStyle w:val="Heading2"/>
      </w:pPr>
      <w:r>
        <w:t>23. What This Case Study Taught Us</w:t>
      </w:r>
    </w:p>
    <w:p>
      <w:r>
        <w:t>Smart aquaculture is not one machine. An auto feeder, sensor or nano-bubble generator alone does not make a smart farm.</w:t>
      </w:r>
    </w:p>
    <w:p>
      <w:r>
        <w:t>Smart aquaculture is the integration of good seed + good pond preparation + continuous monitoring + correct feeding + animal-health observation + laboratory support + appropriately sized technology + reliable power and aeration + documentation + risk management.</w:t>
      </w:r>
    </w:p>
    <w:p>
      <w:pPr>
        <w:pStyle w:val="Heading2"/>
      </w:pPr>
      <w:r>
        <w:t>24. KE Aqua Farms Technology Adoption Model</w:t>
      </w:r>
    </w:p>
    <w:p>
      <w:r>
        <w:t>STUDY – Understand the problem and available technology.</w:t>
      </w:r>
    </w:p>
    <w:p>
      <w:r>
        <w:t>VERIFY – Collect field feedback and technical information.</w:t>
      </w:r>
    </w:p>
    <w:p>
      <w:r>
        <w:t>DESIGN – Match technology to pond size, stocking density and infrastructure.</w:t>
      </w:r>
    </w:p>
    <w:p>
      <w:r>
        <w:t>IMPLEMENT – Install and operate it correctly.</w:t>
      </w:r>
    </w:p>
    <w:p>
      <w:r>
        <w:t>MONITOR – Measure water, animal, feed and equipment performance.</w:t>
      </w:r>
    </w:p>
    <w:p>
      <w:r>
        <w:t>COMPARE – Study results against previous practices and other ponds.</w:t>
      </w:r>
    </w:p>
    <w:p>
      <w:r>
        <w:t>IDENTIFY LIMITATIONS – Record failures as carefully as successes.</w:t>
      </w:r>
    </w:p>
    <w:p>
      <w:r>
        <w:t>IMPROVE – Correct capacity, infrastructure and management gaps.</w:t>
      </w:r>
    </w:p>
    <w:p>
      <w:r>
        <w:t>VALIDATE – Repeat under practical farm conditions.</w:t>
      </w:r>
    </w:p>
    <w:p>
      <w:r>
        <w:t>SHARE – Communicate practical learning only after evaluation.</w:t>
      </w:r>
    </w:p>
    <w:p>
      <w:pPr>
        <w:pStyle w:val="Heading2"/>
      </w:pPr>
      <w:r>
        <w:t>25. Conclusion</w:t>
      </w:r>
    </w:p>
    <w:p>
      <w:r>
        <w:t>Our journey from traditional shrimp farming to technology-supported aquaculture was driven by real farm problems: labour dependency, feed management, animal-health risk, power reliability and the need for better decision-making.</w:t>
      </w:r>
    </w:p>
    <w:p>
      <w:r>
        <w:t>The first auto-feeder crop demonstrated encouraging growth, size uniformity, operational control and reduced labour dependency. The higher-density crop subsequently showed that technology has capacity limits and must be correctly matched to stocking density and biomass. Our early nano-bubble experience similarly demonstrated that advanced oxygenation technology requires adequate electrical infrastructure before its performance can be evaluated fairly.</w:t>
      </w:r>
    </w:p>
    <w:p>
      <w:r>
        <w:t>At the same time, the biological foundation remained unchanged: seed quality assessment, soil-based preparation, need-based liming, initial water preparation, pH stability, pond-bottom management, laboratory monitoring, microscopic observations and animal-health monitoring.</w:t>
      </w:r>
    </w:p>
    <w:p>
      <w:r>
        <w:t>For us, smart aquaculture does not start with an auto feeder. It starts with selecting the seed and understanding the pond.</w:t>
      </w:r>
    </w:p>
    <w:p>
      <w:r>
        <w:t>It continues through monitoring, measurement, documentation, correction and learning until harvest.</w:t>
      </w:r>
    </w:p>
    <w:p>
      <w:pPr>
        <w:pStyle w:val="Heading2"/>
      </w:pPr>
      <w:r>
        <w:t>Important Interpretation</w:t>
      </w:r>
    </w:p>
    <w:p>
      <w:r>
        <w:t>This document is a practical farm case study, field observation and technology evaluation. It is not a controlled scientific trial and should not be interpreted as a guarantee of production performance or as proof that any individual product, technology or management practice independently prevents disease. Results can vary with seed quality, pathogens, water source, soil, stocking density, weather, biosecurity, feeding, aeration, infrastructure and other farm conditions.</w:t>
      </w:r>
    </w:p>
    <w:p>
      <w:r>
        <w:t>KE AQUA FARMS</w:t>
      </w:r>
    </w:p>
    <w:p>
      <w:r>
        <w:t>Practical Farming | Scientific Monitoring | Smart Technology | Training</w:t>
      </w:r>
    </w:p>
    <w:p>
      <w:r>
        <w:t>We Practice. We Monitor. We Learn. We Share.</w:t>
      </w:r>
    </w:p>
    <w:p>
      <w:pPr>
        <w:pStyle w:val="Heading2"/>
      </w:pPr>
      <w:r>
        <w:t>Source Table</w:t>
      </w:r>
    </w:p>
    <w:p>
      <w:r>
        <w:t>Frequency | Monitoring</w:t>
      </w:r>
    </w:p>
    <w:p>
      <w:r>
        <w:t>Daily | pH three times; feed response; check trays; auto-feeder operation; animal activity; aeration; power condition</w:t>
      </w:r>
    </w:p>
    <w:p>
      <w:r>
        <w:t>Weekly | Water laboratory analysis; microscopic water examination; shrimp examination; gut and hepatopancreas observations; general farm review</w:t>
      </w:r>
    </w:p>
    <w:p>
      <w:r>
        <w:t>Approximately every 15 days | Vibrio monitoring; extended laboratory assessment where required; bottom-condition and soil-management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