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 Aqua Farms — Case Study 03 Website Content</w:t>
      </w:r>
    </w:p>
    <w:p>
      <w:r>
        <w:t>SOURCE OF TRUTH: KE_Aqua_Farms_Case_Study_03_Feed_Cost_Optimization(1).docx</w:t>
      </w:r>
    </w:p>
    <w:p>
      <w:r>
        <w:t>Implementation instruction: Use this document as the source-of-truth content for the dedicated Case Study 03 website page. Preserve the client's terminology, practical field-observation framing, documented figures, economic interpretation, and important limitations. Do not convert field observations into universal recommendations or guarantees.</w:t>
      </w:r>
    </w:p>
    <w:p>
      <w:r>
        <w:t>KE AQUA FARMS</w:t>
      </w:r>
    </w:p>
    <w:p>
      <w:pPr>
        <w:pStyle w:val="Heading1"/>
      </w:pPr>
      <w:r>
        <w:t>CASE STUDY 03</w:t>
      </w:r>
    </w:p>
    <w:p>
      <w:pPr>
        <w:pStyle w:val="Heading1"/>
      </w:pPr>
      <w:r>
        <w:t>Optimizing Feed Cost Through Stage-Wise Protein Management</w:t>
      </w:r>
    </w:p>
    <w:p>
      <w:r>
        <w:t>A Practical Field Evaluation of 38%, 36% and 34% Protein Feeds in Vannamei Culture</w:t>
      </w:r>
    </w:p>
    <w:p>
      <w:r>
        <w:t>Practical Farm Observation &amp; Ongoing Field Validation</w:t>
      </w:r>
    </w:p>
    <w:p>
      <w:pPr>
        <w:pStyle w:val="Heading2"/>
      </w:pPr>
      <w:r>
        <w:t>1. The Challenge</w:t>
      </w:r>
    </w:p>
    <w:p>
      <w:r>
        <w:t>Feed is one of the largest operating costs in commercial shrimp farming. In surrounding farming practices, many farmers continued using approximately 36% protein feed during later stages of culture, based on the belief that reducing protein—or changing feed type or brand—could reduce growth performance or contribute to health problems such as white-gut symptoms.</w:t>
      </w:r>
    </w:p>
    <w:p>
      <w:r>
        <w:t>At KE Aqua Farms, we questioned whether maintaining the same higher crude-protein level throughout the crop was economically necessary.</w:t>
      </w:r>
    </w:p>
    <w:p>
      <w:r>
        <w:t>Can feed protein be reduced according to the stage and size of the shrimp without compromising practical crop performance?</w:t>
      </w:r>
    </w:p>
    <w:p>
      <w:pPr>
        <w:pStyle w:val="Heading2"/>
      </w:pPr>
      <w:r>
        <w:t>2. Our Stage-Wise Feeding Strategy</w:t>
      </w:r>
    </w:p>
    <w:p>
      <w:r>
        <w:t>The major cost-management transition was made when shrimp reached approximately 100 count/kg. From this stage onward, we shifted to approximately 34% crude-protein feed instead of continuing with the approximately 36% protein feed commonly used around us.</w:t>
      </w:r>
    </w:p>
    <w:p>
      <w:pPr>
        <w:pStyle w:val="Heading2"/>
      </w:pPr>
      <w:r>
        <w:t>3. Why We Conducted the Trial</w:t>
      </w:r>
    </w:p>
    <w:p>
      <w:r>
        <w:t>During the earlier crop, the approximate bag prices observed in our farm practice were:</w:t>
      </w:r>
    </w:p>
    <w:p>
      <w:r>
        <w:t>36% protein feed: approximately ₹2,200 per bag</w:t>
      </w:r>
    </w:p>
    <w:p>
      <w:r>
        <w:t>34% protein feed: approximately ₹1,600 per bag</w:t>
      </w:r>
    </w:p>
    <w:p>
      <w:r>
        <w:t>This represented an approximate ₹600 saving per bag, or about 27% lower purchase price relative to the ₹2,200 bag.</w:t>
      </w:r>
    </w:p>
    <w:p>
      <w:r>
        <w:t>The practical question was whether this lower-cost later-stage feeding strategy could maintain satisfactory growth, survival and crop duration. If so, the cumulative saving across commercial feed volumes could materially reduce production cost.</w:t>
      </w:r>
    </w:p>
    <w:p>
      <w:pPr>
        <w:pStyle w:val="Heading2"/>
      </w:pPr>
      <w:r>
        <w:t>4. First-Crop Field Observation</w:t>
      </w:r>
    </w:p>
    <w:p>
      <w:r>
        <w:t>We implemented the stage-wise protein strategy in our own farming operation. Surrounding farmers who continued using approximately 36% protein feed provided a useful field reference, although this was not a controlled scientific comparison.</w:t>
      </w:r>
    </w:p>
    <w:p>
      <w:r>
        <w:t>Under our management system, we transitioned to approximately 34% protein feed from around the 100-count stage.</w:t>
      </w:r>
    </w:p>
    <w:p>
      <w:r>
        <w:t>Harvest at approximately 92–95 DOC</w:t>
      </w:r>
    </w:p>
    <w:p>
      <w:r>
        <w:t>Approximately 40 count/kg achieved</w:t>
      </w:r>
    </w:p>
    <w:p>
      <w:r>
        <w:t>No observed white-gut episode during the monitored crop</w:t>
      </w:r>
    </w:p>
    <w:p>
      <w:r>
        <w:t>Reduced feed purchase expenditure</w:t>
      </w:r>
    </w:p>
    <w:p>
      <w:r>
        <w:t>Under our farm conditions, we did not observe an obvious growth penalty that justified maintaining the more expensive higher-protein feed solely because of the crude-protein percentage printed on the bag.</w:t>
      </w:r>
    </w:p>
    <w:p>
      <w:pPr>
        <w:pStyle w:val="Heading2"/>
      </w:pPr>
      <w:r>
        <w:t>5. Feed Change and White-Gut Observation</w:t>
      </w:r>
    </w:p>
    <w:p>
      <w:r>
        <w:t>A common field belief is that changing feed brands or reducing the crude-protein percentage can itself cause white gut. Our practical observations did not support such a simple cause-and-effect conclusion.</w:t>
      </w:r>
    </w:p>
    <w:p>
      <w:r>
        <w:t>During our crops, feed stages and protein levels were changed according to the planned program while the broader preventive management system continued. No white-gut episode was observed during the monitored crop.</w:t>
      </w:r>
    </w:p>
    <w:p>
      <w:r>
        <w:t>This does not mean that feed changes can never contribute to digestive or feeding problems. Feed quality, storage, palatability, abrupt transitions, feeding rate, gut health, pathogens, water quality, pond-bottom condition and other factors must all be considered.</w:t>
      </w:r>
    </w:p>
    <w:p>
      <w:pPr>
        <w:pStyle w:val="Heading2"/>
      </w:pPr>
      <w:r>
        <w:t>6. Repeating the Practice at KE Aqua Farms</w:t>
      </w:r>
    </w:p>
    <w:p>
      <w:r>
        <w:t>The approach was continued in the larger KE Aqua Farms operation rather than being abandoned after one crop. Under the same basic stage-wise protein strategy, harvest observations included shrimp around 32–45 count/kg at approximately 95–105 DOC.</w:t>
      </w:r>
    </w:p>
    <w:p>
      <w:r>
        <w:t>The repeated field observation increased our confidence in continuing to evaluate the strategy while maintaining the same broader pond-health and monitoring practices.</w:t>
      </w:r>
    </w:p>
    <w:p>
      <w:pPr>
        <w:pStyle w:val="Heading2"/>
      </w:pPr>
      <w:r>
        <w:t>7. Current Price Difference and Potential Saving</w:t>
      </w:r>
    </w:p>
    <w:p>
      <w:r>
        <w:t>In the current pricing described in our farm records:</w:t>
      </w:r>
    </w:p>
    <w:p>
      <w:r>
        <w:t>36% protein feed: approximately ₹2,400 per bag</w:t>
      </w:r>
    </w:p>
    <w:p>
      <w:r>
        <w:t>34% protein feed: approximately ₹1,600 per bag</w:t>
      </w:r>
    </w:p>
    <w:p>
      <w:r>
        <w:t>Difference: approximately ₹800 per bag</w:t>
      </w:r>
    </w:p>
    <w:p>
      <w:r>
        <w:t>At those prices, the 34% feed has a purchase price approximately 33% lower than the ₹2,400 bag.</w:t>
      </w:r>
    </w:p>
    <w:p>
      <w:r>
        <w:t>These figures represent purchase-price differences only. They are not profit figures. The real economic outcome must also consider feed conversion ratio (FCR), survival, growth, crop duration, harvest biomass and selling price.</w:t>
      </w:r>
    </w:p>
    <w:p>
      <w:pPr>
        <w:pStyle w:val="Heading2"/>
      </w:pPr>
      <w:r>
        <w:t>8. The Correct Economic Measure</w:t>
      </w:r>
    </w:p>
    <w:p>
      <w:r>
        <w:t>A cheaper bag does not automatically mean cheaper shrimp production. The more meaningful farm measure is feed cost per kilogram of shrimp produced.</w:t>
      </w:r>
    </w:p>
    <w:p>
      <w:r>
        <w:t>Feed Cost per kg Shrimp = FCR × Feed Price per kg</w:t>
      </w:r>
    </w:p>
    <w:p>
      <w:r>
        <w:t>Therefore, KE Aqua Farms evaluates growth, FCR, survival, DOC, biomass, feed cost and final production cost together. If a lower-cost feeding strategy maintains satisfactory biological performance, the economic advantage becomes meaningful.</w:t>
      </w:r>
    </w:p>
    <w:p>
      <w:pPr>
        <w:pStyle w:val="Heading2"/>
      </w:pPr>
      <w:r>
        <w:t>9. What We Learned</w:t>
      </w:r>
    </w:p>
    <w:p>
      <w:r>
        <w:t>Our field experience changed the way we look at feed selection. Higher crude protein does not automatically mean better farm economics.</w:t>
      </w:r>
    </w:p>
    <w:p>
      <w:r>
        <w:t>Practical feed performance can depend on:</w:t>
      </w:r>
    </w:p>
    <w:p>
      <w:r>
        <w:t>Protein quality and digestibility</w:t>
      </w:r>
    </w:p>
    <w:p>
      <w:r>
        <w:t>Essential amino-acid balance</w:t>
      </w:r>
    </w:p>
    <w:p>
      <w:r>
        <w:t>Energy-to-protein balance</w:t>
      </w:r>
    </w:p>
    <w:p>
      <w:r>
        <w:t>Ingredient quality</w:t>
      </w:r>
    </w:p>
    <w:p>
      <w:r>
        <w:t>Pellet stability and palatability</w:t>
      </w:r>
    </w:p>
    <w:p>
      <w:r>
        <w:t>Feeding frequency and feed management</w:t>
      </w:r>
    </w:p>
    <w:p>
      <w:r>
        <w:t>Natural pond productivity</w:t>
      </w:r>
    </w:p>
    <w:p>
      <w:r>
        <w:t>Water quality and pond-bottom condition</w:t>
      </w:r>
    </w:p>
    <w:p>
      <w:r>
        <w:t>Animal health</w:t>
      </w:r>
    </w:p>
    <w:p>
      <w:r>
        <w:t>Stocking density</w:t>
      </w:r>
    </w:p>
    <w:p>
      <w:r>
        <w:t>Overall farm management</w:t>
      </w:r>
    </w:p>
    <w:p>
      <w:r>
        <w:t>Feed should therefore be evaluated according to animal performance and economics—not protein percentage or brand perception alone.</w:t>
      </w:r>
    </w:p>
    <w:p>
      <w:pPr>
        <w:pStyle w:val="Heading2"/>
      </w:pPr>
      <w:r>
        <w:t>10. KE Aqua Farms Feed Philosophy</w:t>
      </w:r>
    </w:p>
    <w:p>
      <w:r>
        <w:t>We don't feed the label. We feed according to the animal, biomass, response and crop stage.</w:t>
      </w:r>
    </w:p>
    <w:p>
      <w:pPr>
        <w:pStyle w:val="Heading2"/>
      </w:pPr>
      <w:r>
        <w:t>11. Current Crop – Ongoing Validation</w:t>
      </w:r>
    </w:p>
    <w:p>
      <w:r>
        <w:t>KE Aqua Farms plans to continue this feeding strategy in the present crop with stronger documentation. At each sampling, records should include DOC, ABW, count/kg, daily feed, feed protein percentage, feed brand, feed price/kg, cumulative feed, estimated survival, biomass, FCR, gut condition, hepatopancreas observations and water quality.</w:t>
      </w:r>
    </w:p>
    <w:p>
      <w:r>
        <w:t>At harvest, the evaluation should include total seed stocked, survival, total feed, average harvest weight, count, biomass, FCR, feed cost, total production cost, revenue and profit/loss.</w:t>
      </w:r>
    </w:p>
    <w:p>
      <w:r>
        <w:t>This will allow the field observation to develop into a stronger commercial case study based on measured feed cost per kilogram of shrimp produced.</w:t>
      </w:r>
    </w:p>
    <w:p>
      <w:pPr>
        <w:pStyle w:val="Heading2"/>
      </w:pPr>
      <w:r>
        <w:t>12. Conclusion</w:t>
      </w:r>
    </w:p>
    <w:p>
      <w:r>
        <w:t>Under the documented KE Aqua Farms field conditions to date, a planned stage-wise transition from 38% to 36% and then to 34% crude-protein feed from approximately the 100-count stage was associated with satisfactory crop performance and lower feed purchase cost. Harvest observations included approximately 40 count/kg at 92–95 DOC in the earlier crop and approximately 32–45 count/kg at 95–105 DOC in subsequent practice.</w:t>
      </w:r>
    </w:p>
    <w:p>
      <w:r>
        <w:t>These observations support continued evaluation of stage-wise protein management as a feed-cost optimization strategy. They do not establish that 34% protein feed is universally equivalent to higher-protein feed, nor that feed-brand or protein changes have no health consequences under all farm conditions.</w:t>
      </w:r>
    </w:p>
    <w:p>
      <w:pPr>
        <w:pStyle w:val="Heading2"/>
      </w:pPr>
      <w:r>
        <w:t>Important Interpretation</w:t>
      </w:r>
    </w:p>
    <w:p>
      <w:r>
        <w:t>This document is a practical farm case study and field observation, not a controlled scientific feeding trial. Feed performance depends on digestible nutrients, amino-acid balance, energy, ingredient quality, pellet quality, feeding strategy, pond productivity, water quality, animal health and other farm conditions. Results from KE Aqua Farms should therefore be interpreted within the conditions under which they were observed.</w:t>
      </w:r>
    </w:p>
    <w:p>
      <w:r>
        <w:t>KE AQUA FARMS</w:t>
      </w:r>
    </w:p>
    <w:p>
      <w:r>
        <w:t>Practical Farming | Scientific Monitoring | Smart Technology | Training</w:t>
      </w:r>
    </w:p>
    <w:p>
      <w:r>
        <w:t>We Practice. We Monitor. We Learn. We Share.</w:t>
      </w:r>
    </w:p>
    <w:p>
      <w:pPr>
        <w:pStyle w:val="Heading2"/>
      </w:pPr>
      <w:r>
        <w:t>Source Table</w:t>
      </w:r>
    </w:p>
    <w:p>
      <w:r>
        <w:t>Feed Stage | Approximate Transition | Protein Strategy</w:t>
      </w:r>
    </w:p>
    <w:p>
      <w:r>
        <w:t>No. 1 | Initial stage; approximately first week | 38%</w:t>
      </w:r>
    </w:p>
    <w:p>
      <w:r>
        <w:t>No. 2 | Approximately up to DOC 20–21 | 38%</w:t>
      </w:r>
    </w:p>
    <w:p>
      <w:r>
        <w:t>2P | Approximately DOC 21 to 35–40 | 36%</w:t>
      </w:r>
    </w:p>
    <w:p>
      <w:r>
        <w:t>No. 3 onward | From approximately 100 count/kg stage | 34%</w:t>
      </w:r>
    </w:p>
    <w:p>
      <w:pPr>
        <w:pStyle w:val="Heading2"/>
      </w:pPr>
      <w:r>
        <w:t>Source Table</w:t>
      </w:r>
    </w:p>
    <w:p>
      <w:r>
        <w:t>Bags shifted appropriately | Illustrative purchase-price saving</w:t>
      </w:r>
    </w:p>
    <w:p>
      <w:r>
        <w:t>100 bags | ₹80,000</w:t>
      </w:r>
    </w:p>
    <w:p>
      <w:r>
        <w:t>500 bags | ₹4,00,000</w:t>
      </w:r>
    </w:p>
    <w:p>
      <w:r>
        <w:t>1,000 bags | ₹8,00,000</w:t>
      </w:r>
    </w:p>
    <w:p>
      <w:pPr>
        <w:pStyle w:val="Heading2"/>
      </w:pPr>
      <w:r>
        <w:t>Source Table</w:t>
      </w:r>
    </w:p>
    <w:p>
      <w:r>
        <w:t>Stage | Practical Approach</w:t>
      </w:r>
    </w:p>
    <w:p>
      <w:r>
        <w:t>Early stage | Higher nutritional requirement; 38% protein strategy</w:t>
      </w:r>
    </w:p>
    <w:p>
      <w:r>
        <w:t>Intermediate stage | Monitor growth and feed response; transition toward 36%</w:t>
      </w:r>
    </w:p>
    <w:p>
      <w:r>
        <w:t>Later stage / around 100 count | Evaluate animal condition and growth; transition toward 34%</w:t>
      </w:r>
    </w:p>
    <w:p>
      <w:r>
        <w:t>Throughout culture | Check trays + feed response + ABW + gut condition + water quality + FCR + survival + cost</w:t>
      </w:r>
    </w:p>
    <w:p>
      <w:pPr>
        <w:pStyle w:val="Heading2"/>
      </w:pPr>
      <w:r>
        <w:t>Website Content Safety Rules</w:t>
      </w:r>
    </w:p>
    <w:p>
      <w:r>
        <w:t>This is a practical farm case study and field observation, not a controlled scientific feeding trial. Do not present the findings as universal proof that 34% protein feed is equivalent to higher-protein feed.</w:t>
      </w:r>
    </w:p>
    <w:p>
      <w:r>
        <w:t>Do not present purchase-price differences or illustrative savings as profit. The source explicitly states that FCR, survival, growth, crop duration, biomass, selling price and total production cost must be considered.</w:t>
      </w:r>
    </w:p>
    <w:p>
      <w:r>
        <w:t>Preserve qualifiers such as 'approximately', 'observed', 'associated with', 'under our farm conditions', and 'ongoing validation'. Do not turn them into absolute claims.</w:t>
      </w:r>
    </w:p>
    <w:p>
      <w:r>
        <w:t>Do not add unsupported feed brands, product claims, testimonials, scientific conclusions, guaranteed savings, guaranteed growth, or guaranteed health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