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jc w:val="center"/>
        <w:shd w:val="clear" w:color="auto" w:fill="FFFFFF"/>
        <w:tblCellMar>
          <w:top w:w="15" w:type="dxa"/>
          <w:left w:w="15" w:type="dxa"/>
          <w:bottom w:w="15" w:type="dxa"/>
          <w:right w:w="15" w:type="dxa"/>
        </w:tblCellMar>
        <w:tblLook w:val="04A0" w:firstRow="1" w:lastRow="0" w:firstColumn="1" w:lastColumn="0" w:noHBand="0" w:noVBand="1"/>
      </w:tblPr>
      <w:tblGrid>
        <w:gridCol w:w="8306"/>
      </w:tblGrid>
      <w:tr w:rsidR="0081560A" w:rsidRPr="0081560A" w14:paraId="7283E560" w14:textId="77777777" w:rsidTr="0081560A">
        <w:trPr>
          <w:jc w:val="center"/>
        </w:trPr>
        <w:tc>
          <w:tcPr>
            <w:tcW w:w="0" w:type="auto"/>
            <w:shd w:val="clear" w:color="auto" w:fill="FFFFFF"/>
            <w:tcMar>
              <w:top w:w="0" w:type="dxa"/>
              <w:left w:w="0" w:type="dxa"/>
              <w:bottom w:w="0" w:type="dxa"/>
              <w:right w:w="0" w:type="dxa"/>
            </w:tcMar>
            <w:vAlign w:val="center"/>
            <w:hideMark/>
          </w:tcPr>
          <w:p w14:paraId="2C17CD4C" w14:textId="77777777" w:rsidR="0081560A" w:rsidRPr="0081560A" w:rsidRDefault="0081560A" w:rsidP="0081560A">
            <w:pPr>
              <w:widowControl/>
              <w:spacing w:line="450" w:lineRule="atLeast"/>
              <w:ind w:firstLine="480"/>
              <w:jc w:val="center"/>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32"/>
                <w:szCs w:val="32"/>
              </w:rPr>
              <w:t>金昌市“十四五”服务业发展规划</w:t>
            </w:r>
          </w:p>
          <w:p w14:paraId="2F61C388"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bookmarkStart w:id="0" w:name="_GoBack"/>
            <w:bookmarkEnd w:id="0"/>
            <w:r w:rsidRPr="0081560A">
              <w:rPr>
                <w:rFonts w:ascii="微软雅黑" w:eastAsia="微软雅黑" w:hAnsi="微软雅黑" w:cs="宋体" w:hint="eastAsia"/>
                <w:color w:val="333333"/>
                <w:kern w:val="0"/>
                <w:sz w:val="27"/>
                <w:szCs w:val="27"/>
              </w:rPr>
              <w:t>前   言</w:t>
            </w:r>
          </w:p>
          <w:p w14:paraId="5496F566"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“十三五”期间，金昌市坚持以习近平新时代中国特色社会主义思想为指导，深入贯彻党的十九大和十九届二中、三中、四中、五中全会精神，全面落</w:t>
            </w:r>
            <w:proofErr w:type="gramStart"/>
            <w:r w:rsidRPr="0081560A">
              <w:rPr>
                <w:rFonts w:ascii="微软雅黑" w:eastAsia="微软雅黑" w:hAnsi="微软雅黑" w:cs="宋体" w:hint="eastAsia"/>
                <w:color w:val="333333"/>
                <w:kern w:val="0"/>
                <w:sz w:val="27"/>
                <w:szCs w:val="27"/>
              </w:rPr>
              <w:t>实习近</w:t>
            </w:r>
            <w:proofErr w:type="gramEnd"/>
            <w:r w:rsidRPr="0081560A">
              <w:rPr>
                <w:rFonts w:ascii="微软雅黑" w:eastAsia="微软雅黑" w:hAnsi="微软雅黑" w:cs="宋体" w:hint="eastAsia"/>
                <w:color w:val="333333"/>
                <w:kern w:val="0"/>
                <w:sz w:val="27"/>
                <w:szCs w:val="27"/>
              </w:rPr>
              <w:t>平总书记对甘肃重要讲话和指示精神，紧紧围绕省委、省政府工作部署，深化供给侧结构性改革，加快推动新旧动能转换，全市服务业规模继续扩大，发展质量稳步提升，新兴业</w:t>
            </w:r>
            <w:proofErr w:type="gramStart"/>
            <w:r w:rsidRPr="0081560A">
              <w:rPr>
                <w:rFonts w:ascii="微软雅黑" w:eastAsia="微软雅黑" w:hAnsi="微软雅黑" w:cs="宋体" w:hint="eastAsia"/>
                <w:color w:val="333333"/>
                <w:kern w:val="0"/>
                <w:sz w:val="27"/>
                <w:szCs w:val="27"/>
              </w:rPr>
              <w:t>态不</w:t>
            </w:r>
            <w:proofErr w:type="gramEnd"/>
            <w:r w:rsidRPr="0081560A">
              <w:rPr>
                <w:rFonts w:ascii="微软雅黑" w:eastAsia="微软雅黑" w:hAnsi="微软雅黑" w:cs="宋体" w:hint="eastAsia"/>
                <w:color w:val="333333"/>
                <w:kern w:val="0"/>
                <w:sz w:val="27"/>
                <w:szCs w:val="27"/>
              </w:rPr>
              <w:t>断涌现，逐渐成为吸纳就业的“主渠道”、扩大内需的“加速器”和拉动经济增长的“新引擎”。</w:t>
            </w:r>
          </w:p>
          <w:p w14:paraId="3E511E59"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十四五”时期是金昌市开启全面建设社会主义现代化国家新征程、向第二个百年奋斗目标进军的第一个五年，是加快全面转型高质量发展、深化拓展“两区两城两融合”的重大机遇期，也是培育壮大产业链、构建现代经济体系、推进服务业加快发展的重要战略期。</w:t>
            </w:r>
          </w:p>
          <w:p w14:paraId="4906236F"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为深入贯彻习近平总书记对甘肃重要讲话和指示精神，准确把握新发展阶段，完整准确全面贯彻新发展理念，加快融入新发展格局，顺应产业转型升级和居民消费升级需要，依据《金昌市国民经济和社会发展第十四个五年规划和二〇三五年远景目标纲要》（金政发〔2021〕36号），编制《金昌市“十四五”服务业发展规划》（以下简称《规划》），作为指导全市“十四五”期间乃至更长一个时期服务业高质量发展的行动纲领和主要依据。规划基期为2020年，实施期限为2021—2025年，展望到2035年。</w:t>
            </w:r>
          </w:p>
          <w:p w14:paraId="0B8A30C5" w14:textId="77777777" w:rsidR="0081560A" w:rsidRPr="0081560A" w:rsidRDefault="00F6491D" w:rsidP="0081560A">
            <w:pPr>
              <w:widowControl/>
              <w:spacing w:line="450" w:lineRule="atLeast"/>
              <w:ind w:firstLine="480"/>
              <w:jc w:val="left"/>
              <w:outlineLvl w:val="0"/>
              <w:rPr>
                <w:rFonts w:ascii="Times New Roman" w:eastAsia="微软雅黑" w:hAnsi="Times New Roman" w:cs="Times New Roman"/>
                <w:b/>
                <w:bCs/>
                <w:color w:val="333333"/>
                <w:kern w:val="36"/>
                <w:sz w:val="44"/>
                <w:szCs w:val="44"/>
              </w:rPr>
            </w:pPr>
            <w:hyperlink r:id="rId4" w:anchor="_Toc8126" w:history="1">
              <w:r w:rsidR="0081560A" w:rsidRPr="0081560A">
                <w:rPr>
                  <w:rFonts w:ascii="Times New Roman" w:eastAsia="微软雅黑" w:hAnsi="Times New Roman" w:cs="Times New Roman"/>
                  <w:b/>
                  <w:bCs/>
                  <w:color w:val="999999"/>
                  <w:kern w:val="36"/>
                  <w:sz w:val="48"/>
                  <w:szCs w:val="48"/>
                  <w:u w:val="single"/>
                </w:rPr>
                <w:t>第一章</w:t>
              </w:r>
              <w:r w:rsidR="0081560A" w:rsidRPr="0081560A">
                <w:rPr>
                  <w:rFonts w:ascii="Times New Roman" w:eastAsia="微软雅黑" w:hAnsi="Times New Roman" w:cs="Times New Roman"/>
                  <w:b/>
                  <w:bCs/>
                  <w:color w:val="999999"/>
                  <w:kern w:val="36"/>
                  <w:sz w:val="48"/>
                  <w:szCs w:val="48"/>
                  <w:u w:val="single"/>
                </w:rPr>
                <w:t>  </w:t>
              </w:r>
              <w:r w:rsidR="0081560A" w:rsidRPr="0081560A">
                <w:rPr>
                  <w:rFonts w:ascii="Times New Roman" w:eastAsia="微软雅黑" w:hAnsi="Times New Roman" w:cs="Times New Roman"/>
                  <w:b/>
                  <w:bCs/>
                  <w:color w:val="999999"/>
                  <w:kern w:val="36"/>
                  <w:sz w:val="48"/>
                  <w:szCs w:val="48"/>
                  <w:u w:val="single"/>
                </w:rPr>
                <w:t>发展基础和环境</w:t>
              </w:r>
            </w:hyperlink>
          </w:p>
          <w:p w14:paraId="4F7DA811"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十三五”以来，金昌市坚持走文化旅游业融合引领、现代服务业多元发展、传统服务业改造提升“多业并举”的第三产业发展道路，把第三产业发展作为产业结构优化升级的突破口，发展壮大特色文化旅游业，大力发展现代流通业，加快发展信息产业，努力扩大消费需求，促进三产扩</w:t>
            </w:r>
            <w:proofErr w:type="gramStart"/>
            <w:r w:rsidRPr="0081560A">
              <w:rPr>
                <w:rFonts w:ascii="微软雅黑" w:eastAsia="微软雅黑" w:hAnsi="微软雅黑" w:cs="宋体" w:hint="eastAsia"/>
                <w:color w:val="333333"/>
                <w:kern w:val="0"/>
                <w:sz w:val="27"/>
                <w:szCs w:val="27"/>
              </w:rPr>
              <w:t>规</w:t>
            </w:r>
            <w:proofErr w:type="gramEnd"/>
            <w:r w:rsidRPr="0081560A">
              <w:rPr>
                <w:rFonts w:ascii="微软雅黑" w:eastAsia="微软雅黑" w:hAnsi="微软雅黑" w:cs="宋体" w:hint="eastAsia"/>
                <w:color w:val="333333"/>
                <w:kern w:val="0"/>
                <w:sz w:val="27"/>
                <w:szCs w:val="27"/>
              </w:rPr>
              <w:t>增量，服务业成为经济和社会发展的重要支撑和新的增长点。</w:t>
            </w:r>
          </w:p>
          <w:p w14:paraId="22A57E5A"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一、发展基础</w:t>
            </w:r>
          </w:p>
          <w:p w14:paraId="41ED04EF"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规模效益稳步提升。“十三五”全市服务业发展实现“量质齐升”，增加值由2015年的75.84亿元增加到2020年的102.1亿元，年均增长4.5%，累计实现社会消费品零售总额471.2亿元，年均增长6%；</w:t>
            </w:r>
            <w:proofErr w:type="gramStart"/>
            <w:r w:rsidRPr="0081560A">
              <w:rPr>
                <w:rFonts w:ascii="微软雅黑" w:eastAsia="微软雅黑" w:hAnsi="微软雅黑" w:cs="宋体" w:hint="eastAsia"/>
                <w:color w:val="333333"/>
                <w:kern w:val="0"/>
                <w:sz w:val="27"/>
                <w:szCs w:val="27"/>
              </w:rPr>
              <w:t>规</w:t>
            </w:r>
            <w:proofErr w:type="gramEnd"/>
            <w:r w:rsidRPr="0081560A">
              <w:rPr>
                <w:rFonts w:ascii="微软雅黑" w:eastAsia="微软雅黑" w:hAnsi="微软雅黑" w:cs="宋体" w:hint="eastAsia"/>
                <w:color w:val="333333"/>
                <w:kern w:val="0"/>
                <w:sz w:val="27"/>
                <w:szCs w:val="27"/>
              </w:rPr>
              <w:t>上服务业企业实现营业收入30.58亿元；三次产业投资比重为13.3∶42∶44.7；服务业从业人员占全社会从业人员比重达到43%；服务业对全市经济增长的贡献率为13%；服务业在经济社会发展和生态建设中的作用日益突出，成为推动转型发展的重要引擎。</w:t>
            </w:r>
          </w:p>
          <w:p w14:paraId="3CE30E2E"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生产性服务业亮点频现。现代物流、电子商务、金融服务发展持续提速，金昌铁路综合性货场建成投用，全市各类商贸流通企业达到130家，货运车辆总量2873辆，货运总量达到2231.6万吨，货邮吞吐量达到448.6吨。永昌县被列为国家电子商务进农村综合示范县，建成县级电商服务中心2个、乡级服务站12个、村级服务点89个、社区服务点4个，县、乡、村服务中心、服务站、服务点覆盖率分别</w:t>
            </w:r>
            <w:r w:rsidRPr="0081560A">
              <w:rPr>
                <w:rFonts w:ascii="微软雅黑" w:eastAsia="微软雅黑" w:hAnsi="微软雅黑" w:cs="宋体" w:hint="eastAsia"/>
                <w:color w:val="333333"/>
                <w:kern w:val="0"/>
                <w:sz w:val="27"/>
                <w:szCs w:val="27"/>
              </w:rPr>
              <w:lastRenderedPageBreak/>
              <w:t>达到100%、100%、64%。</w:t>
            </w:r>
            <w:proofErr w:type="gramStart"/>
            <w:r w:rsidRPr="0081560A">
              <w:rPr>
                <w:rFonts w:ascii="微软雅黑" w:eastAsia="微软雅黑" w:hAnsi="微软雅黑" w:cs="宋体" w:hint="eastAsia"/>
                <w:color w:val="333333"/>
                <w:kern w:val="0"/>
                <w:sz w:val="27"/>
                <w:szCs w:val="27"/>
              </w:rPr>
              <w:t>市首贷中心</w:t>
            </w:r>
            <w:proofErr w:type="gramEnd"/>
            <w:r w:rsidRPr="0081560A">
              <w:rPr>
                <w:rFonts w:ascii="微软雅黑" w:eastAsia="微软雅黑" w:hAnsi="微软雅黑" w:cs="宋体" w:hint="eastAsia"/>
                <w:color w:val="333333"/>
                <w:kern w:val="0"/>
                <w:sz w:val="27"/>
                <w:szCs w:val="27"/>
              </w:rPr>
              <w:t>、省农业信贷担保金昌运营中心、黄河财险金昌分公司挂牌成立，</w:t>
            </w:r>
            <w:proofErr w:type="gramStart"/>
            <w:r w:rsidRPr="0081560A">
              <w:rPr>
                <w:rFonts w:ascii="微软雅黑" w:eastAsia="微软雅黑" w:hAnsi="微软雅黑" w:cs="宋体" w:hint="eastAsia"/>
                <w:color w:val="333333"/>
                <w:kern w:val="0"/>
                <w:sz w:val="27"/>
                <w:szCs w:val="27"/>
              </w:rPr>
              <w:t>甘肃首单</w:t>
            </w:r>
            <w:proofErr w:type="gramEnd"/>
            <w:r w:rsidRPr="0081560A">
              <w:rPr>
                <w:rFonts w:ascii="微软雅黑" w:eastAsia="微软雅黑" w:hAnsi="微软雅黑" w:cs="宋体" w:hint="eastAsia"/>
                <w:color w:val="333333"/>
                <w:kern w:val="0"/>
                <w:sz w:val="27"/>
                <w:szCs w:val="27"/>
              </w:rPr>
              <w:t>中征应收账款融资服务平台在线供应链融资业务成功落地。</w:t>
            </w:r>
          </w:p>
          <w:p w14:paraId="6DA3CDE1"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生活性服务业稳步壮大。文化旅游产业多方位深度融合，建成“紫金花城·神秘</w:t>
            </w:r>
            <w:proofErr w:type="gramStart"/>
            <w:r w:rsidRPr="0081560A">
              <w:rPr>
                <w:rFonts w:ascii="微软雅黑" w:eastAsia="微软雅黑" w:hAnsi="微软雅黑" w:cs="宋体" w:hint="eastAsia"/>
                <w:color w:val="333333"/>
                <w:kern w:val="0"/>
                <w:sz w:val="27"/>
                <w:szCs w:val="27"/>
              </w:rPr>
              <w:t>骊</w:t>
            </w:r>
            <w:proofErr w:type="gramEnd"/>
            <w:r w:rsidRPr="0081560A">
              <w:rPr>
                <w:rFonts w:ascii="微软雅黑" w:eastAsia="微软雅黑" w:hAnsi="微软雅黑" w:cs="宋体" w:hint="eastAsia"/>
                <w:color w:val="333333"/>
                <w:kern w:val="0"/>
                <w:sz w:val="27"/>
                <w:szCs w:val="27"/>
              </w:rPr>
              <w:t>靬”大景区，创建4A级景区3个、省级乡村旅游示范村8个，金川区创建为省级全域旅游示范区，赛事会展、户外运动和科普研学成为旅游新热点。多层次医疗保障制度基本建立，市中心医院成功创建三级甲等综合医院，远程医学信息平台覆盖县乡，千人拥有床位7.66张，较全国高1.2张。健康养老等产业快速发展，金昌</w:t>
            </w:r>
            <w:proofErr w:type="gramStart"/>
            <w:r w:rsidRPr="0081560A">
              <w:rPr>
                <w:rFonts w:ascii="微软雅黑" w:eastAsia="微软雅黑" w:hAnsi="微软雅黑" w:cs="宋体" w:hint="eastAsia"/>
                <w:color w:val="333333"/>
                <w:kern w:val="0"/>
                <w:sz w:val="27"/>
                <w:szCs w:val="27"/>
              </w:rPr>
              <w:t>八冶康颐养</w:t>
            </w:r>
            <w:proofErr w:type="gramEnd"/>
            <w:r w:rsidRPr="0081560A">
              <w:rPr>
                <w:rFonts w:ascii="微软雅黑" w:eastAsia="微软雅黑" w:hAnsi="微软雅黑" w:cs="宋体" w:hint="eastAsia"/>
                <w:color w:val="333333"/>
                <w:kern w:val="0"/>
                <w:sz w:val="27"/>
                <w:szCs w:val="27"/>
              </w:rPr>
              <w:t>老服务中心、金昌市社会福利院养老服务二期项目投用，企业养老保险实现省级统筹，全国第四批居家和社区养老服务改革试点工作扎实推进，多层次、社会化养老服务体系基本建立。</w:t>
            </w:r>
          </w:p>
          <w:p w14:paraId="401E2268"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创新开放逐步加快。新</w:t>
            </w:r>
            <w:proofErr w:type="gramStart"/>
            <w:r w:rsidRPr="0081560A">
              <w:rPr>
                <w:rFonts w:ascii="微软雅黑" w:eastAsia="微软雅黑" w:hAnsi="微软雅黑" w:cs="宋体" w:hint="eastAsia"/>
                <w:color w:val="333333"/>
                <w:kern w:val="0"/>
                <w:sz w:val="27"/>
                <w:szCs w:val="27"/>
              </w:rPr>
              <w:t>业态新模式</w:t>
            </w:r>
            <w:proofErr w:type="gramEnd"/>
            <w:r w:rsidRPr="0081560A">
              <w:rPr>
                <w:rFonts w:ascii="微软雅黑" w:eastAsia="微软雅黑" w:hAnsi="微软雅黑" w:cs="宋体" w:hint="eastAsia"/>
                <w:color w:val="333333"/>
                <w:kern w:val="0"/>
                <w:sz w:val="27"/>
                <w:szCs w:val="27"/>
              </w:rPr>
              <w:t>逐步兴起，数字经济与实体经济加快融合，生产性服务业平台集聚、协同发展，数字经济从无到有、从有到大。金昌紫金云大数据中心一期2543个机柜建成，金川云大数据中心揭牌运行，金川集团“5G+矿运卡车”、“5G+”智能样板车间建成投用，金川集团被列为国家级信息化和工业化深度融合示范企业。阿</w:t>
            </w:r>
            <w:proofErr w:type="gramStart"/>
            <w:r w:rsidRPr="0081560A">
              <w:rPr>
                <w:rFonts w:ascii="微软雅黑" w:eastAsia="微软雅黑" w:hAnsi="微软雅黑" w:cs="宋体" w:hint="eastAsia"/>
                <w:color w:val="333333"/>
                <w:kern w:val="0"/>
                <w:sz w:val="27"/>
                <w:szCs w:val="27"/>
              </w:rPr>
              <w:t>帕网络</w:t>
            </w:r>
            <w:proofErr w:type="gramEnd"/>
            <w:r w:rsidRPr="0081560A">
              <w:rPr>
                <w:rFonts w:ascii="微软雅黑" w:eastAsia="微软雅黑" w:hAnsi="微软雅黑" w:cs="宋体" w:hint="eastAsia"/>
                <w:color w:val="333333"/>
                <w:kern w:val="0"/>
                <w:sz w:val="27"/>
                <w:szCs w:val="27"/>
              </w:rPr>
              <w:t>货运平台等新业态异军突起，网络货运数字产业园初具规模，成立物流信息互通共享技术及应用国家工程实验室，举办2020全国物流诚信创新大会</w:t>
            </w:r>
            <w:proofErr w:type="gramStart"/>
            <w:r w:rsidRPr="0081560A">
              <w:rPr>
                <w:rFonts w:ascii="微软雅黑" w:eastAsia="微软雅黑" w:hAnsi="微软雅黑" w:cs="宋体" w:hint="eastAsia"/>
                <w:color w:val="333333"/>
                <w:kern w:val="0"/>
                <w:sz w:val="27"/>
                <w:szCs w:val="27"/>
              </w:rPr>
              <w:t>暨网</w:t>
            </w:r>
            <w:proofErr w:type="gramEnd"/>
            <w:r w:rsidRPr="0081560A">
              <w:rPr>
                <w:rFonts w:ascii="微软雅黑" w:eastAsia="微软雅黑" w:hAnsi="微软雅黑" w:cs="宋体" w:hint="eastAsia"/>
                <w:color w:val="333333"/>
                <w:kern w:val="0"/>
                <w:sz w:val="27"/>
                <w:szCs w:val="27"/>
              </w:rPr>
              <w:t>络货运平台信用能力建设高峰论坛，引入山东阿帕网络科技公司，形成互联网+货运创新模式，入驻物流企业64家，打造西部首家网络货运数字产业园。开放水平不断提</w:t>
            </w:r>
            <w:r w:rsidRPr="0081560A">
              <w:rPr>
                <w:rFonts w:ascii="微软雅黑" w:eastAsia="微软雅黑" w:hAnsi="微软雅黑" w:cs="宋体" w:hint="eastAsia"/>
                <w:color w:val="333333"/>
                <w:kern w:val="0"/>
                <w:sz w:val="27"/>
                <w:szCs w:val="27"/>
              </w:rPr>
              <w:lastRenderedPageBreak/>
              <w:t>升，累计实现进出口贸易总额569.91亿元，年均增长14.1%，入围中国外贸百强市。</w:t>
            </w:r>
          </w:p>
          <w:p w14:paraId="5F1AB863"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政策机制日臻完善。多</w:t>
            </w:r>
            <w:proofErr w:type="gramStart"/>
            <w:r w:rsidRPr="0081560A">
              <w:rPr>
                <w:rFonts w:ascii="微软雅黑" w:eastAsia="微软雅黑" w:hAnsi="微软雅黑" w:cs="宋体" w:hint="eastAsia"/>
                <w:color w:val="333333"/>
                <w:kern w:val="0"/>
                <w:sz w:val="27"/>
                <w:szCs w:val="27"/>
              </w:rPr>
              <w:t>措</w:t>
            </w:r>
            <w:proofErr w:type="gramEnd"/>
            <w:r w:rsidRPr="0081560A">
              <w:rPr>
                <w:rFonts w:ascii="微软雅黑" w:eastAsia="微软雅黑" w:hAnsi="微软雅黑" w:cs="宋体" w:hint="eastAsia"/>
                <w:color w:val="333333"/>
                <w:kern w:val="0"/>
                <w:sz w:val="27"/>
                <w:szCs w:val="27"/>
              </w:rPr>
              <w:t>并举推进体制改革，服务业发展政策环境加快完善，出台《金昌市加快服务业发展实施意见》《关于进一步促进旅游业加快发展的实施意见》《关于进一步加快现代商贸物流业发展的实施意见》《关于促进健康服务业发展的实施意见》《关于加快发展养老服务业的实施意见》《金昌市落实甘肃省通道物流产业发展专项行动计划》等一系列政策措施。</w:t>
            </w:r>
          </w:p>
          <w:p w14:paraId="1F20882E"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同时也必须看到，全市服务业发展仍然存在一些深层次的问题亟待解决。整体上产业层次不高，传统服务业比重较大，产业链不长、水平不高，产业布局分散，尚未形成完整的供应链、价值链；新业态发展空间不足，支撑能力仍显薄弱；民营服务业经济形态发展相对缓慢，与大企业、大集团融合发展的创新路径亟待开拓，服务业城乡一体融合发展仍有短板和瓶颈。</w:t>
            </w:r>
          </w:p>
          <w:p w14:paraId="3E151ADD"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二、发展环境</w:t>
            </w:r>
          </w:p>
          <w:p w14:paraId="4AB45512"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十四五”期间，外部形势错综复杂，不稳定性不确定性继续增加，全市总体处在多重发展机遇的叠加期、深化改革开放的攻坚期、弥补基础短板的突破期、经济转型升级的关键期、缩小发展差距的窗口期，全市服务业发展机遇和挑战都有新的变化。</w:t>
            </w:r>
          </w:p>
          <w:p w14:paraId="033063A4" w14:textId="77777777" w:rsidR="0081560A" w:rsidRPr="0081560A" w:rsidRDefault="0081560A" w:rsidP="0081560A">
            <w:pPr>
              <w:widowControl/>
              <w:spacing w:line="450" w:lineRule="atLeast"/>
              <w:ind w:firstLine="480"/>
              <w:jc w:val="left"/>
              <w:outlineLvl w:val="2"/>
              <w:rPr>
                <w:rFonts w:ascii="微软雅黑" w:eastAsia="微软雅黑" w:hAnsi="微软雅黑" w:cs="宋体"/>
                <w:b/>
                <w:bCs/>
                <w:color w:val="333333"/>
                <w:kern w:val="0"/>
                <w:sz w:val="24"/>
                <w:szCs w:val="24"/>
              </w:rPr>
            </w:pPr>
            <w:r w:rsidRPr="0081560A">
              <w:rPr>
                <w:rFonts w:ascii="微软雅黑" w:eastAsia="微软雅黑" w:hAnsi="微软雅黑" w:cs="宋体" w:hint="eastAsia"/>
                <w:b/>
                <w:bCs/>
                <w:color w:val="333333"/>
                <w:kern w:val="0"/>
                <w:sz w:val="24"/>
                <w:szCs w:val="24"/>
              </w:rPr>
              <w:t>（一）发展机遇</w:t>
            </w:r>
          </w:p>
          <w:p w14:paraId="726B44B8"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从国家层面看，发展战略与新消费引领，注入服务业发展新活力。我国经济已进入高质量发展阶段，围绕基本实现现代化的宏伟蓝</w:t>
            </w:r>
            <w:r w:rsidRPr="0081560A">
              <w:rPr>
                <w:rFonts w:ascii="微软雅黑" w:eastAsia="微软雅黑" w:hAnsi="微软雅黑" w:cs="宋体" w:hint="eastAsia"/>
                <w:color w:val="333333"/>
                <w:kern w:val="0"/>
                <w:sz w:val="27"/>
                <w:szCs w:val="27"/>
              </w:rPr>
              <w:lastRenderedPageBreak/>
              <w:t>图，全面实施“一带一路”建设、新时代西部大开发、“双循环”新发展格局、黄河流域生态保护和高质量发展，乡村振兴和扩大内需战略等重大战略部署和推进“两新一重”建设等一系列重大举措，将是国内开放开发的重中之重。同时，我国消费结构正在从生存型消费加快向发展型、享受型消费转变，精准消费、精致消费渐成主流，增加生活性服务业有效供给，更好满足全市人民对美好生活的新期待，迫切需要加快发展健康、养老、育幼、文化、旅游等服务产业，特别是国家提出推进消费帮扶提档升级，使生产性服务业和生活性服务业向乡村拓展，消费下沉、进村入户，成为服务业整体扩容升级的新趋向。有利于充分抓住国家战略带来的机遇，推动金昌市打造平台集聚发展的现代服务业体系。</w:t>
            </w:r>
          </w:p>
          <w:p w14:paraId="18384541"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从省级层面看，政策导向和重点基础设施建设扩容，为服务业发展带来新契机。全省打造“一带一路”五个制高点、构建优势产业集群、实施“点极带”突破行动、建设绿色综合能源化工产业基地、加快建设数字甘肃、布局“加快河西走廊经济圈建设，打造河西走廊清洁能源基地”等一系列政策红利同时叠加释放，有利于金昌市扩大内需战略基点、打通流通体系和生产环节的淤点、堵点，畅通经济循环；也有利于依托金川集团、金昌国家级经济开发区，深度参与国家产业</w:t>
            </w:r>
            <w:proofErr w:type="gramStart"/>
            <w:r w:rsidRPr="0081560A">
              <w:rPr>
                <w:rFonts w:ascii="微软雅黑" w:eastAsia="微软雅黑" w:hAnsi="微软雅黑" w:cs="宋体" w:hint="eastAsia"/>
                <w:color w:val="333333"/>
                <w:kern w:val="0"/>
                <w:sz w:val="27"/>
                <w:szCs w:val="27"/>
              </w:rPr>
              <w:t>链供应</w:t>
            </w:r>
            <w:proofErr w:type="gramEnd"/>
            <w:r w:rsidRPr="0081560A">
              <w:rPr>
                <w:rFonts w:ascii="微软雅黑" w:eastAsia="微软雅黑" w:hAnsi="微软雅黑" w:cs="宋体" w:hint="eastAsia"/>
                <w:color w:val="333333"/>
                <w:kern w:val="0"/>
                <w:sz w:val="27"/>
                <w:szCs w:val="27"/>
              </w:rPr>
              <w:t>链布局、积极融入国内大市场，构筑重要的产业支撑点和国内国际双循环的重要链接点，集聚后发优势。</w:t>
            </w:r>
          </w:p>
          <w:p w14:paraId="41C58323"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从市级层面看，“十四五”发展主题和思路明确服务业发展新方向。全面转型高质量发展，深化“两区两城两融合”，高质量发展的</w:t>
            </w:r>
            <w:r w:rsidRPr="0081560A">
              <w:rPr>
                <w:rFonts w:ascii="微软雅黑" w:eastAsia="微软雅黑" w:hAnsi="微软雅黑" w:cs="宋体" w:hint="eastAsia"/>
                <w:color w:val="333333"/>
                <w:kern w:val="0"/>
                <w:sz w:val="27"/>
                <w:szCs w:val="27"/>
              </w:rPr>
              <w:lastRenderedPageBreak/>
              <w:t>方向和重点更加明确。镍铜</w:t>
            </w:r>
            <w:proofErr w:type="gramStart"/>
            <w:r w:rsidRPr="0081560A">
              <w:rPr>
                <w:rFonts w:ascii="微软雅黑" w:eastAsia="微软雅黑" w:hAnsi="微软雅黑" w:cs="宋体" w:hint="eastAsia"/>
                <w:color w:val="333333"/>
                <w:kern w:val="0"/>
                <w:sz w:val="27"/>
                <w:szCs w:val="27"/>
              </w:rPr>
              <w:t>钴</w:t>
            </w:r>
            <w:proofErr w:type="gramEnd"/>
            <w:r w:rsidRPr="0081560A">
              <w:rPr>
                <w:rFonts w:ascii="微软雅黑" w:eastAsia="微软雅黑" w:hAnsi="微软雅黑" w:cs="宋体" w:hint="eastAsia"/>
                <w:color w:val="333333"/>
                <w:kern w:val="0"/>
                <w:sz w:val="27"/>
                <w:szCs w:val="27"/>
              </w:rPr>
              <w:t>有色金属、“三酸两碱”、新能源等资源优势明显，有色金属新材料、新能源、数字经济、化工循环、资源综合利用、</w:t>
            </w:r>
            <w:proofErr w:type="gramStart"/>
            <w:r w:rsidRPr="0081560A">
              <w:rPr>
                <w:rFonts w:ascii="微软雅黑" w:eastAsia="微软雅黑" w:hAnsi="微软雅黑" w:cs="宋体" w:hint="eastAsia"/>
                <w:color w:val="333333"/>
                <w:kern w:val="0"/>
                <w:sz w:val="27"/>
                <w:szCs w:val="27"/>
              </w:rPr>
              <w:t>高品质菜草</w:t>
            </w:r>
            <w:proofErr w:type="gramEnd"/>
            <w:r w:rsidRPr="0081560A">
              <w:rPr>
                <w:rFonts w:ascii="微软雅黑" w:eastAsia="微软雅黑" w:hAnsi="微软雅黑" w:cs="宋体" w:hint="eastAsia"/>
                <w:color w:val="333333"/>
                <w:kern w:val="0"/>
                <w:sz w:val="27"/>
                <w:szCs w:val="27"/>
              </w:rPr>
              <w:t>畜等重点产业链集聚发展步伐加快。这些都为金昌市服务业深化供给侧战略性结构调整，催生传统服务业新业态，实现发展动能集聚，促进服务业质量变革、效率变革和动力变革提供了新的机遇。</w:t>
            </w:r>
          </w:p>
          <w:p w14:paraId="5144BC37" w14:textId="77777777" w:rsidR="0081560A" w:rsidRPr="0081560A" w:rsidRDefault="0081560A" w:rsidP="0081560A">
            <w:pPr>
              <w:widowControl/>
              <w:spacing w:line="450" w:lineRule="atLeast"/>
              <w:ind w:firstLine="480"/>
              <w:jc w:val="left"/>
              <w:outlineLvl w:val="2"/>
              <w:rPr>
                <w:rFonts w:ascii="微软雅黑" w:eastAsia="微软雅黑" w:hAnsi="微软雅黑" w:cs="宋体"/>
                <w:b/>
                <w:bCs/>
                <w:color w:val="333333"/>
                <w:kern w:val="0"/>
                <w:sz w:val="24"/>
                <w:szCs w:val="24"/>
              </w:rPr>
            </w:pPr>
            <w:r w:rsidRPr="0081560A">
              <w:rPr>
                <w:rFonts w:ascii="微软雅黑" w:eastAsia="微软雅黑" w:hAnsi="微软雅黑" w:cs="宋体" w:hint="eastAsia"/>
                <w:b/>
                <w:bCs/>
                <w:color w:val="333333"/>
                <w:kern w:val="0"/>
                <w:sz w:val="24"/>
                <w:szCs w:val="24"/>
              </w:rPr>
              <w:t>（二）面临挑战</w:t>
            </w:r>
          </w:p>
          <w:p w14:paraId="54F57667"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从外部看，一方面，当今世界正经历百年未有之大变局，国际环境日趋复杂，全球化逆转与国际分工重组，市场供需双侧受挤压，不确定不稳定性明显增加，后疫情时代产业</w:t>
            </w:r>
            <w:proofErr w:type="gramStart"/>
            <w:r w:rsidRPr="0081560A">
              <w:rPr>
                <w:rFonts w:ascii="微软雅黑" w:eastAsia="微软雅黑" w:hAnsi="微软雅黑" w:cs="宋体" w:hint="eastAsia"/>
                <w:color w:val="333333"/>
                <w:kern w:val="0"/>
                <w:sz w:val="27"/>
                <w:szCs w:val="27"/>
              </w:rPr>
              <w:t>链供应链正</w:t>
            </w:r>
            <w:proofErr w:type="gramEnd"/>
            <w:r w:rsidRPr="0081560A">
              <w:rPr>
                <w:rFonts w:ascii="微软雅黑" w:eastAsia="微软雅黑" w:hAnsi="微软雅黑" w:cs="宋体" w:hint="eastAsia"/>
                <w:color w:val="333333"/>
                <w:kern w:val="0"/>
                <w:sz w:val="27"/>
                <w:szCs w:val="27"/>
              </w:rPr>
              <w:t>面临重新构建。另一方面，兰西城市群、呼和浩特城市群等区域合作发展带来新竞争，由交通便捷和信息技术进步引起的服务消费替代作用日益明显，</w:t>
            </w:r>
            <w:proofErr w:type="gramStart"/>
            <w:r w:rsidRPr="0081560A">
              <w:rPr>
                <w:rFonts w:ascii="微软雅黑" w:eastAsia="微软雅黑" w:hAnsi="微软雅黑" w:cs="宋体" w:hint="eastAsia"/>
                <w:color w:val="333333"/>
                <w:kern w:val="0"/>
                <w:sz w:val="27"/>
                <w:szCs w:val="27"/>
              </w:rPr>
              <w:t>相邻市</w:t>
            </w:r>
            <w:proofErr w:type="gramEnd"/>
            <w:r w:rsidRPr="0081560A">
              <w:rPr>
                <w:rFonts w:ascii="微软雅黑" w:eastAsia="微软雅黑" w:hAnsi="微软雅黑" w:cs="宋体" w:hint="eastAsia"/>
                <w:color w:val="333333"/>
                <w:kern w:val="0"/>
                <w:sz w:val="27"/>
                <w:szCs w:val="27"/>
              </w:rPr>
              <w:t>在服务产业发展上同质化现象明显，周边城市对金昌市服务消费需求的争夺将日趋激烈。</w:t>
            </w:r>
          </w:p>
          <w:p w14:paraId="67CC20E3"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从内部看，一方面，全市产业转型升级任务艰巨，产业整体处于价值链中低端，高端化、专业化的现代物流、现代金融、科技服务、电子商务等生产性服务业发展明显滞后，现代服务业与先进制造业、现代农业融合度不高；另一方面，高品质、多样化的现代商贸、休闲旅游、健康养老等生活性服务业供给不足，服务供给体系质量亟待提升。</w:t>
            </w:r>
          </w:p>
          <w:p w14:paraId="1D168BA5"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综合分析，“十四五”时期，全市服务业的发展，机遇和挑战并存，机遇大于挑战。只要抓住用好重大历史机遇，增强使命意识、机</w:t>
            </w:r>
            <w:r w:rsidRPr="0081560A">
              <w:rPr>
                <w:rFonts w:ascii="微软雅黑" w:eastAsia="微软雅黑" w:hAnsi="微软雅黑" w:cs="宋体" w:hint="eastAsia"/>
                <w:color w:val="333333"/>
                <w:kern w:val="0"/>
                <w:sz w:val="27"/>
                <w:szCs w:val="27"/>
              </w:rPr>
              <w:lastRenderedPageBreak/>
              <w:t>遇意识、忧患意识和对标意识，强化底线思维，就一定有效地应对各种风险和挑战，实现服务业的全面转型高质量发展。</w:t>
            </w:r>
          </w:p>
          <w:p w14:paraId="04F7F0FE" w14:textId="77777777" w:rsidR="0081560A" w:rsidRPr="0081560A" w:rsidRDefault="0081560A" w:rsidP="0081560A">
            <w:pPr>
              <w:widowControl/>
              <w:spacing w:line="450" w:lineRule="atLeast"/>
              <w:ind w:firstLine="480"/>
              <w:jc w:val="left"/>
              <w:outlineLvl w:val="0"/>
              <w:rPr>
                <w:rFonts w:ascii="Times New Roman" w:eastAsia="微软雅黑" w:hAnsi="Times New Roman" w:cs="Times New Roman"/>
                <w:b/>
                <w:bCs/>
                <w:color w:val="333333"/>
                <w:kern w:val="36"/>
                <w:sz w:val="44"/>
                <w:szCs w:val="44"/>
              </w:rPr>
            </w:pPr>
            <w:r w:rsidRPr="0081560A">
              <w:rPr>
                <w:rFonts w:ascii="Times New Roman" w:eastAsia="微软雅黑" w:hAnsi="Times New Roman" w:cs="Times New Roman"/>
                <w:b/>
                <w:bCs/>
                <w:color w:val="333333"/>
                <w:kern w:val="36"/>
                <w:sz w:val="27"/>
                <w:szCs w:val="27"/>
              </w:rPr>
              <w:t>第二章</w:t>
            </w:r>
            <w:r w:rsidRPr="0081560A">
              <w:rPr>
                <w:rFonts w:ascii="Times New Roman" w:eastAsia="微软雅黑" w:hAnsi="Times New Roman" w:cs="Times New Roman"/>
                <w:b/>
                <w:bCs/>
                <w:color w:val="333333"/>
                <w:kern w:val="36"/>
                <w:sz w:val="27"/>
                <w:szCs w:val="27"/>
              </w:rPr>
              <w:t>  </w:t>
            </w:r>
            <w:r w:rsidRPr="0081560A">
              <w:rPr>
                <w:rFonts w:ascii="Times New Roman" w:eastAsia="微软雅黑" w:hAnsi="Times New Roman" w:cs="Times New Roman"/>
                <w:b/>
                <w:bCs/>
                <w:color w:val="333333"/>
                <w:kern w:val="36"/>
                <w:sz w:val="27"/>
                <w:szCs w:val="27"/>
              </w:rPr>
              <w:t>总体要求</w:t>
            </w:r>
          </w:p>
          <w:p w14:paraId="36E4EEA8"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一、指导思想</w:t>
            </w:r>
          </w:p>
          <w:p w14:paraId="07A46738"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坚持以习近平新时代中国特色社会主义思想为指导，全面贯彻党的十九大和十九届二中、三中、四中、五中、六中全会精神，</w:t>
            </w:r>
            <w:proofErr w:type="gramStart"/>
            <w:r w:rsidRPr="0081560A">
              <w:rPr>
                <w:rFonts w:ascii="微软雅黑" w:eastAsia="微软雅黑" w:hAnsi="微软雅黑" w:cs="宋体" w:hint="eastAsia"/>
                <w:color w:val="333333"/>
                <w:kern w:val="0"/>
                <w:sz w:val="27"/>
                <w:szCs w:val="27"/>
              </w:rPr>
              <w:t>深入落实习近</w:t>
            </w:r>
            <w:proofErr w:type="gramEnd"/>
            <w:r w:rsidRPr="0081560A">
              <w:rPr>
                <w:rFonts w:ascii="微软雅黑" w:eastAsia="微软雅黑" w:hAnsi="微软雅黑" w:cs="宋体" w:hint="eastAsia"/>
                <w:color w:val="333333"/>
                <w:kern w:val="0"/>
                <w:sz w:val="27"/>
                <w:szCs w:val="27"/>
              </w:rPr>
              <w:t>平总书记对甘肃重要讲话和指示精神，按照“三新一高”要求，统筹推进“五位一体”总体布局，协调推进“四个全面”战略布局，坚持以资源型城市全面转型高质量发展为主题，以“2+4”产业链培育提升为抓手，以镍铜钴新材料新能源产业创新集聚区、</w:t>
            </w:r>
            <w:proofErr w:type="gramStart"/>
            <w:r w:rsidRPr="0081560A">
              <w:rPr>
                <w:rFonts w:ascii="微软雅黑" w:eastAsia="微软雅黑" w:hAnsi="微软雅黑" w:cs="宋体" w:hint="eastAsia"/>
                <w:color w:val="333333"/>
                <w:kern w:val="0"/>
                <w:sz w:val="27"/>
                <w:szCs w:val="27"/>
              </w:rPr>
              <w:t>菜草</w:t>
            </w:r>
            <w:proofErr w:type="gramEnd"/>
            <w:r w:rsidRPr="0081560A">
              <w:rPr>
                <w:rFonts w:ascii="微软雅黑" w:eastAsia="微软雅黑" w:hAnsi="微软雅黑" w:cs="宋体" w:hint="eastAsia"/>
                <w:color w:val="333333"/>
                <w:kern w:val="0"/>
                <w:sz w:val="27"/>
                <w:szCs w:val="27"/>
              </w:rPr>
              <w:t>畜高品质现代特色农业示范区为服务对象，以建设产业集聚、幸福美好、文明精致、生态宜居、治理高效的现代化新金昌为服务目标，全面推进生产性服务业供应链、产业链、价值链迈向中高端，生活性服务业向精准化、多元化、品质化升级，新型服务业向尖端化、前沿化、适用化演进，着力构建优质高效、布局优化、竞争有力的服务产业新体系，打造现代服务业创新发展基地。</w:t>
            </w:r>
          </w:p>
          <w:p w14:paraId="49188E0F"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二、基本原则</w:t>
            </w:r>
          </w:p>
          <w:p w14:paraId="4E0EB090"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坚持高质量发展统领。以创新为第一动力，依托科技创新不断增强服务业发展动能；以协调为内生特质，大力推进服务业供给侧结构性调整和转型升级；以绿色为发展常态，围绕</w:t>
            </w:r>
            <w:proofErr w:type="gramStart"/>
            <w:r w:rsidRPr="0081560A">
              <w:rPr>
                <w:rFonts w:ascii="微软雅黑" w:eastAsia="微软雅黑" w:hAnsi="微软雅黑" w:cs="宋体" w:hint="eastAsia"/>
                <w:color w:val="333333"/>
                <w:kern w:val="0"/>
                <w:sz w:val="27"/>
                <w:szCs w:val="27"/>
              </w:rPr>
              <w:t>碳达峰碳</w:t>
            </w:r>
            <w:proofErr w:type="gramEnd"/>
            <w:r w:rsidRPr="0081560A">
              <w:rPr>
                <w:rFonts w:ascii="微软雅黑" w:eastAsia="微软雅黑" w:hAnsi="微软雅黑" w:cs="宋体" w:hint="eastAsia"/>
                <w:color w:val="333333"/>
                <w:kern w:val="0"/>
                <w:sz w:val="27"/>
                <w:szCs w:val="27"/>
              </w:rPr>
              <w:t>中和战略部署加快服务业低碳转型；以开放为必由之路，在新发展格局中积极寻求</w:t>
            </w:r>
            <w:r w:rsidRPr="0081560A">
              <w:rPr>
                <w:rFonts w:ascii="微软雅黑" w:eastAsia="微软雅黑" w:hAnsi="微软雅黑" w:cs="宋体" w:hint="eastAsia"/>
                <w:color w:val="333333"/>
                <w:kern w:val="0"/>
                <w:sz w:val="27"/>
                <w:szCs w:val="27"/>
              </w:rPr>
              <w:lastRenderedPageBreak/>
              <w:t>新的突破口和衔接点；以共享为根本目的，对接人民群众消费升级提供精准化、多样化、个性化服务，提高劳动人口就业率。</w:t>
            </w:r>
          </w:p>
          <w:p w14:paraId="2498595C"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坚持问题导向为先。立足金昌市情，聚焦服务业各领域关键环节，深入分析服务业发展的痛点、堵点和难点，</w:t>
            </w:r>
            <w:proofErr w:type="gramStart"/>
            <w:r w:rsidRPr="0081560A">
              <w:rPr>
                <w:rFonts w:ascii="微软雅黑" w:eastAsia="微软雅黑" w:hAnsi="微软雅黑" w:cs="宋体" w:hint="eastAsia"/>
                <w:color w:val="333333"/>
                <w:kern w:val="0"/>
                <w:sz w:val="27"/>
                <w:szCs w:val="27"/>
              </w:rPr>
              <w:t>抓重抓</w:t>
            </w:r>
            <w:proofErr w:type="gramEnd"/>
            <w:r w:rsidRPr="0081560A">
              <w:rPr>
                <w:rFonts w:ascii="微软雅黑" w:eastAsia="微软雅黑" w:hAnsi="微软雅黑" w:cs="宋体" w:hint="eastAsia"/>
                <w:color w:val="333333"/>
                <w:kern w:val="0"/>
                <w:sz w:val="27"/>
                <w:szCs w:val="27"/>
              </w:rPr>
              <w:t>主，分类指导，力推质量变革、效率变革、效益变革，催生服务业新业态和消费新热点，加快形成需求引领投资、激励创新、推动转型、改善民生的良性循环机制和良好市场环境，确保服务业由有转优、由优变强，加快转型升级。</w:t>
            </w:r>
          </w:p>
          <w:p w14:paraId="03A8D81F"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坚持优存扩容并进。推进生产性服务业提质增效、生活性服务业优化升级，培育壮大现代服务业，提速扩容并举，壮大服务业发展增量，催生新业态，打造新引擎，引领服务业迈向产业中高端，形成对镍铜</w:t>
            </w:r>
            <w:proofErr w:type="gramStart"/>
            <w:r w:rsidRPr="0081560A">
              <w:rPr>
                <w:rFonts w:ascii="微软雅黑" w:eastAsia="微软雅黑" w:hAnsi="微软雅黑" w:cs="宋体" w:hint="eastAsia"/>
                <w:color w:val="333333"/>
                <w:kern w:val="0"/>
                <w:sz w:val="27"/>
                <w:szCs w:val="27"/>
              </w:rPr>
              <w:t>钴</w:t>
            </w:r>
            <w:proofErr w:type="gramEnd"/>
            <w:r w:rsidRPr="0081560A">
              <w:rPr>
                <w:rFonts w:ascii="微软雅黑" w:eastAsia="微软雅黑" w:hAnsi="微软雅黑" w:cs="宋体" w:hint="eastAsia"/>
                <w:color w:val="333333"/>
                <w:kern w:val="0"/>
                <w:sz w:val="27"/>
                <w:szCs w:val="27"/>
              </w:rPr>
              <w:t>新材料新能源产业创新集聚区</w:t>
            </w:r>
            <w:proofErr w:type="gramStart"/>
            <w:r w:rsidRPr="0081560A">
              <w:rPr>
                <w:rFonts w:ascii="微软雅黑" w:eastAsia="微软雅黑" w:hAnsi="微软雅黑" w:cs="宋体" w:hint="eastAsia"/>
                <w:color w:val="333333"/>
                <w:kern w:val="0"/>
                <w:sz w:val="27"/>
                <w:szCs w:val="27"/>
              </w:rPr>
              <w:t>和菜草</w:t>
            </w:r>
            <w:proofErr w:type="gramEnd"/>
            <w:r w:rsidRPr="0081560A">
              <w:rPr>
                <w:rFonts w:ascii="微软雅黑" w:eastAsia="微软雅黑" w:hAnsi="微软雅黑" w:cs="宋体" w:hint="eastAsia"/>
                <w:color w:val="333333"/>
                <w:kern w:val="0"/>
                <w:sz w:val="27"/>
                <w:szCs w:val="27"/>
              </w:rPr>
              <w:t>畜高品质现代特色农业示范区的强大配套服务能力，对精致城市、生态文明城市和乡村振兴、美丽乡村建设的全面精准服务能力，实现对产业发展存量的整体优化。 </w:t>
            </w:r>
          </w:p>
          <w:p w14:paraId="7F77CB7D"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坚持企业主体作用。充分发挥市场在配置资源中的决定性作用，强化引导民营企业、民营经济加快现代技术、商业模式和经营理念的创新与应用，增加新型优质服务产品和服务方式有效供给。发挥好政府产业引导和市场监管的作用，系统利用政策杠杆和调控机制，搭建平台，搭配力量，加大扶持，营造和谐、公平、宽容、有序的市场环境，实现市场、企业、政府间的良性耦合。</w:t>
            </w:r>
          </w:p>
          <w:p w14:paraId="31C67D63"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三、发展目标</w:t>
            </w:r>
          </w:p>
          <w:p w14:paraId="26C505EC"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lastRenderedPageBreak/>
              <w:t>顺应产业转型升级和居民消费升级需要，把服务业作为提升城市能级的重要载体，加速补齐短板，做大“经济蛋糕”，打造现代服务业创新发展基地。全市服务业增加值年均增长7%以上，社会消费品零售总额年均增长6.5%。</w:t>
            </w:r>
          </w:p>
          <w:p w14:paraId="6F810918"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质量效益不断提升。传统服务业结构调整取得明显成效，现代服务业提速扩容，对经济增长和社会进步的推动作用明显增强；数字经济、金融服务业、电子商务业、文化旅游业、养老托育服务业等取得突破，产业竞争力持续提高，形成不同类型的产业集群，培育一批市场竞争力强的企业集团和骨干企业，形成一批“金”字号的驰名商标和品牌。</w:t>
            </w:r>
          </w:p>
          <w:p w14:paraId="4446E02B"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融合发展全面深化。依托城乡融合、市企融合，推动服务业与现代制造业、现代农业在更高水平上实现有机融合，提供更为优质便捷的服务，成为全市“八大发展体系”和“六大产业链”高质量发展的重要支撑，实现大商贸、大物流、大枢纽、大流通。</w:t>
            </w:r>
          </w:p>
          <w:p w14:paraId="6E12B499"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服务空间集聚优化。打造形成金川、永（昌）河（西堡）两大服务业集聚区，</w:t>
            </w:r>
            <w:proofErr w:type="gramStart"/>
            <w:r w:rsidRPr="0081560A">
              <w:rPr>
                <w:rFonts w:ascii="微软雅黑" w:eastAsia="微软雅黑" w:hAnsi="微软雅黑" w:cs="宋体" w:hint="eastAsia"/>
                <w:color w:val="333333"/>
                <w:kern w:val="0"/>
                <w:sz w:val="27"/>
                <w:szCs w:val="27"/>
              </w:rPr>
              <w:t>构建连霍</w:t>
            </w:r>
            <w:proofErr w:type="gramEnd"/>
            <w:r w:rsidRPr="0081560A">
              <w:rPr>
                <w:rFonts w:ascii="微软雅黑" w:eastAsia="微软雅黑" w:hAnsi="微软雅黑" w:cs="宋体" w:hint="eastAsia"/>
                <w:color w:val="333333"/>
                <w:kern w:val="0"/>
                <w:sz w:val="27"/>
                <w:szCs w:val="27"/>
              </w:rPr>
              <w:t>服务业发展带、金永服务业发展带，形成以点带线、</w:t>
            </w:r>
            <w:proofErr w:type="gramStart"/>
            <w:r w:rsidRPr="0081560A">
              <w:rPr>
                <w:rFonts w:ascii="微软雅黑" w:eastAsia="微软雅黑" w:hAnsi="微软雅黑" w:cs="宋体" w:hint="eastAsia"/>
                <w:color w:val="333333"/>
                <w:kern w:val="0"/>
                <w:sz w:val="27"/>
                <w:szCs w:val="27"/>
              </w:rPr>
              <w:t>以线促面</w:t>
            </w:r>
            <w:proofErr w:type="gramEnd"/>
            <w:r w:rsidRPr="0081560A">
              <w:rPr>
                <w:rFonts w:ascii="微软雅黑" w:eastAsia="微软雅黑" w:hAnsi="微软雅黑" w:cs="宋体" w:hint="eastAsia"/>
                <w:color w:val="333333"/>
                <w:kern w:val="0"/>
                <w:sz w:val="27"/>
                <w:szCs w:val="27"/>
              </w:rPr>
              <w:t>的“两区、两带、多节点”服务业空间发展格局，服务业资源配置更加均衡、功能布局更加合理、城乡管理服务更加精准、产业创新集聚区和农业示范区服务机构更加完善。</w:t>
            </w:r>
          </w:p>
          <w:p w14:paraId="5EA74FC2"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金昌市“十四五”服务业发展主要指标</w:t>
            </w:r>
          </w:p>
          <w:tbl>
            <w:tblPr>
              <w:tblW w:w="8850" w:type="dxa"/>
              <w:tblInd w:w="105" w:type="dxa"/>
              <w:tblCellMar>
                <w:left w:w="0" w:type="dxa"/>
                <w:right w:w="0" w:type="dxa"/>
              </w:tblCellMar>
              <w:tblLook w:val="04A0" w:firstRow="1" w:lastRow="0" w:firstColumn="1" w:lastColumn="0" w:noHBand="0" w:noVBand="1"/>
            </w:tblPr>
            <w:tblGrid>
              <w:gridCol w:w="1395"/>
              <w:gridCol w:w="3645"/>
              <w:gridCol w:w="1155"/>
              <w:gridCol w:w="1215"/>
              <w:gridCol w:w="1440"/>
            </w:tblGrid>
            <w:tr w:rsidR="0081560A" w:rsidRPr="0081560A" w14:paraId="79207A97" w14:textId="77777777">
              <w:trPr>
                <w:trHeight w:val="450"/>
              </w:trPr>
              <w:tc>
                <w:tcPr>
                  <w:tcW w:w="1395" w:type="dxa"/>
                  <w:tcBorders>
                    <w:top w:val="single" w:sz="6" w:space="0" w:color="000000"/>
                    <w:left w:val="single" w:sz="6" w:space="0" w:color="000000"/>
                    <w:bottom w:val="single" w:sz="6" w:space="0" w:color="000000"/>
                    <w:right w:val="single" w:sz="6" w:space="0" w:color="000000"/>
                  </w:tcBorders>
                  <w:vAlign w:val="center"/>
                  <w:hideMark/>
                </w:tcPr>
                <w:p w14:paraId="53ABC12F"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类别</w:t>
                  </w:r>
                </w:p>
              </w:tc>
              <w:tc>
                <w:tcPr>
                  <w:tcW w:w="3645" w:type="dxa"/>
                  <w:tcBorders>
                    <w:top w:val="single" w:sz="6" w:space="0" w:color="CCCCCC"/>
                    <w:left w:val="nil"/>
                    <w:bottom w:val="single" w:sz="6" w:space="0" w:color="CCCCCC"/>
                    <w:right w:val="single" w:sz="6" w:space="0" w:color="CCCCCC"/>
                  </w:tcBorders>
                  <w:vAlign w:val="center"/>
                  <w:hideMark/>
                </w:tcPr>
                <w:p w14:paraId="7F1EFDA4"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指标</w:t>
                  </w:r>
                </w:p>
              </w:tc>
              <w:tc>
                <w:tcPr>
                  <w:tcW w:w="1155" w:type="dxa"/>
                  <w:tcBorders>
                    <w:top w:val="single" w:sz="6" w:space="0" w:color="CCCCCC"/>
                    <w:left w:val="nil"/>
                    <w:bottom w:val="single" w:sz="6" w:space="0" w:color="CCCCCC"/>
                    <w:right w:val="single" w:sz="6" w:space="0" w:color="CCCCCC"/>
                  </w:tcBorders>
                  <w:vAlign w:val="center"/>
                  <w:hideMark/>
                </w:tcPr>
                <w:p w14:paraId="62F5670D"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2020年</w:t>
                  </w:r>
                </w:p>
              </w:tc>
              <w:tc>
                <w:tcPr>
                  <w:tcW w:w="1215" w:type="dxa"/>
                  <w:tcBorders>
                    <w:top w:val="single" w:sz="6" w:space="0" w:color="CCCCCC"/>
                    <w:left w:val="nil"/>
                    <w:bottom w:val="single" w:sz="6" w:space="0" w:color="CCCCCC"/>
                    <w:right w:val="single" w:sz="6" w:space="0" w:color="CCCCCC"/>
                  </w:tcBorders>
                  <w:vAlign w:val="center"/>
                  <w:hideMark/>
                </w:tcPr>
                <w:p w14:paraId="7B7F3BE7"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2025年</w:t>
                  </w:r>
                </w:p>
              </w:tc>
              <w:tc>
                <w:tcPr>
                  <w:tcW w:w="1440" w:type="dxa"/>
                  <w:tcBorders>
                    <w:top w:val="single" w:sz="6" w:space="0" w:color="CCCCCC"/>
                    <w:left w:val="nil"/>
                    <w:bottom w:val="single" w:sz="6" w:space="0" w:color="CCCCCC"/>
                    <w:right w:val="single" w:sz="6" w:space="0" w:color="CCCCCC"/>
                  </w:tcBorders>
                  <w:vAlign w:val="center"/>
                  <w:hideMark/>
                </w:tcPr>
                <w:p w14:paraId="5B2A197B"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年均增长（%）</w:t>
                  </w:r>
                </w:p>
              </w:tc>
            </w:tr>
            <w:tr w:rsidR="0081560A" w:rsidRPr="0081560A" w14:paraId="46984547" w14:textId="77777777">
              <w:trPr>
                <w:trHeight w:val="510"/>
              </w:trPr>
              <w:tc>
                <w:tcPr>
                  <w:tcW w:w="1395" w:type="dxa"/>
                  <w:vMerge w:val="restart"/>
                  <w:tcBorders>
                    <w:top w:val="nil"/>
                    <w:left w:val="single" w:sz="6" w:space="0" w:color="000000"/>
                    <w:bottom w:val="single" w:sz="6" w:space="0" w:color="CCCCCC"/>
                    <w:right w:val="single" w:sz="6" w:space="0" w:color="000000"/>
                  </w:tcBorders>
                  <w:vAlign w:val="center"/>
                  <w:hideMark/>
                </w:tcPr>
                <w:p w14:paraId="6E0BFD2C"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产业规模目标</w:t>
                  </w:r>
                </w:p>
              </w:tc>
              <w:tc>
                <w:tcPr>
                  <w:tcW w:w="3645" w:type="dxa"/>
                  <w:tcBorders>
                    <w:top w:val="single" w:sz="6" w:space="0" w:color="CCCCCC"/>
                    <w:left w:val="nil"/>
                    <w:bottom w:val="single" w:sz="6" w:space="0" w:color="CCCCCC"/>
                    <w:right w:val="single" w:sz="6" w:space="0" w:color="CCCCCC"/>
                  </w:tcBorders>
                  <w:vAlign w:val="center"/>
                  <w:hideMark/>
                </w:tcPr>
                <w:p w14:paraId="5CFC66CF"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服务业增加值（亿元）</w:t>
                  </w:r>
                </w:p>
              </w:tc>
              <w:tc>
                <w:tcPr>
                  <w:tcW w:w="1155" w:type="dxa"/>
                  <w:tcBorders>
                    <w:top w:val="single" w:sz="6" w:space="0" w:color="CCCCCC"/>
                    <w:left w:val="nil"/>
                    <w:bottom w:val="single" w:sz="6" w:space="0" w:color="CCCCCC"/>
                    <w:right w:val="single" w:sz="6" w:space="0" w:color="CCCCCC"/>
                  </w:tcBorders>
                  <w:vAlign w:val="center"/>
                  <w:hideMark/>
                </w:tcPr>
                <w:p w14:paraId="5A010DB5"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102.10</w:t>
                  </w:r>
                </w:p>
              </w:tc>
              <w:tc>
                <w:tcPr>
                  <w:tcW w:w="1215" w:type="dxa"/>
                  <w:tcBorders>
                    <w:top w:val="single" w:sz="6" w:space="0" w:color="CCCCCC"/>
                    <w:left w:val="nil"/>
                    <w:bottom w:val="single" w:sz="6" w:space="0" w:color="CCCCCC"/>
                    <w:right w:val="single" w:sz="6" w:space="0" w:color="CCCCCC"/>
                  </w:tcBorders>
                  <w:vAlign w:val="center"/>
                  <w:hideMark/>
                </w:tcPr>
                <w:p w14:paraId="7577B1EA"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143</w:t>
                  </w:r>
                </w:p>
              </w:tc>
              <w:tc>
                <w:tcPr>
                  <w:tcW w:w="1440" w:type="dxa"/>
                  <w:tcBorders>
                    <w:top w:val="single" w:sz="6" w:space="0" w:color="CCCCCC"/>
                    <w:left w:val="nil"/>
                    <w:bottom w:val="single" w:sz="6" w:space="0" w:color="CCCCCC"/>
                    <w:right w:val="single" w:sz="6" w:space="0" w:color="CCCCCC"/>
                  </w:tcBorders>
                  <w:vAlign w:val="center"/>
                  <w:hideMark/>
                </w:tcPr>
                <w:p w14:paraId="0BF1640F"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7</w:t>
                  </w:r>
                </w:p>
              </w:tc>
            </w:tr>
            <w:tr w:rsidR="0081560A" w:rsidRPr="0081560A" w14:paraId="6BADE1DD" w14:textId="77777777">
              <w:trPr>
                <w:trHeight w:val="420"/>
              </w:trPr>
              <w:tc>
                <w:tcPr>
                  <w:tcW w:w="0" w:type="auto"/>
                  <w:vMerge/>
                  <w:tcBorders>
                    <w:top w:val="nil"/>
                    <w:left w:val="single" w:sz="6" w:space="0" w:color="000000"/>
                    <w:bottom w:val="single" w:sz="6" w:space="0" w:color="CCCCCC"/>
                    <w:right w:val="single" w:sz="6" w:space="0" w:color="000000"/>
                  </w:tcBorders>
                  <w:vAlign w:val="center"/>
                  <w:hideMark/>
                </w:tcPr>
                <w:p w14:paraId="5AA6869D" w14:textId="77777777" w:rsidR="0081560A" w:rsidRPr="0081560A" w:rsidRDefault="0081560A" w:rsidP="0081560A">
                  <w:pPr>
                    <w:widowControl/>
                    <w:jc w:val="left"/>
                    <w:rPr>
                      <w:rFonts w:ascii="宋体" w:eastAsia="宋体" w:hAnsi="宋体" w:cs="宋体"/>
                      <w:kern w:val="0"/>
                      <w:sz w:val="24"/>
                      <w:szCs w:val="24"/>
                    </w:rPr>
                  </w:pPr>
                </w:p>
              </w:tc>
              <w:tc>
                <w:tcPr>
                  <w:tcW w:w="3645" w:type="dxa"/>
                  <w:tcBorders>
                    <w:top w:val="single" w:sz="6" w:space="0" w:color="CCCCCC"/>
                    <w:left w:val="nil"/>
                    <w:bottom w:val="single" w:sz="6" w:space="0" w:color="CCCCCC"/>
                    <w:right w:val="single" w:sz="6" w:space="0" w:color="CCCCCC"/>
                  </w:tcBorders>
                  <w:vAlign w:val="center"/>
                  <w:hideMark/>
                </w:tcPr>
                <w:p w14:paraId="41871C5D"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第三产业固定资产投资增长（%）</w:t>
                  </w:r>
                </w:p>
              </w:tc>
              <w:tc>
                <w:tcPr>
                  <w:tcW w:w="1155" w:type="dxa"/>
                  <w:tcBorders>
                    <w:top w:val="single" w:sz="6" w:space="0" w:color="CCCCCC"/>
                    <w:left w:val="nil"/>
                    <w:bottom w:val="single" w:sz="6" w:space="0" w:color="CCCCCC"/>
                    <w:right w:val="single" w:sz="6" w:space="0" w:color="CCCCCC"/>
                  </w:tcBorders>
                  <w:vAlign w:val="center"/>
                  <w:hideMark/>
                </w:tcPr>
                <w:p w14:paraId="7757E1C4"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-8.7</w:t>
                  </w:r>
                </w:p>
              </w:tc>
              <w:tc>
                <w:tcPr>
                  <w:tcW w:w="1215" w:type="dxa"/>
                  <w:tcBorders>
                    <w:top w:val="single" w:sz="6" w:space="0" w:color="CCCCCC"/>
                    <w:left w:val="nil"/>
                    <w:bottom w:val="single" w:sz="6" w:space="0" w:color="CCCCCC"/>
                    <w:right w:val="single" w:sz="6" w:space="0" w:color="CCCCCC"/>
                  </w:tcBorders>
                  <w:vAlign w:val="center"/>
                  <w:hideMark/>
                </w:tcPr>
                <w:p w14:paraId="017D0F13"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8</w:t>
                  </w:r>
                </w:p>
              </w:tc>
              <w:tc>
                <w:tcPr>
                  <w:tcW w:w="1440" w:type="dxa"/>
                  <w:tcBorders>
                    <w:top w:val="single" w:sz="6" w:space="0" w:color="CCCCCC"/>
                    <w:left w:val="nil"/>
                    <w:bottom w:val="single" w:sz="6" w:space="0" w:color="CCCCCC"/>
                    <w:right w:val="single" w:sz="6" w:space="0" w:color="CCCCCC"/>
                  </w:tcBorders>
                  <w:vAlign w:val="center"/>
                  <w:hideMark/>
                </w:tcPr>
                <w:p w14:paraId="35B7EA8D"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8</w:t>
                  </w:r>
                </w:p>
              </w:tc>
            </w:tr>
            <w:tr w:rsidR="0081560A" w:rsidRPr="0081560A" w14:paraId="0572234D" w14:textId="77777777">
              <w:trPr>
                <w:trHeight w:val="495"/>
              </w:trPr>
              <w:tc>
                <w:tcPr>
                  <w:tcW w:w="0" w:type="auto"/>
                  <w:vMerge/>
                  <w:tcBorders>
                    <w:top w:val="nil"/>
                    <w:left w:val="single" w:sz="6" w:space="0" w:color="000000"/>
                    <w:bottom w:val="single" w:sz="6" w:space="0" w:color="CCCCCC"/>
                    <w:right w:val="single" w:sz="6" w:space="0" w:color="000000"/>
                  </w:tcBorders>
                  <w:vAlign w:val="center"/>
                  <w:hideMark/>
                </w:tcPr>
                <w:p w14:paraId="08BEBAE6" w14:textId="77777777" w:rsidR="0081560A" w:rsidRPr="0081560A" w:rsidRDefault="0081560A" w:rsidP="0081560A">
                  <w:pPr>
                    <w:widowControl/>
                    <w:jc w:val="left"/>
                    <w:rPr>
                      <w:rFonts w:ascii="宋体" w:eastAsia="宋体" w:hAnsi="宋体" w:cs="宋体"/>
                      <w:kern w:val="0"/>
                      <w:sz w:val="24"/>
                      <w:szCs w:val="24"/>
                    </w:rPr>
                  </w:pPr>
                </w:p>
              </w:tc>
              <w:tc>
                <w:tcPr>
                  <w:tcW w:w="3645" w:type="dxa"/>
                  <w:tcBorders>
                    <w:top w:val="single" w:sz="6" w:space="0" w:color="CCCCCC"/>
                    <w:left w:val="nil"/>
                    <w:bottom w:val="single" w:sz="6" w:space="0" w:color="CCCCCC"/>
                    <w:right w:val="single" w:sz="6" w:space="0" w:color="CCCCCC"/>
                  </w:tcBorders>
                  <w:vAlign w:val="center"/>
                  <w:hideMark/>
                </w:tcPr>
                <w:p w14:paraId="1814B457"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社会消费品零售总额（亿元）</w:t>
                  </w:r>
                </w:p>
              </w:tc>
              <w:tc>
                <w:tcPr>
                  <w:tcW w:w="1155" w:type="dxa"/>
                  <w:tcBorders>
                    <w:top w:val="single" w:sz="6" w:space="0" w:color="CCCCCC"/>
                    <w:left w:val="nil"/>
                    <w:bottom w:val="single" w:sz="6" w:space="0" w:color="CCCCCC"/>
                    <w:right w:val="single" w:sz="6" w:space="0" w:color="CCCCCC"/>
                  </w:tcBorders>
                  <w:vAlign w:val="center"/>
                  <w:hideMark/>
                </w:tcPr>
                <w:p w14:paraId="6D573C94"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100.62</w:t>
                  </w:r>
                </w:p>
              </w:tc>
              <w:tc>
                <w:tcPr>
                  <w:tcW w:w="1215" w:type="dxa"/>
                  <w:tcBorders>
                    <w:top w:val="single" w:sz="6" w:space="0" w:color="CCCCCC"/>
                    <w:left w:val="nil"/>
                    <w:bottom w:val="single" w:sz="6" w:space="0" w:color="CCCCCC"/>
                    <w:right w:val="single" w:sz="6" w:space="0" w:color="CCCCCC"/>
                  </w:tcBorders>
                  <w:vAlign w:val="center"/>
                  <w:hideMark/>
                </w:tcPr>
                <w:p w14:paraId="46BBE4D7"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138</w:t>
                  </w:r>
                </w:p>
              </w:tc>
              <w:tc>
                <w:tcPr>
                  <w:tcW w:w="1440" w:type="dxa"/>
                  <w:tcBorders>
                    <w:top w:val="single" w:sz="6" w:space="0" w:color="CCCCCC"/>
                    <w:left w:val="nil"/>
                    <w:bottom w:val="single" w:sz="6" w:space="0" w:color="CCCCCC"/>
                    <w:right w:val="single" w:sz="6" w:space="0" w:color="CCCCCC"/>
                  </w:tcBorders>
                  <w:vAlign w:val="center"/>
                  <w:hideMark/>
                </w:tcPr>
                <w:p w14:paraId="3146D550"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6.5</w:t>
                  </w:r>
                </w:p>
              </w:tc>
            </w:tr>
            <w:tr w:rsidR="0081560A" w:rsidRPr="0081560A" w14:paraId="691EC354" w14:textId="77777777">
              <w:trPr>
                <w:trHeight w:val="435"/>
              </w:trPr>
              <w:tc>
                <w:tcPr>
                  <w:tcW w:w="1395" w:type="dxa"/>
                  <w:vMerge w:val="restart"/>
                  <w:tcBorders>
                    <w:top w:val="nil"/>
                    <w:left w:val="single" w:sz="6" w:space="0" w:color="000000"/>
                    <w:bottom w:val="single" w:sz="6" w:space="0" w:color="CCCCCC"/>
                    <w:right w:val="single" w:sz="6" w:space="0" w:color="000000"/>
                  </w:tcBorders>
                  <w:vAlign w:val="center"/>
                  <w:hideMark/>
                </w:tcPr>
                <w:p w14:paraId="06C0EE29"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产业结构目标</w:t>
                  </w:r>
                </w:p>
              </w:tc>
              <w:tc>
                <w:tcPr>
                  <w:tcW w:w="3645" w:type="dxa"/>
                  <w:tcBorders>
                    <w:top w:val="single" w:sz="6" w:space="0" w:color="CCCCCC"/>
                    <w:left w:val="nil"/>
                    <w:bottom w:val="single" w:sz="6" w:space="0" w:color="CCCCCC"/>
                    <w:right w:val="single" w:sz="6" w:space="0" w:color="CCCCCC"/>
                  </w:tcBorders>
                  <w:vAlign w:val="center"/>
                  <w:hideMark/>
                </w:tcPr>
                <w:p w14:paraId="327D3C50"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文化旅游产业增加值占GDP比重（%）</w:t>
                  </w:r>
                </w:p>
              </w:tc>
              <w:tc>
                <w:tcPr>
                  <w:tcW w:w="1155" w:type="dxa"/>
                  <w:tcBorders>
                    <w:top w:val="single" w:sz="6" w:space="0" w:color="CCCCCC"/>
                    <w:left w:val="nil"/>
                    <w:bottom w:val="single" w:sz="6" w:space="0" w:color="CCCCCC"/>
                    <w:right w:val="single" w:sz="6" w:space="0" w:color="CCCCCC"/>
                  </w:tcBorders>
                  <w:vAlign w:val="center"/>
                  <w:hideMark/>
                </w:tcPr>
                <w:p w14:paraId="097FA35B"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w:t>
                  </w:r>
                </w:p>
              </w:tc>
              <w:tc>
                <w:tcPr>
                  <w:tcW w:w="1215" w:type="dxa"/>
                  <w:tcBorders>
                    <w:top w:val="single" w:sz="6" w:space="0" w:color="CCCCCC"/>
                    <w:left w:val="nil"/>
                    <w:bottom w:val="single" w:sz="6" w:space="0" w:color="CCCCCC"/>
                    <w:right w:val="single" w:sz="6" w:space="0" w:color="CCCCCC"/>
                  </w:tcBorders>
                  <w:vAlign w:val="center"/>
                  <w:hideMark/>
                </w:tcPr>
                <w:p w14:paraId="00AA88D1"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5</w:t>
                  </w:r>
                </w:p>
              </w:tc>
              <w:tc>
                <w:tcPr>
                  <w:tcW w:w="1440" w:type="dxa"/>
                  <w:tcBorders>
                    <w:top w:val="single" w:sz="6" w:space="0" w:color="CCCCCC"/>
                    <w:left w:val="nil"/>
                    <w:bottom w:val="single" w:sz="6" w:space="0" w:color="CCCCCC"/>
                    <w:right w:val="single" w:sz="6" w:space="0" w:color="CCCCCC"/>
                  </w:tcBorders>
                  <w:vAlign w:val="center"/>
                  <w:hideMark/>
                </w:tcPr>
                <w:p w14:paraId="294F7A97"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w:t>
                  </w:r>
                </w:p>
              </w:tc>
            </w:tr>
            <w:tr w:rsidR="0081560A" w:rsidRPr="0081560A" w14:paraId="6865C608" w14:textId="77777777">
              <w:trPr>
                <w:trHeight w:val="735"/>
              </w:trPr>
              <w:tc>
                <w:tcPr>
                  <w:tcW w:w="0" w:type="auto"/>
                  <w:vMerge/>
                  <w:tcBorders>
                    <w:top w:val="nil"/>
                    <w:left w:val="single" w:sz="6" w:space="0" w:color="000000"/>
                    <w:bottom w:val="single" w:sz="6" w:space="0" w:color="CCCCCC"/>
                    <w:right w:val="single" w:sz="6" w:space="0" w:color="000000"/>
                  </w:tcBorders>
                  <w:vAlign w:val="center"/>
                  <w:hideMark/>
                </w:tcPr>
                <w:p w14:paraId="5C385600" w14:textId="77777777" w:rsidR="0081560A" w:rsidRPr="0081560A" w:rsidRDefault="0081560A" w:rsidP="0081560A">
                  <w:pPr>
                    <w:widowControl/>
                    <w:jc w:val="left"/>
                    <w:rPr>
                      <w:rFonts w:ascii="宋体" w:eastAsia="宋体" w:hAnsi="宋体" w:cs="宋体"/>
                      <w:kern w:val="0"/>
                      <w:sz w:val="24"/>
                      <w:szCs w:val="24"/>
                    </w:rPr>
                  </w:pPr>
                </w:p>
              </w:tc>
              <w:tc>
                <w:tcPr>
                  <w:tcW w:w="3645" w:type="dxa"/>
                  <w:tcBorders>
                    <w:top w:val="single" w:sz="6" w:space="0" w:color="CCCCCC"/>
                    <w:left w:val="nil"/>
                    <w:bottom w:val="single" w:sz="6" w:space="0" w:color="CCCCCC"/>
                    <w:right w:val="single" w:sz="6" w:space="0" w:color="CCCCCC"/>
                  </w:tcBorders>
                  <w:vAlign w:val="center"/>
                  <w:hideMark/>
                </w:tcPr>
                <w:p w14:paraId="7848367B"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数字经济核心产业增加值占GDP比重（%）</w:t>
                  </w:r>
                </w:p>
              </w:tc>
              <w:tc>
                <w:tcPr>
                  <w:tcW w:w="1155" w:type="dxa"/>
                  <w:tcBorders>
                    <w:top w:val="single" w:sz="6" w:space="0" w:color="CCCCCC"/>
                    <w:left w:val="nil"/>
                    <w:bottom w:val="single" w:sz="6" w:space="0" w:color="CCCCCC"/>
                    <w:right w:val="single" w:sz="6" w:space="0" w:color="CCCCCC"/>
                  </w:tcBorders>
                  <w:vAlign w:val="center"/>
                  <w:hideMark/>
                </w:tcPr>
                <w:p w14:paraId="055F0FE3"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w:t>
                  </w:r>
                </w:p>
              </w:tc>
              <w:tc>
                <w:tcPr>
                  <w:tcW w:w="1215" w:type="dxa"/>
                  <w:tcBorders>
                    <w:top w:val="single" w:sz="6" w:space="0" w:color="CCCCCC"/>
                    <w:left w:val="nil"/>
                    <w:bottom w:val="single" w:sz="6" w:space="0" w:color="CCCCCC"/>
                    <w:right w:val="single" w:sz="6" w:space="0" w:color="CCCCCC"/>
                  </w:tcBorders>
                  <w:vAlign w:val="center"/>
                  <w:hideMark/>
                </w:tcPr>
                <w:p w14:paraId="2AF12D0A"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4.2</w:t>
                  </w:r>
                </w:p>
              </w:tc>
              <w:tc>
                <w:tcPr>
                  <w:tcW w:w="1440" w:type="dxa"/>
                  <w:tcBorders>
                    <w:top w:val="single" w:sz="6" w:space="0" w:color="CCCCCC"/>
                    <w:left w:val="nil"/>
                    <w:bottom w:val="single" w:sz="6" w:space="0" w:color="CCCCCC"/>
                    <w:right w:val="single" w:sz="6" w:space="0" w:color="CCCCCC"/>
                  </w:tcBorders>
                  <w:vAlign w:val="center"/>
                  <w:hideMark/>
                </w:tcPr>
                <w:p w14:paraId="0159AD9B"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w:t>
                  </w:r>
                </w:p>
              </w:tc>
            </w:tr>
            <w:tr w:rsidR="0081560A" w:rsidRPr="0081560A" w14:paraId="2904F7CA" w14:textId="77777777">
              <w:trPr>
                <w:trHeight w:val="435"/>
              </w:trPr>
              <w:tc>
                <w:tcPr>
                  <w:tcW w:w="0" w:type="auto"/>
                  <w:vMerge/>
                  <w:tcBorders>
                    <w:top w:val="nil"/>
                    <w:left w:val="single" w:sz="6" w:space="0" w:color="000000"/>
                    <w:bottom w:val="single" w:sz="6" w:space="0" w:color="CCCCCC"/>
                    <w:right w:val="single" w:sz="6" w:space="0" w:color="000000"/>
                  </w:tcBorders>
                  <w:vAlign w:val="center"/>
                  <w:hideMark/>
                </w:tcPr>
                <w:p w14:paraId="236B1FFD" w14:textId="77777777" w:rsidR="0081560A" w:rsidRPr="0081560A" w:rsidRDefault="0081560A" w:rsidP="0081560A">
                  <w:pPr>
                    <w:widowControl/>
                    <w:jc w:val="left"/>
                    <w:rPr>
                      <w:rFonts w:ascii="宋体" w:eastAsia="宋体" w:hAnsi="宋体" w:cs="宋体"/>
                      <w:kern w:val="0"/>
                      <w:sz w:val="24"/>
                      <w:szCs w:val="24"/>
                    </w:rPr>
                  </w:pPr>
                </w:p>
              </w:tc>
              <w:tc>
                <w:tcPr>
                  <w:tcW w:w="3645" w:type="dxa"/>
                  <w:tcBorders>
                    <w:top w:val="single" w:sz="6" w:space="0" w:color="CCCCCC"/>
                    <w:left w:val="nil"/>
                    <w:bottom w:val="single" w:sz="6" w:space="0" w:color="CCCCCC"/>
                    <w:right w:val="single" w:sz="6" w:space="0" w:color="CCCCCC"/>
                  </w:tcBorders>
                  <w:vAlign w:val="center"/>
                  <w:hideMark/>
                </w:tcPr>
                <w:p w14:paraId="5FB6EE3F"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研发经费投入强度（%）</w:t>
                  </w:r>
                </w:p>
              </w:tc>
              <w:tc>
                <w:tcPr>
                  <w:tcW w:w="1155" w:type="dxa"/>
                  <w:tcBorders>
                    <w:top w:val="single" w:sz="6" w:space="0" w:color="CCCCCC"/>
                    <w:left w:val="nil"/>
                    <w:bottom w:val="single" w:sz="6" w:space="0" w:color="CCCCCC"/>
                    <w:right w:val="single" w:sz="6" w:space="0" w:color="CCCCCC"/>
                  </w:tcBorders>
                  <w:vAlign w:val="center"/>
                  <w:hideMark/>
                </w:tcPr>
                <w:p w14:paraId="07DECFB7"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1.6</w:t>
                  </w:r>
                </w:p>
              </w:tc>
              <w:tc>
                <w:tcPr>
                  <w:tcW w:w="1215" w:type="dxa"/>
                  <w:tcBorders>
                    <w:top w:val="single" w:sz="6" w:space="0" w:color="CCCCCC"/>
                    <w:left w:val="nil"/>
                    <w:bottom w:val="single" w:sz="6" w:space="0" w:color="CCCCCC"/>
                    <w:right w:val="single" w:sz="6" w:space="0" w:color="CCCCCC"/>
                  </w:tcBorders>
                  <w:vAlign w:val="center"/>
                  <w:hideMark/>
                </w:tcPr>
                <w:p w14:paraId="09D35761"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2</w:t>
                  </w:r>
                </w:p>
              </w:tc>
              <w:tc>
                <w:tcPr>
                  <w:tcW w:w="1440" w:type="dxa"/>
                  <w:tcBorders>
                    <w:top w:val="single" w:sz="6" w:space="0" w:color="CCCCCC"/>
                    <w:left w:val="nil"/>
                    <w:bottom w:val="single" w:sz="6" w:space="0" w:color="CCCCCC"/>
                    <w:right w:val="single" w:sz="6" w:space="0" w:color="CCCCCC"/>
                  </w:tcBorders>
                  <w:vAlign w:val="center"/>
                  <w:hideMark/>
                </w:tcPr>
                <w:p w14:paraId="0BCBEB0D"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[0.4]</w:t>
                  </w:r>
                </w:p>
              </w:tc>
            </w:tr>
            <w:tr w:rsidR="0081560A" w:rsidRPr="0081560A" w14:paraId="09869E95" w14:textId="77777777">
              <w:trPr>
                <w:trHeight w:val="420"/>
              </w:trPr>
              <w:tc>
                <w:tcPr>
                  <w:tcW w:w="0" w:type="auto"/>
                  <w:vMerge/>
                  <w:tcBorders>
                    <w:top w:val="nil"/>
                    <w:left w:val="single" w:sz="6" w:space="0" w:color="000000"/>
                    <w:bottom w:val="single" w:sz="6" w:space="0" w:color="CCCCCC"/>
                    <w:right w:val="single" w:sz="6" w:space="0" w:color="000000"/>
                  </w:tcBorders>
                  <w:vAlign w:val="center"/>
                  <w:hideMark/>
                </w:tcPr>
                <w:p w14:paraId="3EA2BE59" w14:textId="77777777" w:rsidR="0081560A" w:rsidRPr="0081560A" w:rsidRDefault="0081560A" w:rsidP="0081560A">
                  <w:pPr>
                    <w:widowControl/>
                    <w:jc w:val="left"/>
                    <w:rPr>
                      <w:rFonts w:ascii="宋体" w:eastAsia="宋体" w:hAnsi="宋体" w:cs="宋体"/>
                      <w:kern w:val="0"/>
                      <w:sz w:val="24"/>
                      <w:szCs w:val="24"/>
                    </w:rPr>
                  </w:pPr>
                </w:p>
              </w:tc>
              <w:tc>
                <w:tcPr>
                  <w:tcW w:w="3645" w:type="dxa"/>
                  <w:tcBorders>
                    <w:top w:val="single" w:sz="6" w:space="0" w:color="CCCCCC"/>
                    <w:left w:val="nil"/>
                    <w:bottom w:val="single" w:sz="6" w:space="0" w:color="CCCCCC"/>
                    <w:right w:val="single" w:sz="6" w:space="0" w:color="CCCCCC"/>
                  </w:tcBorders>
                  <w:vAlign w:val="center"/>
                  <w:hideMark/>
                </w:tcPr>
                <w:p w14:paraId="046D3E7E"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服务业对全市经济增长的贡献率（%）</w:t>
                  </w:r>
                </w:p>
              </w:tc>
              <w:tc>
                <w:tcPr>
                  <w:tcW w:w="1155" w:type="dxa"/>
                  <w:tcBorders>
                    <w:top w:val="single" w:sz="6" w:space="0" w:color="CCCCCC"/>
                    <w:left w:val="nil"/>
                    <w:bottom w:val="single" w:sz="6" w:space="0" w:color="CCCCCC"/>
                    <w:right w:val="single" w:sz="6" w:space="0" w:color="CCCCCC"/>
                  </w:tcBorders>
                  <w:vAlign w:val="center"/>
                  <w:hideMark/>
                </w:tcPr>
                <w:p w14:paraId="6E03194C"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13.0</w:t>
                  </w:r>
                </w:p>
              </w:tc>
              <w:tc>
                <w:tcPr>
                  <w:tcW w:w="1215" w:type="dxa"/>
                  <w:tcBorders>
                    <w:top w:val="single" w:sz="6" w:space="0" w:color="CCCCCC"/>
                    <w:left w:val="nil"/>
                    <w:bottom w:val="single" w:sz="6" w:space="0" w:color="CCCCCC"/>
                    <w:right w:val="single" w:sz="6" w:space="0" w:color="CCCCCC"/>
                  </w:tcBorders>
                  <w:vAlign w:val="center"/>
                  <w:hideMark/>
                </w:tcPr>
                <w:p w14:paraId="07EE7B4A"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28.5</w:t>
                  </w:r>
                </w:p>
              </w:tc>
              <w:tc>
                <w:tcPr>
                  <w:tcW w:w="1440" w:type="dxa"/>
                  <w:tcBorders>
                    <w:top w:val="single" w:sz="6" w:space="0" w:color="CCCCCC"/>
                    <w:left w:val="nil"/>
                    <w:bottom w:val="single" w:sz="6" w:space="0" w:color="CCCCCC"/>
                    <w:right w:val="single" w:sz="6" w:space="0" w:color="CCCCCC"/>
                  </w:tcBorders>
                  <w:vAlign w:val="center"/>
                  <w:hideMark/>
                </w:tcPr>
                <w:p w14:paraId="62FC70F7"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w:t>
                  </w:r>
                </w:p>
              </w:tc>
            </w:tr>
            <w:tr w:rsidR="0081560A" w:rsidRPr="0081560A" w14:paraId="753DDE90" w14:textId="77777777">
              <w:trPr>
                <w:trHeight w:val="435"/>
              </w:trPr>
              <w:tc>
                <w:tcPr>
                  <w:tcW w:w="1395" w:type="dxa"/>
                  <w:vMerge w:val="restart"/>
                  <w:tcBorders>
                    <w:top w:val="nil"/>
                    <w:left w:val="single" w:sz="6" w:space="0" w:color="000000"/>
                    <w:bottom w:val="single" w:sz="6" w:space="0" w:color="CCCCCC"/>
                    <w:right w:val="single" w:sz="6" w:space="0" w:color="000000"/>
                  </w:tcBorders>
                  <w:vAlign w:val="center"/>
                  <w:hideMark/>
                </w:tcPr>
                <w:p w14:paraId="0C7E6E5B"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分行业目标</w:t>
                  </w:r>
                </w:p>
              </w:tc>
              <w:tc>
                <w:tcPr>
                  <w:tcW w:w="3645" w:type="dxa"/>
                  <w:tcBorders>
                    <w:top w:val="single" w:sz="6" w:space="0" w:color="CCCCCC"/>
                    <w:left w:val="nil"/>
                    <w:bottom w:val="single" w:sz="6" w:space="0" w:color="CCCCCC"/>
                    <w:right w:val="single" w:sz="6" w:space="0" w:color="CCCCCC"/>
                  </w:tcBorders>
                  <w:vAlign w:val="center"/>
                  <w:hideMark/>
                </w:tcPr>
                <w:p w14:paraId="695C63AF"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旅游总收入（亿元）</w:t>
                  </w:r>
                </w:p>
              </w:tc>
              <w:tc>
                <w:tcPr>
                  <w:tcW w:w="1155" w:type="dxa"/>
                  <w:tcBorders>
                    <w:top w:val="single" w:sz="6" w:space="0" w:color="CCCCCC"/>
                    <w:left w:val="nil"/>
                    <w:bottom w:val="single" w:sz="6" w:space="0" w:color="CCCCCC"/>
                    <w:right w:val="single" w:sz="6" w:space="0" w:color="CCCCCC"/>
                  </w:tcBorders>
                  <w:vAlign w:val="center"/>
                  <w:hideMark/>
                </w:tcPr>
                <w:p w14:paraId="18692D7B"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18.3</w:t>
                  </w:r>
                </w:p>
              </w:tc>
              <w:tc>
                <w:tcPr>
                  <w:tcW w:w="1215" w:type="dxa"/>
                  <w:tcBorders>
                    <w:top w:val="single" w:sz="6" w:space="0" w:color="CCCCCC"/>
                    <w:left w:val="nil"/>
                    <w:bottom w:val="single" w:sz="6" w:space="0" w:color="CCCCCC"/>
                    <w:right w:val="single" w:sz="6" w:space="0" w:color="CCCCCC"/>
                  </w:tcBorders>
                  <w:vAlign w:val="center"/>
                  <w:hideMark/>
                </w:tcPr>
                <w:p w14:paraId="160299A8"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43</w:t>
                  </w:r>
                </w:p>
              </w:tc>
              <w:tc>
                <w:tcPr>
                  <w:tcW w:w="1440" w:type="dxa"/>
                  <w:tcBorders>
                    <w:top w:val="single" w:sz="6" w:space="0" w:color="CCCCCC"/>
                    <w:left w:val="nil"/>
                    <w:bottom w:val="single" w:sz="6" w:space="0" w:color="CCCCCC"/>
                    <w:right w:val="single" w:sz="6" w:space="0" w:color="CCCCCC"/>
                  </w:tcBorders>
                  <w:vAlign w:val="center"/>
                  <w:hideMark/>
                </w:tcPr>
                <w:p w14:paraId="7CCD90ED"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8</w:t>
                  </w:r>
                </w:p>
              </w:tc>
            </w:tr>
            <w:tr w:rsidR="0081560A" w:rsidRPr="0081560A" w14:paraId="44A4D413" w14:textId="77777777">
              <w:trPr>
                <w:trHeight w:val="540"/>
              </w:trPr>
              <w:tc>
                <w:tcPr>
                  <w:tcW w:w="0" w:type="auto"/>
                  <w:vMerge/>
                  <w:tcBorders>
                    <w:top w:val="nil"/>
                    <w:left w:val="single" w:sz="6" w:space="0" w:color="000000"/>
                    <w:bottom w:val="single" w:sz="6" w:space="0" w:color="CCCCCC"/>
                    <w:right w:val="single" w:sz="6" w:space="0" w:color="000000"/>
                  </w:tcBorders>
                  <w:vAlign w:val="center"/>
                  <w:hideMark/>
                </w:tcPr>
                <w:p w14:paraId="61902DED" w14:textId="77777777" w:rsidR="0081560A" w:rsidRPr="0081560A" w:rsidRDefault="0081560A" w:rsidP="0081560A">
                  <w:pPr>
                    <w:widowControl/>
                    <w:jc w:val="left"/>
                    <w:rPr>
                      <w:rFonts w:ascii="宋体" w:eastAsia="宋体" w:hAnsi="宋体" w:cs="宋体"/>
                      <w:kern w:val="0"/>
                      <w:sz w:val="24"/>
                      <w:szCs w:val="24"/>
                    </w:rPr>
                  </w:pPr>
                </w:p>
              </w:tc>
              <w:tc>
                <w:tcPr>
                  <w:tcW w:w="3645" w:type="dxa"/>
                  <w:tcBorders>
                    <w:top w:val="single" w:sz="6" w:space="0" w:color="CCCCCC"/>
                    <w:left w:val="nil"/>
                    <w:bottom w:val="single" w:sz="6" w:space="0" w:color="CCCCCC"/>
                    <w:right w:val="single" w:sz="6" w:space="0" w:color="CCCCCC"/>
                  </w:tcBorders>
                  <w:vAlign w:val="center"/>
                  <w:hideMark/>
                </w:tcPr>
                <w:p w14:paraId="733EC16D"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通道物流产业增加值增速（%）</w:t>
                  </w:r>
                </w:p>
              </w:tc>
              <w:tc>
                <w:tcPr>
                  <w:tcW w:w="1155" w:type="dxa"/>
                  <w:tcBorders>
                    <w:top w:val="single" w:sz="6" w:space="0" w:color="CCCCCC"/>
                    <w:left w:val="nil"/>
                    <w:bottom w:val="single" w:sz="6" w:space="0" w:color="CCCCCC"/>
                    <w:right w:val="single" w:sz="6" w:space="0" w:color="CCCCCC"/>
                  </w:tcBorders>
                  <w:vAlign w:val="center"/>
                  <w:hideMark/>
                </w:tcPr>
                <w:p w14:paraId="498F54C1"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w:t>
                  </w:r>
                </w:p>
              </w:tc>
              <w:tc>
                <w:tcPr>
                  <w:tcW w:w="1215" w:type="dxa"/>
                  <w:tcBorders>
                    <w:top w:val="single" w:sz="6" w:space="0" w:color="CCCCCC"/>
                    <w:left w:val="nil"/>
                    <w:bottom w:val="single" w:sz="6" w:space="0" w:color="CCCCCC"/>
                    <w:right w:val="single" w:sz="6" w:space="0" w:color="CCCCCC"/>
                  </w:tcBorders>
                  <w:vAlign w:val="center"/>
                  <w:hideMark/>
                </w:tcPr>
                <w:p w14:paraId="1AB34828"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20</w:t>
                  </w:r>
                </w:p>
              </w:tc>
              <w:tc>
                <w:tcPr>
                  <w:tcW w:w="1440" w:type="dxa"/>
                  <w:tcBorders>
                    <w:top w:val="single" w:sz="6" w:space="0" w:color="CCCCCC"/>
                    <w:left w:val="nil"/>
                    <w:bottom w:val="single" w:sz="6" w:space="0" w:color="CCCCCC"/>
                    <w:right w:val="single" w:sz="6" w:space="0" w:color="CCCCCC"/>
                  </w:tcBorders>
                  <w:vAlign w:val="center"/>
                  <w:hideMark/>
                </w:tcPr>
                <w:p w14:paraId="6AE3EA6A"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20</w:t>
                  </w:r>
                </w:p>
              </w:tc>
            </w:tr>
            <w:tr w:rsidR="0081560A" w:rsidRPr="0081560A" w14:paraId="715F69DA" w14:textId="77777777">
              <w:trPr>
                <w:trHeight w:val="480"/>
              </w:trPr>
              <w:tc>
                <w:tcPr>
                  <w:tcW w:w="0" w:type="auto"/>
                  <w:vMerge/>
                  <w:tcBorders>
                    <w:top w:val="nil"/>
                    <w:left w:val="single" w:sz="6" w:space="0" w:color="000000"/>
                    <w:bottom w:val="single" w:sz="6" w:space="0" w:color="CCCCCC"/>
                    <w:right w:val="single" w:sz="6" w:space="0" w:color="000000"/>
                  </w:tcBorders>
                  <w:vAlign w:val="center"/>
                  <w:hideMark/>
                </w:tcPr>
                <w:p w14:paraId="0268C894" w14:textId="77777777" w:rsidR="0081560A" w:rsidRPr="0081560A" w:rsidRDefault="0081560A" w:rsidP="0081560A">
                  <w:pPr>
                    <w:widowControl/>
                    <w:jc w:val="left"/>
                    <w:rPr>
                      <w:rFonts w:ascii="宋体" w:eastAsia="宋体" w:hAnsi="宋体" w:cs="宋体"/>
                      <w:kern w:val="0"/>
                      <w:sz w:val="24"/>
                      <w:szCs w:val="24"/>
                    </w:rPr>
                  </w:pPr>
                </w:p>
              </w:tc>
              <w:tc>
                <w:tcPr>
                  <w:tcW w:w="3645" w:type="dxa"/>
                  <w:tcBorders>
                    <w:top w:val="single" w:sz="6" w:space="0" w:color="CCCCCC"/>
                    <w:left w:val="nil"/>
                    <w:bottom w:val="single" w:sz="6" w:space="0" w:color="CCCCCC"/>
                    <w:right w:val="single" w:sz="6" w:space="0" w:color="CCCCCC"/>
                  </w:tcBorders>
                  <w:vAlign w:val="center"/>
                  <w:hideMark/>
                </w:tcPr>
                <w:p w14:paraId="08E389EB"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外贸进出口总额（亿元）</w:t>
                  </w:r>
                </w:p>
              </w:tc>
              <w:tc>
                <w:tcPr>
                  <w:tcW w:w="1155" w:type="dxa"/>
                  <w:tcBorders>
                    <w:top w:val="single" w:sz="6" w:space="0" w:color="CCCCCC"/>
                    <w:left w:val="nil"/>
                    <w:bottom w:val="single" w:sz="6" w:space="0" w:color="CCCCCC"/>
                    <w:right w:val="single" w:sz="6" w:space="0" w:color="CCCCCC"/>
                  </w:tcBorders>
                  <w:vAlign w:val="center"/>
                  <w:hideMark/>
                </w:tcPr>
                <w:p w14:paraId="1C2EC009"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131.5</w:t>
                  </w:r>
                </w:p>
              </w:tc>
              <w:tc>
                <w:tcPr>
                  <w:tcW w:w="1215" w:type="dxa"/>
                  <w:tcBorders>
                    <w:top w:val="single" w:sz="6" w:space="0" w:color="CCCCCC"/>
                    <w:left w:val="nil"/>
                    <w:bottom w:val="single" w:sz="6" w:space="0" w:color="CCCCCC"/>
                    <w:right w:val="single" w:sz="6" w:space="0" w:color="CCCCCC"/>
                  </w:tcBorders>
                  <w:vAlign w:val="center"/>
                  <w:hideMark/>
                </w:tcPr>
                <w:p w14:paraId="4889E490"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152.4</w:t>
                  </w:r>
                </w:p>
              </w:tc>
              <w:tc>
                <w:tcPr>
                  <w:tcW w:w="1440" w:type="dxa"/>
                  <w:tcBorders>
                    <w:top w:val="single" w:sz="6" w:space="0" w:color="CCCCCC"/>
                    <w:left w:val="nil"/>
                    <w:bottom w:val="single" w:sz="6" w:space="0" w:color="CCCCCC"/>
                    <w:right w:val="single" w:sz="6" w:space="0" w:color="CCCCCC"/>
                  </w:tcBorders>
                  <w:vAlign w:val="center"/>
                  <w:hideMark/>
                </w:tcPr>
                <w:p w14:paraId="6D1247F5"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3</w:t>
                  </w:r>
                </w:p>
              </w:tc>
            </w:tr>
            <w:tr w:rsidR="0081560A" w:rsidRPr="0081560A" w14:paraId="12DC8A9D" w14:textId="77777777">
              <w:trPr>
                <w:trHeight w:val="465"/>
              </w:trPr>
              <w:tc>
                <w:tcPr>
                  <w:tcW w:w="0" w:type="auto"/>
                  <w:vMerge/>
                  <w:tcBorders>
                    <w:top w:val="nil"/>
                    <w:left w:val="single" w:sz="6" w:space="0" w:color="000000"/>
                    <w:bottom w:val="single" w:sz="6" w:space="0" w:color="CCCCCC"/>
                    <w:right w:val="single" w:sz="6" w:space="0" w:color="000000"/>
                  </w:tcBorders>
                  <w:vAlign w:val="center"/>
                  <w:hideMark/>
                </w:tcPr>
                <w:p w14:paraId="746CC71B" w14:textId="77777777" w:rsidR="0081560A" w:rsidRPr="0081560A" w:rsidRDefault="0081560A" w:rsidP="0081560A">
                  <w:pPr>
                    <w:widowControl/>
                    <w:jc w:val="left"/>
                    <w:rPr>
                      <w:rFonts w:ascii="宋体" w:eastAsia="宋体" w:hAnsi="宋体" w:cs="宋体"/>
                      <w:kern w:val="0"/>
                      <w:sz w:val="24"/>
                      <w:szCs w:val="24"/>
                    </w:rPr>
                  </w:pPr>
                </w:p>
              </w:tc>
              <w:tc>
                <w:tcPr>
                  <w:tcW w:w="3645" w:type="dxa"/>
                  <w:tcBorders>
                    <w:top w:val="single" w:sz="6" w:space="0" w:color="CCCCCC"/>
                    <w:left w:val="nil"/>
                    <w:bottom w:val="single" w:sz="6" w:space="0" w:color="CCCCCC"/>
                    <w:right w:val="single" w:sz="6" w:space="0" w:color="CCCCCC"/>
                  </w:tcBorders>
                  <w:vAlign w:val="center"/>
                  <w:hideMark/>
                </w:tcPr>
                <w:p w14:paraId="0C1F3AD7"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电子商务网络零售额（亿元）</w:t>
                  </w:r>
                </w:p>
              </w:tc>
              <w:tc>
                <w:tcPr>
                  <w:tcW w:w="1155" w:type="dxa"/>
                  <w:tcBorders>
                    <w:top w:val="single" w:sz="6" w:space="0" w:color="CCCCCC"/>
                    <w:left w:val="nil"/>
                    <w:bottom w:val="single" w:sz="6" w:space="0" w:color="CCCCCC"/>
                    <w:right w:val="single" w:sz="6" w:space="0" w:color="CCCCCC"/>
                  </w:tcBorders>
                  <w:vAlign w:val="center"/>
                  <w:hideMark/>
                </w:tcPr>
                <w:p w14:paraId="25211077"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10.6</w:t>
                  </w:r>
                </w:p>
              </w:tc>
              <w:tc>
                <w:tcPr>
                  <w:tcW w:w="1215" w:type="dxa"/>
                  <w:tcBorders>
                    <w:top w:val="single" w:sz="6" w:space="0" w:color="CCCCCC"/>
                    <w:left w:val="nil"/>
                    <w:bottom w:val="single" w:sz="6" w:space="0" w:color="CCCCCC"/>
                    <w:right w:val="single" w:sz="6" w:space="0" w:color="CCCCCC"/>
                  </w:tcBorders>
                  <w:vAlign w:val="center"/>
                  <w:hideMark/>
                </w:tcPr>
                <w:p w14:paraId="00816E37"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17</w:t>
                  </w:r>
                </w:p>
              </w:tc>
              <w:tc>
                <w:tcPr>
                  <w:tcW w:w="1440" w:type="dxa"/>
                  <w:tcBorders>
                    <w:top w:val="single" w:sz="6" w:space="0" w:color="CCCCCC"/>
                    <w:left w:val="nil"/>
                    <w:bottom w:val="single" w:sz="6" w:space="0" w:color="CCCCCC"/>
                    <w:right w:val="single" w:sz="6" w:space="0" w:color="CCCCCC"/>
                  </w:tcBorders>
                  <w:vAlign w:val="center"/>
                  <w:hideMark/>
                </w:tcPr>
                <w:p w14:paraId="006DE450"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10</w:t>
                  </w:r>
                </w:p>
              </w:tc>
            </w:tr>
            <w:tr w:rsidR="0081560A" w:rsidRPr="0081560A" w14:paraId="21E0F30A" w14:textId="77777777">
              <w:trPr>
                <w:trHeight w:val="450"/>
              </w:trPr>
              <w:tc>
                <w:tcPr>
                  <w:tcW w:w="0" w:type="auto"/>
                  <w:vMerge/>
                  <w:tcBorders>
                    <w:top w:val="nil"/>
                    <w:left w:val="single" w:sz="6" w:space="0" w:color="000000"/>
                    <w:bottom w:val="single" w:sz="6" w:space="0" w:color="CCCCCC"/>
                    <w:right w:val="single" w:sz="6" w:space="0" w:color="000000"/>
                  </w:tcBorders>
                  <w:vAlign w:val="center"/>
                  <w:hideMark/>
                </w:tcPr>
                <w:p w14:paraId="31BE54D4" w14:textId="77777777" w:rsidR="0081560A" w:rsidRPr="0081560A" w:rsidRDefault="0081560A" w:rsidP="0081560A">
                  <w:pPr>
                    <w:widowControl/>
                    <w:jc w:val="left"/>
                    <w:rPr>
                      <w:rFonts w:ascii="宋体" w:eastAsia="宋体" w:hAnsi="宋体" w:cs="宋体"/>
                      <w:kern w:val="0"/>
                      <w:sz w:val="24"/>
                      <w:szCs w:val="24"/>
                    </w:rPr>
                  </w:pPr>
                </w:p>
              </w:tc>
              <w:tc>
                <w:tcPr>
                  <w:tcW w:w="3645" w:type="dxa"/>
                  <w:tcBorders>
                    <w:top w:val="single" w:sz="6" w:space="0" w:color="CCCCCC"/>
                    <w:left w:val="nil"/>
                    <w:bottom w:val="single" w:sz="6" w:space="0" w:color="CCCCCC"/>
                    <w:right w:val="single" w:sz="6" w:space="0" w:color="CCCCCC"/>
                  </w:tcBorders>
                  <w:vAlign w:val="center"/>
                  <w:hideMark/>
                </w:tcPr>
                <w:p w14:paraId="6DC92583"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每千人三岁以下婴儿托位数（</w:t>
                  </w:r>
                  <w:proofErr w:type="gramStart"/>
                  <w:r w:rsidRPr="0081560A">
                    <w:rPr>
                      <w:rFonts w:ascii="宋体" w:eastAsia="宋体" w:hAnsi="宋体" w:cs="宋体"/>
                      <w:kern w:val="0"/>
                      <w:sz w:val="24"/>
                      <w:szCs w:val="24"/>
                    </w:rPr>
                    <w:t>个</w:t>
                  </w:r>
                  <w:proofErr w:type="gramEnd"/>
                  <w:r w:rsidRPr="0081560A">
                    <w:rPr>
                      <w:rFonts w:ascii="宋体" w:eastAsia="宋体" w:hAnsi="宋体" w:cs="宋体"/>
                      <w:kern w:val="0"/>
                      <w:sz w:val="24"/>
                      <w:szCs w:val="24"/>
                    </w:rPr>
                    <w:t>）</w:t>
                  </w:r>
                </w:p>
              </w:tc>
              <w:tc>
                <w:tcPr>
                  <w:tcW w:w="1155" w:type="dxa"/>
                  <w:tcBorders>
                    <w:top w:val="single" w:sz="6" w:space="0" w:color="CCCCCC"/>
                    <w:left w:val="nil"/>
                    <w:bottom w:val="single" w:sz="6" w:space="0" w:color="CCCCCC"/>
                    <w:right w:val="single" w:sz="6" w:space="0" w:color="CCCCCC"/>
                  </w:tcBorders>
                  <w:vAlign w:val="center"/>
                  <w:hideMark/>
                </w:tcPr>
                <w:p w14:paraId="58B108A3"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0.46</w:t>
                  </w:r>
                </w:p>
              </w:tc>
              <w:tc>
                <w:tcPr>
                  <w:tcW w:w="1215" w:type="dxa"/>
                  <w:tcBorders>
                    <w:top w:val="single" w:sz="6" w:space="0" w:color="CCCCCC"/>
                    <w:left w:val="nil"/>
                    <w:bottom w:val="single" w:sz="6" w:space="0" w:color="CCCCCC"/>
                    <w:right w:val="single" w:sz="6" w:space="0" w:color="CCCCCC"/>
                  </w:tcBorders>
                  <w:vAlign w:val="center"/>
                  <w:hideMark/>
                </w:tcPr>
                <w:p w14:paraId="1AA548FB"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≥4.5</w:t>
                  </w:r>
                </w:p>
              </w:tc>
              <w:tc>
                <w:tcPr>
                  <w:tcW w:w="1440" w:type="dxa"/>
                  <w:tcBorders>
                    <w:top w:val="single" w:sz="6" w:space="0" w:color="CCCCCC"/>
                    <w:left w:val="nil"/>
                    <w:bottom w:val="single" w:sz="6" w:space="0" w:color="CCCCCC"/>
                    <w:right w:val="single" w:sz="6" w:space="0" w:color="CCCCCC"/>
                  </w:tcBorders>
                  <w:vAlign w:val="center"/>
                  <w:hideMark/>
                </w:tcPr>
                <w:p w14:paraId="51ED9103"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w:t>
                  </w:r>
                </w:p>
              </w:tc>
            </w:tr>
            <w:tr w:rsidR="0081560A" w:rsidRPr="0081560A" w14:paraId="0B0DC26E" w14:textId="77777777">
              <w:trPr>
                <w:trHeight w:val="465"/>
              </w:trPr>
              <w:tc>
                <w:tcPr>
                  <w:tcW w:w="0" w:type="auto"/>
                  <w:vMerge/>
                  <w:tcBorders>
                    <w:top w:val="nil"/>
                    <w:left w:val="single" w:sz="6" w:space="0" w:color="000000"/>
                    <w:bottom w:val="single" w:sz="6" w:space="0" w:color="CCCCCC"/>
                    <w:right w:val="single" w:sz="6" w:space="0" w:color="000000"/>
                  </w:tcBorders>
                  <w:vAlign w:val="center"/>
                  <w:hideMark/>
                </w:tcPr>
                <w:p w14:paraId="4DD87D08" w14:textId="77777777" w:rsidR="0081560A" w:rsidRPr="0081560A" w:rsidRDefault="0081560A" w:rsidP="0081560A">
                  <w:pPr>
                    <w:widowControl/>
                    <w:jc w:val="left"/>
                    <w:rPr>
                      <w:rFonts w:ascii="宋体" w:eastAsia="宋体" w:hAnsi="宋体" w:cs="宋体"/>
                      <w:kern w:val="0"/>
                      <w:sz w:val="24"/>
                      <w:szCs w:val="24"/>
                    </w:rPr>
                  </w:pPr>
                </w:p>
              </w:tc>
              <w:tc>
                <w:tcPr>
                  <w:tcW w:w="3645" w:type="dxa"/>
                  <w:tcBorders>
                    <w:top w:val="single" w:sz="6" w:space="0" w:color="CCCCCC"/>
                    <w:left w:val="nil"/>
                    <w:bottom w:val="single" w:sz="6" w:space="0" w:color="CCCCCC"/>
                    <w:right w:val="single" w:sz="6" w:space="0" w:color="CCCCCC"/>
                  </w:tcBorders>
                  <w:vAlign w:val="center"/>
                  <w:hideMark/>
                </w:tcPr>
                <w:p w14:paraId="054170CE"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每千人口医疗卫生机构床位数（张）</w:t>
                  </w:r>
                </w:p>
              </w:tc>
              <w:tc>
                <w:tcPr>
                  <w:tcW w:w="1155" w:type="dxa"/>
                  <w:tcBorders>
                    <w:top w:val="single" w:sz="6" w:space="0" w:color="CCCCCC"/>
                    <w:left w:val="nil"/>
                    <w:bottom w:val="single" w:sz="6" w:space="0" w:color="CCCCCC"/>
                    <w:right w:val="single" w:sz="6" w:space="0" w:color="CCCCCC"/>
                  </w:tcBorders>
                  <w:vAlign w:val="center"/>
                  <w:hideMark/>
                </w:tcPr>
                <w:p w14:paraId="3A913A98"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7.3</w:t>
                  </w:r>
                </w:p>
              </w:tc>
              <w:tc>
                <w:tcPr>
                  <w:tcW w:w="1215" w:type="dxa"/>
                  <w:tcBorders>
                    <w:top w:val="single" w:sz="6" w:space="0" w:color="CCCCCC"/>
                    <w:left w:val="nil"/>
                    <w:bottom w:val="single" w:sz="6" w:space="0" w:color="CCCCCC"/>
                    <w:right w:val="single" w:sz="6" w:space="0" w:color="CCCCCC"/>
                  </w:tcBorders>
                  <w:vAlign w:val="center"/>
                  <w:hideMark/>
                </w:tcPr>
                <w:p w14:paraId="7081B60D"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≥8</w:t>
                  </w:r>
                </w:p>
              </w:tc>
              <w:tc>
                <w:tcPr>
                  <w:tcW w:w="1440" w:type="dxa"/>
                  <w:tcBorders>
                    <w:top w:val="single" w:sz="6" w:space="0" w:color="CCCCCC"/>
                    <w:left w:val="nil"/>
                    <w:bottom w:val="single" w:sz="6" w:space="0" w:color="CCCCCC"/>
                    <w:right w:val="single" w:sz="6" w:space="0" w:color="CCCCCC"/>
                  </w:tcBorders>
                  <w:vAlign w:val="center"/>
                  <w:hideMark/>
                </w:tcPr>
                <w:p w14:paraId="3B3212F3"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[0.7]</w:t>
                  </w:r>
                </w:p>
              </w:tc>
            </w:tr>
            <w:tr w:rsidR="0081560A" w:rsidRPr="0081560A" w14:paraId="74957114" w14:textId="77777777">
              <w:trPr>
                <w:trHeight w:val="450"/>
              </w:trPr>
              <w:tc>
                <w:tcPr>
                  <w:tcW w:w="0" w:type="auto"/>
                  <w:vMerge/>
                  <w:tcBorders>
                    <w:top w:val="nil"/>
                    <w:left w:val="single" w:sz="6" w:space="0" w:color="000000"/>
                    <w:bottom w:val="single" w:sz="6" w:space="0" w:color="CCCCCC"/>
                    <w:right w:val="single" w:sz="6" w:space="0" w:color="000000"/>
                  </w:tcBorders>
                  <w:vAlign w:val="center"/>
                  <w:hideMark/>
                </w:tcPr>
                <w:p w14:paraId="29E8BABF" w14:textId="77777777" w:rsidR="0081560A" w:rsidRPr="0081560A" w:rsidRDefault="0081560A" w:rsidP="0081560A">
                  <w:pPr>
                    <w:widowControl/>
                    <w:jc w:val="left"/>
                    <w:rPr>
                      <w:rFonts w:ascii="宋体" w:eastAsia="宋体" w:hAnsi="宋体" w:cs="宋体"/>
                      <w:kern w:val="0"/>
                      <w:sz w:val="24"/>
                      <w:szCs w:val="24"/>
                    </w:rPr>
                  </w:pPr>
                </w:p>
              </w:tc>
              <w:tc>
                <w:tcPr>
                  <w:tcW w:w="3645" w:type="dxa"/>
                  <w:tcBorders>
                    <w:top w:val="single" w:sz="6" w:space="0" w:color="CCCCCC"/>
                    <w:left w:val="nil"/>
                    <w:bottom w:val="single" w:sz="6" w:space="0" w:color="CCCCCC"/>
                    <w:right w:val="single" w:sz="6" w:space="0" w:color="CCCCCC"/>
                  </w:tcBorders>
                  <w:vAlign w:val="center"/>
                  <w:hideMark/>
                </w:tcPr>
                <w:p w14:paraId="6051017C"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每千名老年人拥有养老床位数（张）</w:t>
                  </w:r>
                </w:p>
              </w:tc>
              <w:tc>
                <w:tcPr>
                  <w:tcW w:w="1155" w:type="dxa"/>
                  <w:tcBorders>
                    <w:top w:val="single" w:sz="6" w:space="0" w:color="CCCCCC"/>
                    <w:left w:val="nil"/>
                    <w:bottom w:val="single" w:sz="6" w:space="0" w:color="CCCCCC"/>
                    <w:right w:val="single" w:sz="6" w:space="0" w:color="CCCCCC"/>
                  </w:tcBorders>
                  <w:vAlign w:val="center"/>
                  <w:hideMark/>
                </w:tcPr>
                <w:p w14:paraId="1EB2D28F"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39.93</w:t>
                  </w:r>
                </w:p>
              </w:tc>
              <w:tc>
                <w:tcPr>
                  <w:tcW w:w="1215" w:type="dxa"/>
                  <w:tcBorders>
                    <w:top w:val="single" w:sz="6" w:space="0" w:color="CCCCCC"/>
                    <w:left w:val="nil"/>
                    <w:bottom w:val="single" w:sz="6" w:space="0" w:color="CCCCCC"/>
                    <w:right w:val="single" w:sz="6" w:space="0" w:color="CCCCCC"/>
                  </w:tcBorders>
                  <w:vAlign w:val="center"/>
                  <w:hideMark/>
                </w:tcPr>
                <w:p w14:paraId="4D4469A0"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≥43</w:t>
                  </w:r>
                </w:p>
              </w:tc>
              <w:tc>
                <w:tcPr>
                  <w:tcW w:w="1440" w:type="dxa"/>
                  <w:tcBorders>
                    <w:top w:val="single" w:sz="6" w:space="0" w:color="CCCCCC"/>
                    <w:left w:val="nil"/>
                    <w:bottom w:val="single" w:sz="6" w:space="0" w:color="CCCCCC"/>
                    <w:right w:val="single" w:sz="6" w:space="0" w:color="CCCCCC"/>
                  </w:tcBorders>
                  <w:vAlign w:val="center"/>
                  <w:hideMark/>
                </w:tcPr>
                <w:p w14:paraId="5495095F"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w:t>
                  </w:r>
                </w:p>
              </w:tc>
            </w:tr>
            <w:tr w:rsidR="0081560A" w:rsidRPr="0081560A" w14:paraId="607294C2" w14:textId="77777777">
              <w:trPr>
                <w:trHeight w:val="450"/>
              </w:trPr>
              <w:tc>
                <w:tcPr>
                  <w:tcW w:w="0" w:type="auto"/>
                  <w:vMerge/>
                  <w:tcBorders>
                    <w:top w:val="nil"/>
                    <w:left w:val="single" w:sz="6" w:space="0" w:color="000000"/>
                    <w:bottom w:val="single" w:sz="6" w:space="0" w:color="CCCCCC"/>
                    <w:right w:val="single" w:sz="6" w:space="0" w:color="000000"/>
                  </w:tcBorders>
                  <w:vAlign w:val="center"/>
                  <w:hideMark/>
                </w:tcPr>
                <w:p w14:paraId="241FF7DD" w14:textId="77777777" w:rsidR="0081560A" w:rsidRPr="0081560A" w:rsidRDefault="0081560A" w:rsidP="0081560A">
                  <w:pPr>
                    <w:widowControl/>
                    <w:jc w:val="left"/>
                    <w:rPr>
                      <w:rFonts w:ascii="宋体" w:eastAsia="宋体" w:hAnsi="宋体" w:cs="宋体"/>
                      <w:kern w:val="0"/>
                      <w:sz w:val="24"/>
                      <w:szCs w:val="24"/>
                    </w:rPr>
                  </w:pPr>
                </w:p>
              </w:tc>
              <w:tc>
                <w:tcPr>
                  <w:tcW w:w="3645" w:type="dxa"/>
                  <w:tcBorders>
                    <w:top w:val="single" w:sz="6" w:space="0" w:color="CCCCCC"/>
                    <w:left w:val="nil"/>
                    <w:bottom w:val="single" w:sz="6" w:space="0" w:color="CCCCCC"/>
                    <w:right w:val="single" w:sz="6" w:space="0" w:color="CCCCCC"/>
                  </w:tcBorders>
                  <w:vAlign w:val="center"/>
                  <w:hideMark/>
                </w:tcPr>
                <w:p w14:paraId="7974ACD4"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劳动年龄人口平均受教育年限（年）</w:t>
                  </w:r>
                </w:p>
              </w:tc>
              <w:tc>
                <w:tcPr>
                  <w:tcW w:w="1155" w:type="dxa"/>
                  <w:tcBorders>
                    <w:top w:val="single" w:sz="6" w:space="0" w:color="CCCCCC"/>
                    <w:left w:val="nil"/>
                    <w:bottom w:val="single" w:sz="6" w:space="0" w:color="CCCCCC"/>
                    <w:right w:val="single" w:sz="6" w:space="0" w:color="CCCCCC"/>
                  </w:tcBorders>
                  <w:vAlign w:val="center"/>
                  <w:hideMark/>
                </w:tcPr>
                <w:p w14:paraId="0C172F2A"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10.05</w:t>
                  </w:r>
                </w:p>
              </w:tc>
              <w:tc>
                <w:tcPr>
                  <w:tcW w:w="1215" w:type="dxa"/>
                  <w:tcBorders>
                    <w:top w:val="single" w:sz="6" w:space="0" w:color="CCCCCC"/>
                    <w:left w:val="nil"/>
                    <w:bottom w:val="single" w:sz="6" w:space="0" w:color="CCCCCC"/>
                    <w:right w:val="single" w:sz="6" w:space="0" w:color="CCCCCC"/>
                  </w:tcBorders>
                  <w:vAlign w:val="center"/>
                  <w:hideMark/>
                </w:tcPr>
                <w:p w14:paraId="70791255"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≥10.5</w:t>
                  </w:r>
                </w:p>
              </w:tc>
              <w:tc>
                <w:tcPr>
                  <w:tcW w:w="1440" w:type="dxa"/>
                  <w:tcBorders>
                    <w:top w:val="single" w:sz="6" w:space="0" w:color="CCCCCC"/>
                    <w:left w:val="nil"/>
                    <w:bottom w:val="single" w:sz="6" w:space="0" w:color="CCCCCC"/>
                    <w:right w:val="single" w:sz="6" w:space="0" w:color="CCCCCC"/>
                  </w:tcBorders>
                  <w:vAlign w:val="center"/>
                  <w:hideMark/>
                </w:tcPr>
                <w:p w14:paraId="6FC129EE" w14:textId="77777777" w:rsidR="0081560A" w:rsidRPr="0081560A" w:rsidRDefault="0081560A" w:rsidP="0081560A">
                  <w:pPr>
                    <w:widowControl/>
                    <w:jc w:val="left"/>
                    <w:rPr>
                      <w:rFonts w:ascii="宋体" w:eastAsia="宋体" w:hAnsi="宋体" w:cs="宋体"/>
                      <w:kern w:val="0"/>
                      <w:sz w:val="24"/>
                      <w:szCs w:val="24"/>
                    </w:rPr>
                  </w:pPr>
                  <w:r w:rsidRPr="0081560A">
                    <w:rPr>
                      <w:rFonts w:ascii="宋体" w:eastAsia="宋体" w:hAnsi="宋体" w:cs="宋体"/>
                      <w:kern w:val="0"/>
                      <w:sz w:val="24"/>
                      <w:szCs w:val="24"/>
                    </w:rPr>
                    <w:t>[0.45]</w:t>
                  </w:r>
                </w:p>
              </w:tc>
            </w:tr>
          </w:tbl>
          <w:p w14:paraId="26C1B5B6"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四、</w:t>
            </w:r>
            <w:r w:rsidRPr="0081560A">
              <w:rPr>
                <w:rFonts w:ascii="Times New Roman" w:eastAsia="微软雅黑" w:hAnsi="Times New Roman" w:cs="Times New Roman"/>
                <w:b/>
                <w:bCs/>
                <w:color w:val="333333"/>
                <w:kern w:val="0"/>
                <w:sz w:val="27"/>
                <w:szCs w:val="27"/>
              </w:rPr>
              <w:t>2035</w:t>
            </w:r>
            <w:r w:rsidRPr="0081560A">
              <w:rPr>
                <w:rFonts w:ascii="Times New Roman" w:eastAsia="微软雅黑" w:hAnsi="Times New Roman" w:cs="Times New Roman"/>
                <w:b/>
                <w:bCs/>
                <w:color w:val="333333"/>
                <w:kern w:val="0"/>
                <w:sz w:val="27"/>
                <w:szCs w:val="27"/>
              </w:rPr>
              <w:t>年远景目标</w:t>
            </w:r>
          </w:p>
          <w:p w14:paraId="7064DBC9"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展望二〇三五年，服务业现代产业体系基本形成，产业规模进一步扩大，竞争力更加强劲，创新能力大幅提升，适应产业转型升级和居民消费升级需要；产业结构优化升级，与先进制造业、现代农业、文化旅游等领域实现深度融合，成为提升城市能级的重要载体；产业布局不断优化，服务网点与城乡国土空间布局、城乡建设布局、工农业主体功能布局相协调；绿色服务体系基本架构整体形成，</w:t>
            </w:r>
            <w:proofErr w:type="gramStart"/>
            <w:r w:rsidRPr="0081560A">
              <w:rPr>
                <w:rFonts w:ascii="微软雅黑" w:eastAsia="微软雅黑" w:hAnsi="微软雅黑" w:cs="宋体" w:hint="eastAsia"/>
                <w:color w:val="333333"/>
                <w:kern w:val="0"/>
                <w:sz w:val="27"/>
                <w:szCs w:val="27"/>
              </w:rPr>
              <w:t>为碳达峰</w:t>
            </w:r>
            <w:proofErr w:type="gramEnd"/>
            <w:r w:rsidRPr="0081560A">
              <w:rPr>
                <w:rFonts w:ascii="微软雅黑" w:eastAsia="微软雅黑" w:hAnsi="微软雅黑" w:cs="宋体" w:hint="eastAsia"/>
                <w:color w:val="333333"/>
                <w:kern w:val="0"/>
                <w:sz w:val="27"/>
                <w:szCs w:val="27"/>
              </w:rPr>
              <w:t>、碳中和贡献突出；服务业成为全市吸纳城乡劳动力就业的第一大</w:t>
            </w:r>
            <w:r w:rsidRPr="0081560A">
              <w:rPr>
                <w:rFonts w:ascii="微软雅黑" w:eastAsia="微软雅黑" w:hAnsi="微软雅黑" w:cs="宋体" w:hint="eastAsia"/>
                <w:color w:val="333333"/>
                <w:kern w:val="0"/>
                <w:sz w:val="27"/>
                <w:szCs w:val="27"/>
              </w:rPr>
              <w:lastRenderedPageBreak/>
              <w:t>产业；服务业综合发展水平处于全省前列，实现资源型城市全面转型高质量发展，基本建成社会主义现代化。</w:t>
            </w:r>
          </w:p>
          <w:p w14:paraId="68509199" w14:textId="77777777" w:rsidR="0081560A" w:rsidRPr="0081560A" w:rsidRDefault="0081560A" w:rsidP="0081560A">
            <w:pPr>
              <w:widowControl/>
              <w:spacing w:line="450" w:lineRule="atLeast"/>
              <w:ind w:firstLine="480"/>
              <w:jc w:val="left"/>
              <w:outlineLvl w:val="0"/>
              <w:rPr>
                <w:rFonts w:ascii="Times New Roman" w:eastAsia="微软雅黑" w:hAnsi="Times New Roman" w:cs="Times New Roman"/>
                <w:b/>
                <w:bCs/>
                <w:color w:val="333333"/>
                <w:kern w:val="36"/>
                <w:sz w:val="44"/>
                <w:szCs w:val="44"/>
              </w:rPr>
            </w:pPr>
            <w:r w:rsidRPr="0081560A">
              <w:rPr>
                <w:rFonts w:ascii="Times New Roman" w:eastAsia="微软雅黑" w:hAnsi="Times New Roman" w:cs="Times New Roman"/>
                <w:b/>
                <w:bCs/>
                <w:color w:val="333333"/>
                <w:kern w:val="36"/>
                <w:sz w:val="27"/>
                <w:szCs w:val="27"/>
              </w:rPr>
              <w:t>第三章</w:t>
            </w:r>
            <w:r w:rsidRPr="0081560A">
              <w:rPr>
                <w:rFonts w:ascii="Times New Roman" w:eastAsia="微软雅黑" w:hAnsi="Times New Roman" w:cs="Times New Roman"/>
                <w:b/>
                <w:bCs/>
                <w:color w:val="333333"/>
                <w:kern w:val="36"/>
                <w:sz w:val="27"/>
                <w:szCs w:val="27"/>
              </w:rPr>
              <w:t>  </w:t>
            </w:r>
            <w:r w:rsidRPr="0081560A">
              <w:rPr>
                <w:rFonts w:ascii="Times New Roman" w:eastAsia="微软雅黑" w:hAnsi="Times New Roman" w:cs="Times New Roman"/>
                <w:b/>
                <w:bCs/>
                <w:color w:val="333333"/>
                <w:kern w:val="36"/>
                <w:sz w:val="27"/>
                <w:szCs w:val="27"/>
              </w:rPr>
              <w:t>推进生产性服务业提质增效</w:t>
            </w:r>
          </w:p>
          <w:p w14:paraId="75EE83DA"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紧紧围绕有色金属新材料、新能源、化工循环、资源综合利用产业链，以高端化、融合化、专业化、智能化、数字化、集聚</w:t>
            </w:r>
            <w:proofErr w:type="gramStart"/>
            <w:r w:rsidRPr="0081560A">
              <w:rPr>
                <w:rFonts w:ascii="微软雅黑" w:eastAsia="微软雅黑" w:hAnsi="微软雅黑" w:cs="宋体" w:hint="eastAsia"/>
                <w:color w:val="333333"/>
                <w:kern w:val="0"/>
                <w:sz w:val="27"/>
                <w:szCs w:val="27"/>
              </w:rPr>
              <w:t>化创新</w:t>
            </w:r>
            <w:proofErr w:type="gramEnd"/>
            <w:r w:rsidRPr="0081560A">
              <w:rPr>
                <w:rFonts w:ascii="微软雅黑" w:eastAsia="微软雅黑" w:hAnsi="微软雅黑" w:cs="宋体" w:hint="eastAsia"/>
                <w:color w:val="333333"/>
                <w:kern w:val="0"/>
                <w:sz w:val="27"/>
                <w:szCs w:val="27"/>
              </w:rPr>
              <w:t>产前、产中、产后服务，确保全市重点产业供应链安全、产业链延伸、价值链提升。</w:t>
            </w:r>
          </w:p>
          <w:p w14:paraId="5A454A44"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一、现代物流业</w:t>
            </w:r>
          </w:p>
          <w:p w14:paraId="2F3EE726"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坚持以高端、高效、便捷为引领，发挥货运量大、物流体系完备、网络数字货运发展快的优势，健全现代物流体系，构建立体物流通道，打造服务全省、辐射西北的物流枢纽中心。到2025年，培育上亿</w:t>
            </w:r>
            <w:proofErr w:type="gramStart"/>
            <w:r w:rsidRPr="0081560A">
              <w:rPr>
                <w:rFonts w:ascii="微软雅黑" w:eastAsia="微软雅黑" w:hAnsi="微软雅黑" w:cs="宋体" w:hint="eastAsia"/>
                <w:color w:val="333333"/>
                <w:kern w:val="0"/>
                <w:sz w:val="27"/>
                <w:szCs w:val="27"/>
              </w:rPr>
              <w:t>物流园</w:t>
            </w:r>
            <w:proofErr w:type="gramEnd"/>
            <w:r w:rsidRPr="0081560A">
              <w:rPr>
                <w:rFonts w:ascii="微软雅黑" w:eastAsia="微软雅黑" w:hAnsi="微软雅黑" w:cs="宋体" w:hint="eastAsia"/>
                <w:color w:val="333333"/>
                <w:kern w:val="0"/>
                <w:sz w:val="27"/>
                <w:szCs w:val="27"/>
              </w:rPr>
              <w:t>2—3个，通道物流生态产业增加值增速达到20%以上。</w:t>
            </w:r>
          </w:p>
          <w:p w14:paraId="1B366B7B"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强化物流基础设施建设。加快推进金山高速、永民高速等高等级公路建设，构筑外通内联、便捷高效的干线公路网。推动兰张铁路三四线武威至张掖段、金昌至乌力吉铁路公路等项目建设，实施金川集团河西</w:t>
            </w:r>
            <w:proofErr w:type="gramStart"/>
            <w:r w:rsidRPr="0081560A">
              <w:rPr>
                <w:rFonts w:ascii="微软雅黑" w:eastAsia="微软雅黑" w:hAnsi="微软雅黑" w:cs="宋体" w:hint="eastAsia"/>
                <w:color w:val="333333"/>
                <w:kern w:val="0"/>
                <w:sz w:val="27"/>
                <w:szCs w:val="27"/>
              </w:rPr>
              <w:t>堡工业物流园</w:t>
            </w:r>
            <w:proofErr w:type="gramEnd"/>
            <w:r w:rsidRPr="0081560A">
              <w:rPr>
                <w:rFonts w:ascii="微软雅黑" w:eastAsia="微软雅黑" w:hAnsi="微软雅黑" w:cs="宋体" w:hint="eastAsia"/>
                <w:color w:val="333333"/>
                <w:kern w:val="0"/>
                <w:sz w:val="27"/>
                <w:szCs w:val="27"/>
              </w:rPr>
              <w:t>及铁路专用线项目，积极拓展铁路货运服务功能。加快金川机场改扩建、通用机场建设，增强机场辐射服务范围，强化空中物流通道。借助霍尔果斯口岸贸易窗口，筹备成立金昌</w:t>
            </w:r>
            <w:proofErr w:type="gramStart"/>
            <w:r w:rsidRPr="0081560A">
              <w:rPr>
                <w:rFonts w:ascii="微软雅黑" w:eastAsia="微软雅黑" w:hAnsi="微软雅黑" w:cs="宋体" w:hint="eastAsia"/>
                <w:color w:val="333333"/>
                <w:kern w:val="0"/>
                <w:sz w:val="27"/>
                <w:szCs w:val="27"/>
              </w:rPr>
              <w:t>市驻霍尔</w:t>
            </w:r>
            <w:proofErr w:type="gramEnd"/>
            <w:r w:rsidRPr="0081560A">
              <w:rPr>
                <w:rFonts w:ascii="微软雅黑" w:eastAsia="微软雅黑" w:hAnsi="微软雅黑" w:cs="宋体" w:hint="eastAsia"/>
                <w:color w:val="333333"/>
                <w:kern w:val="0"/>
                <w:sz w:val="27"/>
                <w:szCs w:val="27"/>
              </w:rPr>
              <w:t>果斯办事处，打通向西开放通道，拓展中亚西亚和中东欧市场。加快推动建设金昌保税物流中心（B型），支持金川集团申报</w:t>
            </w:r>
            <w:proofErr w:type="gramStart"/>
            <w:r w:rsidRPr="0081560A">
              <w:rPr>
                <w:rFonts w:ascii="微软雅黑" w:eastAsia="微软雅黑" w:hAnsi="微软雅黑" w:cs="宋体" w:hint="eastAsia"/>
                <w:color w:val="333333"/>
                <w:kern w:val="0"/>
                <w:sz w:val="27"/>
                <w:szCs w:val="27"/>
              </w:rPr>
              <w:t>保税混矿项目</w:t>
            </w:r>
            <w:proofErr w:type="gramEnd"/>
            <w:r w:rsidRPr="0081560A">
              <w:rPr>
                <w:rFonts w:ascii="微软雅黑" w:eastAsia="微软雅黑" w:hAnsi="微软雅黑" w:cs="宋体" w:hint="eastAsia"/>
                <w:color w:val="333333"/>
                <w:kern w:val="0"/>
                <w:sz w:val="27"/>
                <w:szCs w:val="27"/>
              </w:rPr>
              <w:t>。</w:t>
            </w:r>
          </w:p>
          <w:p w14:paraId="11C61CE3"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lastRenderedPageBreak/>
              <w:t>强化制造业供应链管理。依托物流信息互通共享技术及应用国家工程实验室，积极搭建物流信息共享平台，优化制造业生产管理流程。以金昌网络货运数字产业园为中心，强化网络货运区块链服务功能，加快发展数字货运经济，建设全国公路货运总部型经济区域和西部网络货运中心。依托金川集团物流公司建设金川智慧物流园区，提高快递物流服务供给能力和水平。培育一批第三方物流企业和第四方物流企业，加快发展供应</w:t>
            </w:r>
            <w:proofErr w:type="gramStart"/>
            <w:r w:rsidRPr="0081560A">
              <w:rPr>
                <w:rFonts w:ascii="微软雅黑" w:eastAsia="微软雅黑" w:hAnsi="微软雅黑" w:cs="宋体" w:hint="eastAsia"/>
                <w:color w:val="333333"/>
                <w:kern w:val="0"/>
                <w:sz w:val="27"/>
                <w:szCs w:val="27"/>
              </w:rPr>
              <w:t>链业务</w:t>
            </w:r>
            <w:proofErr w:type="gramEnd"/>
            <w:r w:rsidRPr="0081560A">
              <w:rPr>
                <w:rFonts w:ascii="微软雅黑" w:eastAsia="微软雅黑" w:hAnsi="微软雅黑" w:cs="宋体" w:hint="eastAsia"/>
                <w:color w:val="333333"/>
                <w:kern w:val="0"/>
                <w:sz w:val="27"/>
                <w:szCs w:val="27"/>
              </w:rPr>
              <w:t>流程外包，高效提供信息咨询、订单管理、物料配送、仓储库存等服务。</w:t>
            </w:r>
          </w:p>
          <w:p w14:paraId="784EE3B6"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壮大农畜产品冷链物流规模。加快粤港澳大湾区菜篮子金</w:t>
            </w:r>
            <w:proofErr w:type="gramStart"/>
            <w:r w:rsidRPr="0081560A">
              <w:rPr>
                <w:rFonts w:ascii="微软雅黑" w:eastAsia="微软雅黑" w:hAnsi="微软雅黑" w:cs="宋体" w:hint="eastAsia"/>
                <w:color w:val="333333"/>
                <w:kern w:val="0"/>
                <w:sz w:val="27"/>
                <w:szCs w:val="27"/>
              </w:rPr>
              <w:t>昌基地</w:t>
            </w:r>
            <w:proofErr w:type="gramEnd"/>
            <w:r w:rsidRPr="0081560A">
              <w:rPr>
                <w:rFonts w:ascii="微软雅黑" w:eastAsia="微软雅黑" w:hAnsi="微软雅黑" w:cs="宋体" w:hint="eastAsia"/>
                <w:color w:val="333333"/>
                <w:kern w:val="0"/>
                <w:sz w:val="27"/>
                <w:szCs w:val="27"/>
              </w:rPr>
              <w:t>循环经济产业园、江楠农产品加工冷链</w:t>
            </w:r>
            <w:proofErr w:type="gramStart"/>
            <w:r w:rsidRPr="0081560A">
              <w:rPr>
                <w:rFonts w:ascii="微软雅黑" w:eastAsia="微软雅黑" w:hAnsi="微软雅黑" w:cs="宋体" w:hint="eastAsia"/>
                <w:color w:val="333333"/>
                <w:kern w:val="0"/>
                <w:sz w:val="27"/>
                <w:szCs w:val="27"/>
              </w:rPr>
              <w:t>物流</w:t>
            </w:r>
            <w:proofErr w:type="gramEnd"/>
            <w:r w:rsidRPr="0081560A">
              <w:rPr>
                <w:rFonts w:ascii="微软雅黑" w:eastAsia="微软雅黑" w:hAnsi="微软雅黑" w:cs="宋体" w:hint="eastAsia"/>
                <w:color w:val="333333"/>
                <w:kern w:val="0"/>
                <w:sz w:val="27"/>
                <w:szCs w:val="27"/>
              </w:rPr>
              <w:t>园等骨干农副产品冷链物流项目建设，辐射带动周边地区特色农产品专业化生产加工。加快冷藏保鲜、分拣包装、冷链运输、初加工等设施建设，发展“生鲜电商+冷链宅配”“中央厨房+食材冷链配送”等冷链配送新模式。依托金海</w:t>
            </w:r>
            <w:proofErr w:type="gramStart"/>
            <w:r w:rsidRPr="0081560A">
              <w:rPr>
                <w:rFonts w:ascii="微软雅黑" w:eastAsia="微软雅黑" w:hAnsi="微软雅黑" w:cs="宋体" w:hint="eastAsia"/>
                <w:color w:val="333333"/>
                <w:kern w:val="0"/>
                <w:sz w:val="27"/>
                <w:szCs w:val="27"/>
              </w:rPr>
              <w:t>彧</w:t>
            </w:r>
            <w:proofErr w:type="gramEnd"/>
            <w:r w:rsidRPr="0081560A">
              <w:rPr>
                <w:rFonts w:ascii="微软雅黑" w:eastAsia="微软雅黑" w:hAnsi="微软雅黑" w:cs="宋体" w:hint="eastAsia"/>
                <w:color w:val="333333"/>
                <w:kern w:val="0"/>
                <w:sz w:val="27"/>
                <w:szCs w:val="27"/>
              </w:rPr>
              <w:t>、金禹川、金从玉等蔬菜基地，在永昌县西河、东河、清河片区和</w:t>
            </w:r>
            <w:proofErr w:type="gramStart"/>
            <w:r w:rsidRPr="0081560A">
              <w:rPr>
                <w:rFonts w:ascii="微软雅黑" w:eastAsia="微软雅黑" w:hAnsi="微软雅黑" w:cs="宋体" w:hint="eastAsia"/>
                <w:color w:val="333333"/>
                <w:kern w:val="0"/>
                <w:sz w:val="27"/>
                <w:szCs w:val="27"/>
              </w:rPr>
              <w:t>金川区双湾片</w:t>
            </w:r>
            <w:proofErr w:type="gramEnd"/>
            <w:r w:rsidRPr="0081560A">
              <w:rPr>
                <w:rFonts w:ascii="微软雅黑" w:eastAsia="微软雅黑" w:hAnsi="微软雅黑" w:cs="宋体" w:hint="eastAsia"/>
                <w:color w:val="333333"/>
                <w:kern w:val="0"/>
                <w:sz w:val="27"/>
                <w:szCs w:val="27"/>
              </w:rPr>
              <w:t>区构建农产品外销基地，鼓励金昌源达农副果品、甘肃</w:t>
            </w:r>
            <w:proofErr w:type="gramStart"/>
            <w:r w:rsidRPr="0081560A">
              <w:rPr>
                <w:rFonts w:ascii="微软雅黑" w:eastAsia="微软雅黑" w:hAnsi="微软雅黑" w:cs="宋体" w:hint="eastAsia"/>
                <w:color w:val="333333"/>
                <w:kern w:val="0"/>
                <w:sz w:val="27"/>
                <w:szCs w:val="27"/>
              </w:rPr>
              <w:t>怡泉新</w:t>
            </w:r>
            <w:proofErr w:type="gramEnd"/>
            <w:r w:rsidRPr="0081560A">
              <w:rPr>
                <w:rFonts w:ascii="微软雅黑" w:eastAsia="微软雅黑" w:hAnsi="微软雅黑" w:cs="宋体" w:hint="eastAsia"/>
                <w:color w:val="333333"/>
                <w:kern w:val="0"/>
                <w:sz w:val="27"/>
                <w:szCs w:val="27"/>
              </w:rPr>
              <w:t>禾等农产品企业发展农产品网络营销和订单农业，支持农超、农餐、农校、农企、农批对接等产销衔接模式，夯实粤港澳“菜篮子”基地。到2025年，全市冷链物流库容面积超过100万立方米。</w:t>
            </w:r>
          </w:p>
          <w:p w14:paraId="0582C69D"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proofErr w:type="gramStart"/>
            <w:r w:rsidRPr="0081560A">
              <w:rPr>
                <w:rFonts w:ascii="微软雅黑" w:eastAsia="微软雅黑" w:hAnsi="微软雅黑" w:cs="宋体" w:hint="eastAsia"/>
                <w:color w:val="333333"/>
                <w:kern w:val="0"/>
                <w:sz w:val="27"/>
                <w:szCs w:val="27"/>
              </w:rPr>
              <w:t>构建路衍经济</w:t>
            </w:r>
            <w:proofErr w:type="gramEnd"/>
            <w:r w:rsidRPr="0081560A">
              <w:rPr>
                <w:rFonts w:ascii="微软雅黑" w:eastAsia="微软雅黑" w:hAnsi="微软雅黑" w:cs="宋体" w:hint="eastAsia"/>
                <w:color w:val="333333"/>
                <w:kern w:val="0"/>
                <w:sz w:val="27"/>
                <w:szCs w:val="27"/>
              </w:rPr>
              <w:t>产业链。依托金川机场、金昌铁路综合性货场和高速公路网，推动交通运输与文化旅游、现代农业、工业园区、现代物流等关联产业深度融合，</w:t>
            </w:r>
            <w:proofErr w:type="gramStart"/>
            <w:r w:rsidRPr="0081560A">
              <w:rPr>
                <w:rFonts w:ascii="微软雅黑" w:eastAsia="微软雅黑" w:hAnsi="微软雅黑" w:cs="宋体" w:hint="eastAsia"/>
                <w:color w:val="333333"/>
                <w:kern w:val="0"/>
                <w:sz w:val="27"/>
                <w:szCs w:val="27"/>
              </w:rPr>
              <w:t>促进路衍经济</w:t>
            </w:r>
            <w:proofErr w:type="gramEnd"/>
            <w:r w:rsidRPr="0081560A">
              <w:rPr>
                <w:rFonts w:ascii="微软雅黑" w:eastAsia="微软雅黑" w:hAnsi="微软雅黑" w:cs="宋体" w:hint="eastAsia"/>
                <w:color w:val="333333"/>
                <w:kern w:val="0"/>
                <w:sz w:val="27"/>
                <w:szCs w:val="27"/>
              </w:rPr>
              <w:t>快速发展。探索发展“服务区+”模式，发展餐饮、文旅、特产零售、加油加气、充电等多样化综合</w:t>
            </w:r>
            <w:r w:rsidRPr="0081560A">
              <w:rPr>
                <w:rFonts w:ascii="微软雅黑" w:eastAsia="微软雅黑" w:hAnsi="微软雅黑" w:cs="宋体" w:hint="eastAsia"/>
                <w:color w:val="333333"/>
                <w:kern w:val="0"/>
                <w:sz w:val="27"/>
                <w:szCs w:val="27"/>
              </w:rPr>
              <w:lastRenderedPageBreak/>
              <w:t>服务。建设多功能仓储基地、二次分装加工厂房等，发展仓储周转服务。推行广告设施与公路建设跟进，发展广告策划服务、</w:t>
            </w:r>
            <w:proofErr w:type="gramStart"/>
            <w:r w:rsidRPr="0081560A">
              <w:rPr>
                <w:rFonts w:ascii="微软雅黑" w:eastAsia="微软雅黑" w:hAnsi="微软雅黑" w:cs="宋体" w:hint="eastAsia"/>
                <w:color w:val="333333"/>
                <w:kern w:val="0"/>
                <w:sz w:val="27"/>
                <w:szCs w:val="27"/>
              </w:rPr>
              <w:t>文旅风光</w:t>
            </w:r>
            <w:proofErr w:type="gramEnd"/>
            <w:r w:rsidRPr="0081560A">
              <w:rPr>
                <w:rFonts w:ascii="微软雅黑" w:eastAsia="微软雅黑" w:hAnsi="微软雅黑" w:cs="宋体" w:hint="eastAsia"/>
                <w:color w:val="333333"/>
                <w:kern w:val="0"/>
                <w:sz w:val="27"/>
                <w:szCs w:val="27"/>
              </w:rPr>
              <w:t>景点推介服务和社会主义核心价值观宣传服务。</w:t>
            </w:r>
          </w:p>
          <w:p w14:paraId="050A3481"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构建城乡现代物流体系。加快构建现代物流网络，形成完善的市级物流园区、县级物流中心、乡镇农村分拨中心、农村货运网点四个层级的城乡物流体系。持续完善中天物流园、正安</w:t>
            </w:r>
            <w:proofErr w:type="gramStart"/>
            <w:r w:rsidRPr="0081560A">
              <w:rPr>
                <w:rFonts w:ascii="微软雅黑" w:eastAsia="微软雅黑" w:hAnsi="微软雅黑" w:cs="宋体" w:hint="eastAsia"/>
                <w:color w:val="333333"/>
                <w:kern w:val="0"/>
                <w:sz w:val="27"/>
                <w:szCs w:val="27"/>
              </w:rPr>
              <w:t>物流园服务</w:t>
            </w:r>
            <w:proofErr w:type="gramEnd"/>
            <w:r w:rsidRPr="0081560A">
              <w:rPr>
                <w:rFonts w:ascii="微软雅黑" w:eastAsia="微软雅黑" w:hAnsi="微软雅黑" w:cs="宋体" w:hint="eastAsia"/>
                <w:color w:val="333333"/>
                <w:kern w:val="0"/>
                <w:sz w:val="27"/>
                <w:szCs w:val="27"/>
              </w:rPr>
              <w:t>功能，引导物流企业延伸物流服务。加快推动物流枢纽和快递企业整合，多形式、多渠道、多类型发展农村物流快递业务。支持邮政等快递企业在农村扩容布点，建设连锁直营点、加盟点、代办点，发展面向乡村的快递物流。</w:t>
            </w:r>
          </w:p>
          <w:p w14:paraId="738CE691"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二、制造服务业</w:t>
            </w:r>
          </w:p>
          <w:p w14:paraId="7F76413B"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在有色金属新材料、新能源、化工循环、资源综合利用等重点领域积极构建制造服务业集群，全面提升制造业创新能力和生产效率。到2025年，</w:t>
            </w:r>
            <w:proofErr w:type="gramStart"/>
            <w:r w:rsidRPr="0081560A">
              <w:rPr>
                <w:rFonts w:ascii="微软雅黑" w:eastAsia="微软雅黑" w:hAnsi="微软雅黑" w:cs="宋体" w:hint="eastAsia"/>
                <w:color w:val="333333"/>
                <w:kern w:val="0"/>
                <w:sz w:val="27"/>
                <w:szCs w:val="27"/>
              </w:rPr>
              <w:t>规</w:t>
            </w:r>
            <w:proofErr w:type="gramEnd"/>
            <w:r w:rsidRPr="0081560A">
              <w:rPr>
                <w:rFonts w:ascii="微软雅黑" w:eastAsia="微软雅黑" w:hAnsi="微软雅黑" w:cs="宋体" w:hint="eastAsia"/>
                <w:color w:val="333333"/>
                <w:kern w:val="0"/>
                <w:sz w:val="27"/>
                <w:szCs w:val="27"/>
              </w:rPr>
              <w:t>上工业企业R&amp;D（研究与开发）投入占主营业务收入比例达到0.3%，全市高新技术企业数达到50家以上，有色金属新材料及生产性服务业产值占比超过43%。</w:t>
            </w:r>
          </w:p>
          <w:p w14:paraId="76B17EAC"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加快制造业创新设计发展。引导金川集团等企业加大对设计的投入和应用，逐步增强自主创新设计能力。完善工业设计中心体系建设，推进市级工业设计中心、工业设计企业建设。依托金昌宇恒镍网工业设计中心，强化印花镍网创新设计，研发生产新型高端圆筒印花镍网。围绕打造镍铜</w:t>
            </w:r>
            <w:proofErr w:type="gramStart"/>
            <w:r w:rsidRPr="0081560A">
              <w:rPr>
                <w:rFonts w:ascii="微软雅黑" w:eastAsia="微软雅黑" w:hAnsi="微软雅黑" w:cs="宋体" w:hint="eastAsia"/>
                <w:color w:val="333333"/>
                <w:kern w:val="0"/>
                <w:sz w:val="27"/>
                <w:szCs w:val="27"/>
              </w:rPr>
              <w:t>钴</w:t>
            </w:r>
            <w:proofErr w:type="gramEnd"/>
            <w:r w:rsidRPr="0081560A">
              <w:rPr>
                <w:rFonts w:ascii="微软雅黑" w:eastAsia="微软雅黑" w:hAnsi="微软雅黑" w:cs="宋体" w:hint="eastAsia"/>
                <w:color w:val="333333"/>
                <w:kern w:val="0"/>
                <w:sz w:val="27"/>
                <w:szCs w:val="27"/>
              </w:rPr>
              <w:t>新材料新能源产业创新集聚区，依托金昌经济技术开发区（金川民营经济产业园），建设中国镍都3D打印创新材</w:t>
            </w:r>
            <w:r w:rsidRPr="0081560A">
              <w:rPr>
                <w:rFonts w:ascii="微软雅黑" w:eastAsia="微软雅黑" w:hAnsi="微软雅黑" w:cs="宋体" w:hint="eastAsia"/>
                <w:color w:val="333333"/>
                <w:kern w:val="0"/>
                <w:sz w:val="27"/>
                <w:szCs w:val="27"/>
              </w:rPr>
              <w:lastRenderedPageBreak/>
              <w:t>料联合研究院，推广</w:t>
            </w:r>
            <w:proofErr w:type="gramStart"/>
            <w:r w:rsidRPr="0081560A">
              <w:rPr>
                <w:rFonts w:ascii="微软雅黑" w:eastAsia="微软雅黑" w:hAnsi="微软雅黑" w:cs="宋体" w:hint="eastAsia"/>
                <w:color w:val="333333"/>
                <w:kern w:val="0"/>
                <w:sz w:val="27"/>
                <w:szCs w:val="27"/>
              </w:rPr>
              <w:t>发展增材制</w:t>
            </w:r>
            <w:proofErr w:type="gramEnd"/>
            <w:r w:rsidRPr="0081560A">
              <w:rPr>
                <w:rFonts w:ascii="微软雅黑" w:eastAsia="微软雅黑" w:hAnsi="微软雅黑" w:cs="宋体" w:hint="eastAsia"/>
                <w:color w:val="333333"/>
                <w:kern w:val="0"/>
                <w:sz w:val="27"/>
                <w:szCs w:val="27"/>
              </w:rPr>
              <w:t>造产业全生命周期设计、高端综合设计和设计服务外包等模式。推进创新设计公共服务平台建设，探索发展众创设计、</w:t>
            </w:r>
            <w:proofErr w:type="gramStart"/>
            <w:r w:rsidRPr="0081560A">
              <w:rPr>
                <w:rFonts w:ascii="微软雅黑" w:eastAsia="微软雅黑" w:hAnsi="微软雅黑" w:cs="宋体" w:hint="eastAsia"/>
                <w:color w:val="333333"/>
                <w:kern w:val="0"/>
                <w:sz w:val="27"/>
                <w:szCs w:val="27"/>
              </w:rPr>
              <w:t>众包设计</w:t>
            </w:r>
            <w:proofErr w:type="gramEnd"/>
            <w:r w:rsidRPr="0081560A">
              <w:rPr>
                <w:rFonts w:ascii="微软雅黑" w:eastAsia="微软雅黑" w:hAnsi="微软雅黑" w:cs="宋体" w:hint="eastAsia"/>
                <w:color w:val="333333"/>
                <w:kern w:val="0"/>
                <w:sz w:val="27"/>
                <w:szCs w:val="27"/>
              </w:rPr>
              <w:t>、用户参与设计、云设计、网络协同设计等模式。夯实工艺设计发展基础，加强相关基础研究和关键共性技术研发，推动行业数据资源开发共享。鼓励工艺装备创新设计，推进工艺装备由通用向专用、由单机向连线、由机械化向智能化的持续升级。</w:t>
            </w:r>
          </w:p>
          <w:p w14:paraId="125591A3"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鼓励开展一体化解决方案服务。依托金川集团建设“硬件+软件+平台+服务”的集成系统，提供端到端的系统集成服务。积极推广总集成总承包服务，围绕有色金属新材料、新能源、化工循环、资源综合利用等产业领域，开展设施建设、检验检测、供应链管理、节能环保、专业维修等领域的总集成总承包。引导企业增强咨询设计、项目承接等系统解决能力，面向重点工程和重大项目，承揽设备成套、工程总承包（EPC）和交钥匙工程。围绕“一带一路”建设，支持金川集团工程建设公司、八冶建设公司等企业承接国际重大工程项目。深化国际产能和装备制造合作，带动关键技术创新和重大装备整体发展。</w:t>
            </w:r>
          </w:p>
          <w:p w14:paraId="77C0C525"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推广定制化服务。依托金川集团、瓮福、联</w:t>
            </w:r>
            <w:proofErr w:type="gramStart"/>
            <w:r w:rsidRPr="0081560A">
              <w:rPr>
                <w:rFonts w:ascii="微软雅黑" w:eastAsia="微软雅黑" w:hAnsi="微软雅黑" w:cs="宋体" w:hint="eastAsia"/>
                <w:color w:val="333333"/>
                <w:kern w:val="0"/>
                <w:sz w:val="27"/>
                <w:szCs w:val="27"/>
              </w:rPr>
              <w:t>凯</w:t>
            </w:r>
            <w:proofErr w:type="gramEnd"/>
            <w:r w:rsidRPr="0081560A">
              <w:rPr>
                <w:rFonts w:ascii="微软雅黑" w:eastAsia="微软雅黑" w:hAnsi="微软雅黑" w:cs="宋体" w:hint="eastAsia"/>
                <w:color w:val="333333"/>
                <w:kern w:val="0"/>
                <w:sz w:val="27"/>
                <w:szCs w:val="27"/>
              </w:rPr>
              <w:t>等企业增强新材料、高品质肥料、精细化工、机械装备等制造产业的定制设计和柔性制造能力，提升产品价值。推进生产制造关键环节组织调整和柔性化改造，形成对消费需求具有动态感知能力的设计、制造和服务新模式。支持开展大批量定制服务。培育个性化定制企业和平台，推动企</w:t>
            </w:r>
            <w:r w:rsidRPr="0081560A">
              <w:rPr>
                <w:rFonts w:ascii="微软雅黑" w:eastAsia="微软雅黑" w:hAnsi="微软雅黑" w:cs="宋体" w:hint="eastAsia"/>
                <w:color w:val="333333"/>
                <w:kern w:val="0"/>
                <w:sz w:val="27"/>
                <w:szCs w:val="27"/>
              </w:rPr>
              <w:lastRenderedPageBreak/>
              <w:t>业发展个性化定制、规模定制、高端定制，支持社会中介组织、产业园区和互联网企业搭建信息服务平台。</w:t>
            </w:r>
          </w:p>
          <w:p w14:paraId="39581FB7"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实施全生命周期管理服务。加快推动化工循环、资源综合利用、新能源产业领域企业延伸服务链条，从主要提供产品制造向提供产品和服务转变。引导制造业企业实施产品全生命周期管理（PLM），研发应用互联网平台和系统软件。积极推进共享制造平台建设，鼓励新能源装备、铸造设备等领域企业提高设备全生命周期管理水平。以便利客户使用为导向，推广电子交互技术手册，完善设备运输、演示安装、设备调试、客户培训等交付服务。创新按服务计费模式，健全产品营销服务体系。</w:t>
            </w:r>
          </w:p>
          <w:p w14:paraId="04C59251"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拓展制造服务业领域。抢抓航空产业发展机遇，建设甘肃（金昌）飞机歇泊港，有序推进飞机歇泊、通用航空、无人机试飞基地等项目落地建设，积极发展飞机拆解回收、飞机</w:t>
            </w:r>
            <w:proofErr w:type="gramStart"/>
            <w:r w:rsidRPr="0081560A">
              <w:rPr>
                <w:rFonts w:ascii="微软雅黑" w:eastAsia="微软雅黑" w:hAnsi="微软雅黑" w:cs="宋体" w:hint="eastAsia"/>
                <w:color w:val="333333"/>
                <w:kern w:val="0"/>
                <w:sz w:val="27"/>
                <w:szCs w:val="27"/>
              </w:rPr>
              <w:t>客改货</w:t>
            </w:r>
            <w:proofErr w:type="gramEnd"/>
            <w:r w:rsidRPr="0081560A">
              <w:rPr>
                <w:rFonts w:ascii="微软雅黑" w:eastAsia="微软雅黑" w:hAnsi="微软雅黑" w:cs="宋体" w:hint="eastAsia"/>
                <w:color w:val="333333"/>
                <w:kern w:val="0"/>
                <w:sz w:val="27"/>
                <w:szCs w:val="27"/>
              </w:rPr>
              <w:t>改装、机型验证、飞机维修养护和零部件制造、航空展览展示、航空主题旅游等产业。推进信息技术、业务流程、知识流程三大外包服务，依托金昌经开区、河西堡工业园区，加快发展金融保险、跨境电商、物流、呼叫中心等外包服务。支持金川集团、金</w:t>
            </w:r>
            <w:proofErr w:type="gramStart"/>
            <w:r w:rsidRPr="0081560A">
              <w:rPr>
                <w:rFonts w:ascii="微软雅黑" w:eastAsia="微软雅黑" w:hAnsi="微软雅黑" w:cs="宋体" w:hint="eastAsia"/>
                <w:color w:val="333333"/>
                <w:kern w:val="0"/>
                <w:sz w:val="27"/>
                <w:szCs w:val="27"/>
              </w:rPr>
              <w:t>泥集团</w:t>
            </w:r>
            <w:proofErr w:type="gramEnd"/>
            <w:r w:rsidRPr="0081560A">
              <w:rPr>
                <w:rFonts w:ascii="微软雅黑" w:eastAsia="微软雅黑" w:hAnsi="微软雅黑" w:cs="宋体" w:hint="eastAsia"/>
                <w:color w:val="333333"/>
                <w:kern w:val="0"/>
                <w:sz w:val="27"/>
                <w:szCs w:val="27"/>
              </w:rPr>
              <w:t>等企业在信息技术、研发设计、能源管理、财务管理、人力资源管理等领域广泛采用服务外包，积极承接离岸和在</w:t>
            </w:r>
            <w:proofErr w:type="gramStart"/>
            <w:r w:rsidRPr="0081560A">
              <w:rPr>
                <w:rFonts w:ascii="微软雅黑" w:eastAsia="微软雅黑" w:hAnsi="微软雅黑" w:cs="宋体" w:hint="eastAsia"/>
                <w:color w:val="333333"/>
                <w:kern w:val="0"/>
                <w:sz w:val="27"/>
                <w:szCs w:val="27"/>
              </w:rPr>
              <w:t>岸服</w:t>
            </w:r>
            <w:proofErr w:type="gramEnd"/>
            <w:r w:rsidRPr="0081560A">
              <w:rPr>
                <w:rFonts w:ascii="微软雅黑" w:eastAsia="微软雅黑" w:hAnsi="微软雅黑" w:cs="宋体" w:hint="eastAsia"/>
                <w:color w:val="333333"/>
                <w:kern w:val="0"/>
                <w:sz w:val="27"/>
                <w:szCs w:val="27"/>
              </w:rPr>
              <w:t>务外包业务，深度嵌入产业链运营管理。发展生产性租赁，拓展汽车租赁业务层次，发展医疗设备租赁服务，支持装备制造、新能源等领域的企业和服务运营商、各类投资机构设立融资租赁公司，开展资金交易、保理、保函、信用债等跨境融资业</w:t>
            </w:r>
            <w:r w:rsidRPr="0081560A">
              <w:rPr>
                <w:rFonts w:ascii="微软雅黑" w:eastAsia="微软雅黑" w:hAnsi="微软雅黑" w:cs="宋体" w:hint="eastAsia"/>
                <w:color w:val="333333"/>
                <w:kern w:val="0"/>
                <w:sz w:val="27"/>
                <w:szCs w:val="27"/>
              </w:rPr>
              <w:lastRenderedPageBreak/>
              <w:t>务。重点发展工业设备、风</w:t>
            </w:r>
            <w:proofErr w:type="gramStart"/>
            <w:r w:rsidRPr="0081560A">
              <w:rPr>
                <w:rFonts w:ascii="微软雅黑" w:eastAsia="微软雅黑" w:hAnsi="微软雅黑" w:cs="宋体" w:hint="eastAsia"/>
                <w:color w:val="333333"/>
                <w:kern w:val="0"/>
                <w:sz w:val="27"/>
                <w:szCs w:val="27"/>
              </w:rPr>
              <w:t>电光电</w:t>
            </w:r>
            <w:proofErr w:type="gramEnd"/>
            <w:r w:rsidRPr="0081560A">
              <w:rPr>
                <w:rFonts w:ascii="微软雅黑" w:eastAsia="微软雅黑" w:hAnsi="微软雅黑" w:cs="宋体" w:hint="eastAsia"/>
                <w:color w:val="333333"/>
                <w:kern w:val="0"/>
                <w:sz w:val="27"/>
                <w:szCs w:val="27"/>
              </w:rPr>
              <w:t>等大型装备的专业维修与售后服务，培育汽车售后服务市场。</w:t>
            </w:r>
          </w:p>
          <w:p w14:paraId="2A8AD0F2"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三、现代农业服务业</w:t>
            </w:r>
          </w:p>
          <w:p w14:paraId="2A7E8B23"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聚力</w:t>
            </w:r>
            <w:proofErr w:type="gramStart"/>
            <w:r w:rsidRPr="0081560A">
              <w:rPr>
                <w:rFonts w:ascii="微软雅黑" w:eastAsia="微软雅黑" w:hAnsi="微软雅黑" w:cs="宋体" w:hint="eastAsia"/>
                <w:color w:val="333333"/>
                <w:kern w:val="0"/>
                <w:sz w:val="27"/>
                <w:szCs w:val="27"/>
              </w:rPr>
              <w:t>打造菜草畜</w:t>
            </w:r>
            <w:proofErr w:type="gramEnd"/>
            <w:r w:rsidRPr="0081560A">
              <w:rPr>
                <w:rFonts w:ascii="微软雅黑" w:eastAsia="微软雅黑" w:hAnsi="微软雅黑" w:cs="宋体" w:hint="eastAsia"/>
                <w:color w:val="333333"/>
                <w:kern w:val="0"/>
                <w:sz w:val="27"/>
                <w:szCs w:val="27"/>
              </w:rPr>
              <w:t>高品质现代特色农业示范区，大力发展多层次多类型的农业生产性服务业。到2025年，农作物综合机械化率达到90%以上，农业科技进步贡献率达到75%，市级以上农业产业化重点龙头企业达到67家以上。</w:t>
            </w:r>
          </w:p>
          <w:p w14:paraId="53AC9288"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搭建农业综合服务平台。统筹和整合基层农业服务资源，加快完善供销合作社职能，拓展农业产业服务领域，搭建集农资供应、技术指导、动植物疫病防控、土地流转、农机作业、农产品营销等服务于一体的区域性农业综合服务平台，为农户提供“耕、种、管、收、加、储、销”一站式农业社会化服务。支持农业社会化服务组织信息化建设，鼓励利用新一代信息技术开展农业生产经营全程托管、农业植保、病虫害统防统治、农机作业、农业农村综合服务、农业气象“私人定制”等服务。</w:t>
            </w:r>
          </w:p>
          <w:p w14:paraId="1E7E5CED"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发展农机作业及维修服务。围绕“菜、草、畜”三大优势主导产业，优先引进推广大马力、高性能、复式作业机械，积极推广蔬菜机械化精量播种、蔬菜移栽、产后采收加工服务，大力发展智能化、高端农机装备。</w:t>
            </w:r>
            <w:proofErr w:type="gramStart"/>
            <w:r w:rsidRPr="0081560A">
              <w:rPr>
                <w:rFonts w:ascii="微软雅黑" w:eastAsia="微软雅黑" w:hAnsi="微软雅黑" w:cs="宋体" w:hint="eastAsia"/>
                <w:color w:val="333333"/>
                <w:kern w:val="0"/>
                <w:sz w:val="27"/>
                <w:szCs w:val="27"/>
              </w:rPr>
              <w:t>依托陇源农机</w:t>
            </w:r>
            <w:proofErr w:type="gramEnd"/>
            <w:r w:rsidRPr="0081560A">
              <w:rPr>
                <w:rFonts w:ascii="微软雅黑" w:eastAsia="微软雅黑" w:hAnsi="微软雅黑" w:cs="宋体" w:hint="eastAsia"/>
                <w:color w:val="333333"/>
                <w:kern w:val="0"/>
                <w:sz w:val="27"/>
                <w:szCs w:val="27"/>
              </w:rPr>
              <w:t>合作社等农机服务主体探索建设一批“全程机械化+综合农事”服务中心，为农户提供“一站式”田间服务。落实农机补贴相关政策，支持农机服务企业以及农村集体经济组织建设集中育秧、集中烘干、农机具存放等设施。</w:t>
            </w:r>
          </w:p>
          <w:p w14:paraId="70BFAAB0"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lastRenderedPageBreak/>
              <w:t>加强农技农艺服务。鼓励开展绿色高效技术服务，推进病虫害统防统治与全程绿色防控有机融合，加快实施病虫害绿色防控与专业化统防统治融合示范。推进水肥一体化，建立“水网+信息网+服务网”的三网合一模式，推进工程节水、农艺节水、管理节水有机结合，加快推广膜下滴灌、管灌、</w:t>
            </w:r>
            <w:proofErr w:type="gramStart"/>
            <w:r w:rsidRPr="0081560A">
              <w:rPr>
                <w:rFonts w:ascii="微软雅黑" w:eastAsia="微软雅黑" w:hAnsi="微软雅黑" w:cs="宋体" w:hint="eastAsia"/>
                <w:color w:val="333333"/>
                <w:kern w:val="0"/>
                <w:sz w:val="27"/>
                <w:szCs w:val="27"/>
              </w:rPr>
              <w:t>垄膜沟灌</w:t>
            </w:r>
            <w:proofErr w:type="gramEnd"/>
            <w:r w:rsidRPr="0081560A">
              <w:rPr>
                <w:rFonts w:ascii="微软雅黑" w:eastAsia="微软雅黑" w:hAnsi="微软雅黑" w:cs="宋体" w:hint="eastAsia"/>
                <w:color w:val="333333"/>
                <w:kern w:val="0"/>
                <w:sz w:val="27"/>
                <w:szCs w:val="27"/>
              </w:rPr>
              <w:t>等高效节水技术。支持元生农牧、居佳等企业发展，推动建立畜禽养殖废弃物收集、转化、利用三级服务网络，探索建立畜禽粪污处理和利用受益者付费机制。加快农膜、秸秆、</w:t>
            </w:r>
            <w:proofErr w:type="gramStart"/>
            <w:r w:rsidRPr="0081560A">
              <w:rPr>
                <w:rFonts w:ascii="微软雅黑" w:eastAsia="微软雅黑" w:hAnsi="微软雅黑" w:cs="宋体" w:hint="eastAsia"/>
                <w:color w:val="333333"/>
                <w:kern w:val="0"/>
                <w:sz w:val="27"/>
                <w:szCs w:val="27"/>
              </w:rPr>
              <w:t>尾菜等</w:t>
            </w:r>
            <w:proofErr w:type="gramEnd"/>
            <w:r w:rsidRPr="0081560A">
              <w:rPr>
                <w:rFonts w:ascii="微软雅黑" w:eastAsia="微软雅黑" w:hAnsi="微软雅黑" w:cs="宋体" w:hint="eastAsia"/>
                <w:color w:val="333333"/>
                <w:kern w:val="0"/>
                <w:sz w:val="27"/>
                <w:szCs w:val="27"/>
              </w:rPr>
              <w:t>农业废弃物回收处理服务，培育一批收储运社会化服务组织，促进资源循环利用。</w:t>
            </w:r>
          </w:p>
          <w:p w14:paraId="040423CB"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创新为农服务方式。发展托管式、订单式、平台式、站点式等综合性服务模式。总结推广“土地托管”“代耕代种”“联耕联种”“农业共营制”等农业生产托管形式。扩大农业生产全程社会化服务机制创新试点范围，打造一批农业生产全程社会化服务组织。探索发展农产品个性化定制、会展农业、</w:t>
            </w:r>
            <w:proofErr w:type="gramStart"/>
            <w:r w:rsidRPr="0081560A">
              <w:rPr>
                <w:rFonts w:ascii="微软雅黑" w:eastAsia="微软雅黑" w:hAnsi="微软雅黑" w:cs="宋体" w:hint="eastAsia"/>
                <w:color w:val="333333"/>
                <w:kern w:val="0"/>
                <w:sz w:val="27"/>
                <w:szCs w:val="27"/>
              </w:rPr>
              <w:t>农业众筹等</w:t>
            </w:r>
            <w:proofErr w:type="gramEnd"/>
            <w:r w:rsidRPr="0081560A">
              <w:rPr>
                <w:rFonts w:ascii="微软雅黑" w:eastAsia="微软雅黑" w:hAnsi="微软雅黑" w:cs="宋体" w:hint="eastAsia"/>
                <w:color w:val="333333"/>
                <w:kern w:val="0"/>
                <w:sz w:val="27"/>
                <w:szCs w:val="27"/>
              </w:rPr>
              <w:t>新型业态。创新农业技术推广服务机制，实现农业技术成果组装集成、试验示范和推广应用的无缝链接。</w:t>
            </w:r>
          </w:p>
          <w:p w14:paraId="2DDDCDFB"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推动智慧农业发展。以甘肃省农业科学院蔬菜研究所永昌试验站为依托，建设农业技术研发平台，推动农艺研究院、元生</w:t>
            </w:r>
            <w:proofErr w:type="gramStart"/>
            <w:r w:rsidRPr="0081560A">
              <w:rPr>
                <w:rFonts w:ascii="微软雅黑" w:eastAsia="微软雅黑" w:hAnsi="微软雅黑" w:cs="宋体" w:hint="eastAsia"/>
                <w:color w:val="333333"/>
                <w:kern w:val="0"/>
                <w:sz w:val="27"/>
                <w:szCs w:val="27"/>
              </w:rPr>
              <w:t>中新奶绵羊</w:t>
            </w:r>
            <w:proofErr w:type="gramEnd"/>
            <w:r w:rsidRPr="0081560A">
              <w:rPr>
                <w:rFonts w:ascii="微软雅黑" w:eastAsia="微软雅黑" w:hAnsi="微软雅黑" w:cs="宋体" w:hint="eastAsia"/>
                <w:color w:val="333333"/>
                <w:kern w:val="0"/>
                <w:sz w:val="27"/>
                <w:szCs w:val="27"/>
              </w:rPr>
              <w:t>产业研究院、苜蓿新品种研究院、绿色食品联合研发中心等创新载体建设。积极发展数字农业与智慧农业，建设农村农业数字化综合服务平台，推动信息平台与互联网、旅游、教育、文化、康养等产业深度融合，完善“买、卖、推、缴、代、取”六大功能，实现普通农户不</w:t>
            </w:r>
            <w:r w:rsidRPr="0081560A">
              <w:rPr>
                <w:rFonts w:ascii="微软雅黑" w:eastAsia="微软雅黑" w:hAnsi="微软雅黑" w:cs="宋体" w:hint="eastAsia"/>
                <w:color w:val="333333"/>
                <w:kern w:val="0"/>
                <w:sz w:val="27"/>
                <w:szCs w:val="27"/>
              </w:rPr>
              <w:lastRenderedPageBreak/>
              <w:t>出村、新型农业经营主体不出户就可享受便捷、高效的信息服务，打造智慧农业技术应用示范样板。</w:t>
            </w:r>
          </w:p>
          <w:p w14:paraId="3133E89B"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四、电子商务产业</w:t>
            </w:r>
          </w:p>
          <w:p w14:paraId="2F6F54A8"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聚焦推动电子商务提质增效，不断完善电子商务服务体系，引进培育一批知名电子商务企业，推动电子商务平台和产业集聚，促进线下线上生产生活消费协同发展，搭建“工业品下乡入村、农产品进城入市”的双向流通网络。到2025年，网络零售额达到17亿元，年均增长10%以上，其中，农产品网络零售额达到5.5亿元，年均增长10%以上。</w:t>
            </w:r>
          </w:p>
          <w:p w14:paraId="5D0F7C68"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改造提升电商园区。推进园区专业化建设，全面提升园区产业承载能力和配套服务能力，加快圆通速递金昌智慧创业园建设，着力推动金川区、永昌县中</w:t>
            </w:r>
            <w:proofErr w:type="gramStart"/>
            <w:r w:rsidRPr="0081560A">
              <w:rPr>
                <w:rFonts w:ascii="微软雅黑" w:eastAsia="微软雅黑" w:hAnsi="微软雅黑" w:cs="宋体" w:hint="eastAsia"/>
                <w:color w:val="333333"/>
                <w:kern w:val="0"/>
                <w:sz w:val="27"/>
                <w:szCs w:val="27"/>
              </w:rPr>
              <w:t>达创业</w:t>
            </w:r>
            <w:proofErr w:type="gramEnd"/>
            <w:r w:rsidRPr="0081560A">
              <w:rPr>
                <w:rFonts w:ascii="微软雅黑" w:eastAsia="微软雅黑" w:hAnsi="微软雅黑" w:cs="宋体" w:hint="eastAsia"/>
                <w:color w:val="333333"/>
                <w:kern w:val="0"/>
                <w:sz w:val="27"/>
                <w:szCs w:val="27"/>
              </w:rPr>
              <w:t>园扩规增容。支持金川区、永昌县中</w:t>
            </w:r>
            <w:proofErr w:type="gramStart"/>
            <w:r w:rsidRPr="0081560A">
              <w:rPr>
                <w:rFonts w:ascii="微软雅黑" w:eastAsia="微软雅黑" w:hAnsi="微软雅黑" w:cs="宋体" w:hint="eastAsia"/>
                <w:color w:val="333333"/>
                <w:kern w:val="0"/>
                <w:sz w:val="27"/>
                <w:szCs w:val="27"/>
              </w:rPr>
              <w:t>达创业园加强</w:t>
            </w:r>
            <w:proofErr w:type="gramEnd"/>
            <w:r w:rsidRPr="0081560A">
              <w:rPr>
                <w:rFonts w:ascii="微软雅黑" w:eastAsia="微软雅黑" w:hAnsi="微软雅黑" w:cs="宋体" w:hint="eastAsia"/>
                <w:color w:val="333333"/>
                <w:kern w:val="0"/>
                <w:sz w:val="27"/>
                <w:szCs w:val="27"/>
              </w:rPr>
              <w:t>与圆通、顺丰等物流企业合作，共同建设“快递+”助农电</w:t>
            </w:r>
            <w:proofErr w:type="gramStart"/>
            <w:r w:rsidRPr="0081560A">
              <w:rPr>
                <w:rFonts w:ascii="微软雅黑" w:eastAsia="微软雅黑" w:hAnsi="微软雅黑" w:cs="宋体" w:hint="eastAsia"/>
                <w:color w:val="333333"/>
                <w:kern w:val="0"/>
                <w:sz w:val="27"/>
                <w:szCs w:val="27"/>
              </w:rPr>
              <w:t>商创</w:t>
            </w:r>
            <w:proofErr w:type="gramEnd"/>
            <w:r w:rsidRPr="0081560A">
              <w:rPr>
                <w:rFonts w:ascii="微软雅黑" w:eastAsia="微软雅黑" w:hAnsi="微软雅黑" w:cs="宋体" w:hint="eastAsia"/>
                <w:color w:val="333333"/>
                <w:kern w:val="0"/>
                <w:sz w:val="27"/>
                <w:szCs w:val="27"/>
              </w:rPr>
              <w:t>业示范基地。鼓励支持电子商务产业园抱团发展，促进产业链上下游企业集聚发展，打造</w:t>
            </w:r>
            <w:proofErr w:type="gramStart"/>
            <w:r w:rsidRPr="0081560A">
              <w:rPr>
                <w:rFonts w:ascii="微软雅黑" w:eastAsia="微软雅黑" w:hAnsi="微软雅黑" w:cs="宋体" w:hint="eastAsia"/>
                <w:color w:val="333333"/>
                <w:kern w:val="0"/>
                <w:sz w:val="27"/>
                <w:szCs w:val="27"/>
              </w:rPr>
              <w:t>特色电</w:t>
            </w:r>
            <w:proofErr w:type="gramEnd"/>
            <w:r w:rsidRPr="0081560A">
              <w:rPr>
                <w:rFonts w:ascii="微软雅黑" w:eastAsia="微软雅黑" w:hAnsi="微软雅黑" w:cs="宋体" w:hint="eastAsia"/>
                <w:color w:val="333333"/>
                <w:kern w:val="0"/>
                <w:sz w:val="27"/>
                <w:szCs w:val="27"/>
              </w:rPr>
              <w:t>商园区。到2025年，将金川区、永昌县中</w:t>
            </w:r>
            <w:proofErr w:type="gramStart"/>
            <w:r w:rsidRPr="0081560A">
              <w:rPr>
                <w:rFonts w:ascii="微软雅黑" w:eastAsia="微软雅黑" w:hAnsi="微软雅黑" w:cs="宋体" w:hint="eastAsia"/>
                <w:color w:val="333333"/>
                <w:kern w:val="0"/>
                <w:sz w:val="27"/>
                <w:szCs w:val="27"/>
              </w:rPr>
              <w:t>达创业</w:t>
            </w:r>
            <w:proofErr w:type="gramEnd"/>
            <w:r w:rsidRPr="0081560A">
              <w:rPr>
                <w:rFonts w:ascii="微软雅黑" w:eastAsia="微软雅黑" w:hAnsi="微软雅黑" w:cs="宋体" w:hint="eastAsia"/>
                <w:color w:val="333333"/>
                <w:kern w:val="0"/>
                <w:sz w:val="27"/>
                <w:szCs w:val="27"/>
              </w:rPr>
              <w:t>园打造成为省内外有影响力的电子商务产业园区。</w:t>
            </w:r>
          </w:p>
          <w:p w14:paraId="362497A5"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proofErr w:type="gramStart"/>
            <w:r w:rsidRPr="0081560A">
              <w:rPr>
                <w:rFonts w:ascii="微软雅黑" w:eastAsia="微软雅黑" w:hAnsi="微软雅黑" w:cs="宋体" w:hint="eastAsia"/>
                <w:color w:val="333333"/>
                <w:kern w:val="0"/>
                <w:sz w:val="27"/>
                <w:szCs w:val="27"/>
              </w:rPr>
              <w:t>完善电</w:t>
            </w:r>
            <w:proofErr w:type="gramEnd"/>
            <w:r w:rsidRPr="0081560A">
              <w:rPr>
                <w:rFonts w:ascii="微软雅黑" w:eastAsia="微软雅黑" w:hAnsi="微软雅黑" w:cs="宋体" w:hint="eastAsia"/>
                <w:color w:val="333333"/>
                <w:kern w:val="0"/>
                <w:sz w:val="27"/>
                <w:szCs w:val="27"/>
              </w:rPr>
              <w:t>商公共服务平台。</w:t>
            </w:r>
            <w:proofErr w:type="gramStart"/>
            <w:r w:rsidRPr="0081560A">
              <w:rPr>
                <w:rFonts w:ascii="微软雅黑" w:eastAsia="微软雅黑" w:hAnsi="微软雅黑" w:cs="宋体" w:hint="eastAsia"/>
                <w:color w:val="333333"/>
                <w:kern w:val="0"/>
                <w:sz w:val="27"/>
                <w:szCs w:val="27"/>
              </w:rPr>
              <w:t>整合电</w:t>
            </w:r>
            <w:proofErr w:type="gramEnd"/>
            <w:r w:rsidRPr="0081560A">
              <w:rPr>
                <w:rFonts w:ascii="微软雅黑" w:eastAsia="微软雅黑" w:hAnsi="微软雅黑" w:cs="宋体" w:hint="eastAsia"/>
                <w:color w:val="333333"/>
                <w:kern w:val="0"/>
                <w:sz w:val="27"/>
                <w:szCs w:val="27"/>
              </w:rPr>
              <w:t>商资源，提供面向政府、企业及消费者多层面的信息发布、产销对接、技术服务、人才培训、信用管理等综合服务，打造集生产、经营、消费为一体的统一、开放、共享、共赢的“大数据、大整合、大服务”综合服务平台。完善</w:t>
            </w:r>
            <w:proofErr w:type="gramStart"/>
            <w:r w:rsidRPr="0081560A">
              <w:rPr>
                <w:rFonts w:ascii="微软雅黑" w:eastAsia="微软雅黑" w:hAnsi="微软雅黑" w:cs="宋体" w:hint="eastAsia"/>
                <w:color w:val="333333"/>
                <w:kern w:val="0"/>
                <w:sz w:val="27"/>
                <w:szCs w:val="27"/>
              </w:rPr>
              <w:t>全市网货</w:t>
            </w:r>
            <w:proofErr w:type="gramEnd"/>
            <w:r w:rsidRPr="0081560A">
              <w:rPr>
                <w:rFonts w:ascii="微软雅黑" w:eastAsia="微软雅黑" w:hAnsi="微软雅黑" w:cs="宋体" w:hint="eastAsia"/>
                <w:color w:val="333333"/>
                <w:kern w:val="0"/>
                <w:sz w:val="27"/>
                <w:szCs w:val="27"/>
              </w:rPr>
              <w:t>供应平台、同城电商平台和电商行业大数据可视化平台服务功能，推动全市电子商务快速发展。拓展深化电子商务在工业、农业、商贸</w:t>
            </w:r>
            <w:r w:rsidRPr="0081560A">
              <w:rPr>
                <w:rFonts w:ascii="微软雅黑" w:eastAsia="微软雅黑" w:hAnsi="微软雅黑" w:cs="宋体" w:hint="eastAsia"/>
                <w:color w:val="333333"/>
                <w:kern w:val="0"/>
                <w:sz w:val="27"/>
                <w:szCs w:val="27"/>
              </w:rPr>
              <w:lastRenderedPageBreak/>
              <w:t>流通等领域的应用发展，发展专业化电子商务外包服务，降低企业电子商务应用成本。推动物流企业与电商平台合作，建立与电子商务发展相适应的现代物流配送体系。</w:t>
            </w:r>
          </w:p>
          <w:p w14:paraId="34DA6411"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加快发展农村电子商务。发挥永昌县国家级电子商务进农村综合示范带动作用，大力发展无接触交易服务。创新农村电商模式，支持新型农业经营主体积极对接电商平台，开设地方特色馆，开展绿色食品推介活动和网络促销。着力推动农产品上线，推进供销社基层网点、村邮站、乡村农家店等改造为农村电</w:t>
            </w:r>
            <w:proofErr w:type="gramStart"/>
            <w:r w:rsidRPr="0081560A">
              <w:rPr>
                <w:rFonts w:ascii="微软雅黑" w:eastAsia="微软雅黑" w:hAnsi="微软雅黑" w:cs="宋体" w:hint="eastAsia"/>
                <w:color w:val="333333"/>
                <w:kern w:val="0"/>
                <w:sz w:val="27"/>
                <w:szCs w:val="27"/>
              </w:rPr>
              <w:t>商服务</w:t>
            </w:r>
            <w:proofErr w:type="gramEnd"/>
            <w:r w:rsidRPr="0081560A">
              <w:rPr>
                <w:rFonts w:ascii="微软雅黑" w:eastAsia="微软雅黑" w:hAnsi="微软雅黑" w:cs="宋体" w:hint="eastAsia"/>
                <w:color w:val="333333"/>
                <w:kern w:val="0"/>
                <w:sz w:val="27"/>
                <w:szCs w:val="27"/>
              </w:rPr>
              <w:t>点，加快与快递企业、农村物流网络的共享衔接。利用大数据分析开展农产品电商监测，提供农产品生产销售的智能决策参考，倒逼农产品生产标准化、规模化、品牌化。</w:t>
            </w:r>
          </w:p>
          <w:p w14:paraId="393DB2D3"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五、节能环保服务业</w:t>
            </w:r>
          </w:p>
          <w:p w14:paraId="0F02098B"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推进第三方节能环保服务体系建设，从供给</w:t>
            </w:r>
            <w:proofErr w:type="gramStart"/>
            <w:r w:rsidRPr="0081560A">
              <w:rPr>
                <w:rFonts w:ascii="微软雅黑" w:eastAsia="微软雅黑" w:hAnsi="微软雅黑" w:cs="宋体" w:hint="eastAsia"/>
                <w:color w:val="333333"/>
                <w:kern w:val="0"/>
                <w:sz w:val="27"/>
                <w:szCs w:val="27"/>
              </w:rPr>
              <w:t>侧推进</w:t>
            </w:r>
            <w:proofErr w:type="gramEnd"/>
            <w:r w:rsidRPr="0081560A">
              <w:rPr>
                <w:rFonts w:ascii="微软雅黑" w:eastAsia="微软雅黑" w:hAnsi="微软雅黑" w:cs="宋体" w:hint="eastAsia"/>
                <w:color w:val="333333"/>
                <w:kern w:val="0"/>
                <w:sz w:val="27"/>
                <w:szCs w:val="27"/>
              </w:rPr>
              <w:t>节能环保产业扩大规模、提高层级、延长链条，推动经济向绿色、低碳、循环方向转型。</w:t>
            </w:r>
          </w:p>
          <w:p w14:paraId="5C34D882"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培育服务机构。</w:t>
            </w:r>
            <w:proofErr w:type="gramStart"/>
            <w:r w:rsidRPr="0081560A">
              <w:rPr>
                <w:rFonts w:ascii="微软雅黑" w:eastAsia="微软雅黑" w:hAnsi="微软雅黑" w:cs="宋体" w:hint="eastAsia"/>
                <w:color w:val="333333"/>
                <w:kern w:val="0"/>
                <w:sz w:val="27"/>
                <w:szCs w:val="27"/>
              </w:rPr>
              <w:t>围绕碳排放权</w:t>
            </w:r>
            <w:proofErr w:type="gramEnd"/>
            <w:r w:rsidRPr="0081560A">
              <w:rPr>
                <w:rFonts w:ascii="微软雅黑" w:eastAsia="微软雅黑" w:hAnsi="微软雅黑" w:cs="宋体" w:hint="eastAsia"/>
                <w:color w:val="333333"/>
                <w:kern w:val="0"/>
                <w:sz w:val="27"/>
                <w:szCs w:val="27"/>
              </w:rPr>
              <w:t>和排污权交易，依托金川集团等大型骨干企业，着力发展一批能提供节能设计、咨询、审计、能源管理等服务的第三</w:t>
            </w:r>
            <w:proofErr w:type="gramStart"/>
            <w:r w:rsidRPr="0081560A">
              <w:rPr>
                <w:rFonts w:ascii="微软雅黑" w:eastAsia="微软雅黑" w:hAnsi="微软雅黑" w:cs="宋体" w:hint="eastAsia"/>
                <w:color w:val="333333"/>
                <w:kern w:val="0"/>
                <w:sz w:val="27"/>
                <w:szCs w:val="27"/>
              </w:rPr>
              <w:t>方服</w:t>
            </w:r>
            <w:proofErr w:type="gramEnd"/>
            <w:r w:rsidRPr="0081560A">
              <w:rPr>
                <w:rFonts w:ascii="微软雅黑" w:eastAsia="微软雅黑" w:hAnsi="微软雅黑" w:cs="宋体" w:hint="eastAsia"/>
                <w:color w:val="333333"/>
                <w:kern w:val="0"/>
                <w:sz w:val="27"/>
                <w:szCs w:val="27"/>
              </w:rPr>
              <w:t>务公司。支持金川镍钴研究设计院、八冶设计院、市规划建筑设计院等积极</w:t>
            </w:r>
            <w:proofErr w:type="gramStart"/>
            <w:r w:rsidRPr="0081560A">
              <w:rPr>
                <w:rFonts w:ascii="微软雅黑" w:eastAsia="微软雅黑" w:hAnsi="微软雅黑" w:cs="宋体" w:hint="eastAsia"/>
                <w:color w:val="333333"/>
                <w:kern w:val="0"/>
                <w:sz w:val="27"/>
                <w:szCs w:val="27"/>
              </w:rPr>
              <w:t>拓展省</w:t>
            </w:r>
            <w:proofErr w:type="gramEnd"/>
            <w:r w:rsidRPr="0081560A">
              <w:rPr>
                <w:rFonts w:ascii="微软雅黑" w:eastAsia="微软雅黑" w:hAnsi="微软雅黑" w:cs="宋体" w:hint="eastAsia"/>
                <w:color w:val="333333"/>
                <w:kern w:val="0"/>
                <w:sz w:val="27"/>
                <w:szCs w:val="27"/>
              </w:rPr>
              <w:t>内外业务。鼓励企业与大专院校、科研单位合作，逐步形成节能环保工程设计、施工和运营总承包于一体的服务产业链。积极引导相关企业加大研发投入，组织开展业务培训，提升从业人员业务技能。</w:t>
            </w:r>
          </w:p>
          <w:p w14:paraId="7262EA36"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lastRenderedPageBreak/>
              <w:t>大力发展节能服务。创新节能服务模式，建立完善能源审计、能效评估、节能环保产品认证、节能监测等第三方节能服务体系，以先进适用技术装备应用为手段，强化技术节能服务。积极申报行业能效领跑者，推动铜冶炼、镍冶炼综合能耗继续保持国内先进水平。优化合同能源管理模式，发展节能诊断、方案设计、节能系统建设运行等服务。推行合同节水管理，探索工业水循环利用设施、集中建筑中水设施委托运营服务机制，开展节水设计、改造、计量和咨询等服务，提供整体解决方案。</w:t>
            </w:r>
            <w:proofErr w:type="gramStart"/>
            <w:r w:rsidRPr="0081560A">
              <w:rPr>
                <w:rFonts w:ascii="微软雅黑" w:eastAsia="微软雅黑" w:hAnsi="微软雅黑" w:cs="宋体" w:hint="eastAsia"/>
                <w:color w:val="333333"/>
                <w:kern w:val="0"/>
                <w:sz w:val="27"/>
                <w:szCs w:val="27"/>
              </w:rPr>
              <w:t>以碳达峰</w:t>
            </w:r>
            <w:proofErr w:type="gramEnd"/>
            <w:r w:rsidRPr="0081560A">
              <w:rPr>
                <w:rFonts w:ascii="微软雅黑" w:eastAsia="微软雅黑" w:hAnsi="微软雅黑" w:cs="宋体" w:hint="eastAsia"/>
                <w:color w:val="333333"/>
                <w:kern w:val="0"/>
                <w:sz w:val="27"/>
                <w:szCs w:val="27"/>
              </w:rPr>
              <w:t>、碳中和目标为引领，开展低碳技术产业化应用服务、碳核查、碳交易、碳金融、</w:t>
            </w:r>
            <w:proofErr w:type="gramStart"/>
            <w:r w:rsidRPr="0081560A">
              <w:rPr>
                <w:rFonts w:ascii="微软雅黑" w:eastAsia="微软雅黑" w:hAnsi="微软雅黑" w:cs="宋体" w:hint="eastAsia"/>
                <w:color w:val="333333"/>
                <w:kern w:val="0"/>
                <w:sz w:val="27"/>
                <w:szCs w:val="27"/>
              </w:rPr>
              <w:t>碳资</w:t>
            </w:r>
            <w:proofErr w:type="gramEnd"/>
            <w:r w:rsidRPr="0081560A">
              <w:rPr>
                <w:rFonts w:ascii="微软雅黑" w:eastAsia="微软雅黑" w:hAnsi="微软雅黑" w:cs="宋体" w:hint="eastAsia"/>
                <w:color w:val="333333"/>
                <w:kern w:val="0"/>
                <w:sz w:val="27"/>
                <w:szCs w:val="27"/>
              </w:rPr>
              <w:t>产管理服务等第三方服务。</w:t>
            </w:r>
          </w:p>
          <w:p w14:paraId="57C0048A"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积极发展环保服务。加快发展环境调查、环境规划与设计、环境风险评价、环境影响评价、环境工程监理、环境监测、清洁生产审核等环保咨询服务业，稳步发展生态修复、土壤污染治理、环境损害评估、环境认证、环境污染责任保险等新兴环保服务业。围绕工程建设领域推进环境基础设施建设运营市场化，采取政府和社会资本合作（PPP）、特许经营、委托运营等方式推进项目管理承包、工程总承包+系统托管运营的环保服务总承包商模式。推广产业园区、小城镇环境综合治理托管试点。</w:t>
            </w:r>
          </w:p>
          <w:p w14:paraId="7C7B03C3"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加快发展资源循环利用服务。围绕巩固提升循环经济示范城市建设水平，依托金川集团镍钴资源综合利用国家重点实验室、镍钴资源综合利用专业</w:t>
            </w:r>
            <w:proofErr w:type="gramStart"/>
            <w:r w:rsidRPr="0081560A">
              <w:rPr>
                <w:rFonts w:ascii="微软雅黑" w:eastAsia="微软雅黑" w:hAnsi="微软雅黑" w:cs="宋体" w:hint="eastAsia"/>
                <w:color w:val="333333"/>
                <w:kern w:val="0"/>
                <w:sz w:val="27"/>
                <w:szCs w:val="27"/>
              </w:rPr>
              <w:t>众创空间</w:t>
            </w:r>
            <w:proofErr w:type="gramEnd"/>
            <w:r w:rsidRPr="0081560A">
              <w:rPr>
                <w:rFonts w:ascii="微软雅黑" w:eastAsia="微软雅黑" w:hAnsi="微软雅黑" w:cs="宋体" w:hint="eastAsia"/>
                <w:color w:val="333333"/>
                <w:kern w:val="0"/>
                <w:sz w:val="27"/>
                <w:szCs w:val="27"/>
              </w:rPr>
              <w:t>等载体，加大尾矿、镍铜冶炼废渣、电石渣、磷石膏等工业固废、</w:t>
            </w:r>
            <w:proofErr w:type="gramStart"/>
            <w:r w:rsidRPr="0081560A">
              <w:rPr>
                <w:rFonts w:ascii="微软雅黑" w:eastAsia="微软雅黑" w:hAnsi="微软雅黑" w:cs="宋体" w:hint="eastAsia"/>
                <w:color w:val="333333"/>
                <w:kern w:val="0"/>
                <w:sz w:val="27"/>
                <w:szCs w:val="27"/>
              </w:rPr>
              <w:t>危废资</w:t>
            </w:r>
            <w:proofErr w:type="gramEnd"/>
            <w:r w:rsidRPr="0081560A">
              <w:rPr>
                <w:rFonts w:ascii="微软雅黑" w:eastAsia="微软雅黑" w:hAnsi="微软雅黑" w:cs="宋体" w:hint="eastAsia"/>
                <w:color w:val="333333"/>
                <w:kern w:val="0"/>
                <w:sz w:val="27"/>
                <w:szCs w:val="27"/>
              </w:rPr>
              <w:t>源综合利用技术创新力度，开展资源回收</w:t>
            </w:r>
            <w:r w:rsidRPr="0081560A">
              <w:rPr>
                <w:rFonts w:ascii="微软雅黑" w:eastAsia="微软雅黑" w:hAnsi="微软雅黑" w:cs="宋体" w:hint="eastAsia"/>
                <w:color w:val="333333"/>
                <w:kern w:val="0"/>
                <w:sz w:val="27"/>
                <w:szCs w:val="27"/>
              </w:rPr>
              <w:lastRenderedPageBreak/>
              <w:t>利用科技攻关，突破“卡脖子”技术，加快推进叶林工业固废综合利用、甘肃佰利联冶炼副产硫酸及</w:t>
            </w:r>
            <w:proofErr w:type="gramStart"/>
            <w:r w:rsidRPr="0081560A">
              <w:rPr>
                <w:rFonts w:ascii="微软雅黑" w:eastAsia="微软雅黑" w:hAnsi="微软雅黑" w:cs="宋体" w:hint="eastAsia"/>
                <w:color w:val="333333"/>
                <w:kern w:val="0"/>
                <w:sz w:val="27"/>
                <w:szCs w:val="27"/>
              </w:rPr>
              <w:t>氯碱废电石</w:t>
            </w:r>
            <w:proofErr w:type="gramEnd"/>
            <w:r w:rsidRPr="0081560A">
              <w:rPr>
                <w:rFonts w:ascii="微软雅黑" w:eastAsia="微软雅黑" w:hAnsi="微软雅黑" w:cs="宋体" w:hint="eastAsia"/>
                <w:color w:val="333333"/>
                <w:kern w:val="0"/>
                <w:sz w:val="27"/>
                <w:szCs w:val="27"/>
              </w:rPr>
              <w:t>渣综合利用生产40万吨合成金红石等项目建设。开展尾矿库专业化委托管理，建立尾矿管理与综合利用相衔接的治理模式。加大建筑垃圾再生利用，生活垃圾、餐厨垃圾等无害化处理，推进废旧汽车、废旧电池等城市矿产资源回收利用服务。</w:t>
            </w:r>
          </w:p>
          <w:p w14:paraId="164C43AF"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拓展新能源产业服务。大力发展光伏清洗、维护等业态，引进和推广无人机巡检、清洗机器人、智能巡检APP等专业化信息化工具，建设智能电站管理系统。围绕打造新能源千亿产业链，加快培育电池制造与回收利用产业链，推动形成电池制造、电池回收利用为一体的生产服务基地。探索新能源与微电储、大电网储</w:t>
            </w:r>
            <w:proofErr w:type="gramStart"/>
            <w:r w:rsidRPr="0081560A">
              <w:rPr>
                <w:rFonts w:ascii="微软雅黑" w:eastAsia="微软雅黑" w:hAnsi="微软雅黑" w:cs="宋体" w:hint="eastAsia"/>
                <w:color w:val="333333"/>
                <w:kern w:val="0"/>
                <w:sz w:val="27"/>
                <w:szCs w:val="27"/>
              </w:rPr>
              <w:t>等发储用</w:t>
            </w:r>
            <w:proofErr w:type="gramEnd"/>
            <w:r w:rsidRPr="0081560A">
              <w:rPr>
                <w:rFonts w:ascii="微软雅黑" w:eastAsia="微软雅黑" w:hAnsi="微软雅黑" w:cs="宋体" w:hint="eastAsia"/>
                <w:color w:val="333333"/>
                <w:kern w:val="0"/>
                <w:sz w:val="27"/>
                <w:szCs w:val="27"/>
              </w:rPr>
              <w:t>一体化商业应用模式，推动能源高效管理和交易。规划建设新能源数据中心，打造新能源产业集群和数字平台示范，构建新能源数据共享、调度、运行一张“网”。</w:t>
            </w:r>
          </w:p>
          <w:p w14:paraId="06CD3D29"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六、人力资源服务业</w:t>
            </w:r>
          </w:p>
          <w:p w14:paraId="0AB0044C"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支持鼓励社会资本及企业发展人力资源管理、培训服务，统筹职业学院、技工学校、社会培训机构资源配置。“十四五”期间，累计完成职业技能培训5万人。</w:t>
            </w:r>
          </w:p>
          <w:p w14:paraId="1DA18624"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深化职业技术教育。深化产教融合、校企合作，深入推进育人方式、办学模式、管理体制、保障机制改革。以甘肃有色冶金职业技术学院和金昌市理工中等专业学校为主体，全面开展职业培训和成人继续教育等多元教育服务，培育一批产教融合发展企业。以甘肃有色冶</w:t>
            </w:r>
            <w:r w:rsidRPr="0081560A">
              <w:rPr>
                <w:rFonts w:ascii="微软雅黑" w:eastAsia="微软雅黑" w:hAnsi="微软雅黑" w:cs="宋体" w:hint="eastAsia"/>
                <w:color w:val="333333"/>
                <w:kern w:val="0"/>
                <w:sz w:val="27"/>
                <w:szCs w:val="27"/>
              </w:rPr>
              <w:lastRenderedPageBreak/>
              <w:t>金职业技术学院为主体，创建立足金昌本土的以有色金属新材料、精细化工、新能源专业</w:t>
            </w:r>
            <w:proofErr w:type="gramStart"/>
            <w:r w:rsidRPr="0081560A">
              <w:rPr>
                <w:rFonts w:ascii="微软雅黑" w:eastAsia="微软雅黑" w:hAnsi="微软雅黑" w:cs="宋体" w:hint="eastAsia"/>
                <w:color w:val="333333"/>
                <w:kern w:val="0"/>
                <w:sz w:val="27"/>
                <w:szCs w:val="27"/>
              </w:rPr>
              <w:t>群为主</w:t>
            </w:r>
            <w:proofErr w:type="gramEnd"/>
            <w:r w:rsidRPr="0081560A">
              <w:rPr>
                <w:rFonts w:ascii="微软雅黑" w:eastAsia="微软雅黑" w:hAnsi="微软雅黑" w:cs="宋体" w:hint="eastAsia"/>
                <w:color w:val="333333"/>
                <w:kern w:val="0"/>
                <w:sz w:val="27"/>
                <w:szCs w:val="27"/>
              </w:rPr>
              <w:t>的应用型本科院校。结合有色冶金产业优势，新建高等职业院校，高标准高水平推进金昌开放大学建设。依托金昌国家数字化学习资源中心、金昌学历继续教育服务中心、金昌市社区教育指导中心，促进开放教育、社区教育、职业教育和非学历教育培训“四位一体”协调发展。</w:t>
            </w:r>
          </w:p>
          <w:p w14:paraId="58A3E533"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拓展服务领域。加快建设人力资源市场，依托各级各类劳务市场，为用工单位和务工人员提供就业政策咨询、职业介绍、职业指导、求职登记、招聘洽谈、用工信息发布、权益维护等一站式劳务综合服务。鼓励发展招聘、人力资源服务外包和管理咨询、高级人才寻访等业态，规范发展人力资源事务代理、人才测评和技能鉴定、人力资源培训、劳务派遣等服务。深化校企合作，支持培训及实训基地建设。加快推进教育培训信息化建设，发展远程教育、网络培训、线上授课服务。</w:t>
            </w:r>
          </w:p>
          <w:p w14:paraId="229CB25E"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加快高技能人才培育。鼓励企业加快推进高技能人才培养基地建设，拓展生产性服务业高技能人才培训项目。探索建立市</w:t>
            </w:r>
            <w:proofErr w:type="gramStart"/>
            <w:r w:rsidRPr="0081560A">
              <w:rPr>
                <w:rFonts w:ascii="微软雅黑" w:eastAsia="微软雅黑" w:hAnsi="微软雅黑" w:cs="宋体" w:hint="eastAsia"/>
                <w:color w:val="333333"/>
                <w:kern w:val="0"/>
                <w:sz w:val="27"/>
                <w:szCs w:val="27"/>
              </w:rPr>
              <w:t>企人才</w:t>
            </w:r>
            <w:proofErr w:type="gramEnd"/>
            <w:r w:rsidRPr="0081560A">
              <w:rPr>
                <w:rFonts w:ascii="微软雅黑" w:eastAsia="微软雅黑" w:hAnsi="微软雅黑" w:cs="宋体" w:hint="eastAsia"/>
                <w:color w:val="333333"/>
                <w:kern w:val="0"/>
                <w:sz w:val="27"/>
                <w:szCs w:val="27"/>
              </w:rPr>
              <w:t>资源共建共享机制，实现全市人才资源配置效益最大化。继续组织开展“首席技师”和“金昌工匠”等高技能人才选拔工作，不断提升技能人才能力素质。围绕有色金属新材料、新能源、数字经济、化工循环、资源综合利用、</w:t>
            </w:r>
            <w:proofErr w:type="gramStart"/>
            <w:r w:rsidRPr="0081560A">
              <w:rPr>
                <w:rFonts w:ascii="微软雅黑" w:eastAsia="微软雅黑" w:hAnsi="微软雅黑" w:cs="宋体" w:hint="eastAsia"/>
                <w:color w:val="333333"/>
                <w:kern w:val="0"/>
                <w:sz w:val="27"/>
                <w:szCs w:val="27"/>
              </w:rPr>
              <w:t>高品质菜草畜</w:t>
            </w:r>
            <w:proofErr w:type="gramEnd"/>
            <w:r w:rsidRPr="0081560A">
              <w:rPr>
                <w:rFonts w:ascii="微软雅黑" w:eastAsia="微软雅黑" w:hAnsi="微软雅黑" w:cs="宋体" w:hint="eastAsia"/>
                <w:color w:val="333333"/>
                <w:kern w:val="0"/>
                <w:sz w:val="27"/>
                <w:szCs w:val="27"/>
              </w:rPr>
              <w:t>等重点产业需求，采取灵活多样的方式，加大柔性引才引智力度，吸引国内企事业单位专业技术和管理人才来金兼职兼薪，按劳取酬。实施“人才归根”计划，吸引在外优</w:t>
            </w:r>
            <w:r w:rsidRPr="0081560A">
              <w:rPr>
                <w:rFonts w:ascii="微软雅黑" w:eastAsia="微软雅黑" w:hAnsi="微软雅黑" w:cs="宋体" w:hint="eastAsia"/>
                <w:color w:val="333333"/>
                <w:kern w:val="0"/>
                <w:sz w:val="27"/>
                <w:szCs w:val="27"/>
              </w:rPr>
              <w:lastRenderedPageBreak/>
              <w:t>秀人才智力、项目、技术、信息“归根回流”。强化人才创新平台建设，加快建成一批院士专家工作站、协同创新基地、科技孵化器、工程（技术）中心、科技示范园区等创新平台。支持企业引进高层次急需紧缺人才，强化对高层次人才公寓、教育、医疗等基本生活保障。加大科技特派员工作支持力度，壮大科技特派员队伍。</w:t>
            </w:r>
          </w:p>
          <w:p w14:paraId="707375A5"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七、商务服务业</w:t>
            </w:r>
          </w:p>
          <w:p w14:paraId="18752F4F"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大力推动商务服务业创新提升，加快引进和培育一批具有较强影响力和竞争力的现代商务服务业龙头企业和特色商务服务品牌，</w:t>
            </w:r>
            <w:proofErr w:type="gramStart"/>
            <w:r w:rsidRPr="0081560A">
              <w:rPr>
                <w:rFonts w:ascii="微软雅黑" w:eastAsia="微软雅黑" w:hAnsi="微软雅黑" w:cs="宋体" w:hint="eastAsia"/>
                <w:color w:val="333333"/>
                <w:kern w:val="0"/>
                <w:sz w:val="27"/>
                <w:szCs w:val="27"/>
              </w:rPr>
              <w:t>助力全市</w:t>
            </w:r>
            <w:proofErr w:type="gramEnd"/>
            <w:r w:rsidRPr="0081560A">
              <w:rPr>
                <w:rFonts w:ascii="微软雅黑" w:eastAsia="微软雅黑" w:hAnsi="微软雅黑" w:cs="宋体" w:hint="eastAsia"/>
                <w:color w:val="333333"/>
                <w:kern w:val="0"/>
                <w:sz w:val="27"/>
                <w:szCs w:val="27"/>
              </w:rPr>
              <w:t>现代服务业发展和新旧动能转换。</w:t>
            </w:r>
          </w:p>
          <w:p w14:paraId="62A4A09F"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扩大商务咨询服务领域。积极发展市场调查、工程设计、咨询评估、法律、会计审计、信用中介、经济代理、广告等专业咨询服务，提高专业化水平。培育和引进以会计、审计、资产评估、工程咨询、税务为主的专业资质商务服务机构，强化城市高端服务功能。积极主办和</w:t>
            </w:r>
            <w:proofErr w:type="gramStart"/>
            <w:r w:rsidRPr="0081560A">
              <w:rPr>
                <w:rFonts w:ascii="微软雅黑" w:eastAsia="微软雅黑" w:hAnsi="微软雅黑" w:cs="宋体" w:hint="eastAsia"/>
                <w:color w:val="333333"/>
                <w:kern w:val="0"/>
                <w:sz w:val="27"/>
                <w:szCs w:val="27"/>
              </w:rPr>
              <w:t>承接省</w:t>
            </w:r>
            <w:proofErr w:type="gramEnd"/>
            <w:r w:rsidRPr="0081560A">
              <w:rPr>
                <w:rFonts w:ascii="微软雅黑" w:eastAsia="微软雅黑" w:hAnsi="微软雅黑" w:cs="宋体" w:hint="eastAsia"/>
                <w:color w:val="333333"/>
                <w:kern w:val="0"/>
                <w:sz w:val="27"/>
                <w:szCs w:val="27"/>
              </w:rPr>
              <w:t>内外重点展会，加大对金昌骊靬文化国际旅游节、金昌香草文化旅游节等重点展（节）会的支持力度，进一步提升展（节）会规模和档次。积极组织企业</w:t>
            </w:r>
            <w:proofErr w:type="gramStart"/>
            <w:r w:rsidRPr="0081560A">
              <w:rPr>
                <w:rFonts w:ascii="微软雅黑" w:eastAsia="微软雅黑" w:hAnsi="微软雅黑" w:cs="宋体" w:hint="eastAsia"/>
                <w:color w:val="333333"/>
                <w:kern w:val="0"/>
                <w:sz w:val="27"/>
                <w:szCs w:val="27"/>
              </w:rPr>
              <w:t>参加进博会</w:t>
            </w:r>
            <w:proofErr w:type="gramEnd"/>
            <w:r w:rsidRPr="0081560A">
              <w:rPr>
                <w:rFonts w:ascii="微软雅黑" w:eastAsia="微软雅黑" w:hAnsi="微软雅黑" w:cs="宋体" w:hint="eastAsia"/>
                <w:color w:val="333333"/>
                <w:kern w:val="0"/>
                <w:sz w:val="27"/>
                <w:szCs w:val="27"/>
              </w:rPr>
              <w:t>、广交会、工业设计博览会等国家级展会，搭建对外合作平台。</w:t>
            </w:r>
          </w:p>
          <w:p w14:paraId="60B2D312"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提升商务咨询服务水平。加快推动商务服务向专业化、规模化、网络化发展，引导商务咨询企业以促进产业转型升级为重点，提升商务咨询服务能力。鼓励各类社会资本以独资、合资、参股联营等多种形式提供商务服务，加快培育有竞争力的服务机构。支持商务咨询专业人才队伍建设，建立商务咨询服务业职业评价制度和信用管理体</w:t>
            </w:r>
            <w:r w:rsidRPr="0081560A">
              <w:rPr>
                <w:rFonts w:ascii="微软雅黑" w:eastAsia="微软雅黑" w:hAnsi="微软雅黑" w:cs="宋体" w:hint="eastAsia"/>
                <w:color w:val="333333"/>
                <w:kern w:val="0"/>
                <w:sz w:val="27"/>
                <w:szCs w:val="27"/>
              </w:rPr>
              <w:lastRenderedPageBreak/>
              <w:t>系。围绕大数据、互联网等数据信息服务企业，开展咨询设计、集成、运维、测试、系统解决方案和信息安全等服务。</w:t>
            </w:r>
          </w:p>
          <w:p w14:paraId="4758352D" w14:textId="77777777" w:rsidR="0081560A" w:rsidRPr="0081560A" w:rsidRDefault="0081560A" w:rsidP="0081560A">
            <w:pPr>
              <w:widowControl/>
              <w:spacing w:line="450" w:lineRule="atLeast"/>
              <w:ind w:firstLine="480"/>
              <w:jc w:val="left"/>
              <w:outlineLvl w:val="0"/>
              <w:rPr>
                <w:rFonts w:ascii="Times New Roman" w:eastAsia="微软雅黑" w:hAnsi="Times New Roman" w:cs="Times New Roman"/>
                <w:b/>
                <w:bCs/>
                <w:color w:val="333333"/>
                <w:kern w:val="36"/>
                <w:sz w:val="44"/>
                <w:szCs w:val="44"/>
              </w:rPr>
            </w:pPr>
            <w:r w:rsidRPr="0081560A">
              <w:rPr>
                <w:rFonts w:ascii="Times New Roman" w:eastAsia="微软雅黑" w:hAnsi="Times New Roman" w:cs="Times New Roman"/>
                <w:b/>
                <w:bCs/>
                <w:color w:val="333333"/>
                <w:kern w:val="36"/>
                <w:sz w:val="27"/>
                <w:szCs w:val="27"/>
              </w:rPr>
              <w:t>第四章</w:t>
            </w:r>
            <w:r w:rsidRPr="0081560A">
              <w:rPr>
                <w:rFonts w:ascii="Times New Roman" w:eastAsia="微软雅黑" w:hAnsi="Times New Roman" w:cs="Times New Roman"/>
                <w:b/>
                <w:bCs/>
                <w:color w:val="333333"/>
                <w:kern w:val="36"/>
                <w:sz w:val="27"/>
                <w:szCs w:val="27"/>
              </w:rPr>
              <w:t>  </w:t>
            </w:r>
            <w:r w:rsidRPr="0081560A">
              <w:rPr>
                <w:rFonts w:ascii="Times New Roman" w:eastAsia="微软雅黑" w:hAnsi="Times New Roman" w:cs="Times New Roman"/>
                <w:b/>
                <w:bCs/>
                <w:color w:val="333333"/>
                <w:kern w:val="36"/>
                <w:sz w:val="27"/>
                <w:szCs w:val="27"/>
              </w:rPr>
              <w:t>推进生活性服务业优化升级</w:t>
            </w:r>
          </w:p>
          <w:p w14:paraId="1DFCDECF"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坚持以提升质量、打造品牌为导向，提升传统消费，培育新型消费，增加公共消费，建设特色商业街区、夜间消费集聚区，推动消费创新提质，满足人民群众多样化、精细化、品质</w:t>
            </w:r>
            <w:proofErr w:type="gramStart"/>
            <w:r w:rsidRPr="0081560A">
              <w:rPr>
                <w:rFonts w:ascii="微软雅黑" w:eastAsia="微软雅黑" w:hAnsi="微软雅黑" w:cs="宋体" w:hint="eastAsia"/>
                <w:color w:val="333333"/>
                <w:kern w:val="0"/>
                <w:sz w:val="27"/>
                <w:szCs w:val="27"/>
              </w:rPr>
              <w:t>化消费</w:t>
            </w:r>
            <w:proofErr w:type="gramEnd"/>
            <w:r w:rsidRPr="0081560A">
              <w:rPr>
                <w:rFonts w:ascii="微软雅黑" w:eastAsia="微软雅黑" w:hAnsi="微软雅黑" w:cs="宋体" w:hint="eastAsia"/>
                <w:color w:val="333333"/>
                <w:kern w:val="0"/>
                <w:sz w:val="27"/>
                <w:szCs w:val="27"/>
              </w:rPr>
              <w:t>需求。</w:t>
            </w:r>
          </w:p>
          <w:p w14:paraId="08FC6E6A"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一、现代商贸服务业</w:t>
            </w:r>
          </w:p>
          <w:p w14:paraId="5724895C"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坚持传统住宿餐饮、批发零售服务向精准化、特色化、绿色化、品质化提升，加快发展品牌化、体验式、互动性、综合型大商贸。“十四五”期间，累计建成城市综合体2个、大型综合超市2个。</w:t>
            </w:r>
          </w:p>
          <w:p w14:paraId="2FB678BF"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创新住宿餐饮新业态。围绕吃住行游购娱提档升级，积极发展紫金赏花、工矿探奇、火星探秘等创意</w:t>
            </w:r>
            <w:proofErr w:type="gramStart"/>
            <w:r w:rsidRPr="0081560A">
              <w:rPr>
                <w:rFonts w:ascii="微软雅黑" w:eastAsia="微软雅黑" w:hAnsi="微软雅黑" w:cs="宋体" w:hint="eastAsia"/>
                <w:color w:val="333333"/>
                <w:kern w:val="0"/>
                <w:sz w:val="27"/>
                <w:szCs w:val="27"/>
              </w:rPr>
              <w:t>型主题</w:t>
            </w:r>
            <w:proofErr w:type="gramEnd"/>
            <w:r w:rsidRPr="0081560A">
              <w:rPr>
                <w:rFonts w:ascii="微软雅黑" w:eastAsia="微软雅黑" w:hAnsi="微软雅黑" w:cs="宋体" w:hint="eastAsia"/>
                <w:color w:val="333333"/>
                <w:kern w:val="0"/>
                <w:sz w:val="27"/>
                <w:szCs w:val="27"/>
              </w:rPr>
              <w:t>酒店，提供多样化、多层次的服务产品，</w:t>
            </w:r>
            <w:proofErr w:type="gramStart"/>
            <w:r w:rsidRPr="0081560A">
              <w:rPr>
                <w:rFonts w:ascii="微软雅黑" w:eastAsia="微软雅黑" w:hAnsi="微软雅黑" w:cs="宋体" w:hint="eastAsia"/>
                <w:color w:val="333333"/>
                <w:kern w:val="0"/>
                <w:sz w:val="27"/>
                <w:szCs w:val="27"/>
              </w:rPr>
              <w:t>构建酒</w:t>
            </w:r>
            <w:proofErr w:type="gramEnd"/>
            <w:r w:rsidRPr="0081560A">
              <w:rPr>
                <w:rFonts w:ascii="微软雅黑" w:eastAsia="微软雅黑" w:hAnsi="微软雅黑" w:cs="宋体" w:hint="eastAsia"/>
                <w:color w:val="333333"/>
                <w:kern w:val="0"/>
                <w:sz w:val="27"/>
                <w:szCs w:val="27"/>
              </w:rPr>
              <w:t>店业多元发展格局。加快发展特色精品民宿，引进专业、高端民宿企业，打造一批“花城人家”“丝路人家”“骊靬人家”创意精品民宿。加快发展餐饮集聚区，围绕休闲街区、交通节点、旅游景区等规划建设特色突出、文化浓郁、风格各异的美食店、美食街、美食集聚区、休闲夜市，形成独具金昌特色的主题餐饮集群。着力发展大众化餐饮，持续开展绿色饭店创建工作。加快构建新型餐饮供应链体系，以中央厨房集中配送项目为示范，支持餐饮企业发展中央厨房新业态。</w:t>
            </w:r>
          </w:p>
          <w:p w14:paraId="06430790"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推行批发零售新模式。优化完善批发零售服务设施，鼓励发展城乡商贸综合服务中心和农贸市场，构建布局合理、功能完善、供需匹</w:t>
            </w:r>
            <w:r w:rsidRPr="0081560A">
              <w:rPr>
                <w:rFonts w:ascii="微软雅黑" w:eastAsia="微软雅黑" w:hAnsi="微软雅黑" w:cs="宋体" w:hint="eastAsia"/>
                <w:color w:val="333333"/>
                <w:kern w:val="0"/>
                <w:sz w:val="27"/>
                <w:szCs w:val="27"/>
              </w:rPr>
              <w:lastRenderedPageBreak/>
              <w:t>配的商贸设施。构建便捷、安全、优质、多元的城乡现代商贸网络。创新发展商贸新业态，加快内外市场、城乡区域、线上线下融合，提升发展城市商业。完善市场和特色商业街区布局，以城市聚集区为依托，引导扶持金昌文化街、金昌印象、</w:t>
            </w:r>
            <w:proofErr w:type="gramStart"/>
            <w:r w:rsidRPr="0081560A">
              <w:rPr>
                <w:rFonts w:ascii="微软雅黑" w:eastAsia="微软雅黑" w:hAnsi="微软雅黑" w:cs="宋体" w:hint="eastAsia"/>
                <w:color w:val="333333"/>
                <w:kern w:val="0"/>
                <w:sz w:val="27"/>
                <w:szCs w:val="27"/>
              </w:rPr>
              <w:t>骊</w:t>
            </w:r>
            <w:proofErr w:type="gramEnd"/>
            <w:r w:rsidRPr="0081560A">
              <w:rPr>
                <w:rFonts w:ascii="微软雅黑" w:eastAsia="微软雅黑" w:hAnsi="微软雅黑" w:cs="宋体" w:hint="eastAsia"/>
                <w:color w:val="333333"/>
                <w:kern w:val="0"/>
                <w:sz w:val="27"/>
                <w:szCs w:val="27"/>
              </w:rPr>
              <w:t>靬文化街等特色文化旅游商业街区发展。大力发展夜间经济，加快推动金昌印象、国芳万和城等夜间经济集聚区发展，带动周边购物中心、大型百货商场联动发展。推进智慧商圈建设，积极发展数字化服务，促进体验消费、定制消费、时尚消费、智能消费等发展。</w:t>
            </w:r>
          </w:p>
          <w:p w14:paraId="5485E06D"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二、便民服务业</w:t>
            </w:r>
          </w:p>
          <w:p w14:paraId="2EFF8985"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围绕城乡居民衣食住行，以提升便利度和改善服务体验为导向，不断提升社区、托育、家政、居民住房、出行等便民服务的质量和水平，促进居民生活服务多样化、精细化、个性化发展。</w:t>
            </w:r>
          </w:p>
          <w:p w14:paraId="1C4B7794"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加强社区服务。加快社区服务体系建设，构建高效快捷社区生活服务圈。完善社区服务网点，推动建设集餐饮、家政、托幼、维修等基本生活服务于一体的消费服务中心，打造15分钟便民生活服务圈，完善社区生活“一站式”服务功能。充分利用互联网技术，拓展“微生活”“云社区”等社区服务模式。支持洗染、维修、美容美发等行业依托已有电商平台或自有服务平台，开展上门取送、到家服务等业务，促进个性化、精细化家庭服务发展。推进农村社区建设，畅通多元主体参与农村社区建设渠道。</w:t>
            </w:r>
          </w:p>
          <w:p w14:paraId="16372E74"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扩大家政服务。建立完善供给充分、服务便捷、管理规范、惠及城乡的家政服务体系。加快成立家政服务行业协会，推进家政服务规</w:t>
            </w:r>
            <w:r w:rsidRPr="0081560A">
              <w:rPr>
                <w:rFonts w:ascii="微软雅黑" w:eastAsia="微软雅黑" w:hAnsi="微软雅黑" w:cs="宋体" w:hint="eastAsia"/>
                <w:color w:val="333333"/>
                <w:kern w:val="0"/>
                <w:sz w:val="27"/>
                <w:szCs w:val="27"/>
              </w:rPr>
              <w:lastRenderedPageBreak/>
              <w:t>范化和职业化建设，支持家政企业品牌化、连锁化、平台化发展。推动保洁、保姆、护理、搬家等传统家政服务多元化整合，拓展精神陪伴、育婴早教、居家养老等现代服务。实施巾帼家政服务专项培训工程，推进培训机构开设家政相关专业，加大家政服务人员培训力度。大力发展“互联网+家政”等新业态，发展集聚家政服务企业的信息平台，引导各类家政服务信息平台提供面向老龄人口和特殊人群的在线咨询、法律援助、健康保险、医疗护理、快递等服务。持续推进家政服务业与智慧社区、养老托育等融合发展。</w:t>
            </w:r>
          </w:p>
          <w:p w14:paraId="5DFDC8C5"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完善住房服务。优化住房供需结构，强化住房居住属性，构建以政府为主提供基本保障、以市场为主满足多层次需求的住房供应体系。加强房地产市场监管，引导房地产估价、房地产经纪、土地评估和登记代理机构规模化、专业化发展。建立房地产企业信用档案，加强土地登记代理制度建设，健全行业资信体系。着力培育多元化租赁住房供应主体，多渠道筹集租赁房源，建设租购并举的住房体系。加大城市老旧小区加装电梯等适老化改造力度。加快建设物业管理信息化平台，进一步完善经营管理体系，推动物业服务专业化、标准化、优质化。</w:t>
            </w:r>
          </w:p>
          <w:p w14:paraId="6C0C02FB"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提升出行服务。建设以人为本的慢行交通系统，提高公交车、自行车等不同交通方式换乘便利化程度，构建畅通便捷、经济高效的公交和慢行交通网络。推进新能源汽车租赁服务站点设立，开展电动汽车接驳服务。合理设置公共自行车租赁、</w:t>
            </w:r>
            <w:proofErr w:type="gramStart"/>
            <w:r w:rsidRPr="0081560A">
              <w:rPr>
                <w:rFonts w:ascii="微软雅黑" w:eastAsia="微软雅黑" w:hAnsi="微软雅黑" w:cs="宋体" w:hint="eastAsia"/>
                <w:color w:val="333333"/>
                <w:kern w:val="0"/>
                <w:sz w:val="27"/>
                <w:szCs w:val="27"/>
              </w:rPr>
              <w:t>拼车搭乘</w:t>
            </w:r>
            <w:proofErr w:type="gramEnd"/>
            <w:r w:rsidRPr="0081560A">
              <w:rPr>
                <w:rFonts w:ascii="微软雅黑" w:eastAsia="微软雅黑" w:hAnsi="微软雅黑" w:cs="宋体" w:hint="eastAsia"/>
                <w:color w:val="333333"/>
                <w:kern w:val="0"/>
                <w:sz w:val="27"/>
                <w:szCs w:val="27"/>
              </w:rPr>
              <w:t>和出租车停靠设施。优先建设立体停车、地下停车设施。依托金昌智慧城市建设，加</w:t>
            </w:r>
            <w:r w:rsidRPr="0081560A">
              <w:rPr>
                <w:rFonts w:ascii="微软雅黑" w:eastAsia="微软雅黑" w:hAnsi="微软雅黑" w:cs="宋体" w:hint="eastAsia"/>
                <w:color w:val="333333"/>
                <w:kern w:val="0"/>
                <w:sz w:val="27"/>
                <w:szCs w:val="27"/>
              </w:rPr>
              <w:lastRenderedPageBreak/>
              <w:t>快建设智慧交通系统，建立交通数据实时采集发布共享和运营调度平台，提供道路交通实时路况、出租车即时呼叫、智能停车引导、公共交通信息等服务。持续推进农村客运线路公交化运行，探索建立农村</w:t>
            </w:r>
            <w:proofErr w:type="gramStart"/>
            <w:r w:rsidRPr="0081560A">
              <w:rPr>
                <w:rFonts w:ascii="微软雅黑" w:eastAsia="微软雅黑" w:hAnsi="微软雅黑" w:cs="宋体" w:hint="eastAsia"/>
                <w:color w:val="333333"/>
                <w:kern w:val="0"/>
                <w:sz w:val="27"/>
                <w:szCs w:val="27"/>
              </w:rPr>
              <w:t>客运约车平台</w:t>
            </w:r>
            <w:proofErr w:type="gramEnd"/>
            <w:r w:rsidRPr="0081560A">
              <w:rPr>
                <w:rFonts w:ascii="微软雅黑" w:eastAsia="微软雅黑" w:hAnsi="微软雅黑" w:cs="宋体" w:hint="eastAsia"/>
                <w:color w:val="333333"/>
                <w:kern w:val="0"/>
                <w:sz w:val="27"/>
                <w:szCs w:val="27"/>
              </w:rPr>
              <w:t>，推进农村客运信息化、智能化。</w:t>
            </w:r>
          </w:p>
          <w:p w14:paraId="23DB5A16"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三、文化旅游产业</w:t>
            </w:r>
          </w:p>
          <w:p w14:paraId="311BBE0F"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积极融入大敦煌文化旅游圈，坚持突出特色、差异竞争、错位发展，深度挖掘和用好工业文化、红色文化、传统文化等资源，以文化为引领、旅游为主体，做大做</w:t>
            </w:r>
            <w:proofErr w:type="gramStart"/>
            <w:r w:rsidRPr="0081560A">
              <w:rPr>
                <w:rFonts w:ascii="微软雅黑" w:eastAsia="微软雅黑" w:hAnsi="微软雅黑" w:cs="宋体" w:hint="eastAsia"/>
                <w:color w:val="333333"/>
                <w:kern w:val="0"/>
                <w:sz w:val="27"/>
                <w:szCs w:val="27"/>
              </w:rPr>
              <w:t>强旅游</w:t>
            </w:r>
            <w:proofErr w:type="gramEnd"/>
            <w:r w:rsidRPr="0081560A">
              <w:rPr>
                <w:rFonts w:ascii="微软雅黑" w:eastAsia="微软雅黑" w:hAnsi="微软雅黑" w:cs="宋体" w:hint="eastAsia"/>
                <w:color w:val="333333"/>
                <w:kern w:val="0"/>
                <w:sz w:val="27"/>
                <w:szCs w:val="27"/>
              </w:rPr>
              <w:t>产业，推动</w:t>
            </w:r>
            <w:proofErr w:type="gramStart"/>
            <w:r w:rsidRPr="0081560A">
              <w:rPr>
                <w:rFonts w:ascii="微软雅黑" w:eastAsia="微软雅黑" w:hAnsi="微软雅黑" w:cs="宋体" w:hint="eastAsia"/>
                <w:color w:val="333333"/>
                <w:kern w:val="0"/>
                <w:sz w:val="27"/>
                <w:szCs w:val="27"/>
              </w:rPr>
              <w:t>文旅创</w:t>
            </w:r>
            <w:proofErr w:type="gramEnd"/>
            <w:r w:rsidRPr="0081560A">
              <w:rPr>
                <w:rFonts w:ascii="微软雅黑" w:eastAsia="微软雅黑" w:hAnsi="微软雅黑" w:cs="宋体" w:hint="eastAsia"/>
                <w:color w:val="333333"/>
                <w:kern w:val="0"/>
                <w:sz w:val="27"/>
                <w:szCs w:val="27"/>
              </w:rPr>
              <w:t>造精品。到2025年，旅游总收入达到43亿元，年均增长8%以上。</w:t>
            </w:r>
          </w:p>
          <w:p w14:paraId="1057048B"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增强创意文化服务。鼓励文化馆、博物馆、美术馆、图书馆等公共文化机构挖掘特色文化资源，加强与文创企业、高等院校等开展合作，开展文化创意研发，创新文化产品和服务内容。加强旅游纪念品创意设计，深度挖掘民俗、历史、区位等文化内涵，策划包装一批</w:t>
            </w:r>
            <w:proofErr w:type="gramStart"/>
            <w:r w:rsidRPr="0081560A">
              <w:rPr>
                <w:rFonts w:ascii="微软雅黑" w:eastAsia="微软雅黑" w:hAnsi="微软雅黑" w:cs="宋体" w:hint="eastAsia"/>
                <w:color w:val="333333"/>
                <w:kern w:val="0"/>
                <w:sz w:val="27"/>
                <w:szCs w:val="27"/>
              </w:rPr>
              <w:t>特色化文创</w:t>
            </w:r>
            <w:proofErr w:type="gramEnd"/>
            <w:r w:rsidRPr="0081560A">
              <w:rPr>
                <w:rFonts w:ascii="微软雅黑" w:eastAsia="微软雅黑" w:hAnsi="微软雅黑" w:cs="宋体" w:hint="eastAsia"/>
                <w:color w:val="333333"/>
                <w:kern w:val="0"/>
                <w:sz w:val="27"/>
                <w:szCs w:val="27"/>
              </w:rPr>
              <w:t>产品。积极发展文化娱乐、互动新媒体、移动多媒体等新兴文化业态，推进数字影视、数字出版、动漫游戏等文化创意产业发展。</w:t>
            </w:r>
          </w:p>
          <w:p w14:paraId="7555F9B9"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打造创意文化载体。依托花卉文化产业基地、云步菁华创意文化产业园和</w:t>
            </w:r>
            <w:proofErr w:type="gramStart"/>
            <w:r w:rsidRPr="0081560A">
              <w:rPr>
                <w:rFonts w:ascii="微软雅黑" w:eastAsia="微软雅黑" w:hAnsi="微软雅黑" w:cs="宋体" w:hint="eastAsia"/>
                <w:color w:val="333333"/>
                <w:kern w:val="0"/>
                <w:sz w:val="27"/>
                <w:szCs w:val="27"/>
              </w:rPr>
              <w:t>骊</w:t>
            </w:r>
            <w:proofErr w:type="gramEnd"/>
            <w:r w:rsidRPr="0081560A">
              <w:rPr>
                <w:rFonts w:ascii="微软雅黑" w:eastAsia="微软雅黑" w:hAnsi="微软雅黑" w:cs="宋体" w:hint="eastAsia"/>
                <w:color w:val="333333"/>
                <w:kern w:val="0"/>
                <w:sz w:val="27"/>
                <w:szCs w:val="27"/>
              </w:rPr>
              <w:t>靬文化产业园，大力培育文化创意产品开发市场主体和平台，实施“文化创意+博物馆”工程。积极开发“文旅+文创+文娱”项目，推动文化创意与科技、金融、旅游、体育等相关产业融合发展。依托火星1号基地，打造“航天”创意产业基地。挖掘开发历史再现、活态传承等</w:t>
            </w:r>
            <w:proofErr w:type="gramStart"/>
            <w:r w:rsidRPr="0081560A">
              <w:rPr>
                <w:rFonts w:ascii="微软雅黑" w:eastAsia="微软雅黑" w:hAnsi="微软雅黑" w:cs="宋体" w:hint="eastAsia"/>
                <w:color w:val="333333"/>
                <w:kern w:val="0"/>
                <w:sz w:val="27"/>
                <w:szCs w:val="27"/>
              </w:rPr>
              <w:t>非遗类节目</w:t>
            </w:r>
            <w:proofErr w:type="gramEnd"/>
            <w:r w:rsidRPr="0081560A">
              <w:rPr>
                <w:rFonts w:ascii="微软雅黑" w:eastAsia="微软雅黑" w:hAnsi="微软雅黑" w:cs="宋体" w:hint="eastAsia"/>
                <w:color w:val="333333"/>
                <w:kern w:val="0"/>
                <w:sz w:val="27"/>
                <w:szCs w:val="27"/>
              </w:rPr>
              <w:t>和民俗文化小品。加速形成</w:t>
            </w:r>
            <w:proofErr w:type="gramStart"/>
            <w:r w:rsidRPr="0081560A">
              <w:rPr>
                <w:rFonts w:ascii="微软雅黑" w:eastAsia="微软雅黑" w:hAnsi="微软雅黑" w:cs="宋体" w:hint="eastAsia"/>
                <w:color w:val="333333"/>
                <w:kern w:val="0"/>
                <w:sz w:val="27"/>
                <w:szCs w:val="27"/>
              </w:rPr>
              <w:t>以动漫影视</w:t>
            </w:r>
            <w:proofErr w:type="gramEnd"/>
            <w:r w:rsidRPr="0081560A">
              <w:rPr>
                <w:rFonts w:ascii="微软雅黑" w:eastAsia="微软雅黑" w:hAnsi="微软雅黑" w:cs="宋体" w:hint="eastAsia"/>
                <w:color w:val="333333"/>
                <w:kern w:val="0"/>
                <w:sz w:val="27"/>
                <w:szCs w:val="27"/>
              </w:rPr>
              <w:lastRenderedPageBreak/>
              <w:t>制作、工业设计、文化演艺为主导，旅游文化开发为延伸，创意产品开发、艺术品交易、工矿业建筑遗存开发利用等为辅助的文</w:t>
            </w:r>
            <w:proofErr w:type="gramStart"/>
            <w:r w:rsidRPr="0081560A">
              <w:rPr>
                <w:rFonts w:ascii="微软雅黑" w:eastAsia="微软雅黑" w:hAnsi="微软雅黑" w:cs="宋体" w:hint="eastAsia"/>
                <w:color w:val="333333"/>
                <w:kern w:val="0"/>
                <w:sz w:val="27"/>
                <w:szCs w:val="27"/>
              </w:rPr>
              <w:t>创产</w:t>
            </w:r>
            <w:proofErr w:type="gramEnd"/>
            <w:r w:rsidRPr="0081560A">
              <w:rPr>
                <w:rFonts w:ascii="微软雅黑" w:eastAsia="微软雅黑" w:hAnsi="微软雅黑" w:cs="宋体" w:hint="eastAsia"/>
                <w:color w:val="333333"/>
                <w:kern w:val="0"/>
                <w:sz w:val="27"/>
                <w:szCs w:val="27"/>
              </w:rPr>
              <w:t>业体系，做</w:t>
            </w:r>
            <w:proofErr w:type="gramStart"/>
            <w:r w:rsidRPr="0081560A">
              <w:rPr>
                <w:rFonts w:ascii="微软雅黑" w:eastAsia="微软雅黑" w:hAnsi="微软雅黑" w:cs="宋体" w:hint="eastAsia"/>
                <w:color w:val="333333"/>
                <w:kern w:val="0"/>
                <w:sz w:val="27"/>
                <w:szCs w:val="27"/>
              </w:rPr>
              <w:t>强文</w:t>
            </w:r>
            <w:proofErr w:type="gramEnd"/>
            <w:r w:rsidRPr="0081560A">
              <w:rPr>
                <w:rFonts w:ascii="微软雅黑" w:eastAsia="微软雅黑" w:hAnsi="微软雅黑" w:cs="宋体" w:hint="eastAsia"/>
                <w:color w:val="333333"/>
                <w:kern w:val="0"/>
                <w:sz w:val="27"/>
                <w:szCs w:val="27"/>
              </w:rPr>
              <w:t>化创意产业链，打造河西地区重要的文化创意中心。</w:t>
            </w:r>
          </w:p>
          <w:p w14:paraId="7E5A1501"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培育新型文化业态。促进文化产业“上云用数赋智”，推动线上线下融合，培育壮大云演艺、云展览、数字艺术、沉浸式体验等新型文化业态。支持政府与企业、社区等社会力量合作方式，依托各级中心图书馆，采用自动化设备和RFID技术，探索建设24小时开放条件的场馆型自助公共图书馆，打造城市书房建设“15分钟文化圈”。推进实体书店与新媒体平台深度融合，培育消费新场景，大力发展线上线下阅读，建设“书香金昌”。加强长城、长征等历史文化研究，突出各自整体的辨识度。</w:t>
            </w:r>
          </w:p>
          <w:p w14:paraId="60E4CFA8"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优化旅游基础环境。深入挖掘地域特色文化内涵，精心打造三角城遗址、泉沟风光、长城长征文化公园建设、</w:t>
            </w:r>
            <w:proofErr w:type="gramStart"/>
            <w:r w:rsidRPr="0081560A">
              <w:rPr>
                <w:rFonts w:ascii="微软雅黑" w:eastAsia="微软雅黑" w:hAnsi="微软雅黑" w:cs="宋体" w:hint="eastAsia"/>
                <w:color w:val="333333"/>
                <w:kern w:val="0"/>
                <w:sz w:val="27"/>
                <w:szCs w:val="27"/>
              </w:rPr>
              <w:t>骊</w:t>
            </w:r>
            <w:proofErr w:type="gramEnd"/>
            <w:r w:rsidRPr="0081560A">
              <w:rPr>
                <w:rFonts w:ascii="微软雅黑" w:eastAsia="微软雅黑" w:hAnsi="微软雅黑" w:cs="宋体" w:hint="eastAsia"/>
                <w:color w:val="333333"/>
                <w:kern w:val="0"/>
                <w:sz w:val="27"/>
                <w:szCs w:val="27"/>
              </w:rPr>
              <w:t>靬文化产业园、等特色旅游项目，做大做强“中国镍都·西部花城”品牌。推动“紫金花城·神秘</w:t>
            </w:r>
            <w:proofErr w:type="gramStart"/>
            <w:r w:rsidRPr="0081560A">
              <w:rPr>
                <w:rFonts w:ascii="微软雅黑" w:eastAsia="微软雅黑" w:hAnsi="微软雅黑" w:cs="宋体" w:hint="eastAsia"/>
                <w:color w:val="333333"/>
                <w:kern w:val="0"/>
                <w:sz w:val="27"/>
                <w:szCs w:val="27"/>
              </w:rPr>
              <w:t>骊</w:t>
            </w:r>
            <w:proofErr w:type="gramEnd"/>
            <w:r w:rsidRPr="0081560A">
              <w:rPr>
                <w:rFonts w:ascii="微软雅黑" w:eastAsia="微软雅黑" w:hAnsi="微软雅黑" w:cs="宋体" w:hint="eastAsia"/>
                <w:color w:val="333333"/>
                <w:kern w:val="0"/>
                <w:sz w:val="27"/>
                <w:szCs w:val="27"/>
              </w:rPr>
              <w:t>靬”大景区整体升级，整合永昌北海子湿地国家公园、北武当山景区等旅游资源，建设永昌丝路骊靬生态文化旅游景区。强化金川国家矿山公园等景区配套基础设施建设，争创国家5A级旅游景区。优化旅游产品结构，延伸和拓展多元化</w:t>
            </w:r>
            <w:proofErr w:type="gramStart"/>
            <w:r w:rsidRPr="0081560A">
              <w:rPr>
                <w:rFonts w:ascii="微软雅黑" w:eastAsia="微软雅黑" w:hAnsi="微软雅黑" w:cs="宋体" w:hint="eastAsia"/>
                <w:color w:val="333333"/>
                <w:kern w:val="0"/>
                <w:sz w:val="27"/>
                <w:szCs w:val="27"/>
              </w:rPr>
              <w:t>文旅产业</w:t>
            </w:r>
            <w:proofErr w:type="gramEnd"/>
            <w:r w:rsidRPr="0081560A">
              <w:rPr>
                <w:rFonts w:ascii="微软雅黑" w:eastAsia="微软雅黑" w:hAnsi="微软雅黑" w:cs="宋体" w:hint="eastAsia"/>
                <w:color w:val="333333"/>
                <w:kern w:val="0"/>
                <w:sz w:val="27"/>
                <w:szCs w:val="27"/>
              </w:rPr>
              <w:t>链。强化旅游综合服务，完善旅游集散中心，提供游客集散、导游服务、信息咨询、旅游投诉、旅游购物、汽车租赁等全方位、一站式服务。</w:t>
            </w:r>
          </w:p>
          <w:p w14:paraId="44FF4975"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推进全域旅游发展。拓展生态观光游、文化溯源游、工业遗产游、红色教育游、乡村休闲游、采摘体验游等丰富多彩的旅游新形</w:t>
            </w:r>
            <w:r w:rsidRPr="0081560A">
              <w:rPr>
                <w:rFonts w:ascii="微软雅黑" w:eastAsia="微软雅黑" w:hAnsi="微软雅黑" w:cs="宋体" w:hint="eastAsia"/>
                <w:color w:val="333333"/>
                <w:kern w:val="0"/>
                <w:sz w:val="27"/>
                <w:szCs w:val="27"/>
              </w:rPr>
              <w:lastRenderedPageBreak/>
              <w:t>态。全面推进全域旅游发展，构建</w:t>
            </w:r>
            <w:proofErr w:type="gramStart"/>
            <w:r w:rsidRPr="0081560A">
              <w:rPr>
                <w:rFonts w:ascii="微软雅黑" w:eastAsia="微软雅黑" w:hAnsi="微软雅黑" w:cs="宋体" w:hint="eastAsia"/>
                <w:color w:val="333333"/>
                <w:kern w:val="0"/>
                <w:sz w:val="27"/>
                <w:szCs w:val="27"/>
              </w:rPr>
              <w:t>“快进慢游”文旅网络</w:t>
            </w:r>
            <w:proofErr w:type="gramEnd"/>
            <w:r w:rsidRPr="0081560A">
              <w:rPr>
                <w:rFonts w:ascii="微软雅黑" w:eastAsia="微软雅黑" w:hAnsi="微软雅黑" w:cs="宋体" w:hint="eastAsia"/>
                <w:color w:val="333333"/>
                <w:kern w:val="0"/>
                <w:sz w:val="27"/>
                <w:szCs w:val="27"/>
              </w:rPr>
              <w:t>，打造全季节、全天候的全域</w:t>
            </w:r>
            <w:proofErr w:type="gramStart"/>
            <w:r w:rsidRPr="0081560A">
              <w:rPr>
                <w:rFonts w:ascii="微软雅黑" w:eastAsia="微软雅黑" w:hAnsi="微软雅黑" w:cs="宋体" w:hint="eastAsia"/>
                <w:color w:val="333333"/>
                <w:kern w:val="0"/>
                <w:sz w:val="27"/>
                <w:szCs w:val="27"/>
              </w:rPr>
              <w:t>文旅产</w:t>
            </w:r>
            <w:proofErr w:type="gramEnd"/>
            <w:r w:rsidRPr="0081560A">
              <w:rPr>
                <w:rFonts w:ascii="微软雅黑" w:eastAsia="微软雅黑" w:hAnsi="微软雅黑" w:cs="宋体" w:hint="eastAsia"/>
                <w:color w:val="333333"/>
                <w:kern w:val="0"/>
                <w:sz w:val="27"/>
                <w:szCs w:val="27"/>
              </w:rPr>
              <w:t>品体系，</w:t>
            </w:r>
            <w:proofErr w:type="gramStart"/>
            <w:r w:rsidRPr="0081560A">
              <w:rPr>
                <w:rFonts w:ascii="微软雅黑" w:eastAsia="微软雅黑" w:hAnsi="微软雅黑" w:cs="宋体" w:hint="eastAsia"/>
                <w:color w:val="333333"/>
                <w:kern w:val="0"/>
                <w:sz w:val="27"/>
                <w:szCs w:val="27"/>
              </w:rPr>
              <w:t>创建文旅融</w:t>
            </w:r>
            <w:proofErr w:type="gramEnd"/>
            <w:r w:rsidRPr="0081560A">
              <w:rPr>
                <w:rFonts w:ascii="微软雅黑" w:eastAsia="微软雅黑" w:hAnsi="微软雅黑" w:cs="宋体" w:hint="eastAsia"/>
                <w:color w:val="333333"/>
                <w:kern w:val="0"/>
                <w:sz w:val="27"/>
                <w:szCs w:val="27"/>
              </w:rPr>
              <w:t>合的全域旅游示范区和生态旅游示范区。加快推进以</w:t>
            </w:r>
            <w:proofErr w:type="gramStart"/>
            <w:r w:rsidRPr="0081560A">
              <w:rPr>
                <w:rFonts w:ascii="微软雅黑" w:eastAsia="微软雅黑" w:hAnsi="微软雅黑" w:cs="宋体" w:hint="eastAsia"/>
                <w:color w:val="333333"/>
                <w:kern w:val="0"/>
                <w:sz w:val="27"/>
                <w:szCs w:val="27"/>
              </w:rPr>
              <w:t>御山圣容寺</w:t>
            </w:r>
            <w:proofErr w:type="gramEnd"/>
            <w:r w:rsidRPr="0081560A">
              <w:rPr>
                <w:rFonts w:ascii="微软雅黑" w:eastAsia="微软雅黑" w:hAnsi="微软雅黑" w:cs="宋体" w:hint="eastAsia"/>
                <w:color w:val="333333"/>
                <w:kern w:val="0"/>
                <w:sz w:val="27"/>
                <w:szCs w:val="27"/>
              </w:rPr>
              <w:t>—汉明长城—毛卜喇民俗村—大泉水库—车辘沟石林—花田小镇—北武当山—红西路军永昌战役纪念馆—</w:t>
            </w:r>
            <w:proofErr w:type="gramStart"/>
            <w:r w:rsidRPr="0081560A">
              <w:rPr>
                <w:rFonts w:ascii="微软雅黑" w:eastAsia="微软雅黑" w:hAnsi="微软雅黑" w:cs="宋体" w:hint="eastAsia"/>
                <w:color w:val="333333"/>
                <w:kern w:val="0"/>
                <w:sz w:val="27"/>
                <w:szCs w:val="27"/>
              </w:rPr>
              <w:t>云庄寺</w:t>
            </w:r>
            <w:proofErr w:type="gramEnd"/>
            <w:r w:rsidRPr="0081560A">
              <w:rPr>
                <w:rFonts w:ascii="微软雅黑" w:eastAsia="微软雅黑" w:hAnsi="微软雅黑" w:cs="宋体" w:hint="eastAsia"/>
                <w:color w:val="333333"/>
                <w:kern w:val="0"/>
                <w:sz w:val="27"/>
                <w:szCs w:val="27"/>
              </w:rPr>
              <w:t>为主线，集文化感知、红色传承、民俗体验、康养度假、乡村旅游为主的大景区和以“火星1号基地”—金川国家矿山公园—</w:t>
            </w:r>
            <w:proofErr w:type="gramStart"/>
            <w:r w:rsidRPr="0081560A">
              <w:rPr>
                <w:rFonts w:ascii="微软雅黑" w:eastAsia="微软雅黑" w:hAnsi="微软雅黑" w:cs="宋体" w:hint="eastAsia"/>
                <w:color w:val="333333"/>
                <w:kern w:val="0"/>
                <w:sz w:val="27"/>
                <w:szCs w:val="27"/>
              </w:rPr>
              <w:t>双湾香</w:t>
            </w:r>
            <w:proofErr w:type="gramEnd"/>
            <w:r w:rsidRPr="0081560A">
              <w:rPr>
                <w:rFonts w:ascii="微软雅黑" w:eastAsia="微软雅黑" w:hAnsi="微软雅黑" w:cs="宋体" w:hint="eastAsia"/>
                <w:color w:val="333333"/>
                <w:kern w:val="0"/>
                <w:sz w:val="27"/>
                <w:szCs w:val="27"/>
              </w:rPr>
              <w:t>草小镇为主线，集火星探秘、航天科普研学、工业旅游、乡村旅游为主的大景区建设。</w:t>
            </w:r>
          </w:p>
          <w:p w14:paraId="10B1D6C9"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发展休闲农业和乡村旅游。瞄准乡村振兴第一环，实施休闲农业和乡村旅游精品工程。依托田园风光、乡土文化等资源，实施永昌县南坝滑雪场升级改造、阁老居－赵家庄民俗风景线建设、金川区宁远堡镇龙景</w:t>
            </w:r>
            <w:proofErr w:type="gramStart"/>
            <w:r w:rsidRPr="0081560A">
              <w:rPr>
                <w:rFonts w:ascii="微软雅黑" w:eastAsia="微软雅黑" w:hAnsi="微软雅黑" w:cs="宋体" w:hint="eastAsia"/>
                <w:color w:val="333333"/>
                <w:kern w:val="0"/>
                <w:sz w:val="27"/>
                <w:szCs w:val="27"/>
              </w:rPr>
              <w:t>村全国</w:t>
            </w:r>
            <w:proofErr w:type="gramEnd"/>
            <w:r w:rsidRPr="0081560A">
              <w:rPr>
                <w:rFonts w:ascii="微软雅黑" w:eastAsia="微软雅黑" w:hAnsi="微软雅黑" w:cs="宋体" w:hint="eastAsia"/>
                <w:color w:val="333333"/>
                <w:kern w:val="0"/>
                <w:sz w:val="27"/>
                <w:szCs w:val="27"/>
              </w:rPr>
              <w:t>乡村旅游重点村建设等项目，打造一批观光园区、休闲农庄、农耕文化体验、研学基地、养生民宿等新业态项目，培育一批资源独特、环境优良、业</w:t>
            </w:r>
            <w:proofErr w:type="gramStart"/>
            <w:r w:rsidRPr="0081560A">
              <w:rPr>
                <w:rFonts w:ascii="微软雅黑" w:eastAsia="微软雅黑" w:hAnsi="微软雅黑" w:cs="宋体" w:hint="eastAsia"/>
                <w:color w:val="333333"/>
                <w:kern w:val="0"/>
                <w:sz w:val="27"/>
                <w:szCs w:val="27"/>
              </w:rPr>
              <w:t>态丰</w:t>
            </w:r>
            <w:proofErr w:type="gramEnd"/>
            <w:r w:rsidRPr="0081560A">
              <w:rPr>
                <w:rFonts w:ascii="微软雅黑" w:eastAsia="微软雅黑" w:hAnsi="微软雅黑" w:cs="宋体" w:hint="eastAsia"/>
                <w:color w:val="333333"/>
                <w:kern w:val="0"/>
                <w:sz w:val="27"/>
                <w:szCs w:val="27"/>
              </w:rPr>
              <w:t>富的乡村旅游重点村。着力推进红山窑车</w:t>
            </w:r>
            <w:proofErr w:type="gramStart"/>
            <w:r w:rsidRPr="0081560A">
              <w:rPr>
                <w:rFonts w:ascii="微软雅黑" w:eastAsia="微软雅黑" w:hAnsi="微软雅黑" w:cs="宋体" w:hint="eastAsia"/>
                <w:color w:val="333333"/>
                <w:kern w:val="0"/>
                <w:sz w:val="27"/>
                <w:szCs w:val="27"/>
              </w:rPr>
              <w:t>辘</w:t>
            </w:r>
            <w:proofErr w:type="gramEnd"/>
            <w:r w:rsidRPr="0081560A">
              <w:rPr>
                <w:rFonts w:ascii="微软雅黑" w:eastAsia="微软雅黑" w:hAnsi="微软雅黑" w:cs="宋体" w:hint="eastAsia"/>
                <w:color w:val="333333"/>
                <w:kern w:val="0"/>
                <w:sz w:val="27"/>
                <w:szCs w:val="27"/>
              </w:rPr>
              <w:t>沟石林、金川区宁远堡镇龙景野狐湾、</w:t>
            </w:r>
            <w:proofErr w:type="gramStart"/>
            <w:r w:rsidRPr="0081560A">
              <w:rPr>
                <w:rFonts w:ascii="微软雅黑" w:eastAsia="微软雅黑" w:hAnsi="微软雅黑" w:cs="宋体" w:hint="eastAsia"/>
                <w:color w:val="333333"/>
                <w:kern w:val="0"/>
                <w:sz w:val="27"/>
                <w:szCs w:val="27"/>
              </w:rPr>
              <w:t>双湾</w:t>
            </w:r>
            <w:proofErr w:type="gramEnd"/>
            <w:r w:rsidRPr="0081560A">
              <w:rPr>
                <w:rFonts w:ascii="微软雅黑" w:eastAsia="微软雅黑" w:hAnsi="微软雅黑" w:cs="宋体" w:hint="eastAsia"/>
                <w:color w:val="333333"/>
                <w:kern w:val="0"/>
                <w:sz w:val="27"/>
                <w:szCs w:val="27"/>
              </w:rPr>
              <w:t>镇大漠营盘等乡村旅游项目提档升级，集中打造新城子花田小镇、南</w:t>
            </w:r>
            <w:proofErr w:type="gramStart"/>
            <w:r w:rsidRPr="0081560A">
              <w:rPr>
                <w:rFonts w:ascii="微软雅黑" w:eastAsia="微软雅黑" w:hAnsi="微软雅黑" w:cs="宋体" w:hint="eastAsia"/>
                <w:color w:val="333333"/>
                <w:kern w:val="0"/>
                <w:sz w:val="27"/>
                <w:szCs w:val="27"/>
              </w:rPr>
              <w:t>坝摄</w:t>
            </w:r>
            <w:proofErr w:type="gramEnd"/>
            <w:r w:rsidRPr="0081560A">
              <w:rPr>
                <w:rFonts w:ascii="微软雅黑" w:eastAsia="微软雅黑" w:hAnsi="微软雅黑" w:cs="宋体" w:hint="eastAsia"/>
                <w:color w:val="333333"/>
                <w:kern w:val="0"/>
                <w:sz w:val="27"/>
                <w:szCs w:val="27"/>
              </w:rPr>
              <w:t>影写生小镇。推广民间工艺、土特食品、地方药材和植物花卉等特色农业旅游商品。规划建设北部生态长廊为主线，集采摘、休闲娱乐、音乐节等为主的生态休闲旅游景区。</w:t>
            </w:r>
          </w:p>
          <w:p w14:paraId="1189A93A"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加快发展智慧旅游。加快智慧旅游体系建设，全力推进旅游业高质量发展，加快科技赋能，推动5G与VR、AR、AI技术结合，为博物馆、美术馆、图书馆、艺术馆等文化场所以及红色旅游景区、文化</w:t>
            </w:r>
            <w:r w:rsidRPr="0081560A">
              <w:rPr>
                <w:rFonts w:ascii="微软雅黑" w:eastAsia="微软雅黑" w:hAnsi="微软雅黑" w:cs="宋体" w:hint="eastAsia"/>
                <w:color w:val="333333"/>
                <w:kern w:val="0"/>
                <w:sz w:val="27"/>
                <w:szCs w:val="27"/>
              </w:rPr>
              <w:lastRenderedPageBreak/>
              <w:t>景区等文化主题景区积极开发沉浸式体验型产品，增强文化类旅游景区的吸引力。积极应用大数据技术，精准刻画游客画像，提升旅游服务、住宿、娱乐、购物等企业信息化服务水平，为游客提供“一站式”旅游服务。深化与省内外知名网络平台的合作，完善和丰富旅游信息线上资源，整合设计包装，推出目的地参团、主题游、</w:t>
            </w:r>
            <w:proofErr w:type="gramStart"/>
            <w:r w:rsidRPr="0081560A">
              <w:rPr>
                <w:rFonts w:ascii="微软雅黑" w:eastAsia="微软雅黑" w:hAnsi="微软雅黑" w:cs="宋体" w:hint="eastAsia"/>
                <w:color w:val="333333"/>
                <w:kern w:val="0"/>
                <w:sz w:val="27"/>
                <w:szCs w:val="27"/>
              </w:rPr>
              <w:t>研</w:t>
            </w:r>
            <w:proofErr w:type="gramEnd"/>
            <w:r w:rsidRPr="0081560A">
              <w:rPr>
                <w:rFonts w:ascii="微软雅黑" w:eastAsia="微软雅黑" w:hAnsi="微软雅黑" w:cs="宋体" w:hint="eastAsia"/>
                <w:color w:val="333333"/>
                <w:kern w:val="0"/>
                <w:sz w:val="27"/>
                <w:szCs w:val="27"/>
              </w:rPr>
              <w:t>学游，开展精准营销。完善智能化管理和服务，加快智慧景区、未来酒店、智能化旅行社建设，积极对接甘肃省文化旅游大数据中心、甘肃文化旅游内容云平台、甘肃省</w:t>
            </w:r>
            <w:proofErr w:type="gramStart"/>
            <w:r w:rsidRPr="0081560A">
              <w:rPr>
                <w:rFonts w:ascii="微软雅黑" w:eastAsia="微软雅黑" w:hAnsi="微软雅黑" w:cs="宋体" w:hint="eastAsia"/>
                <w:color w:val="333333"/>
                <w:kern w:val="0"/>
                <w:sz w:val="27"/>
                <w:szCs w:val="27"/>
              </w:rPr>
              <w:t>智慧文旅便民</w:t>
            </w:r>
            <w:proofErr w:type="gramEnd"/>
            <w:r w:rsidRPr="0081560A">
              <w:rPr>
                <w:rFonts w:ascii="微软雅黑" w:eastAsia="微软雅黑" w:hAnsi="微软雅黑" w:cs="宋体" w:hint="eastAsia"/>
                <w:color w:val="333333"/>
                <w:kern w:val="0"/>
                <w:sz w:val="27"/>
                <w:szCs w:val="27"/>
              </w:rPr>
              <w:t>服务系统。</w:t>
            </w:r>
          </w:p>
          <w:p w14:paraId="692DBF21"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四、健康服务业</w:t>
            </w:r>
          </w:p>
          <w:p w14:paraId="1B0A4383"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全面推进</w:t>
            </w:r>
            <w:proofErr w:type="gramStart"/>
            <w:r w:rsidRPr="0081560A">
              <w:rPr>
                <w:rFonts w:ascii="微软雅黑" w:eastAsia="微软雅黑" w:hAnsi="微软雅黑" w:cs="宋体" w:hint="eastAsia"/>
                <w:color w:val="333333"/>
                <w:kern w:val="0"/>
                <w:sz w:val="27"/>
                <w:szCs w:val="27"/>
              </w:rPr>
              <w:t>健康金昌</w:t>
            </w:r>
            <w:proofErr w:type="gramEnd"/>
            <w:r w:rsidRPr="0081560A">
              <w:rPr>
                <w:rFonts w:ascii="微软雅黑" w:eastAsia="微软雅黑" w:hAnsi="微软雅黑" w:cs="宋体" w:hint="eastAsia"/>
                <w:color w:val="333333"/>
                <w:kern w:val="0"/>
                <w:sz w:val="27"/>
                <w:szCs w:val="27"/>
              </w:rPr>
              <w:t>建设，加快实施全民大健康工程，推进康养服务产业化、专业化、多元化发展，不断提高康养服务质量和健康保障水平。</w:t>
            </w:r>
          </w:p>
          <w:p w14:paraId="73CCA8FE"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完善医疗卫生服务体系。着力构建整合型医疗卫生服务体系，加大公立医疗卫生机构建设力度。统筹布局市级医院学科建设，重点补齐肿瘤、精神、儿科等学科短板，积极培育特色专科及服务品牌。增强综合医院急危重症救治水平，健全完善院前急救体系，完善市县乡三级医疗急救网络。健全慢病防治体系，创建国家慢病管理示范城市。完善妇幼健康服务体系，健全婴幼儿照护服务体系。改善</w:t>
            </w:r>
            <w:proofErr w:type="gramStart"/>
            <w:r w:rsidRPr="0081560A">
              <w:rPr>
                <w:rFonts w:ascii="微软雅黑" w:eastAsia="微软雅黑" w:hAnsi="微软雅黑" w:cs="宋体" w:hint="eastAsia"/>
                <w:color w:val="333333"/>
                <w:kern w:val="0"/>
                <w:sz w:val="27"/>
                <w:szCs w:val="27"/>
              </w:rPr>
              <w:t>疾控基础</w:t>
            </w:r>
            <w:proofErr w:type="gramEnd"/>
            <w:r w:rsidRPr="0081560A">
              <w:rPr>
                <w:rFonts w:ascii="微软雅黑" w:eastAsia="微软雅黑" w:hAnsi="微软雅黑" w:cs="宋体" w:hint="eastAsia"/>
                <w:color w:val="333333"/>
                <w:kern w:val="0"/>
                <w:sz w:val="27"/>
                <w:szCs w:val="27"/>
              </w:rPr>
              <w:t>条件和疾病预防控制体系，健全以市、县区</w:t>
            </w:r>
            <w:proofErr w:type="gramStart"/>
            <w:r w:rsidRPr="0081560A">
              <w:rPr>
                <w:rFonts w:ascii="微软雅黑" w:eastAsia="微软雅黑" w:hAnsi="微软雅黑" w:cs="宋体" w:hint="eastAsia"/>
                <w:color w:val="333333"/>
                <w:kern w:val="0"/>
                <w:sz w:val="27"/>
                <w:szCs w:val="27"/>
              </w:rPr>
              <w:t>两级疾控中</w:t>
            </w:r>
            <w:proofErr w:type="gramEnd"/>
            <w:r w:rsidRPr="0081560A">
              <w:rPr>
                <w:rFonts w:ascii="微软雅黑" w:eastAsia="微软雅黑" w:hAnsi="微软雅黑" w:cs="宋体" w:hint="eastAsia"/>
                <w:color w:val="333333"/>
                <w:kern w:val="0"/>
                <w:sz w:val="27"/>
                <w:szCs w:val="27"/>
              </w:rPr>
              <w:t>心和各类专科疾病防治机构为骨干、医疗机构为依托、基层医疗卫生机构为网底</w:t>
            </w:r>
            <w:proofErr w:type="gramStart"/>
            <w:r w:rsidRPr="0081560A">
              <w:rPr>
                <w:rFonts w:ascii="微软雅黑" w:eastAsia="微软雅黑" w:hAnsi="微软雅黑" w:cs="宋体" w:hint="eastAsia"/>
                <w:color w:val="333333"/>
                <w:kern w:val="0"/>
                <w:sz w:val="27"/>
                <w:szCs w:val="27"/>
              </w:rPr>
              <w:t>的疾控体</w:t>
            </w:r>
            <w:proofErr w:type="gramEnd"/>
            <w:r w:rsidRPr="0081560A">
              <w:rPr>
                <w:rFonts w:ascii="微软雅黑" w:eastAsia="微软雅黑" w:hAnsi="微软雅黑" w:cs="宋体" w:hint="eastAsia"/>
                <w:color w:val="333333"/>
                <w:kern w:val="0"/>
                <w:sz w:val="27"/>
                <w:szCs w:val="27"/>
              </w:rPr>
              <w:t>系，健全多渠道监测预警机制。加强基层医疗卫生机构标准化建设，提升乡镇卫生院和社区（村）卫生服务中心医疗卫生服务水</w:t>
            </w:r>
            <w:r w:rsidRPr="0081560A">
              <w:rPr>
                <w:rFonts w:ascii="微软雅黑" w:eastAsia="微软雅黑" w:hAnsi="微软雅黑" w:cs="宋体" w:hint="eastAsia"/>
                <w:color w:val="333333"/>
                <w:kern w:val="0"/>
                <w:sz w:val="27"/>
                <w:szCs w:val="27"/>
              </w:rPr>
              <w:lastRenderedPageBreak/>
              <w:t>平。积极鼓励社会力量举办护理、</w:t>
            </w:r>
            <w:proofErr w:type="gramStart"/>
            <w:r w:rsidRPr="0081560A">
              <w:rPr>
                <w:rFonts w:ascii="微软雅黑" w:eastAsia="微软雅黑" w:hAnsi="微软雅黑" w:cs="宋体" w:hint="eastAsia"/>
                <w:color w:val="333333"/>
                <w:kern w:val="0"/>
                <w:sz w:val="27"/>
                <w:szCs w:val="27"/>
              </w:rPr>
              <w:t>医</w:t>
            </w:r>
            <w:proofErr w:type="gramEnd"/>
            <w:r w:rsidRPr="0081560A">
              <w:rPr>
                <w:rFonts w:ascii="微软雅黑" w:eastAsia="微软雅黑" w:hAnsi="微软雅黑" w:cs="宋体" w:hint="eastAsia"/>
                <w:color w:val="333333"/>
                <w:kern w:val="0"/>
                <w:sz w:val="27"/>
                <w:szCs w:val="27"/>
              </w:rPr>
              <w:t>养、康复等医疗机构，有效满足群众多元化医疗服务需求。                                                                                                                                                                                                                                                                                                                                                                                                                    </w:t>
            </w:r>
          </w:p>
          <w:p w14:paraId="0D7BFF27"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开拓服务新业态。深入实施“互联网+健康”行动，培育发展互联网医院、智慧医疗、远程医疗等新业态。依托金昌市全民健康信息服务平台，打造“互联网+医疗”创新平台，实现网络医院、移动护理、医学影像远程诊断、健康教育、健康咨询、远程慢病管理等服务。</w:t>
            </w:r>
            <w:proofErr w:type="gramStart"/>
            <w:r w:rsidRPr="0081560A">
              <w:rPr>
                <w:rFonts w:ascii="微软雅黑" w:eastAsia="微软雅黑" w:hAnsi="微软雅黑" w:cs="宋体" w:hint="eastAsia"/>
                <w:color w:val="333333"/>
                <w:kern w:val="0"/>
                <w:sz w:val="27"/>
                <w:szCs w:val="27"/>
              </w:rPr>
              <w:t>依托八冶康</w:t>
            </w:r>
            <w:proofErr w:type="gramEnd"/>
            <w:r w:rsidRPr="0081560A">
              <w:rPr>
                <w:rFonts w:ascii="微软雅黑" w:eastAsia="微软雅黑" w:hAnsi="微软雅黑" w:cs="宋体" w:hint="eastAsia"/>
                <w:color w:val="333333"/>
                <w:kern w:val="0"/>
                <w:sz w:val="27"/>
                <w:szCs w:val="27"/>
              </w:rPr>
              <w:t>颐养老康复中心、全民健身中心，借助青少年生存训练营、丝绸之路国际旅游节等活动，加快文旅</w:t>
            </w:r>
            <w:proofErr w:type="gramStart"/>
            <w:r w:rsidRPr="0081560A">
              <w:rPr>
                <w:rFonts w:ascii="微软雅黑" w:eastAsia="微软雅黑" w:hAnsi="微软雅黑" w:cs="宋体" w:hint="eastAsia"/>
                <w:color w:val="333333"/>
                <w:kern w:val="0"/>
                <w:sz w:val="27"/>
                <w:szCs w:val="27"/>
              </w:rPr>
              <w:t>医养健</w:t>
            </w:r>
            <w:proofErr w:type="gramEnd"/>
            <w:r w:rsidRPr="0081560A">
              <w:rPr>
                <w:rFonts w:ascii="微软雅黑" w:eastAsia="微软雅黑" w:hAnsi="微软雅黑" w:cs="宋体" w:hint="eastAsia"/>
                <w:color w:val="333333"/>
                <w:kern w:val="0"/>
                <w:sz w:val="27"/>
                <w:szCs w:val="27"/>
              </w:rPr>
              <w:t>康融合，发展休闲养生、康体运动、健康食品等产业，构建文化旅游、健康医养、</w:t>
            </w:r>
            <w:proofErr w:type="gramStart"/>
            <w:r w:rsidRPr="0081560A">
              <w:rPr>
                <w:rFonts w:ascii="微软雅黑" w:eastAsia="微软雅黑" w:hAnsi="微软雅黑" w:cs="宋体" w:hint="eastAsia"/>
                <w:color w:val="333333"/>
                <w:kern w:val="0"/>
                <w:sz w:val="27"/>
                <w:szCs w:val="27"/>
              </w:rPr>
              <w:t>养情养</w:t>
            </w:r>
            <w:proofErr w:type="gramEnd"/>
            <w:r w:rsidRPr="0081560A">
              <w:rPr>
                <w:rFonts w:ascii="微软雅黑" w:eastAsia="微软雅黑" w:hAnsi="微软雅黑" w:cs="宋体" w:hint="eastAsia"/>
                <w:color w:val="333333"/>
                <w:kern w:val="0"/>
                <w:sz w:val="27"/>
                <w:szCs w:val="27"/>
              </w:rPr>
              <w:t>心一体、多业态融合的特色模式，打造一批知名品牌和良性循环的康养服务产业集群。</w:t>
            </w:r>
          </w:p>
          <w:p w14:paraId="68F83DC7"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推进中医保健服务。引导投资兴办中医医疗、中医养生保健机构，鼓励开发中医药保健产品，全面发展中医药医疗保健服务。鼓励医疗卫生机构完善“治未病”科建设，为群众提供中医健康咨询评估、中医健康体检、中医体质辨识和中医健康干预调理、随访管理等“治未病”服务。鼓励中医医疗机构为中医养生保健机构提供保健咨询、调理和药配合、优势互补、协同发展，开发中药饮片、益生菌保健食品。推动中医药与养生养老旅游产品深度融合，开发推拿按摩、</w:t>
            </w:r>
            <w:r w:rsidRPr="0081560A">
              <w:rPr>
                <w:rFonts w:ascii="微软雅黑" w:eastAsia="微软雅黑" w:hAnsi="微软雅黑" w:cs="宋体" w:hint="eastAsia"/>
                <w:color w:val="333333"/>
                <w:kern w:val="0"/>
                <w:sz w:val="27"/>
                <w:szCs w:val="27"/>
              </w:rPr>
              <w:lastRenderedPageBreak/>
              <w:t>针灸拔罐、</w:t>
            </w:r>
            <w:proofErr w:type="gramStart"/>
            <w:r w:rsidRPr="0081560A">
              <w:rPr>
                <w:rFonts w:ascii="微软雅黑" w:eastAsia="微软雅黑" w:hAnsi="微软雅黑" w:cs="宋体" w:hint="eastAsia"/>
                <w:color w:val="333333"/>
                <w:kern w:val="0"/>
                <w:sz w:val="27"/>
                <w:szCs w:val="27"/>
              </w:rPr>
              <w:t>花浴药浴</w:t>
            </w:r>
            <w:proofErr w:type="gramEnd"/>
            <w:r w:rsidRPr="0081560A">
              <w:rPr>
                <w:rFonts w:ascii="微软雅黑" w:eastAsia="微软雅黑" w:hAnsi="微软雅黑" w:cs="宋体" w:hint="eastAsia"/>
                <w:color w:val="333333"/>
                <w:kern w:val="0"/>
                <w:sz w:val="27"/>
                <w:szCs w:val="27"/>
              </w:rPr>
              <w:t>、药膳美食等养生产品，探索集健康文化、健康管理、健康保险于一体的中医健康保障模式。</w:t>
            </w:r>
          </w:p>
          <w:p w14:paraId="1666E77E"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五、养老托育服务业</w:t>
            </w:r>
          </w:p>
          <w:p w14:paraId="04CB8B58"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实施积极应对人口老龄化国家战略，建立健全居家、社区、企业相协调，</w:t>
            </w:r>
            <w:proofErr w:type="gramStart"/>
            <w:r w:rsidRPr="0081560A">
              <w:rPr>
                <w:rFonts w:ascii="微软雅黑" w:eastAsia="微软雅黑" w:hAnsi="微软雅黑" w:cs="宋体" w:hint="eastAsia"/>
                <w:color w:val="333333"/>
                <w:kern w:val="0"/>
                <w:sz w:val="27"/>
                <w:szCs w:val="27"/>
              </w:rPr>
              <w:t>医</w:t>
            </w:r>
            <w:proofErr w:type="gramEnd"/>
            <w:r w:rsidRPr="0081560A">
              <w:rPr>
                <w:rFonts w:ascii="微软雅黑" w:eastAsia="微软雅黑" w:hAnsi="微软雅黑" w:cs="宋体" w:hint="eastAsia"/>
                <w:color w:val="333333"/>
                <w:kern w:val="0"/>
                <w:sz w:val="27"/>
                <w:szCs w:val="27"/>
              </w:rPr>
              <w:t>养、康养相结合的养老托</w:t>
            </w:r>
            <w:proofErr w:type="gramStart"/>
            <w:r w:rsidRPr="0081560A">
              <w:rPr>
                <w:rFonts w:ascii="微软雅黑" w:eastAsia="微软雅黑" w:hAnsi="微软雅黑" w:cs="宋体" w:hint="eastAsia"/>
                <w:color w:val="333333"/>
                <w:kern w:val="0"/>
                <w:sz w:val="27"/>
                <w:szCs w:val="27"/>
              </w:rPr>
              <w:t>育服</w:t>
            </w:r>
            <w:proofErr w:type="gramEnd"/>
            <w:r w:rsidRPr="0081560A">
              <w:rPr>
                <w:rFonts w:ascii="微软雅黑" w:eastAsia="微软雅黑" w:hAnsi="微软雅黑" w:cs="宋体" w:hint="eastAsia"/>
                <w:color w:val="333333"/>
                <w:kern w:val="0"/>
                <w:sz w:val="27"/>
                <w:szCs w:val="27"/>
              </w:rPr>
              <w:t>务体系，大力发展银发经济，不断丰富养老托</w:t>
            </w:r>
            <w:proofErr w:type="gramStart"/>
            <w:r w:rsidRPr="0081560A">
              <w:rPr>
                <w:rFonts w:ascii="微软雅黑" w:eastAsia="微软雅黑" w:hAnsi="微软雅黑" w:cs="宋体" w:hint="eastAsia"/>
                <w:color w:val="333333"/>
                <w:kern w:val="0"/>
                <w:sz w:val="27"/>
                <w:szCs w:val="27"/>
              </w:rPr>
              <w:t>育服</w:t>
            </w:r>
            <w:proofErr w:type="gramEnd"/>
            <w:r w:rsidRPr="0081560A">
              <w:rPr>
                <w:rFonts w:ascii="微软雅黑" w:eastAsia="微软雅黑" w:hAnsi="微软雅黑" w:cs="宋体" w:hint="eastAsia"/>
                <w:color w:val="333333"/>
                <w:kern w:val="0"/>
                <w:sz w:val="27"/>
                <w:szCs w:val="27"/>
              </w:rPr>
              <w:t>务产品，优化养老托</w:t>
            </w:r>
            <w:proofErr w:type="gramStart"/>
            <w:r w:rsidRPr="0081560A">
              <w:rPr>
                <w:rFonts w:ascii="微软雅黑" w:eastAsia="微软雅黑" w:hAnsi="微软雅黑" w:cs="宋体" w:hint="eastAsia"/>
                <w:color w:val="333333"/>
                <w:kern w:val="0"/>
                <w:sz w:val="27"/>
                <w:szCs w:val="27"/>
              </w:rPr>
              <w:t>育服</w:t>
            </w:r>
            <w:proofErr w:type="gramEnd"/>
            <w:r w:rsidRPr="0081560A">
              <w:rPr>
                <w:rFonts w:ascii="微软雅黑" w:eastAsia="微软雅黑" w:hAnsi="微软雅黑" w:cs="宋体" w:hint="eastAsia"/>
                <w:color w:val="333333"/>
                <w:kern w:val="0"/>
                <w:sz w:val="27"/>
                <w:szCs w:val="27"/>
              </w:rPr>
              <w:t>务环境，满足多层次养老托</w:t>
            </w:r>
            <w:proofErr w:type="gramStart"/>
            <w:r w:rsidRPr="0081560A">
              <w:rPr>
                <w:rFonts w:ascii="微软雅黑" w:eastAsia="微软雅黑" w:hAnsi="微软雅黑" w:cs="宋体" w:hint="eastAsia"/>
                <w:color w:val="333333"/>
                <w:kern w:val="0"/>
                <w:sz w:val="27"/>
                <w:szCs w:val="27"/>
              </w:rPr>
              <w:t>育服</w:t>
            </w:r>
            <w:proofErr w:type="gramEnd"/>
            <w:r w:rsidRPr="0081560A">
              <w:rPr>
                <w:rFonts w:ascii="微软雅黑" w:eastAsia="微软雅黑" w:hAnsi="微软雅黑" w:cs="宋体" w:hint="eastAsia"/>
                <w:color w:val="333333"/>
                <w:kern w:val="0"/>
                <w:sz w:val="27"/>
                <w:szCs w:val="27"/>
              </w:rPr>
              <w:t>务需求。</w:t>
            </w:r>
          </w:p>
          <w:p w14:paraId="0FAD55C9"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推进养老服务体系建设。</w:t>
            </w:r>
            <w:proofErr w:type="gramStart"/>
            <w:r w:rsidRPr="0081560A">
              <w:rPr>
                <w:rFonts w:ascii="微软雅黑" w:eastAsia="微软雅黑" w:hAnsi="微软雅黑" w:cs="宋体" w:hint="eastAsia"/>
                <w:color w:val="333333"/>
                <w:kern w:val="0"/>
                <w:sz w:val="27"/>
                <w:szCs w:val="27"/>
              </w:rPr>
              <w:t>加快八冶康</w:t>
            </w:r>
            <w:proofErr w:type="gramEnd"/>
            <w:r w:rsidRPr="0081560A">
              <w:rPr>
                <w:rFonts w:ascii="微软雅黑" w:eastAsia="微软雅黑" w:hAnsi="微软雅黑" w:cs="宋体" w:hint="eastAsia"/>
                <w:color w:val="333333"/>
                <w:kern w:val="0"/>
                <w:sz w:val="27"/>
                <w:szCs w:val="27"/>
              </w:rPr>
              <w:t>颐养老康复中心、金川区养老服务体系建设、敬老安居和综合养老服务中心等项目建设，不断提升养老设施水平。优先发展居家社区养老，推动社区嵌入式养老机构发展。加快居家社区机构养老服务设施建设，在保障特困、低保、留守老人等特殊困难老年人养老服务的基础上，进一步满足老年人基本养老服务。创新发展城市社区养老服务，依托城市社区设施，建设具备全托、日托、上门服务、对下指导等功能的街道综合养老服务中心，加快实施居家和社区养老服务体系项目。持续开展全国第四批居家和社区养老服务改革试点工作。大力开展互助养老服务，积极鼓励邻里互助养老和老年人之间的互助服务，鼓励低</w:t>
            </w:r>
            <w:proofErr w:type="gramStart"/>
            <w:r w:rsidRPr="0081560A">
              <w:rPr>
                <w:rFonts w:ascii="微软雅黑" w:eastAsia="微软雅黑" w:hAnsi="微软雅黑" w:cs="宋体" w:hint="eastAsia"/>
                <w:color w:val="333333"/>
                <w:kern w:val="0"/>
                <w:sz w:val="27"/>
                <w:szCs w:val="27"/>
              </w:rPr>
              <w:t>龄健康</w:t>
            </w:r>
            <w:proofErr w:type="gramEnd"/>
            <w:r w:rsidRPr="0081560A">
              <w:rPr>
                <w:rFonts w:ascii="微软雅黑" w:eastAsia="微软雅黑" w:hAnsi="微软雅黑" w:cs="宋体" w:hint="eastAsia"/>
                <w:color w:val="333333"/>
                <w:kern w:val="0"/>
                <w:sz w:val="27"/>
                <w:szCs w:val="27"/>
              </w:rPr>
              <w:t>老年人为高龄、独居、空巢老年人提供服务。加大养老服务从业人员专业化培训力度，提高专业化水平。 </w:t>
            </w:r>
          </w:p>
          <w:p w14:paraId="07C0B6F2"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鼓励社会力量参与。结合老年人多样化、多层次养老服务需求，发挥政府引导作用，落实各</w:t>
            </w:r>
            <w:proofErr w:type="gramStart"/>
            <w:r w:rsidRPr="0081560A">
              <w:rPr>
                <w:rFonts w:ascii="微软雅黑" w:eastAsia="微软雅黑" w:hAnsi="微软雅黑" w:cs="宋体" w:hint="eastAsia"/>
                <w:color w:val="333333"/>
                <w:kern w:val="0"/>
                <w:sz w:val="27"/>
                <w:szCs w:val="27"/>
              </w:rPr>
              <w:t>类支持</w:t>
            </w:r>
            <w:proofErr w:type="gramEnd"/>
            <w:r w:rsidRPr="0081560A">
              <w:rPr>
                <w:rFonts w:ascii="微软雅黑" w:eastAsia="微软雅黑" w:hAnsi="微软雅黑" w:cs="宋体" w:hint="eastAsia"/>
                <w:color w:val="333333"/>
                <w:kern w:val="0"/>
                <w:sz w:val="27"/>
                <w:szCs w:val="27"/>
              </w:rPr>
              <w:t>养老服务发展的补贴和优惠政策。积极鼓励和引导民间资本拓展适合老年人特点的文化娱乐、教育、健</w:t>
            </w:r>
            <w:r w:rsidRPr="0081560A">
              <w:rPr>
                <w:rFonts w:ascii="微软雅黑" w:eastAsia="微软雅黑" w:hAnsi="微软雅黑" w:cs="宋体" w:hint="eastAsia"/>
                <w:color w:val="333333"/>
                <w:kern w:val="0"/>
                <w:sz w:val="27"/>
                <w:szCs w:val="27"/>
              </w:rPr>
              <w:lastRenderedPageBreak/>
              <w:t>身、休闲旅游、健康服务、精神慰藉、法律维权等服务。鼓励</w:t>
            </w:r>
            <w:proofErr w:type="gramStart"/>
            <w:r w:rsidRPr="0081560A">
              <w:rPr>
                <w:rFonts w:ascii="微软雅黑" w:eastAsia="微软雅黑" w:hAnsi="微软雅黑" w:cs="宋体" w:hint="eastAsia"/>
                <w:color w:val="333333"/>
                <w:kern w:val="0"/>
                <w:sz w:val="27"/>
                <w:szCs w:val="27"/>
              </w:rPr>
              <w:t>医</w:t>
            </w:r>
            <w:proofErr w:type="gramEnd"/>
            <w:r w:rsidRPr="0081560A">
              <w:rPr>
                <w:rFonts w:ascii="微软雅黑" w:eastAsia="微软雅黑" w:hAnsi="微软雅黑" w:cs="宋体" w:hint="eastAsia"/>
                <w:color w:val="333333"/>
                <w:kern w:val="0"/>
                <w:sz w:val="27"/>
                <w:szCs w:val="27"/>
              </w:rPr>
              <w:t>养康养相结合发展，满足失能半失能老人医疗养老需求。整合中医医疗、护理、养老和康复资源，为老年人提供治疗期住院、康复期护理、稳定期生活照料、</w:t>
            </w:r>
            <w:proofErr w:type="gramStart"/>
            <w:r w:rsidRPr="0081560A">
              <w:rPr>
                <w:rFonts w:ascii="微软雅黑" w:eastAsia="微软雅黑" w:hAnsi="微软雅黑" w:cs="宋体" w:hint="eastAsia"/>
                <w:color w:val="333333"/>
                <w:kern w:val="0"/>
                <w:sz w:val="27"/>
                <w:szCs w:val="27"/>
              </w:rPr>
              <w:t>安宁疗护一体化</w:t>
            </w:r>
            <w:proofErr w:type="gramEnd"/>
            <w:r w:rsidRPr="0081560A">
              <w:rPr>
                <w:rFonts w:ascii="微软雅黑" w:eastAsia="微软雅黑" w:hAnsi="微软雅黑" w:cs="宋体" w:hint="eastAsia"/>
                <w:color w:val="333333"/>
                <w:kern w:val="0"/>
                <w:sz w:val="27"/>
                <w:szCs w:val="27"/>
              </w:rPr>
              <w:t>的健康和养老服务。鼓励与社会资本合作建设</w:t>
            </w:r>
            <w:proofErr w:type="gramStart"/>
            <w:r w:rsidRPr="0081560A">
              <w:rPr>
                <w:rFonts w:ascii="微软雅黑" w:eastAsia="微软雅黑" w:hAnsi="微软雅黑" w:cs="宋体" w:hint="eastAsia"/>
                <w:color w:val="333333"/>
                <w:kern w:val="0"/>
                <w:sz w:val="27"/>
                <w:szCs w:val="27"/>
              </w:rPr>
              <w:t>医</w:t>
            </w:r>
            <w:proofErr w:type="gramEnd"/>
            <w:r w:rsidRPr="0081560A">
              <w:rPr>
                <w:rFonts w:ascii="微软雅黑" w:eastAsia="微软雅黑" w:hAnsi="微软雅黑" w:cs="宋体" w:hint="eastAsia"/>
                <w:color w:val="333333"/>
                <w:kern w:val="0"/>
                <w:sz w:val="27"/>
                <w:szCs w:val="27"/>
              </w:rPr>
              <w:t>养融合养护中心，建立区域性健康养老示范基地。</w:t>
            </w:r>
          </w:p>
          <w:p w14:paraId="07371ADD"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积极发展银发经济。支持养老服务与旅游、家政、教育、养生、健康、地产等融合发展。依托医疗资源，大力发展保健疗养、旅居养老、“候鸟”养老等旅游新业态。推广乡村旅居、酒店公寓、运动旅居享老、医疗康体旅居享老等旅游健康养老模式。培育发展老年用品市场，研发、生产、销售可穿戴、便携式监测、居家养老监护等智能养老设备以及适合老年人的日用品、食品、服饰等产品用品。鼓励电商、零售企业开展“孝老爱老”购物活动，形成品牌效应和消费热潮，激发消费热情，引领老年用品消费潮流。</w:t>
            </w:r>
          </w:p>
          <w:p w14:paraId="680E458F"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推进“智慧”养老行动。促进人工智能、物联网、云计算、大数据等新一代信息技术和智能硬件等产品在养老服务领域深度应用，持续推动智慧健康养老产业发展。利用数字化技术整合金昌市养老服务资源，建设养老服务信息管理平台，</w:t>
            </w:r>
            <w:proofErr w:type="gramStart"/>
            <w:r w:rsidRPr="0081560A">
              <w:rPr>
                <w:rFonts w:ascii="微软雅黑" w:eastAsia="微软雅黑" w:hAnsi="微软雅黑" w:cs="宋体" w:hint="eastAsia"/>
                <w:color w:val="333333"/>
                <w:kern w:val="0"/>
                <w:sz w:val="27"/>
                <w:szCs w:val="27"/>
              </w:rPr>
              <w:t>整合线</w:t>
            </w:r>
            <w:proofErr w:type="gramEnd"/>
            <w:r w:rsidRPr="0081560A">
              <w:rPr>
                <w:rFonts w:ascii="微软雅黑" w:eastAsia="微软雅黑" w:hAnsi="微软雅黑" w:cs="宋体" w:hint="eastAsia"/>
                <w:color w:val="333333"/>
                <w:kern w:val="0"/>
                <w:sz w:val="27"/>
                <w:szCs w:val="27"/>
              </w:rPr>
              <w:t>上线下资源，加快推进智慧居家养老试点，实施“线上科技+线下实体”模式，发展慢性病管理、居家健康养老、个性化健康管理、互联网健康咨询等服务方式。探索为辖区户籍老年人配备智能手表、一键式呼叫器等设备，逐步推动辖区老人健康管理、应急救助、生活照料，实现“互联网+养老”服</w:t>
            </w:r>
            <w:r w:rsidRPr="0081560A">
              <w:rPr>
                <w:rFonts w:ascii="微软雅黑" w:eastAsia="微软雅黑" w:hAnsi="微软雅黑" w:cs="宋体" w:hint="eastAsia"/>
                <w:color w:val="333333"/>
                <w:kern w:val="0"/>
                <w:sz w:val="27"/>
                <w:szCs w:val="27"/>
              </w:rPr>
              <w:lastRenderedPageBreak/>
              <w:t>务全覆盖。运用互联网和生物识别技术，持续完善老年人补贴远程申报审核机制。</w:t>
            </w:r>
          </w:p>
          <w:p w14:paraId="068F5E69"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proofErr w:type="gramStart"/>
            <w:r w:rsidRPr="0081560A">
              <w:rPr>
                <w:rFonts w:ascii="微软雅黑" w:eastAsia="微软雅黑" w:hAnsi="微软雅黑" w:cs="宋体" w:hint="eastAsia"/>
                <w:color w:val="333333"/>
                <w:kern w:val="0"/>
                <w:sz w:val="27"/>
                <w:szCs w:val="27"/>
              </w:rPr>
              <w:t>完善托</w:t>
            </w:r>
            <w:proofErr w:type="gramEnd"/>
            <w:r w:rsidRPr="0081560A">
              <w:rPr>
                <w:rFonts w:ascii="微软雅黑" w:eastAsia="微软雅黑" w:hAnsi="微软雅黑" w:cs="宋体" w:hint="eastAsia"/>
                <w:color w:val="333333"/>
                <w:kern w:val="0"/>
                <w:sz w:val="27"/>
                <w:szCs w:val="27"/>
              </w:rPr>
              <w:t>育服务。鼓励金川集团、八冶建设集团等企业积极参与政府推动的普</w:t>
            </w:r>
            <w:proofErr w:type="gramStart"/>
            <w:r w:rsidRPr="0081560A">
              <w:rPr>
                <w:rFonts w:ascii="微软雅黑" w:eastAsia="微软雅黑" w:hAnsi="微软雅黑" w:cs="宋体" w:hint="eastAsia"/>
                <w:color w:val="333333"/>
                <w:kern w:val="0"/>
                <w:sz w:val="27"/>
                <w:szCs w:val="27"/>
              </w:rPr>
              <w:t>惠托育服务</w:t>
            </w:r>
            <w:proofErr w:type="gramEnd"/>
            <w:r w:rsidRPr="0081560A">
              <w:rPr>
                <w:rFonts w:ascii="微软雅黑" w:eastAsia="微软雅黑" w:hAnsi="微软雅黑" w:cs="宋体" w:hint="eastAsia"/>
                <w:color w:val="333333"/>
                <w:kern w:val="0"/>
                <w:sz w:val="27"/>
                <w:szCs w:val="27"/>
              </w:rPr>
              <w:t>体系建设。统筹规划建设社区婴幼儿照护服务设施，完善居住社区婴幼儿活动场所和服务设施。鼓励支持有条件的幼儿园、早教中心开设托育班，招收2-3岁的幼儿，实行托幼一体化管理。做好托</w:t>
            </w:r>
            <w:proofErr w:type="gramStart"/>
            <w:r w:rsidRPr="0081560A">
              <w:rPr>
                <w:rFonts w:ascii="微软雅黑" w:eastAsia="微软雅黑" w:hAnsi="微软雅黑" w:cs="宋体" w:hint="eastAsia"/>
                <w:color w:val="333333"/>
                <w:kern w:val="0"/>
                <w:sz w:val="27"/>
                <w:szCs w:val="27"/>
              </w:rPr>
              <w:t>育服务</w:t>
            </w:r>
            <w:proofErr w:type="gramEnd"/>
            <w:r w:rsidRPr="0081560A">
              <w:rPr>
                <w:rFonts w:ascii="微软雅黑" w:eastAsia="微软雅黑" w:hAnsi="微软雅黑" w:cs="宋体" w:hint="eastAsia"/>
                <w:color w:val="333333"/>
                <w:kern w:val="0"/>
                <w:sz w:val="27"/>
                <w:szCs w:val="27"/>
              </w:rPr>
              <w:t>设施与社区服务中心（站）及社区文化、体育、养老等设施的功能衔接，发挥综合效益。开展</w:t>
            </w:r>
            <w:proofErr w:type="gramStart"/>
            <w:r w:rsidRPr="0081560A">
              <w:rPr>
                <w:rFonts w:ascii="微软雅黑" w:eastAsia="微软雅黑" w:hAnsi="微软雅黑" w:cs="宋体" w:hint="eastAsia"/>
                <w:color w:val="333333"/>
                <w:kern w:val="0"/>
                <w:sz w:val="27"/>
                <w:szCs w:val="27"/>
              </w:rPr>
              <w:t>普惠托育</w:t>
            </w:r>
            <w:proofErr w:type="gramEnd"/>
            <w:r w:rsidRPr="0081560A">
              <w:rPr>
                <w:rFonts w:ascii="微软雅黑" w:eastAsia="微软雅黑" w:hAnsi="微软雅黑" w:cs="宋体" w:hint="eastAsia"/>
                <w:color w:val="333333"/>
                <w:kern w:val="0"/>
                <w:sz w:val="27"/>
                <w:szCs w:val="27"/>
              </w:rPr>
              <w:t>示范机构创建活动，建设一批</w:t>
            </w:r>
            <w:proofErr w:type="gramStart"/>
            <w:r w:rsidRPr="0081560A">
              <w:rPr>
                <w:rFonts w:ascii="微软雅黑" w:eastAsia="微软雅黑" w:hAnsi="微软雅黑" w:cs="宋体" w:hint="eastAsia"/>
                <w:color w:val="333333"/>
                <w:kern w:val="0"/>
                <w:sz w:val="27"/>
                <w:szCs w:val="27"/>
              </w:rPr>
              <w:t>普惠托</w:t>
            </w:r>
            <w:proofErr w:type="gramEnd"/>
            <w:r w:rsidRPr="0081560A">
              <w:rPr>
                <w:rFonts w:ascii="微软雅黑" w:eastAsia="微软雅黑" w:hAnsi="微软雅黑" w:cs="宋体" w:hint="eastAsia"/>
                <w:color w:val="333333"/>
                <w:kern w:val="0"/>
                <w:sz w:val="27"/>
                <w:szCs w:val="27"/>
              </w:rPr>
              <w:t>育示范机构。发展智慧托育等新业态。</w:t>
            </w:r>
          </w:p>
          <w:p w14:paraId="4525A55B"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六、健身体育产业</w:t>
            </w:r>
          </w:p>
          <w:p w14:paraId="50456B46"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以全民健身为中心，扩大体育产业规模，提高体育产业增长速度，优化体育产业结构，做强体育市场主体，全面增强城市活力，提升城市形象，推进</w:t>
            </w:r>
            <w:proofErr w:type="gramStart"/>
            <w:r w:rsidRPr="0081560A">
              <w:rPr>
                <w:rFonts w:ascii="微软雅黑" w:eastAsia="微软雅黑" w:hAnsi="微软雅黑" w:cs="宋体" w:hint="eastAsia"/>
                <w:color w:val="333333"/>
                <w:kern w:val="0"/>
                <w:sz w:val="27"/>
                <w:szCs w:val="27"/>
              </w:rPr>
              <w:t>健康金昌</w:t>
            </w:r>
            <w:proofErr w:type="gramEnd"/>
            <w:r w:rsidRPr="0081560A">
              <w:rPr>
                <w:rFonts w:ascii="微软雅黑" w:eastAsia="微软雅黑" w:hAnsi="微软雅黑" w:cs="宋体" w:hint="eastAsia"/>
                <w:color w:val="333333"/>
                <w:kern w:val="0"/>
                <w:sz w:val="27"/>
                <w:szCs w:val="27"/>
              </w:rPr>
              <w:t>建设。</w:t>
            </w:r>
          </w:p>
          <w:p w14:paraId="123146C2"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扩大全民健身设施供给。围绕市全民健身中心，统筹规划全市体育服务设施网络建设，加强对现有体育竞赛、训练、健身场馆的升级改造，增强承办综合性运动会和重大体育赛事的能力。有序开放机关企事业单位内部场地设施、中小学校场地设施以及商业性体育设施，不断扩大健身设施供给。充分利用公园绿地、城市空置场所、老旧厂房和仓库、闲置商业设施等，加快改造建设一批便民利民的健身场馆/地设施，打造15分钟健身圈。加强新建社区配套体育设施建设，新建社区的体育设施覆盖率达到100%。积极开展全民健身运动模范市（县）、“体育特色村（社区、单位、学校）”创建活动。</w:t>
            </w:r>
          </w:p>
          <w:p w14:paraId="07742A4A"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lastRenderedPageBreak/>
              <w:t>稳健发展体育竞赛表演业。稳步开展马拉松、自行车、武术、科技体育、汽车摩托车运动等有广泛群众基础的赛事活动。支持举办徒步、骑行、登山、休闲养生等赛事活动，带动群众体育、竞技体育和体育产业全面发展。精心打造，细致组织体育精品赛事，持续办好金昌国际马拉松和中国·金昌国际青少年生存训练营等品牌赛事。推动和扶持</w:t>
            </w:r>
            <w:proofErr w:type="gramStart"/>
            <w:r w:rsidRPr="0081560A">
              <w:rPr>
                <w:rFonts w:ascii="微软雅黑" w:eastAsia="微软雅黑" w:hAnsi="微软雅黑" w:cs="宋体" w:hint="eastAsia"/>
                <w:color w:val="333333"/>
                <w:kern w:val="0"/>
                <w:sz w:val="27"/>
                <w:szCs w:val="27"/>
              </w:rPr>
              <w:t>骑闯天</w:t>
            </w:r>
            <w:proofErr w:type="gramEnd"/>
            <w:r w:rsidRPr="0081560A">
              <w:rPr>
                <w:rFonts w:ascii="微软雅黑" w:eastAsia="微软雅黑" w:hAnsi="微软雅黑" w:cs="宋体" w:hint="eastAsia"/>
                <w:color w:val="333333"/>
                <w:kern w:val="0"/>
                <w:sz w:val="27"/>
                <w:szCs w:val="27"/>
              </w:rPr>
              <w:t>路自行车金昌赛段比赛，培育永昌县冰雪竞赛。逐步扩大金川集团等企业在全省和西北地区体育竞赛影响力，培育独具特色的体育赛事品牌，打造企业体育文化特色品牌。依托永昌南坝滑雪场、</w:t>
            </w:r>
            <w:proofErr w:type="gramStart"/>
            <w:r w:rsidRPr="0081560A">
              <w:rPr>
                <w:rFonts w:ascii="微软雅黑" w:eastAsia="微软雅黑" w:hAnsi="微软雅黑" w:cs="宋体" w:hint="eastAsia"/>
                <w:color w:val="333333"/>
                <w:kern w:val="0"/>
                <w:sz w:val="27"/>
                <w:szCs w:val="27"/>
              </w:rPr>
              <w:t>骊</w:t>
            </w:r>
            <w:proofErr w:type="gramEnd"/>
            <w:r w:rsidRPr="0081560A">
              <w:rPr>
                <w:rFonts w:ascii="微软雅黑" w:eastAsia="微软雅黑" w:hAnsi="微软雅黑" w:cs="宋体" w:hint="eastAsia"/>
                <w:color w:val="333333"/>
                <w:kern w:val="0"/>
                <w:sz w:val="27"/>
                <w:szCs w:val="27"/>
              </w:rPr>
              <w:t>靬冰雪大世界、北海子沙枣林国际露营地等，加快发展全民健身、冬日经济、冰雪娱乐、房车住宿、特色餐饮、森林探险和户外拓展等健身休闲产业。</w:t>
            </w:r>
          </w:p>
          <w:p w14:paraId="0E871A00"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加快发展其他体育服务。培育一批富有特色的先进体育用品制造业企业和运动休闲示范区。加快形成包括健身服务、运动休闲、体育竞赛表演、体育用品制造和销售、体育彩票销售等结构合理、充满活力的体育市场。加快体育赛事中介机构培育。积极推动“体育+”模式，大力发展赛事经济，以体育竞赛</w:t>
            </w:r>
            <w:proofErr w:type="gramStart"/>
            <w:r w:rsidRPr="0081560A">
              <w:rPr>
                <w:rFonts w:ascii="微软雅黑" w:eastAsia="微软雅黑" w:hAnsi="微软雅黑" w:cs="宋体" w:hint="eastAsia"/>
                <w:color w:val="333333"/>
                <w:kern w:val="0"/>
                <w:sz w:val="27"/>
                <w:szCs w:val="27"/>
              </w:rPr>
              <w:t>表演业</w:t>
            </w:r>
            <w:proofErr w:type="gramEnd"/>
            <w:r w:rsidRPr="0081560A">
              <w:rPr>
                <w:rFonts w:ascii="微软雅黑" w:eastAsia="微软雅黑" w:hAnsi="微软雅黑" w:cs="宋体" w:hint="eastAsia"/>
                <w:color w:val="333333"/>
                <w:kern w:val="0"/>
                <w:sz w:val="27"/>
                <w:szCs w:val="27"/>
              </w:rPr>
              <w:t>带动健身休闲、广告传媒、酒店餐饮等相关产业发展。推动体育产业与文化、教育、旅游、</w:t>
            </w:r>
            <w:proofErr w:type="gramStart"/>
            <w:r w:rsidRPr="0081560A">
              <w:rPr>
                <w:rFonts w:ascii="微软雅黑" w:eastAsia="微软雅黑" w:hAnsi="微软雅黑" w:cs="宋体" w:hint="eastAsia"/>
                <w:color w:val="333333"/>
                <w:kern w:val="0"/>
                <w:sz w:val="27"/>
                <w:szCs w:val="27"/>
              </w:rPr>
              <w:t>医</w:t>
            </w:r>
            <w:proofErr w:type="gramEnd"/>
            <w:r w:rsidRPr="0081560A">
              <w:rPr>
                <w:rFonts w:ascii="微软雅黑" w:eastAsia="微软雅黑" w:hAnsi="微软雅黑" w:cs="宋体" w:hint="eastAsia"/>
                <w:color w:val="333333"/>
                <w:kern w:val="0"/>
                <w:sz w:val="27"/>
                <w:szCs w:val="27"/>
              </w:rPr>
              <w:t>养、农林等融合发展。推进实施农民体育健身工程，提高农民体育健身工程设施使用率。</w:t>
            </w:r>
          </w:p>
          <w:p w14:paraId="6FFD1F8E" w14:textId="77777777" w:rsidR="0081560A" w:rsidRPr="0081560A" w:rsidRDefault="0081560A" w:rsidP="0081560A">
            <w:pPr>
              <w:widowControl/>
              <w:spacing w:line="450" w:lineRule="atLeast"/>
              <w:ind w:firstLine="480"/>
              <w:jc w:val="left"/>
              <w:outlineLvl w:val="0"/>
              <w:rPr>
                <w:rFonts w:ascii="Times New Roman" w:eastAsia="微软雅黑" w:hAnsi="Times New Roman" w:cs="Times New Roman"/>
                <w:b/>
                <w:bCs/>
                <w:color w:val="333333"/>
                <w:kern w:val="36"/>
                <w:sz w:val="44"/>
                <w:szCs w:val="44"/>
              </w:rPr>
            </w:pPr>
            <w:r w:rsidRPr="0081560A">
              <w:rPr>
                <w:rFonts w:ascii="Times New Roman" w:eastAsia="微软雅黑" w:hAnsi="Times New Roman" w:cs="Times New Roman"/>
                <w:b/>
                <w:bCs/>
                <w:color w:val="333333"/>
                <w:kern w:val="36"/>
                <w:sz w:val="27"/>
                <w:szCs w:val="27"/>
              </w:rPr>
              <w:t>第五章</w:t>
            </w:r>
            <w:r w:rsidRPr="0081560A">
              <w:rPr>
                <w:rFonts w:ascii="Times New Roman" w:eastAsia="微软雅黑" w:hAnsi="Times New Roman" w:cs="Times New Roman"/>
                <w:b/>
                <w:bCs/>
                <w:color w:val="333333"/>
                <w:kern w:val="36"/>
                <w:sz w:val="27"/>
                <w:szCs w:val="27"/>
              </w:rPr>
              <w:t>  </w:t>
            </w:r>
            <w:r w:rsidRPr="0081560A">
              <w:rPr>
                <w:rFonts w:ascii="Times New Roman" w:eastAsia="微软雅黑" w:hAnsi="Times New Roman" w:cs="Times New Roman"/>
                <w:b/>
                <w:bCs/>
                <w:color w:val="333333"/>
                <w:kern w:val="36"/>
                <w:sz w:val="27"/>
                <w:szCs w:val="27"/>
              </w:rPr>
              <w:t>推进新型服务业提速扩容</w:t>
            </w:r>
          </w:p>
          <w:p w14:paraId="5CB07535"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lastRenderedPageBreak/>
              <w:t>以数字技术赋能传统服务业转型升级，加快推进数字产业与服务业深度融合，培育壮大新型服务业规模，为引领服务业高质量发展提供强大引擎和动能转换支撑。</w:t>
            </w:r>
          </w:p>
          <w:p w14:paraId="788D5E5F"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一、培育壮大数字经济</w:t>
            </w:r>
          </w:p>
          <w:p w14:paraId="626A66D5"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积极融入“数字丝绸之路”建设，推进“上云用数赋智”行动，提升数字基础支撑能力、大数据决策能力、智慧应用普及能力、利企便民服务能力和数据安全保障能力。到2025年，新</w:t>
            </w:r>
            <w:proofErr w:type="gramStart"/>
            <w:r w:rsidRPr="0081560A">
              <w:rPr>
                <w:rFonts w:ascii="微软雅黑" w:eastAsia="微软雅黑" w:hAnsi="微软雅黑" w:cs="宋体" w:hint="eastAsia"/>
                <w:color w:val="333333"/>
                <w:kern w:val="0"/>
                <w:sz w:val="27"/>
                <w:szCs w:val="27"/>
              </w:rPr>
              <w:t>培育链主企业</w:t>
            </w:r>
            <w:proofErr w:type="gramEnd"/>
            <w:r w:rsidRPr="0081560A">
              <w:rPr>
                <w:rFonts w:ascii="微软雅黑" w:eastAsia="微软雅黑" w:hAnsi="微软雅黑" w:cs="宋体" w:hint="eastAsia"/>
                <w:color w:val="333333"/>
                <w:kern w:val="0"/>
                <w:sz w:val="27"/>
                <w:szCs w:val="27"/>
              </w:rPr>
              <w:t>2家以上，产值达到300亿元以上。</w:t>
            </w:r>
          </w:p>
          <w:p w14:paraId="26F7F131"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加快新一代信息技术设施建设。加快5G网络、物联网等新型网络信息基础设施建设，逐步实现5G网络全覆盖。在产业园区和规模以上工业企业加快建设低时延、高可靠、广覆盖的工业互联网基础设施。以兰州新区国际互联网数据专用通道为依托，建成兰州新区至金昌高速网络链路，提升通道运营服务能力。积极争取在金昌布局建设全国一体化大数据中心国家枢纽节点。加快实施紫金云大数据中心一期、公共安全视频监控建设联网应用、安可替代工程等项目。支持紫金云、金川集团与省内外高校和企业开展合作攻关，争取在物联网、人工智能、区块链、</w:t>
            </w:r>
            <w:proofErr w:type="gramStart"/>
            <w:r w:rsidRPr="0081560A">
              <w:rPr>
                <w:rFonts w:ascii="微软雅黑" w:eastAsia="微软雅黑" w:hAnsi="微软雅黑" w:cs="宋体" w:hint="eastAsia"/>
                <w:color w:val="333333"/>
                <w:kern w:val="0"/>
                <w:sz w:val="27"/>
                <w:szCs w:val="27"/>
              </w:rPr>
              <w:t>云计算</w:t>
            </w:r>
            <w:proofErr w:type="gramEnd"/>
            <w:r w:rsidRPr="0081560A">
              <w:rPr>
                <w:rFonts w:ascii="微软雅黑" w:eastAsia="微软雅黑" w:hAnsi="微软雅黑" w:cs="宋体" w:hint="eastAsia"/>
                <w:color w:val="333333"/>
                <w:kern w:val="0"/>
                <w:sz w:val="27"/>
                <w:szCs w:val="27"/>
              </w:rPr>
              <w:t>等领域突破一批关键核心技术。积极推进与紫光云、</w:t>
            </w:r>
            <w:proofErr w:type="gramStart"/>
            <w:r w:rsidRPr="0081560A">
              <w:rPr>
                <w:rFonts w:ascii="微软雅黑" w:eastAsia="微软雅黑" w:hAnsi="微软雅黑" w:cs="宋体" w:hint="eastAsia"/>
                <w:color w:val="333333"/>
                <w:kern w:val="0"/>
                <w:sz w:val="27"/>
                <w:szCs w:val="27"/>
              </w:rPr>
              <w:t>腾讯云</w:t>
            </w:r>
            <w:proofErr w:type="gramEnd"/>
            <w:r w:rsidRPr="0081560A">
              <w:rPr>
                <w:rFonts w:ascii="微软雅黑" w:eastAsia="微软雅黑" w:hAnsi="微软雅黑" w:cs="宋体" w:hint="eastAsia"/>
                <w:color w:val="333333"/>
                <w:kern w:val="0"/>
                <w:sz w:val="27"/>
                <w:szCs w:val="27"/>
              </w:rPr>
              <w:t>等企业合作，联合建立数字化人才培养体系及创新孵化中心。</w:t>
            </w:r>
          </w:p>
          <w:p w14:paraId="10ECA94A"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推动大数据与实体经济融合。结合传统产业高端化、智能化、绿色化改造，充分发挥紫光云、金川集团公司、紫金云等企业优势，建设</w:t>
            </w:r>
            <w:proofErr w:type="gramStart"/>
            <w:r w:rsidRPr="0081560A">
              <w:rPr>
                <w:rFonts w:ascii="微软雅黑" w:eastAsia="微软雅黑" w:hAnsi="微软雅黑" w:cs="宋体" w:hint="eastAsia"/>
                <w:color w:val="333333"/>
                <w:kern w:val="0"/>
                <w:sz w:val="27"/>
                <w:szCs w:val="27"/>
              </w:rPr>
              <w:t>集基础</w:t>
            </w:r>
            <w:proofErr w:type="gramEnd"/>
            <w:r w:rsidRPr="0081560A">
              <w:rPr>
                <w:rFonts w:ascii="微软雅黑" w:eastAsia="微软雅黑" w:hAnsi="微软雅黑" w:cs="宋体" w:hint="eastAsia"/>
                <w:color w:val="333333"/>
                <w:kern w:val="0"/>
                <w:sz w:val="27"/>
                <w:szCs w:val="27"/>
              </w:rPr>
              <w:t>设施、网络及应用为一体的工业互联网平台，按照国际标准</w:t>
            </w:r>
            <w:r w:rsidRPr="0081560A">
              <w:rPr>
                <w:rFonts w:ascii="微软雅黑" w:eastAsia="微软雅黑" w:hAnsi="微软雅黑" w:cs="宋体" w:hint="eastAsia"/>
                <w:color w:val="333333"/>
                <w:kern w:val="0"/>
                <w:sz w:val="27"/>
                <w:szCs w:val="27"/>
              </w:rPr>
              <w:lastRenderedPageBreak/>
              <w:t>打造工业云图。推进有色金属、镍铜</w:t>
            </w:r>
            <w:proofErr w:type="gramStart"/>
            <w:r w:rsidRPr="0081560A">
              <w:rPr>
                <w:rFonts w:ascii="微软雅黑" w:eastAsia="微软雅黑" w:hAnsi="微软雅黑" w:cs="宋体" w:hint="eastAsia"/>
                <w:color w:val="333333"/>
                <w:kern w:val="0"/>
                <w:sz w:val="27"/>
                <w:szCs w:val="27"/>
              </w:rPr>
              <w:t>钴</w:t>
            </w:r>
            <w:proofErr w:type="gramEnd"/>
            <w:r w:rsidRPr="0081560A">
              <w:rPr>
                <w:rFonts w:ascii="微软雅黑" w:eastAsia="微软雅黑" w:hAnsi="微软雅黑" w:cs="宋体" w:hint="eastAsia"/>
                <w:color w:val="333333"/>
                <w:kern w:val="0"/>
                <w:sz w:val="27"/>
                <w:szCs w:val="27"/>
              </w:rPr>
              <w:t>新材料及精细化工、能源、建材、冶金等优势行业的工业互联网标识解析体系建设，实现跨企业、跨地区、跨行业的产品全生命周期管理，促进信息资源集成共享。重点推进金川集团工业互联网平台建设和无人化工厂试点示范，建设“5G+工业互联网联合实验室”。加强与中国电信、中国移动、中国联通、华为、紫光云等企业合作，着力发展数据清洗加工、计算、采集标注等产业，建设大数据清洗加工基地、大数据分析处理基地。积极引进机柜及配套设备生产、软件开发等领域龙头企业，加快培育电子信息制造业、软件服务业、信息通信业等产业，全力构建数字产业化生态。</w:t>
            </w:r>
          </w:p>
          <w:p w14:paraId="6227301B"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全面发展智能制造。围绕有色行业采选冶专用设备研发制造、有色冶金特种仪器仪表研发制造等领域，支持引导金川集团逐步实现</w:t>
            </w:r>
            <w:proofErr w:type="gramStart"/>
            <w:r w:rsidRPr="0081560A">
              <w:rPr>
                <w:rFonts w:ascii="微软雅黑" w:eastAsia="微软雅黑" w:hAnsi="微软雅黑" w:cs="宋体" w:hint="eastAsia"/>
                <w:color w:val="333333"/>
                <w:kern w:val="0"/>
                <w:sz w:val="27"/>
                <w:szCs w:val="27"/>
              </w:rPr>
              <w:t>由应用</w:t>
            </w:r>
            <w:proofErr w:type="gramEnd"/>
            <w:r w:rsidRPr="0081560A">
              <w:rPr>
                <w:rFonts w:ascii="微软雅黑" w:eastAsia="微软雅黑" w:hAnsi="微软雅黑" w:cs="宋体" w:hint="eastAsia"/>
                <w:color w:val="333333"/>
                <w:kern w:val="0"/>
                <w:sz w:val="27"/>
                <w:szCs w:val="27"/>
              </w:rPr>
              <w:t>智能装备向生产智能装备转型跨越。加强高端耐磨智能铸造方向的投入和研发，努力打造西北乃至全国具有一定影响力的优质铸造生铁、高端工业铸铁件和民用铸件的生产基地。依托永昌工业园，开发新型农机产品，建设智能化农机制造产业基地。支持金昌经开区发展工业设备、仪器仪表、机械设备等大型装备的专业维修与售后服务。</w:t>
            </w:r>
          </w:p>
          <w:p w14:paraId="146D6CCE"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加快推动智慧城市建设。加快推进智慧教育、智慧交管、智慧医疗、</w:t>
            </w:r>
            <w:proofErr w:type="gramStart"/>
            <w:r w:rsidRPr="0081560A">
              <w:rPr>
                <w:rFonts w:ascii="微软雅黑" w:eastAsia="微软雅黑" w:hAnsi="微软雅黑" w:cs="宋体" w:hint="eastAsia"/>
                <w:color w:val="333333"/>
                <w:kern w:val="0"/>
                <w:sz w:val="27"/>
                <w:szCs w:val="27"/>
              </w:rPr>
              <w:t>宜方达</w:t>
            </w:r>
            <w:proofErr w:type="gramEnd"/>
            <w:r w:rsidRPr="0081560A">
              <w:rPr>
                <w:rFonts w:ascii="微软雅黑" w:eastAsia="微软雅黑" w:hAnsi="微软雅黑" w:cs="宋体" w:hint="eastAsia"/>
                <w:color w:val="333333"/>
                <w:kern w:val="0"/>
                <w:sz w:val="27"/>
                <w:szCs w:val="27"/>
              </w:rPr>
              <w:t>物业公司信息化管理平台、反电信网络诈骗中心等重点项目建设。积极运用互联网、大数据、</w:t>
            </w:r>
            <w:proofErr w:type="gramStart"/>
            <w:r w:rsidRPr="0081560A">
              <w:rPr>
                <w:rFonts w:ascii="微软雅黑" w:eastAsia="微软雅黑" w:hAnsi="微软雅黑" w:cs="宋体" w:hint="eastAsia"/>
                <w:color w:val="333333"/>
                <w:kern w:val="0"/>
                <w:sz w:val="27"/>
                <w:szCs w:val="27"/>
              </w:rPr>
              <w:t>云计算</w:t>
            </w:r>
            <w:proofErr w:type="gramEnd"/>
            <w:r w:rsidRPr="0081560A">
              <w:rPr>
                <w:rFonts w:ascii="微软雅黑" w:eastAsia="微软雅黑" w:hAnsi="微软雅黑" w:cs="宋体" w:hint="eastAsia"/>
                <w:color w:val="333333"/>
                <w:kern w:val="0"/>
                <w:sz w:val="27"/>
                <w:szCs w:val="27"/>
              </w:rPr>
              <w:t>等技术手段，构建“互联网+政务服务”平台，提供一站式办理政务服务。探索建设智慧社会综合信息服务平台，综合集成智慧养老、智慧旅游、智慧城管、智慧应</w:t>
            </w:r>
            <w:r w:rsidRPr="0081560A">
              <w:rPr>
                <w:rFonts w:ascii="微软雅黑" w:eastAsia="微软雅黑" w:hAnsi="微软雅黑" w:cs="宋体" w:hint="eastAsia"/>
                <w:color w:val="333333"/>
                <w:kern w:val="0"/>
                <w:sz w:val="27"/>
                <w:szCs w:val="27"/>
              </w:rPr>
              <w:lastRenderedPageBreak/>
              <w:t>急、智慧政务等数据信息，打造完善的社会领域互联网服务体系。加快智慧园区建设，推动实现安全、环保、应急一体化智能管理，实现智慧、安全、环境保护实时整合，重点推进金昌经开区智慧园区、金川镍钴产业5G+智慧园区等项目建设。</w:t>
            </w:r>
          </w:p>
          <w:p w14:paraId="44F3CB04"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二、优化拓展金融服务业</w:t>
            </w:r>
          </w:p>
          <w:p w14:paraId="57C02A6C"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全面提升金融服务效率和水平，构建现代化、普惠化、便利化的“贷、投、债、股、信、险、财、租”一体化金融服务体系。</w:t>
            </w:r>
          </w:p>
          <w:p w14:paraId="02286680"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稳健推动金融创新。深化民营和小</w:t>
            </w:r>
            <w:proofErr w:type="gramStart"/>
            <w:r w:rsidRPr="0081560A">
              <w:rPr>
                <w:rFonts w:ascii="微软雅黑" w:eastAsia="微软雅黑" w:hAnsi="微软雅黑" w:cs="宋体" w:hint="eastAsia"/>
                <w:color w:val="333333"/>
                <w:kern w:val="0"/>
                <w:sz w:val="27"/>
                <w:szCs w:val="27"/>
              </w:rPr>
              <w:t>微企业</w:t>
            </w:r>
            <w:proofErr w:type="gramEnd"/>
            <w:r w:rsidRPr="0081560A">
              <w:rPr>
                <w:rFonts w:ascii="微软雅黑" w:eastAsia="微软雅黑" w:hAnsi="微软雅黑" w:cs="宋体" w:hint="eastAsia"/>
                <w:color w:val="333333"/>
                <w:kern w:val="0"/>
                <w:sz w:val="27"/>
                <w:szCs w:val="27"/>
              </w:rPr>
              <w:t>金融服务综合改革试点，推动政府性融资担保体系与银行业金融机构合作，推行以“甘肃信易贷”平台为重点，“税务贷”“助保贷”“互助贷”等共同发展的金融服务模式。依托金川集团、金</w:t>
            </w:r>
            <w:proofErr w:type="gramStart"/>
            <w:r w:rsidRPr="0081560A">
              <w:rPr>
                <w:rFonts w:ascii="微软雅黑" w:eastAsia="微软雅黑" w:hAnsi="微软雅黑" w:cs="宋体" w:hint="eastAsia"/>
                <w:color w:val="333333"/>
                <w:kern w:val="0"/>
                <w:sz w:val="27"/>
                <w:szCs w:val="27"/>
              </w:rPr>
              <w:t>泥集团</w:t>
            </w:r>
            <w:proofErr w:type="gramEnd"/>
            <w:r w:rsidRPr="0081560A">
              <w:rPr>
                <w:rFonts w:ascii="微软雅黑" w:eastAsia="微软雅黑" w:hAnsi="微软雅黑" w:cs="宋体" w:hint="eastAsia"/>
                <w:color w:val="333333"/>
                <w:kern w:val="0"/>
                <w:sz w:val="27"/>
                <w:szCs w:val="27"/>
              </w:rPr>
              <w:t>等企业，带动上下游企业组建完整的供应链融资渠道，推动应收账款、知识产权等抵质押贷款，为企业提供“一站式”金融服务。大力推进融资平台整合升级，推行县域内整合或“以市带县”模式，加快优质经营性资产注入和非营利性公益资产剥离，提升平台公司信用评级，扩大平台公司市场化债券融资规模，通过发行债券、基金参股或利用金融创新产品直接融资。稳健推进“互联网+金融”创新，推动数字普惠金融发展。</w:t>
            </w:r>
          </w:p>
          <w:p w14:paraId="62F0FA3D"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proofErr w:type="gramStart"/>
            <w:r w:rsidRPr="0081560A">
              <w:rPr>
                <w:rFonts w:ascii="微软雅黑" w:eastAsia="微软雅黑" w:hAnsi="微软雅黑" w:cs="宋体" w:hint="eastAsia"/>
                <w:color w:val="333333"/>
                <w:kern w:val="0"/>
                <w:sz w:val="27"/>
                <w:szCs w:val="27"/>
              </w:rPr>
              <w:t>拓展业</w:t>
            </w:r>
            <w:proofErr w:type="gramEnd"/>
            <w:r w:rsidRPr="0081560A">
              <w:rPr>
                <w:rFonts w:ascii="微软雅黑" w:eastAsia="微软雅黑" w:hAnsi="微软雅黑" w:cs="宋体" w:hint="eastAsia"/>
                <w:color w:val="333333"/>
                <w:kern w:val="0"/>
                <w:sz w:val="27"/>
                <w:szCs w:val="27"/>
              </w:rPr>
              <w:t>态和规模。持续加大金融招商力度，积极吸引各类银行、保险基金、信托等金融机构入驻金昌。顺应资产证券化、金融网络化、产业金融化发展趋势，完善金融牌照版图，加快建设服务实体经济的金融中心。稳妥发展互联网保险、汽车金融、资产管理、财务公司、产业基金、商业保理、融资租赁等服务。实施高新技术企业和</w:t>
            </w:r>
            <w:r w:rsidRPr="0081560A">
              <w:rPr>
                <w:rFonts w:ascii="微软雅黑" w:eastAsia="微软雅黑" w:hAnsi="微软雅黑" w:cs="宋体" w:hint="eastAsia"/>
                <w:color w:val="333333"/>
                <w:kern w:val="0"/>
                <w:sz w:val="27"/>
                <w:szCs w:val="27"/>
              </w:rPr>
              <w:lastRenderedPageBreak/>
              <w:t>“专精特新”中小企业培育计划，支持企业纳入省级中小</w:t>
            </w:r>
            <w:proofErr w:type="gramStart"/>
            <w:r w:rsidRPr="0081560A">
              <w:rPr>
                <w:rFonts w:ascii="微软雅黑" w:eastAsia="微软雅黑" w:hAnsi="微软雅黑" w:cs="宋体" w:hint="eastAsia"/>
                <w:color w:val="333333"/>
                <w:kern w:val="0"/>
                <w:sz w:val="27"/>
                <w:szCs w:val="27"/>
              </w:rPr>
              <w:t>微企业</w:t>
            </w:r>
            <w:proofErr w:type="gramEnd"/>
            <w:r w:rsidRPr="0081560A">
              <w:rPr>
                <w:rFonts w:ascii="微软雅黑" w:eastAsia="微软雅黑" w:hAnsi="微软雅黑" w:cs="宋体" w:hint="eastAsia"/>
                <w:color w:val="333333"/>
                <w:kern w:val="0"/>
                <w:sz w:val="27"/>
                <w:szCs w:val="27"/>
              </w:rPr>
              <w:t>信用培育计划名录。推动发展风险投资和股权投资业，探索投贷结合的融资模式，拓宽科技型、创新型企业融资渠道。</w:t>
            </w:r>
          </w:p>
          <w:p w14:paraId="51BCE9C7"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健全农村金融服务体系。完善农村金融服务网点，逐步实现行政村金融服务全覆盖。大力发展乡村数字普惠金融，设立发展村级集体经济专项信贷资金。发展产业链、供应</w:t>
            </w:r>
            <w:proofErr w:type="gramStart"/>
            <w:r w:rsidRPr="0081560A">
              <w:rPr>
                <w:rFonts w:ascii="微软雅黑" w:eastAsia="微软雅黑" w:hAnsi="微软雅黑" w:cs="宋体" w:hint="eastAsia"/>
                <w:color w:val="333333"/>
                <w:kern w:val="0"/>
                <w:sz w:val="27"/>
                <w:szCs w:val="27"/>
              </w:rPr>
              <w:t>链金融</w:t>
            </w:r>
            <w:proofErr w:type="gramEnd"/>
            <w:r w:rsidRPr="0081560A">
              <w:rPr>
                <w:rFonts w:ascii="微软雅黑" w:eastAsia="微软雅黑" w:hAnsi="微软雅黑" w:cs="宋体" w:hint="eastAsia"/>
                <w:color w:val="333333"/>
                <w:kern w:val="0"/>
                <w:sz w:val="27"/>
                <w:szCs w:val="27"/>
              </w:rPr>
              <w:t>服务新模式，引导商业银行创新农村金融服务模式，完善“三农”融资担保体系，扩大农业保险覆盖面。</w:t>
            </w:r>
          </w:p>
          <w:p w14:paraId="57614C30"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建设金融安全示范区。强化金融市场诚信体系建设，落实金融信用“红黑名单”制度，建立完善中小企业投融资体系，提高企业与金融单位信用合作的广度和深度。全面加强金融监管，健全金融机构内控机制，增强支付能力和偿付能力。支持保险公司提供个性化、定制化产品服务，提供质优价廉、诚信规范的保险产品和服务。坚决整治金融领域各种乱象，有效防范化解区域性系统性金融风险，创建全省金融安全示范区。</w:t>
            </w:r>
          </w:p>
          <w:p w14:paraId="4AB49F8F" w14:textId="77777777" w:rsidR="0081560A" w:rsidRPr="0081560A" w:rsidRDefault="0081560A" w:rsidP="0081560A">
            <w:pPr>
              <w:widowControl/>
              <w:spacing w:line="450" w:lineRule="atLeast"/>
              <w:ind w:firstLine="480"/>
              <w:jc w:val="left"/>
              <w:outlineLvl w:val="0"/>
              <w:rPr>
                <w:rFonts w:ascii="Times New Roman" w:eastAsia="微软雅黑" w:hAnsi="Times New Roman" w:cs="Times New Roman"/>
                <w:b/>
                <w:bCs/>
                <w:color w:val="333333"/>
                <w:kern w:val="36"/>
                <w:sz w:val="44"/>
                <w:szCs w:val="44"/>
              </w:rPr>
            </w:pPr>
            <w:r w:rsidRPr="0081560A">
              <w:rPr>
                <w:rFonts w:ascii="Times New Roman" w:eastAsia="微软雅黑" w:hAnsi="Times New Roman" w:cs="Times New Roman"/>
                <w:b/>
                <w:bCs/>
                <w:color w:val="333333"/>
                <w:kern w:val="36"/>
                <w:sz w:val="27"/>
                <w:szCs w:val="27"/>
              </w:rPr>
              <w:t>第六章</w:t>
            </w:r>
            <w:r w:rsidRPr="0081560A">
              <w:rPr>
                <w:rFonts w:ascii="Times New Roman" w:eastAsia="微软雅黑" w:hAnsi="Times New Roman" w:cs="Times New Roman"/>
                <w:b/>
                <w:bCs/>
                <w:color w:val="333333"/>
                <w:kern w:val="36"/>
                <w:sz w:val="27"/>
                <w:szCs w:val="27"/>
              </w:rPr>
              <w:t>  </w:t>
            </w:r>
            <w:r w:rsidRPr="0081560A">
              <w:rPr>
                <w:rFonts w:ascii="Times New Roman" w:eastAsia="微软雅黑" w:hAnsi="Times New Roman" w:cs="Times New Roman"/>
                <w:b/>
                <w:bCs/>
                <w:color w:val="333333"/>
                <w:kern w:val="36"/>
                <w:sz w:val="27"/>
                <w:szCs w:val="27"/>
              </w:rPr>
              <w:t>保障措施</w:t>
            </w:r>
          </w:p>
          <w:p w14:paraId="0E5A0DCA"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一、加强组织领导</w:t>
            </w:r>
          </w:p>
          <w:p w14:paraId="2FCFB3E2"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坚持党对服务业发展的全面领导，建立健全统筹协调机制和联席会议制度，定期组织召开专题会议，研究解决规划实施中的重点、难点和热点问题，确保规划确定的发展目标、重大任务、重大项目、重大政策全面落实。建立健全规划实施机制，进一步明确县区政府、相关部门工作职责，建立分工负责制，强化协同配合，增强服务业发展</w:t>
            </w:r>
            <w:r w:rsidRPr="0081560A">
              <w:rPr>
                <w:rFonts w:ascii="微软雅黑" w:eastAsia="微软雅黑" w:hAnsi="微软雅黑" w:cs="宋体" w:hint="eastAsia"/>
                <w:color w:val="333333"/>
                <w:kern w:val="0"/>
                <w:sz w:val="27"/>
                <w:szCs w:val="27"/>
              </w:rPr>
              <w:lastRenderedPageBreak/>
              <w:t>合力，协同推进重点任务、项目建设等工作，确保政策措施落地生根。</w:t>
            </w:r>
          </w:p>
          <w:p w14:paraId="4E34B31A"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二、健全运行机制</w:t>
            </w:r>
          </w:p>
          <w:p w14:paraId="56C7C9A8"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构建部门协同、市企联动的服务业创新机制，</w:t>
            </w:r>
            <w:proofErr w:type="gramStart"/>
            <w:r w:rsidRPr="0081560A">
              <w:rPr>
                <w:rFonts w:ascii="微软雅黑" w:eastAsia="微软雅黑" w:hAnsi="微软雅黑" w:cs="宋体" w:hint="eastAsia"/>
                <w:color w:val="333333"/>
                <w:kern w:val="0"/>
                <w:sz w:val="27"/>
                <w:szCs w:val="27"/>
              </w:rPr>
              <w:t>加强发改部门</w:t>
            </w:r>
            <w:proofErr w:type="gramEnd"/>
            <w:r w:rsidRPr="0081560A">
              <w:rPr>
                <w:rFonts w:ascii="微软雅黑" w:eastAsia="微软雅黑" w:hAnsi="微软雅黑" w:cs="宋体" w:hint="eastAsia"/>
                <w:color w:val="333333"/>
                <w:kern w:val="0"/>
                <w:sz w:val="27"/>
                <w:szCs w:val="27"/>
              </w:rPr>
              <w:t>与商务、文广旅、农业、科技、金融等部门，以及与金川集团的联系沟通和相互衔接，共同组织实施好重大服务业产业化项目。加强统计监测机制，完善服务业新模式、新业</w:t>
            </w:r>
            <w:proofErr w:type="gramStart"/>
            <w:r w:rsidRPr="0081560A">
              <w:rPr>
                <w:rFonts w:ascii="微软雅黑" w:eastAsia="微软雅黑" w:hAnsi="微软雅黑" w:cs="宋体" w:hint="eastAsia"/>
                <w:color w:val="333333"/>
                <w:kern w:val="0"/>
                <w:sz w:val="27"/>
                <w:szCs w:val="27"/>
              </w:rPr>
              <w:t>态及其</w:t>
            </w:r>
            <w:proofErr w:type="gramEnd"/>
            <w:r w:rsidRPr="0081560A">
              <w:rPr>
                <w:rFonts w:ascii="微软雅黑" w:eastAsia="微软雅黑" w:hAnsi="微软雅黑" w:cs="宋体" w:hint="eastAsia"/>
                <w:color w:val="333333"/>
                <w:kern w:val="0"/>
                <w:sz w:val="27"/>
                <w:szCs w:val="27"/>
              </w:rPr>
              <w:t>重点领域统计制度和指标体系，建立</w:t>
            </w:r>
            <w:proofErr w:type="gramStart"/>
            <w:r w:rsidRPr="0081560A">
              <w:rPr>
                <w:rFonts w:ascii="微软雅黑" w:eastAsia="微软雅黑" w:hAnsi="微软雅黑" w:cs="宋体" w:hint="eastAsia"/>
                <w:color w:val="333333"/>
                <w:kern w:val="0"/>
                <w:sz w:val="27"/>
                <w:szCs w:val="27"/>
              </w:rPr>
              <w:t>健全部</w:t>
            </w:r>
            <w:proofErr w:type="gramEnd"/>
            <w:r w:rsidRPr="0081560A">
              <w:rPr>
                <w:rFonts w:ascii="微软雅黑" w:eastAsia="微软雅黑" w:hAnsi="微软雅黑" w:cs="宋体" w:hint="eastAsia"/>
                <w:color w:val="333333"/>
                <w:kern w:val="0"/>
                <w:sz w:val="27"/>
                <w:szCs w:val="27"/>
              </w:rPr>
              <w:t>门间数据共享机制，逐步建立服务业信息定期发布制度，全面掌握产业发展、重点项目和重点任务情况，为准确判断和分析服务业运行情况提供依据。</w:t>
            </w:r>
          </w:p>
          <w:p w14:paraId="49900A5F"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三、强化项目支撑</w:t>
            </w:r>
          </w:p>
          <w:p w14:paraId="35EABE45"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按照“策划一批、储备一批、开工一批、实施一批”的项目滚动机制，建立年度项目清单，强化重大项目筹划、建设、储备与管理，对项目建设遇到的难题和瓶颈制约实行跟踪跑办、全力破解、逐一落实。建立项目动态调整机制，强化项目调度和服务，动态调整优化项目库，将招商引资、新谋划项目列入清单管理，推动项目加快落地建设，早日达产达标。加强与国家、省上相关规划对接，紧密对接中央投资导向，做好项目策划包装，积极争取国家和省上重点投资项目落户金昌。</w:t>
            </w:r>
          </w:p>
          <w:p w14:paraId="09923C27" w14:textId="77777777" w:rsidR="0081560A" w:rsidRPr="0081560A" w:rsidRDefault="0081560A" w:rsidP="0081560A">
            <w:pPr>
              <w:widowControl/>
              <w:spacing w:line="450" w:lineRule="atLeast"/>
              <w:ind w:firstLine="480"/>
              <w:jc w:val="left"/>
              <w:outlineLvl w:val="1"/>
              <w:rPr>
                <w:rFonts w:ascii="Times New Roman" w:eastAsia="微软雅黑" w:hAnsi="Times New Roman" w:cs="Times New Roman"/>
                <w:b/>
                <w:bCs/>
                <w:color w:val="333333"/>
                <w:kern w:val="0"/>
                <w:sz w:val="36"/>
                <w:szCs w:val="36"/>
              </w:rPr>
            </w:pPr>
            <w:r w:rsidRPr="0081560A">
              <w:rPr>
                <w:rFonts w:ascii="Times New Roman" w:eastAsia="微软雅黑" w:hAnsi="Times New Roman" w:cs="Times New Roman"/>
                <w:b/>
                <w:bCs/>
                <w:color w:val="333333"/>
                <w:kern w:val="0"/>
                <w:sz w:val="27"/>
                <w:szCs w:val="27"/>
              </w:rPr>
              <w:t>四、强化考核评估</w:t>
            </w:r>
          </w:p>
          <w:p w14:paraId="4A1A6AE6" w14:textId="77777777" w:rsidR="0081560A" w:rsidRPr="0081560A" w:rsidRDefault="0081560A" w:rsidP="0081560A">
            <w:pPr>
              <w:widowControl/>
              <w:spacing w:line="450" w:lineRule="atLeast"/>
              <w:ind w:firstLine="480"/>
              <w:jc w:val="left"/>
              <w:rPr>
                <w:rFonts w:ascii="微软雅黑" w:eastAsia="微软雅黑" w:hAnsi="微软雅黑" w:cs="宋体"/>
                <w:color w:val="333333"/>
                <w:kern w:val="0"/>
                <w:sz w:val="27"/>
                <w:szCs w:val="27"/>
              </w:rPr>
            </w:pPr>
            <w:r w:rsidRPr="0081560A">
              <w:rPr>
                <w:rFonts w:ascii="微软雅黑" w:eastAsia="微软雅黑" w:hAnsi="微软雅黑" w:cs="宋体" w:hint="eastAsia"/>
                <w:color w:val="333333"/>
                <w:kern w:val="0"/>
                <w:sz w:val="27"/>
                <w:szCs w:val="27"/>
              </w:rPr>
              <w:t>加大服务业考核评估督查力度，优化和完善考核评估制度，明确主体责任，细化任务分解。将目标任务纳入年度绩效考评范围，适时</w:t>
            </w:r>
            <w:r w:rsidRPr="0081560A">
              <w:rPr>
                <w:rFonts w:ascii="微软雅黑" w:eastAsia="微软雅黑" w:hAnsi="微软雅黑" w:cs="宋体" w:hint="eastAsia"/>
                <w:color w:val="333333"/>
                <w:kern w:val="0"/>
                <w:sz w:val="27"/>
                <w:szCs w:val="27"/>
              </w:rPr>
              <w:lastRenderedPageBreak/>
              <w:t>开展中期评估和阶段总结评估，对《规划》实施效果做出综合评价，发现问题，及时解决。根据经济社会需求新变化，对《规划》指标和任务部署进行及时、动态调整。加强宣传引导，调动和增强社会各方面落实《规划》的主动性和积极性。</w:t>
            </w:r>
          </w:p>
        </w:tc>
      </w:tr>
      <w:tr w:rsidR="0081560A" w:rsidRPr="0081560A" w14:paraId="25C55E16" w14:textId="77777777" w:rsidTr="0081560A">
        <w:trPr>
          <w:jc w:val="center"/>
        </w:trPr>
        <w:tc>
          <w:tcPr>
            <w:tcW w:w="0" w:type="auto"/>
            <w:shd w:val="clear" w:color="auto" w:fill="FFFFFF"/>
            <w:tcMar>
              <w:top w:w="0" w:type="dxa"/>
              <w:left w:w="0" w:type="dxa"/>
              <w:bottom w:w="0" w:type="dxa"/>
              <w:right w:w="0" w:type="dxa"/>
            </w:tcMar>
            <w:vAlign w:val="center"/>
            <w:hideMark/>
          </w:tcPr>
          <w:p w14:paraId="49037C53" w14:textId="77777777" w:rsidR="0081560A" w:rsidRPr="0081560A" w:rsidRDefault="0081560A" w:rsidP="0081560A">
            <w:pPr>
              <w:widowControl/>
              <w:jc w:val="left"/>
              <w:rPr>
                <w:rFonts w:ascii="微软雅黑" w:eastAsia="微软雅黑" w:hAnsi="微软雅黑" w:cs="宋体"/>
                <w:color w:val="333333"/>
                <w:kern w:val="0"/>
                <w:sz w:val="27"/>
                <w:szCs w:val="27"/>
              </w:rPr>
            </w:pPr>
          </w:p>
        </w:tc>
      </w:tr>
    </w:tbl>
    <w:p w14:paraId="35DCD3AE" w14:textId="77777777" w:rsidR="0021683C" w:rsidRPr="0081560A" w:rsidRDefault="0021683C"/>
    <w:sectPr w:rsidR="0021683C" w:rsidRPr="008156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E6B"/>
    <w:rsid w:val="0021683C"/>
    <w:rsid w:val="002E4234"/>
    <w:rsid w:val="0081560A"/>
    <w:rsid w:val="00B07E6B"/>
    <w:rsid w:val="00EE5EC9"/>
    <w:rsid w:val="00F6491D"/>
    <w:rsid w:val="00FB7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71BB1"/>
  <w15:chartTrackingRefBased/>
  <w15:docId w15:val="{6466834A-6D3A-4085-AB24-EE74A420C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81560A"/>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81560A"/>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81560A"/>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1560A"/>
    <w:rPr>
      <w:rFonts w:ascii="宋体" w:eastAsia="宋体" w:hAnsi="宋体" w:cs="宋体"/>
      <w:b/>
      <w:bCs/>
      <w:kern w:val="36"/>
      <w:sz w:val="48"/>
      <w:szCs w:val="48"/>
    </w:rPr>
  </w:style>
  <w:style w:type="character" w:customStyle="1" w:styleId="20">
    <w:name w:val="标题 2 字符"/>
    <w:basedOn w:val="a0"/>
    <w:link w:val="2"/>
    <w:uiPriority w:val="9"/>
    <w:rsid w:val="0081560A"/>
    <w:rPr>
      <w:rFonts w:ascii="宋体" w:eastAsia="宋体" w:hAnsi="宋体" w:cs="宋体"/>
      <w:b/>
      <w:bCs/>
      <w:kern w:val="0"/>
      <w:sz w:val="36"/>
      <w:szCs w:val="36"/>
    </w:rPr>
  </w:style>
  <w:style w:type="character" w:customStyle="1" w:styleId="30">
    <w:name w:val="标题 3 字符"/>
    <w:basedOn w:val="a0"/>
    <w:link w:val="3"/>
    <w:uiPriority w:val="9"/>
    <w:rsid w:val="0081560A"/>
    <w:rPr>
      <w:rFonts w:ascii="宋体" w:eastAsia="宋体" w:hAnsi="宋体" w:cs="宋体"/>
      <w:b/>
      <w:bCs/>
      <w:kern w:val="0"/>
      <w:sz w:val="27"/>
      <w:szCs w:val="27"/>
    </w:rPr>
  </w:style>
  <w:style w:type="paragraph" w:styleId="a3">
    <w:name w:val="Normal (Web)"/>
    <w:basedOn w:val="a"/>
    <w:uiPriority w:val="99"/>
    <w:semiHidden/>
    <w:unhideWhenUsed/>
    <w:rsid w:val="0081560A"/>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8156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130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jcs.gov.cn/art/2021/12/30/art_43290_663676.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3612</Words>
  <Characters>20594</Characters>
  <Application>Microsoft Office Word</Application>
  <DocSecurity>0</DocSecurity>
  <Lines>171</Lines>
  <Paragraphs>48</Paragraphs>
  <ScaleCrop>false</ScaleCrop>
  <Company/>
  <LinksUpToDate>false</LinksUpToDate>
  <CharactersWithSpaces>24158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Yoke</dc:creator>
  <cp:keywords/>
  <dc:description/>
  <cp:lastModifiedBy>Yoke</cp:lastModifiedBy>
  <cp:revision>3</cp:revision>
  <dcterms:created xsi:type="dcterms:W3CDTF">2023-01-09T08:13:00Z</dcterms:created>
  <dcterms:modified xsi:type="dcterms:W3CDTF">2023-01-12T05:51:00Z</dcterms:modified>
</cp:coreProperties>
</file>