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0"/>
        <w:jc w:val="center"/>
        <w:rPr>
          <w:rFonts w:hint="eastAsia" w:ascii="黑体" w:hAnsi="黑体" w:eastAsia="黑体" w:cs="黑体"/>
          <w:i w:val="0"/>
          <w:iCs w:val="0"/>
          <w:caps w:val="0"/>
          <w:color w:val="333333"/>
          <w:spacing w:val="0"/>
          <w:sz w:val="16"/>
          <w:szCs w:val="16"/>
        </w:rPr>
      </w:pPr>
      <w:bookmarkStart w:id="0" w:name="_GoBack"/>
      <w:r>
        <w:rPr>
          <w:rFonts w:hint="eastAsia" w:ascii="黑体" w:hAnsi="黑体" w:eastAsia="黑体" w:cs="黑体"/>
          <w:i w:val="0"/>
          <w:iCs w:val="0"/>
          <w:caps w:val="0"/>
          <w:color w:val="333333"/>
          <w:spacing w:val="0"/>
          <w:sz w:val="34"/>
          <w:szCs w:val="34"/>
          <w:bdr w:val="none" w:color="auto" w:sz="0" w:space="0"/>
        </w:rPr>
        <w:t>法治芦溪建设规划（</w:t>
      </w:r>
      <w:r>
        <w:rPr>
          <w:rFonts w:hint="eastAsia" w:ascii="黑体" w:hAnsi="黑体" w:eastAsia="黑体" w:cs="黑体"/>
          <w:i w:val="0"/>
          <w:iCs w:val="0"/>
          <w:caps w:val="0"/>
          <w:color w:val="333333"/>
          <w:spacing w:val="0"/>
          <w:sz w:val="34"/>
          <w:szCs w:val="34"/>
          <w:bdr w:val="none" w:color="auto" w:sz="0" w:space="0"/>
        </w:rPr>
        <w:t>2021—2025年）</w:t>
      </w:r>
    </w:p>
    <w:bookmarkEnd w:id="0"/>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44" w:lineRule="atLeast"/>
        <w:ind w:left="0" w:right="0" w:firstLine="528"/>
        <w:rPr>
          <w:rFonts w:hint="eastAsia" w:ascii="微软雅黑" w:hAnsi="微软雅黑" w:eastAsia="微软雅黑" w:cs="微软雅黑"/>
          <w:i w:val="0"/>
          <w:iCs w:val="0"/>
          <w:caps w:val="0"/>
          <w:color w:val="333333"/>
          <w:spacing w:val="0"/>
          <w:sz w:val="16"/>
          <w:szCs w:val="16"/>
        </w:rPr>
      </w:pPr>
      <w:r>
        <w:rPr>
          <w:rFonts w:ascii="仿宋_GB2312" w:hAnsi="微软雅黑" w:eastAsia="仿宋_GB2312" w:cs="仿宋_GB2312"/>
          <w:i w:val="0"/>
          <w:iCs w:val="0"/>
          <w:caps w:val="0"/>
          <w:color w:val="333333"/>
          <w:spacing w:val="0"/>
          <w:sz w:val="25"/>
          <w:szCs w:val="25"/>
          <w:bdr w:val="none" w:color="auto" w:sz="0" w:space="0"/>
        </w:rPr>
        <w:t>为全面落实《法治中国建设规划（</w:t>
      </w:r>
      <w:r>
        <w:rPr>
          <w:rFonts w:hint="eastAsia" w:ascii="仿宋_GB2312" w:hAnsi="微软雅黑" w:eastAsia="仿宋_GB2312" w:cs="仿宋_GB2312"/>
          <w:i w:val="0"/>
          <w:iCs w:val="0"/>
          <w:caps w:val="0"/>
          <w:color w:val="333333"/>
          <w:spacing w:val="0"/>
          <w:sz w:val="25"/>
          <w:szCs w:val="25"/>
          <w:bdr w:val="none" w:color="auto" w:sz="0" w:space="0"/>
        </w:rPr>
        <w:t>2020—2025年）》《法治江西建设规划（2021—2025年）》《法治萍乡建设规划（2021-2025）》，统筹推进法治芦溪建设各项工作，制定本规划。</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44" w:lineRule="atLeast"/>
        <w:ind w:left="0" w:right="0" w:firstLine="516"/>
        <w:rPr>
          <w:rFonts w:hint="eastAsia" w:ascii="微软雅黑" w:hAnsi="微软雅黑" w:eastAsia="微软雅黑" w:cs="微软雅黑"/>
          <w:i w:val="0"/>
          <w:iCs w:val="0"/>
          <w:caps w:val="0"/>
          <w:color w:val="333333"/>
          <w:spacing w:val="0"/>
          <w:sz w:val="16"/>
          <w:szCs w:val="16"/>
        </w:rPr>
      </w:pPr>
      <w:r>
        <w:rPr>
          <w:rFonts w:ascii="黑体" w:hAnsi="宋体" w:eastAsia="黑体" w:cs="黑体"/>
          <w:i w:val="0"/>
          <w:iCs w:val="0"/>
          <w:caps w:val="0"/>
          <w:color w:val="333333"/>
          <w:spacing w:val="0"/>
          <w:sz w:val="25"/>
          <w:szCs w:val="25"/>
          <w:bdr w:val="none" w:color="auto" w:sz="0" w:space="0"/>
        </w:rPr>
        <w:t>一、奋力建设更高水平法治芦溪</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44" w:lineRule="atLeast"/>
        <w:ind w:left="0" w:right="0" w:firstLine="516"/>
        <w:rPr>
          <w:rFonts w:hint="eastAsia" w:ascii="微软雅黑" w:hAnsi="微软雅黑" w:eastAsia="微软雅黑" w:cs="微软雅黑"/>
          <w:i w:val="0"/>
          <w:iCs w:val="0"/>
          <w:caps w:val="0"/>
          <w:color w:val="333333"/>
          <w:spacing w:val="0"/>
          <w:sz w:val="16"/>
          <w:szCs w:val="16"/>
        </w:rPr>
      </w:pPr>
      <w:r>
        <w:rPr>
          <w:rFonts w:hint="eastAsia" w:ascii="仿宋_GB2312" w:hAnsi="微软雅黑" w:eastAsia="仿宋_GB2312" w:cs="仿宋_GB2312"/>
          <w:i w:val="0"/>
          <w:iCs w:val="0"/>
          <w:caps w:val="0"/>
          <w:color w:val="333333"/>
          <w:spacing w:val="0"/>
          <w:sz w:val="25"/>
          <w:szCs w:val="25"/>
          <w:bdr w:val="none" w:color="auto" w:sz="0" w:space="0"/>
        </w:rPr>
        <w:t>坚持以习近平新时代中国特色社会主义思想为指导，全面贯彻习近平法治思想，坚定捍卫“两个确定”,增强“四个意识”，坚定“四个自信”，做到“两个维护”，坚定不移走中国特色社会主义法治道路，以解决法治领域突出问题为着力点，加快建设更高水平的法治芦溪，为“三三”战略顺利实施提供有力法治保障。到2025年，县委领导法治芦溪建设的体制机制更加健全，全县严格执法、公正司法、全民守法协调推进，职责明确、依法行政的政府治理体系日益健全，相互配合、相互制约的司法权运行机制更加科学有效，法治社会建设取得重大进展。到2035年，法治芦溪、法治政府、法治社会基本建成，公民法治素养和社会治理法治化水平显著提升，市域治理体系和治理能力现代化基本实现。</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44" w:lineRule="atLeast"/>
        <w:ind w:left="0" w:right="0" w:firstLine="516"/>
        <w:rPr>
          <w:rFonts w:hint="eastAsia" w:ascii="微软雅黑" w:hAnsi="微软雅黑" w:eastAsia="微软雅黑" w:cs="微软雅黑"/>
          <w:i w:val="0"/>
          <w:iCs w:val="0"/>
          <w:caps w:val="0"/>
          <w:color w:val="333333"/>
          <w:spacing w:val="0"/>
          <w:sz w:val="16"/>
          <w:szCs w:val="16"/>
        </w:rPr>
      </w:pPr>
      <w:r>
        <w:rPr>
          <w:rFonts w:hint="eastAsia" w:ascii="黑体" w:hAnsi="宋体" w:eastAsia="黑体" w:cs="黑体"/>
          <w:i w:val="0"/>
          <w:iCs w:val="0"/>
          <w:caps w:val="0"/>
          <w:color w:val="333333"/>
          <w:spacing w:val="0"/>
          <w:sz w:val="25"/>
          <w:szCs w:val="25"/>
          <w:bdr w:val="none" w:color="auto" w:sz="0" w:space="0"/>
        </w:rPr>
        <w:t>二、全面加强党对法治建设领导</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44" w:lineRule="atLeast"/>
        <w:ind w:left="0" w:right="0" w:firstLine="516"/>
        <w:rPr>
          <w:rFonts w:hint="eastAsia" w:ascii="微软雅黑" w:hAnsi="微软雅黑" w:eastAsia="微软雅黑" w:cs="微软雅黑"/>
          <w:i w:val="0"/>
          <w:iCs w:val="0"/>
          <w:caps w:val="0"/>
          <w:color w:val="333333"/>
          <w:spacing w:val="0"/>
          <w:sz w:val="16"/>
          <w:szCs w:val="16"/>
        </w:rPr>
      </w:pPr>
      <w:r>
        <w:rPr>
          <w:rFonts w:ascii="楷体_GB2312" w:hAnsi="微软雅黑" w:eastAsia="楷体_GB2312" w:cs="楷体_GB2312"/>
          <w:i w:val="0"/>
          <w:iCs w:val="0"/>
          <w:caps w:val="0"/>
          <w:color w:val="333333"/>
          <w:spacing w:val="0"/>
          <w:sz w:val="25"/>
          <w:szCs w:val="25"/>
          <w:bdr w:val="none" w:color="auto" w:sz="0" w:space="0"/>
        </w:rPr>
        <w:t>（一）坚持法治思想引领。</w:t>
      </w:r>
      <w:r>
        <w:rPr>
          <w:rFonts w:hint="eastAsia" w:ascii="仿宋_GB2312" w:hAnsi="微软雅黑" w:eastAsia="仿宋_GB2312" w:cs="仿宋_GB2312"/>
          <w:i w:val="0"/>
          <w:iCs w:val="0"/>
          <w:caps w:val="0"/>
          <w:color w:val="333333"/>
          <w:spacing w:val="0"/>
          <w:sz w:val="25"/>
          <w:szCs w:val="25"/>
          <w:bdr w:val="none" w:color="auto" w:sz="0" w:space="0"/>
        </w:rPr>
        <w:t>将习近平法治思想作为法治芦溪建设的根本遵循和行动指南，持续推动广大干部群众用习近平法治思想武装头脑、指导实践、推动工作。健全常态化学习培训机制，将习近平法治思想作为各级党委（党组）理论学习中心组学习重点内容、作为党校重点课程、作为政法部门轮训必选内容，组织广大党员、干部进行系统学习和培训。坚持不懈推动宣传贯彻习近平法治思想同依法治县实践相结合，更好发挥法治固根本、稳预期、利长远的保障作用，不断开创全面依法治县新局面。</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44" w:lineRule="atLeast"/>
        <w:ind w:left="0" w:right="0" w:firstLine="516"/>
        <w:rPr>
          <w:rFonts w:hint="eastAsia" w:ascii="微软雅黑" w:hAnsi="微软雅黑" w:eastAsia="微软雅黑" w:cs="微软雅黑"/>
          <w:i w:val="0"/>
          <w:iCs w:val="0"/>
          <w:caps w:val="0"/>
          <w:color w:val="333333"/>
          <w:spacing w:val="0"/>
          <w:sz w:val="16"/>
          <w:szCs w:val="16"/>
        </w:rPr>
      </w:pPr>
      <w:r>
        <w:rPr>
          <w:rFonts w:hint="eastAsia" w:ascii="楷体_GB2312" w:hAnsi="微软雅黑" w:eastAsia="楷体_GB2312" w:cs="楷体_GB2312"/>
          <w:i w:val="0"/>
          <w:iCs w:val="0"/>
          <w:caps w:val="0"/>
          <w:color w:val="333333"/>
          <w:spacing w:val="0"/>
          <w:sz w:val="25"/>
          <w:szCs w:val="25"/>
          <w:bdr w:val="none" w:color="auto" w:sz="0" w:space="0"/>
        </w:rPr>
        <w:t>（二）加强党的全面领导。</w:t>
      </w:r>
      <w:r>
        <w:rPr>
          <w:rFonts w:hint="eastAsia" w:ascii="仿宋_GB2312" w:hAnsi="微软雅黑" w:eastAsia="仿宋_GB2312" w:cs="仿宋_GB2312"/>
          <w:i w:val="0"/>
          <w:iCs w:val="0"/>
          <w:caps w:val="0"/>
          <w:color w:val="333333"/>
          <w:spacing w:val="0"/>
          <w:sz w:val="25"/>
          <w:szCs w:val="25"/>
          <w:bdr w:val="none" w:color="auto" w:sz="0" w:space="0"/>
        </w:rPr>
        <w:t>把加强党的领导贯彻落实到全面依法治县全过程各方面，发挥党总揽全局、协调各方的领导核心作用，确保法治芦溪建设正确政治方向。建立健全党领导全面依法治县的制度机制，加强与发挥党委法治建设议事协调机构作用，压紧压实党政主要负责人履行推进法治建设第一责任人职责。各级党委（党组）要把法治芦溪建设责任落到实处，将法治芦溪建设工作与推进“十四五”时期经济社会发展同部署、同推进、同考核，将法治芦溪建设成效纳入领导班子和领导干部分类考核指标体系，推动党中央关于全面依法治国决策部署落地见效。</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44" w:lineRule="atLeast"/>
        <w:ind w:left="0" w:right="0" w:firstLine="516"/>
        <w:rPr>
          <w:rFonts w:hint="eastAsia" w:ascii="微软雅黑" w:hAnsi="微软雅黑" w:eastAsia="微软雅黑" w:cs="微软雅黑"/>
          <w:i w:val="0"/>
          <w:iCs w:val="0"/>
          <w:caps w:val="0"/>
          <w:color w:val="333333"/>
          <w:spacing w:val="0"/>
          <w:sz w:val="16"/>
          <w:szCs w:val="16"/>
        </w:rPr>
      </w:pPr>
      <w:r>
        <w:rPr>
          <w:rFonts w:hint="eastAsia" w:ascii="楷体_GB2312" w:hAnsi="微软雅黑" w:eastAsia="楷体_GB2312" w:cs="楷体_GB2312"/>
          <w:i w:val="0"/>
          <w:iCs w:val="0"/>
          <w:caps w:val="0"/>
          <w:color w:val="333333"/>
          <w:spacing w:val="0"/>
          <w:sz w:val="25"/>
          <w:szCs w:val="25"/>
          <w:bdr w:val="none" w:color="auto" w:sz="0" w:space="0"/>
        </w:rPr>
        <w:t>（三）严格落实党内法规。</w:t>
      </w:r>
      <w:r>
        <w:rPr>
          <w:rFonts w:hint="eastAsia" w:ascii="仿宋_GB2312" w:hAnsi="微软雅黑" w:eastAsia="仿宋_GB2312" w:cs="仿宋_GB2312"/>
          <w:i w:val="0"/>
          <w:iCs w:val="0"/>
          <w:caps w:val="0"/>
          <w:color w:val="333333"/>
          <w:spacing w:val="0"/>
          <w:sz w:val="25"/>
          <w:szCs w:val="25"/>
          <w:bdr w:val="none" w:color="auto" w:sz="0" w:space="0"/>
        </w:rPr>
        <w:t>坚持依法治国和依规治党有机统一，以党章为根本遵循，加强党内法规制度建设，着力提高党内法规制度质量和执行力度。全面落实党内法规执行责任制，加快建立健全党委统一领导、党委办公室统筹协调、主管部门牵头负责、相关单位协助配合、党的纪律检查机关严格监督的执规责任体系，做到有规必执、执规必严。加大党内法规公开和宣传解读力度，党员领导干部要带头学习宣传党内法规，带头严格执行党内法规，带动广大党员干部守规用规护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44" w:lineRule="atLeast"/>
        <w:ind w:left="0" w:right="0" w:firstLine="516"/>
        <w:rPr>
          <w:rFonts w:hint="eastAsia" w:ascii="微软雅黑" w:hAnsi="微软雅黑" w:eastAsia="微软雅黑" w:cs="微软雅黑"/>
          <w:i w:val="0"/>
          <w:iCs w:val="0"/>
          <w:caps w:val="0"/>
          <w:color w:val="333333"/>
          <w:spacing w:val="0"/>
          <w:sz w:val="16"/>
          <w:szCs w:val="16"/>
        </w:rPr>
      </w:pPr>
      <w:r>
        <w:rPr>
          <w:rFonts w:hint="eastAsia" w:ascii="黑体" w:hAnsi="宋体" w:eastAsia="黑体" w:cs="黑体"/>
          <w:i w:val="0"/>
          <w:iCs w:val="0"/>
          <w:caps w:val="0"/>
          <w:color w:val="333333"/>
          <w:spacing w:val="0"/>
          <w:sz w:val="25"/>
          <w:szCs w:val="25"/>
          <w:bdr w:val="none" w:color="auto" w:sz="0" w:space="0"/>
        </w:rPr>
        <w:t>三、全面保证宪法正确实施</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44" w:lineRule="atLeast"/>
        <w:ind w:left="0" w:right="0" w:firstLine="516"/>
        <w:rPr>
          <w:rFonts w:hint="eastAsia" w:ascii="微软雅黑" w:hAnsi="微软雅黑" w:eastAsia="微软雅黑" w:cs="微软雅黑"/>
          <w:i w:val="0"/>
          <w:iCs w:val="0"/>
          <w:caps w:val="0"/>
          <w:color w:val="333333"/>
          <w:spacing w:val="0"/>
          <w:sz w:val="16"/>
          <w:szCs w:val="16"/>
        </w:rPr>
      </w:pPr>
      <w:r>
        <w:rPr>
          <w:rFonts w:hint="eastAsia" w:ascii="楷体_GB2312" w:hAnsi="微软雅黑" w:eastAsia="楷体_GB2312" w:cs="楷体_GB2312"/>
          <w:i w:val="0"/>
          <w:iCs w:val="0"/>
          <w:caps w:val="0"/>
          <w:color w:val="333333"/>
          <w:spacing w:val="0"/>
          <w:sz w:val="25"/>
          <w:szCs w:val="25"/>
          <w:bdr w:val="none" w:color="auto" w:sz="0" w:space="0"/>
        </w:rPr>
        <w:t>（四）坚决维护宪法法律权威。</w:t>
      </w:r>
      <w:r>
        <w:rPr>
          <w:rFonts w:hint="eastAsia" w:ascii="仿宋_GB2312" w:hAnsi="微软雅黑" w:eastAsia="仿宋_GB2312" w:cs="仿宋_GB2312"/>
          <w:i w:val="0"/>
          <w:iCs w:val="0"/>
          <w:caps w:val="0"/>
          <w:color w:val="333333"/>
          <w:spacing w:val="0"/>
          <w:sz w:val="25"/>
          <w:szCs w:val="25"/>
          <w:bdr w:val="none" w:color="auto" w:sz="0" w:space="0"/>
        </w:rPr>
        <w:t>坚持宪法法律至上，建立完善保证宪法实施、加强宪法监督、维护宪法尊严的制度机制体系，严格追究一切违反宪法法律的行为。党政机关和领导干部要带头尊崇宪法、执行宪法，引领社会公众在宪法法律范围内活动，在全社会牢固树立宪法和法律的权威。拟出台的规范性文件和重要政策、重大举措，都应当确保符合宪法规定、遵循宪法原则、体现宪法精神。完善备案审查工作，加强主动审查和专项审查，实行有件必备、有备必审、有错必纠。</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44" w:lineRule="atLeast"/>
        <w:ind w:left="0" w:right="0" w:firstLine="516"/>
        <w:rPr>
          <w:rFonts w:hint="eastAsia" w:ascii="微软雅黑" w:hAnsi="微软雅黑" w:eastAsia="微软雅黑" w:cs="微软雅黑"/>
          <w:i w:val="0"/>
          <w:iCs w:val="0"/>
          <w:caps w:val="0"/>
          <w:color w:val="333333"/>
          <w:spacing w:val="0"/>
          <w:sz w:val="16"/>
          <w:szCs w:val="16"/>
        </w:rPr>
      </w:pPr>
      <w:r>
        <w:rPr>
          <w:rFonts w:hint="eastAsia" w:ascii="楷体_GB2312" w:hAnsi="微软雅黑" w:eastAsia="楷体_GB2312" w:cs="楷体_GB2312"/>
          <w:i w:val="0"/>
          <w:iCs w:val="0"/>
          <w:caps w:val="0"/>
          <w:color w:val="333333"/>
          <w:spacing w:val="0"/>
          <w:sz w:val="25"/>
          <w:szCs w:val="25"/>
          <w:bdr w:val="none" w:color="auto" w:sz="0" w:space="0"/>
        </w:rPr>
        <w:t>（五）坚持依宪治国、依法执政。</w:t>
      </w:r>
      <w:r>
        <w:rPr>
          <w:rFonts w:hint="eastAsia" w:ascii="仿宋_GB2312" w:hAnsi="微软雅黑" w:eastAsia="仿宋_GB2312" w:cs="仿宋_GB2312"/>
          <w:i w:val="0"/>
          <w:iCs w:val="0"/>
          <w:caps w:val="0"/>
          <w:color w:val="333333"/>
          <w:spacing w:val="0"/>
          <w:sz w:val="25"/>
          <w:szCs w:val="25"/>
          <w:bdr w:val="none" w:color="auto" w:sz="0" w:space="0"/>
        </w:rPr>
        <w:t>把握正确政治方向，坚持宪法确定的中国共产党领导地位不动摇，坚持宪法确立的人民民主专政的国体和人民代表大会制度的政体不动摇。推进党的领导制度化、法治化，坚持把党的领导同人大、政府、政协、监察机关、审判机关、检察机关履职统一起来，提高依宪治国、依法执政能力和水平。着力提高领导干部运用法治思维和法治方式深化改革、推动发展、化解矛盾、维护稳定的能力，在法治轨道上推进国家治理体系和治理能力现代化。</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44" w:lineRule="atLeast"/>
        <w:ind w:left="0" w:right="0" w:firstLine="516"/>
        <w:rPr>
          <w:rFonts w:hint="eastAsia" w:ascii="微软雅黑" w:hAnsi="微软雅黑" w:eastAsia="微软雅黑" w:cs="微软雅黑"/>
          <w:i w:val="0"/>
          <w:iCs w:val="0"/>
          <w:caps w:val="0"/>
          <w:color w:val="333333"/>
          <w:spacing w:val="0"/>
          <w:sz w:val="16"/>
          <w:szCs w:val="16"/>
        </w:rPr>
      </w:pPr>
      <w:r>
        <w:rPr>
          <w:rFonts w:hint="eastAsia" w:ascii="楷体_GB2312" w:hAnsi="微软雅黑" w:eastAsia="楷体_GB2312" w:cs="楷体_GB2312"/>
          <w:i w:val="0"/>
          <w:iCs w:val="0"/>
          <w:caps w:val="0"/>
          <w:color w:val="333333"/>
          <w:spacing w:val="0"/>
          <w:sz w:val="25"/>
          <w:szCs w:val="25"/>
          <w:bdr w:val="none" w:color="auto" w:sz="0" w:space="0"/>
        </w:rPr>
        <w:t>（六）持续深化宪法宣传教育。</w:t>
      </w:r>
      <w:r>
        <w:rPr>
          <w:rFonts w:hint="eastAsia" w:ascii="仿宋_GB2312" w:hAnsi="微软雅黑" w:eastAsia="仿宋_GB2312" w:cs="仿宋_GB2312"/>
          <w:i w:val="0"/>
          <w:iCs w:val="0"/>
          <w:caps w:val="0"/>
          <w:color w:val="333333"/>
          <w:spacing w:val="0"/>
          <w:sz w:val="25"/>
          <w:szCs w:val="25"/>
          <w:bdr w:val="none" w:color="auto" w:sz="0" w:space="0"/>
        </w:rPr>
        <w:t>在全社会深入持久开展尊崇宪法、学习宪法、遵守宪法、维护宪法、运用宪法的宪法学习宣传教育活动。加强国旗法、国歌法、国徽法等宪法相关法的学习宣传。将宪法法律知识纳入领导干部任前考法和领导干部学法清单，全面落实国家工作人员宪法宣誓制度。完善宪法宣传教育常态化机制。加强青少年宪法法律教育。完善宪法宣传教育设施和法治文化阵地建设。依托新时代文明实践中心、“法德讲堂”等载体，提升宪法宣传教育效果。</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44" w:lineRule="atLeast"/>
        <w:ind w:left="0" w:right="0" w:firstLine="516"/>
        <w:rPr>
          <w:rFonts w:hint="eastAsia" w:ascii="微软雅黑" w:hAnsi="微软雅黑" w:eastAsia="微软雅黑" w:cs="微软雅黑"/>
          <w:i w:val="0"/>
          <w:iCs w:val="0"/>
          <w:caps w:val="0"/>
          <w:color w:val="333333"/>
          <w:spacing w:val="0"/>
          <w:sz w:val="16"/>
          <w:szCs w:val="16"/>
        </w:rPr>
      </w:pPr>
      <w:r>
        <w:rPr>
          <w:rFonts w:hint="eastAsia" w:ascii="黑体" w:hAnsi="宋体" w:eastAsia="黑体" w:cs="黑体"/>
          <w:i w:val="0"/>
          <w:iCs w:val="0"/>
          <w:caps w:val="0"/>
          <w:color w:val="333333"/>
          <w:spacing w:val="0"/>
          <w:sz w:val="25"/>
          <w:szCs w:val="25"/>
          <w:bdr w:val="none" w:color="auto" w:sz="0" w:space="0"/>
        </w:rPr>
        <w:t>四、全面加快法治政府建设</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44" w:lineRule="atLeast"/>
        <w:ind w:left="0" w:right="0" w:firstLine="516"/>
        <w:rPr>
          <w:rFonts w:hint="eastAsia" w:ascii="微软雅黑" w:hAnsi="微软雅黑" w:eastAsia="微软雅黑" w:cs="微软雅黑"/>
          <w:i w:val="0"/>
          <w:iCs w:val="0"/>
          <w:caps w:val="0"/>
          <w:color w:val="333333"/>
          <w:spacing w:val="0"/>
          <w:sz w:val="16"/>
          <w:szCs w:val="16"/>
        </w:rPr>
      </w:pPr>
      <w:r>
        <w:rPr>
          <w:rFonts w:hint="eastAsia" w:ascii="楷体_GB2312" w:hAnsi="微软雅黑" w:eastAsia="楷体_GB2312" w:cs="楷体_GB2312"/>
          <w:i w:val="0"/>
          <w:iCs w:val="0"/>
          <w:caps w:val="0"/>
          <w:color w:val="333333"/>
          <w:spacing w:val="0"/>
          <w:sz w:val="25"/>
          <w:szCs w:val="25"/>
          <w:bdr w:val="none" w:color="auto" w:sz="0" w:space="0"/>
        </w:rPr>
        <w:t>（七）打造便民高效现代政府。</w:t>
      </w:r>
      <w:r>
        <w:rPr>
          <w:rFonts w:hint="eastAsia" w:ascii="仿宋_GB2312" w:hAnsi="微软雅黑" w:eastAsia="仿宋_GB2312" w:cs="仿宋_GB2312"/>
          <w:i w:val="0"/>
          <w:iCs w:val="0"/>
          <w:caps w:val="0"/>
          <w:color w:val="333333"/>
          <w:spacing w:val="0"/>
          <w:sz w:val="25"/>
          <w:szCs w:val="25"/>
          <w:bdr w:val="none" w:color="auto" w:sz="0" w:space="0"/>
        </w:rPr>
        <w:t>深化“放管服”改革，全面推行行政审批“马上办、网上办、就近办、一次办”，推行证明事项和涉企经营许可事项告知承诺制。加快推进“互联网+政务服务”，推动“赣服通”“赣政通”升级和运用，实现“一次不跑、一网通办”，推进异地通办，政务服务365天“不打烊”，配合12345政务服务热线运行。强化政务服务“好差评”，全力打造政务服务满意度一等县，建设服务高效、人民满意的“五型”政府。</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44" w:lineRule="atLeast"/>
        <w:ind w:left="0" w:right="0" w:firstLine="516"/>
        <w:rPr>
          <w:rFonts w:hint="eastAsia" w:ascii="微软雅黑" w:hAnsi="微软雅黑" w:eastAsia="微软雅黑" w:cs="微软雅黑"/>
          <w:i w:val="0"/>
          <w:iCs w:val="0"/>
          <w:caps w:val="0"/>
          <w:color w:val="333333"/>
          <w:spacing w:val="0"/>
          <w:sz w:val="16"/>
          <w:szCs w:val="16"/>
        </w:rPr>
      </w:pPr>
      <w:r>
        <w:rPr>
          <w:rFonts w:hint="eastAsia" w:ascii="楷体_GB2312" w:hAnsi="微软雅黑" w:eastAsia="楷体_GB2312" w:cs="楷体_GB2312"/>
          <w:i w:val="0"/>
          <w:iCs w:val="0"/>
          <w:caps w:val="0"/>
          <w:color w:val="333333"/>
          <w:spacing w:val="0"/>
          <w:sz w:val="25"/>
          <w:szCs w:val="25"/>
          <w:bdr w:val="none" w:color="auto" w:sz="0" w:space="0"/>
        </w:rPr>
        <w:t>（八）推进科学民主依法决策。</w:t>
      </w:r>
      <w:r>
        <w:rPr>
          <w:rFonts w:hint="eastAsia" w:ascii="仿宋_GB2312" w:hAnsi="微软雅黑" w:eastAsia="仿宋_GB2312" w:cs="仿宋_GB2312"/>
          <w:i w:val="0"/>
          <w:iCs w:val="0"/>
          <w:caps w:val="0"/>
          <w:color w:val="333333"/>
          <w:spacing w:val="0"/>
          <w:sz w:val="25"/>
          <w:szCs w:val="25"/>
          <w:bdr w:val="none" w:color="auto" w:sz="0" w:space="0"/>
        </w:rPr>
        <w:t>严格落实重大行政决策程序制度，修改完善《芦溪县人民政府重大行政决策程序规定》，确保重大行政决策依法合规、科学高效，重大行政决策合法性审核率达到100%。完善重大行政决策事项管理、过程记录、材料归档和报告公开制度，探索建立动态化、信息化管理手段。严格落实行政决策跟踪反馈和评估制度，依法追究违法决策责任。进一步发挥好各级法律顾问、公职律师的决策咨询论证作用。加强行政规范性文件合法性审核、备案审查、清理工作。强化行政机关合同签订和履行监管。</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44" w:lineRule="atLeast"/>
        <w:ind w:left="0" w:right="0" w:firstLine="516"/>
        <w:rPr>
          <w:rFonts w:hint="eastAsia" w:ascii="微软雅黑" w:hAnsi="微软雅黑" w:eastAsia="微软雅黑" w:cs="微软雅黑"/>
          <w:i w:val="0"/>
          <w:iCs w:val="0"/>
          <w:caps w:val="0"/>
          <w:color w:val="333333"/>
          <w:spacing w:val="0"/>
          <w:sz w:val="16"/>
          <w:szCs w:val="16"/>
        </w:rPr>
      </w:pPr>
      <w:r>
        <w:rPr>
          <w:rFonts w:hint="eastAsia" w:ascii="楷体_GB2312" w:hAnsi="微软雅黑" w:eastAsia="楷体_GB2312" w:cs="楷体_GB2312"/>
          <w:i w:val="0"/>
          <w:iCs w:val="0"/>
          <w:caps w:val="0"/>
          <w:color w:val="333333"/>
          <w:spacing w:val="0"/>
          <w:sz w:val="25"/>
          <w:szCs w:val="25"/>
          <w:bdr w:val="none" w:color="auto" w:sz="0" w:space="0"/>
        </w:rPr>
        <w:t>（九）深化综合行政执法改革。</w:t>
      </w:r>
      <w:r>
        <w:rPr>
          <w:rFonts w:hint="eastAsia" w:ascii="仿宋_GB2312" w:hAnsi="微软雅黑" w:eastAsia="仿宋_GB2312" w:cs="仿宋_GB2312"/>
          <w:i w:val="0"/>
          <w:iCs w:val="0"/>
          <w:caps w:val="0"/>
          <w:color w:val="333333"/>
          <w:spacing w:val="0"/>
          <w:sz w:val="25"/>
          <w:szCs w:val="25"/>
          <w:bdr w:val="none" w:color="auto" w:sz="0" w:space="0"/>
        </w:rPr>
        <w:t>完善县、乡两级综合行政执法体制，加强行政执法协调监督工作体系建设，完善执法清单、联动协作、争议协调等机制，大力推进跨部门联合检查执法，建立“上一次门、查多项事”清单，实现对市场主体影响最小化。推动执法重心向乡镇下移，加大执法人员、经费、资源、装备等倾斜力度。进一步推进乡镇综合行政执法改革。健全行政执法和刑事司法衔接机制。</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44" w:lineRule="atLeast"/>
        <w:ind w:left="0" w:right="0" w:firstLine="516"/>
        <w:rPr>
          <w:rFonts w:hint="eastAsia" w:ascii="微软雅黑" w:hAnsi="微软雅黑" w:eastAsia="微软雅黑" w:cs="微软雅黑"/>
          <w:i w:val="0"/>
          <w:iCs w:val="0"/>
          <w:caps w:val="0"/>
          <w:color w:val="333333"/>
          <w:spacing w:val="0"/>
          <w:sz w:val="16"/>
          <w:szCs w:val="16"/>
        </w:rPr>
      </w:pPr>
      <w:r>
        <w:rPr>
          <w:rFonts w:hint="eastAsia" w:ascii="楷体_GB2312" w:hAnsi="微软雅黑" w:eastAsia="楷体_GB2312" w:cs="楷体_GB2312"/>
          <w:i w:val="0"/>
          <w:iCs w:val="0"/>
          <w:caps w:val="0"/>
          <w:color w:val="333333"/>
          <w:spacing w:val="0"/>
          <w:sz w:val="25"/>
          <w:szCs w:val="25"/>
          <w:bdr w:val="none" w:color="auto" w:sz="0" w:space="0"/>
        </w:rPr>
        <w:t>（十）严格规范公正文明执法。</w:t>
      </w:r>
      <w:r>
        <w:rPr>
          <w:rFonts w:hint="eastAsia" w:ascii="仿宋_GB2312" w:hAnsi="微软雅黑" w:eastAsia="仿宋_GB2312" w:cs="仿宋_GB2312"/>
          <w:i w:val="0"/>
          <w:iCs w:val="0"/>
          <w:caps w:val="0"/>
          <w:color w:val="333333"/>
          <w:spacing w:val="0"/>
          <w:sz w:val="25"/>
          <w:szCs w:val="25"/>
          <w:bdr w:val="none" w:color="auto" w:sz="0" w:space="0"/>
        </w:rPr>
        <w:t>全面落实行政执法公示、执法全过程记录、重大执法决定法制审核制度，全面推行行政裁量权基准制度，常态化开展行政执法案卷评查和行政执法专项监督。加大食品药品、公共卫生、自然资源、生态环境、特种设备、产品质量等关系群众切身利益的重点领域执法力度。健全行政执法资格管理制度，落实完善行政执法人员准入和退出机制。</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44" w:lineRule="atLeast"/>
        <w:ind w:left="0" w:right="0" w:firstLine="516"/>
        <w:rPr>
          <w:rFonts w:hint="eastAsia" w:ascii="微软雅黑" w:hAnsi="微软雅黑" w:eastAsia="微软雅黑" w:cs="微软雅黑"/>
          <w:i w:val="0"/>
          <w:iCs w:val="0"/>
          <w:caps w:val="0"/>
          <w:color w:val="333333"/>
          <w:spacing w:val="0"/>
          <w:sz w:val="16"/>
          <w:szCs w:val="16"/>
        </w:rPr>
      </w:pPr>
      <w:r>
        <w:rPr>
          <w:rFonts w:hint="eastAsia" w:ascii="楷体_GB2312" w:hAnsi="微软雅黑" w:eastAsia="楷体_GB2312" w:cs="楷体_GB2312"/>
          <w:i w:val="0"/>
          <w:iCs w:val="0"/>
          <w:caps w:val="0"/>
          <w:color w:val="333333"/>
          <w:spacing w:val="0"/>
          <w:sz w:val="25"/>
          <w:szCs w:val="25"/>
          <w:bdr w:val="none" w:color="auto" w:sz="0" w:space="0"/>
        </w:rPr>
        <w:t>（十一）持续优化营商法治环境。</w:t>
      </w:r>
      <w:r>
        <w:rPr>
          <w:rFonts w:hint="eastAsia" w:ascii="仿宋_GB2312" w:hAnsi="微软雅黑" w:eastAsia="仿宋_GB2312" w:cs="仿宋_GB2312"/>
          <w:i w:val="0"/>
          <w:iCs w:val="0"/>
          <w:caps w:val="0"/>
          <w:color w:val="333333"/>
          <w:spacing w:val="0"/>
          <w:sz w:val="25"/>
          <w:szCs w:val="25"/>
          <w:bdr w:val="none" w:color="auto" w:sz="0" w:space="0"/>
        </w:rPr>
        <w:t>全面落实市场准入负面清单制度，健全执法、司法对民营企业的平等保护机制，加大对民营企业、中小企业的保护力度。健全以“双随机、一公开”监管为基本手段，重点领域重点监管为补充，努力形成全覆盖、零容忍、更透明、重实效、保安全的事中事后监管体系。执行省市关于市场主体轻微违法违规行为免罚清单制度，确定免罚的具体情况、适用范围和操作程序。加强诚信政府建设，保持涉企政策连续性、稳定性，推进信用体系建设，建立信用修复制度，完善守信联合激励和失信联合惩戒机制。</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44" w:lineRule="atLeast"/>
        <w:ind w:left="0" w:right="0" w:firstLine="516"/>
        <w:rPr>
          <w:rFonts w:hint="eastAsia" w:ascii="微软雅黑" w:hAnsi="微软雅黑" w:eastAsia="微软雅黑" w:cs="微软雅黑"/>
          <w:i w:val="0"/>
          <w:iCs w:val="0"/>
          <w:caps w:val="0"/>
          <w:color w:val="333333"/>
          <w:spacing w:val="0"/>
          <w:sz w:val="16"/>
          <w:szCs w:val="16"/>
        </w:rPr>
      </w:pPr>
      <w:r>
        <w:rPr>
          <w:rFonts w:hint="eastAsia" w:ascii="黑体" w:hAnsi="宋体" w:eastAsia="黑体" w:cs="黑体"/>
          <w:i w:val="0"/>
          <w:iCs w:val="0"/>
          <w:caps w:val="0"/>
          <w:color w:val="333333"/>
          <w:spacing w:val="0"/>
          <w:sz w:val="25"/>
          <w:szCs w:val="25"/>
          <w:bdr w:val="none" w:color="auto" w:sz="0" w:space="0"/>
        </w:rPr>
        <w:t>五、全面深化司法体制改革</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44" w:lineRule="atLeast"/>
        <w:ind w:left="0" w:right="0" w:firstLine="516"/>
        <w:rPr>
          <w:rFonts w:hint="eastAsia" w:ascii="微软雅黑" w:hAnsi="微软雅黑" w:eastAsia="微软雅黑" w:cs="微软雅黑"/>
          <w:i w:val="0"/>
          <w:iCs w:val="0"/>
          <w:caps w:val="0"/>
          <w:color w:val="333333"/>
          <w:spacing w:val="0"/>
          <w:sz w:val="16"/>
          <w:szCs w:val="16"/>
        </w:rPr>
      </w:pPr>
      <w:r>
        <w:rPr>
          <w:rFonts w:hint="eastAsia" w:ascii="楷体_GB2312" w:hAnsi="微软雅黑" w:eastAsia="楷体_GB2312" w:cs="楷体_GB2312"/>
          <w:i w:val="0"/>
          <w:iCs w:val="0"/>
          <w:caps w:val="0"/>
          <w:color w:val="333333"/>
          <w:spacing w:val="0"/>
          <w:sz w:val="25"/>
          <w:szCs w:val="25"/>
          <w:bdr w:val="none" w:color="auto" w:sz="0" w:space="0"/>
        </w:rPr>
        <w:t>（十二）强化执法司法制约监督。</w:t>
      </w:r>
      <w:r>
        <w:rPr>
          <w:rFonts w:hint="eastAsia" w:ascii="仿宋_GB2312" w:hAnsi="微软雅黑" w:eastAsia="仿宋_GB2312" w:cs="仿宋_GB2312"/>
          <w:i w:val="0"/>
          <w:iCs w:val="0"/>
          <w:caps w:val="0"/>
          <w:color w:val="333333"/>
          <w:spacing w:val="0"/>
          <w:sz w:val="25"/>
          <w:szCs w:val="25"/>
          <w:bdr w:val="none" w:color="auto" w:sz="0" w:space="0"/>
        </w:rPr>
        <w:t>发挥县委政法委、政法单位党委（党组）的主体作用，加快构建上下贯通、内外结合、系统完备、规范高效的执法司法制约监督体系。完善政法单位党委（党组）定期听取执法司法监督情况汇报，发挥党委（党组）把握政治方向、政策取向、办案导向的作用。完善政法部门之间制约监督，健全公安机关、检察机关、审判机关、司法行政机关各司其职，侦查权、检察权、审判权、执行权相互配合、相互制约的体制机制。推进政法各系统内部制约监督，防范化解执法司法腐败。发挥执法司法规则、统一执法尺度、指导执法司法活动等功能，全面执行监督管理权责清单。深入推进执法司法公开，加强释法说理，执行省市关于健全律师执业权利保障制度和执法司法案件舆情监测与监督管理联动机制。严格执行“三个规定”，构建法官、检察官与律师“亲”“清”关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44" w:lineRule="atLeast"/>
        <w:ind w:left="0" w:right="0" w:firstLine="516"/>
        <w:rPr>
          <w:rFonts w:hint="eastAsia" w:ascii="微软雅黑" w:hAnsi="微软雅黑" w:eastAsia="微软雅黑" w:cs="微软雅黑"/>
          <w:i w:val="0"/>
          <w:iCs w:val="0"/>
          <w:caps w:val="0"/>
          <w:color w:val="333333"/>
          <w:spacing w:val="0"/>
          <w:sz w:val="16"/>
          <w:szCs w:val="16"/>
        </w:rPr>
      </w:pPr>
      <w:r>
        <w:rPr>
          <w:rFonts w:hint="eastAsia" w:ascii="楷体_GB2312" w:hAnsi="微软雅黑" w:eastAsia="楷体_GB2312" w:cs="楷体_GB2312"/>
          <w:i w:val="0"/>
          <w:iCs w:val="0"/>
          <w:caps w:val="0"/>
          <w:color w:val="333333"/>
          <w:spacing w:val="0"/>
          <w:sz w:val="25"/>
          <w:szCs w:val="25"/>
          <w:bdr w:val="none" w:color="auto" w:sz="0" w:space="0"/>
        </w:rPr>
        <w:t>（十三）落实司法责任制。</w:t>
      </w:r>
      <w:r>
        <w:rPr>
          <w:rFonts w:hint="eastAsia" w:ascii="仿宋_GB2312" w:hAnsi="微软雅黑" w:eastAsia="仿宋_GB2312" w:cs="仿宋_GB2312"/>
          <w:i w:val="0"/>
          <w:iCs w:val="0"/>
          <w:caps w:val="0"/>
          <w:color w:val="333333"/>
          <w:spacing w:val="0"/>
          <w:sz w:val="25"/>
          <w:szCs w:val="25"/>
          <w:bdr w:val="none" w:color="auto" w:sz="0" w:space="0"/>
        </w:rPr>
        <w:t>充分发挥人民法院审判职能，强化“谁审理谁裁判，谁裁判谁负责”的归责原则，落实责任追查的程序与制度。健全完善检察机关、公安机关侦查与协作配合机制，加强生态环境司法保护，拓宽公益诉讼案件范围。依法保障未成年人合法权益，全面推行未成年被害人“一站式救助”工作机制改革。坚持“谁办案谁负责、谁决定谁负责”，落实检察官办案主体地位。进一步推进公安执法规范化建设，提升公安信息化建设水平，强化执法质量源头管控，对案件警情进行全流程监管。</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44" w:lineRule="atLeast"/>
        <w:ind w:left="0" w:right="0" w:firstLine="516"/>
        <w:rPr>
          <w:rFonts w:hint="eastAsia" w:ascii="微软雅黑" w:hAnsi="微软雅黑" w:eastAsia="微软雅黑" w:cs="微软雅黑"/>
          <w:i w:val="0"/>
          <w:iCs w:val="0"/>
          <w:caps w:val="0"/>
          <w:color w:val="333333"/>
          <w:spacing w:val="0"/>
          <w:sz w:val="16"/>
          <w:szCs w:val="16"/>
        </w:rPr>
      </w:pPr>
      <w:r>
        <w:rPr>
          <w:rFonts w:hint="eastAsia" w:ascii="楷体_GB2312" w:hAnsi="微软雅黑" w:eastAsia="楷体_GB2312" w:cs="楷体_GB2312"/>
          <w:i w:val="0"/>
          <w:iCs w:val="0"/>
          <w:caps w:val="0"/>
          <w:color w:val="333333"/>
          <w:spacing w:val="0"/>
          <w:sz w:val="25"/>
          <w:szCs w:val="25"/>
          <w:bdr w:val="none" w:color="auto" w:sz="0" w:space="0"/>
        </w:rPr>
        <w:t>（十四）推进诉讼制度改革。</w:t>
      </w:r>
      <w:r>
        <w:rPr>
          <w:rFonts w:hint="eastAsia" w:ascii="仿宋_GB2312" w:hAnsi="微软雅黑" w:eastAsia="仿宋_GB2312" w:cs="仿宋_GB2312"/>
          <w:i w:val="0"/>
          <w:iCs w:val="0"/>
          <w:caps w:val="0"/>
          <w:color w:val="333333"/>
          <w:spacing w:val="0"/>
          <w:sz w:val="25"/>
          <w:szCs w:val="25"/>
          <w:bdr w:val="none" w:color="auto" w:sz="0" w:space="0"/>
        </w:rPr>
        <w:t>深化以审判为中心的刑事诉讼制度改革，健全侦查机关调查收集证据制度，规范补充侦查、不起诉、撤回起诉制度。完善认罪认罚从宽制度，落实宽严相济刑事政策。落实法律援助值班律师制度，实现刑事案件律师辩护、法律帮助全覆盖；完善民事、行政诉讼制度体系，用活“分调裁审”机制，深化民事诉讼程序繁简分流。优化司法确认程序适用。依据新修改的《民诉法》，扩大原有的司法确认程序适用范围，由原先的“人民调解协议”扩展至“经依法设立的调解组织调解达成的调解协议”，进一步发挥司法确认制度对多元解纷方式的促进保障作用，丰富人民群众解纷渠道，推动矛盾纠纷源头治理。完善诉讼收退费工作机制。通过构建完善的诉讼收退费工作机制，在原有的操作办法基础上，进一步完善操作流程，实现收退费流程减负增效、换挡提速，建立更加完善的司法便民机制。推进一站式多元解纷和诉讼服务体系建设。继续加强与基层组织间的联系，充分发挥基层组织在矛盾化解中的积极作用，使矛盾纠纷在诉前得到有效化解和分流。线下空间有限，线上服务无限，充分利用移动微法院小程序、人民法院调解平台、送达平台、保全平台、鉴定平台、律师服务平台、道路交通诉前调解平台等信息化平台，做好网上立案、调解、送达、保全等工作，让群众少跑腿，信息多跑路，真正实现诉讼零等待，服务不打烊。2022年底前实现诉讼服务就近能办，同城通办，异地可办。运用信息化手段，依托协作联动机制、集约化管理等方式，实现全省跨域一体化服务，不再需要长途奔波到外地法院去立案，可以在家门口任意一家法院递交材料，通过网络办理立案手续。</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44" w:lineRule="atLeast"/>
        <w:ind w:left="0" w:right="0" w:firstLine="516"/>
        <w:rPr>
          <w:rFonts w:hint="eastAsia" w:ascii="微软雅黑" w:hAnsi="微软雅黑" w:eastAsia="微软雅黑" w:cs="微软雅黑"/>
          <w:i w:val="0"/>
          <w:iCs w:val="0"/>
          <w:caps w:val="0"/>
          <w:color w:val="333333"/>
          <w:spacing w:val="0"/>
          <w:sz w:val="16"/>
          <w:szCs w:val="16"/>
        </w:rPr>
      </w:pPr>
      <w:r>
        <w:rPr>
          <w:rFonts w:hint="eastAsia" w:ascii="楷体_GB2312" w:hAnsi="微软雅黑" w:eastAsia="楷体_GB2312" w:cs="楷体_GB2312"/>
          <w:i w:val="0"/>
          <w:iCs w:val="0"/>
          <w:caps w:val="0"/>
          <w:color w:val="333333"/>
          <w:spacing w:val="0"/>
          <w:sz w:val="25"/>
          <w:szCs w:val="25"/>
          <w:bdr w:val="none" w:color="auto" w:sz="0" w:space="0"/>
        </w:rPr>
        <w:t>（十五）加大执行机制改革。</w:t>
      </w:r>
      <w:r>
        <w:rPr>
          <w:rFonts w:hint="eastAsia" w:ascii="仿宋_GB2312" w:hAnsi="微软雅黑" w:eastAsia="仿宋_GB2312" w:cs="仿宋_GB2312"/>
          <w:i w:val="0"/>
          <w:iCs w:val="0"/>
          <w:caps w:val="0"/>
          <w:color w:val="333333"/>
          <w:spacing w:val="0"/>
          <w:sz w:val="25"/>
          <w:szCs w:val="25"/>
          <w:bdr w:val="none" w:color="auto" w:sz="0" w:space="0"/>
        </w:rPr>
        <w:t>健全解决综合治理执行难长效制度体系，完善失信被执行人信用惩戒、信用承诺和信用修复制度，完善执行转破产机制。深化执行流程集约化改革，推进审执分离，落实统一管理、统一指挥、统一协调的执行工作机制。推进刑罚执行一体化建设，健全社区矫正和刑满释放人员安置帮教机制，提升教育改造质量。</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44" w:lineRule="atLeast"/>
        <w:ind w:left="0" w:right="0" w:firstLine="516"/>
        <w:rPr>
          <w:rFonts w:hint="eastAsia" w:ascii="微软雅黑" w:hAnsi="微软雅黑" w:eastAsia="微软雅黑" w:cs="微软雅黑"/>
          <w:i w:val="0"/>
          <w:iCs w:val="0"/>
          <w:caps w:val="0"/>
          <w:color w:val="333333"/>
          <w:spacing w:val="0"/>
          <w:sz w:val="16"/>
          <w:szCs w:val="16"/>
        </w:rPr>
      </w:pPr>
      <w:r>
        <w:rPr>
          <w:rFonts w:hint="eastAsia" w:ascii="黑体" w:hAnsi="宋体" w:eastAsia="黑体" w:cs="黑体"/>
          <w:i w:val="0"/>
          <w:iCs w:val="0"/>
          <w:caps w:val="0"/>
          <w:color w:val="333333"/>
          <w:spacing w:val="0"/>
          <w:sz w:val="25"/>
          <w:szCs w:val="25"/>
          <w:bdr w:val="none" w:color="auto" w:sz="0" w:space="0"/>
        </w:rPr>
        <w:t>六、全面推进法治社会建设</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44" w:lineRule="atLeast"/>
        <w:ind w:left="0" w:right="0" w:firstLine="516"/>
        <w:rPr>
          <w:rFonts w:hint="eastAsia" w:ascii="微软雅黑" w:hAnsi="微软雅黑" w:eastAsia="微软雅黑" w:cs="微软雅黑"/>
          <w:i w:val="0"/>
          <w:iCs w:val="0"/>
          <w:caps w:val="0"/>
          <w:color w:val="333333"/>
          <w:spacing w:val="0"/>
          <w:sz w:val="16"/>
          <w:szCs w:val="16"/>
        </w:rPr>
      </w:pPr>
      <w:r>
        <w:rPr>
          <w:rFonts w:hint="eastAsia" w:ascii="楷体_GB2312" w:hAnsi="微软雅黑" w:eastAsia="楷体_GB2312" w:cs="楷体_GB2312"/>
          <w:i w:val="0"/>
          <w:iCs w:val="0"/>
          <w:caps w:val="0"/>
          <w:color w:val="333333"/>
          <w:spacing w:val="0"/>
          <w:sz w:val="25"/>
          <w:szCs w:val="25"/>
          <w:bdr w:val="none" w:color="auto" w:sz="0" w:space="0"/>
        </w:rPr>
        <w:t>（十六）深入推进全民普法。</w:t>
      </w:r>
      <w:r>
        <w:rPr>
          <w:rFonts w:hint="eastAsia" w:ascii="仿宋_GB2312" w:hAnsi="微软雅黑" w:eastAsia="仿宋_GB2312" w:cs="仿宋_GB2312"/>
          <w:i w:val="0"/>
          <w:iCs w:val="0"/>
          <w:caps w:val="0"/>
          <w:color w:val="333333"/>
          <w:spacing w:val="0"/>
          <w:sz w:val="25"/>
          <w:szCs w:val="25"/>
          <w:bdr w:val="none" w:color="auto" w:sz="0" w:space="0"/>
        </w:rPr>
        <w:t>制定和实施“八五”普法规划，坚持把全民普法守法作为法治芦溪建设的长期基础性工作。全面落实“谁执法谁普法”责任制，落实媒体公益普法责任。深化社会大普法格局，推进普法教育主体多元化、资源集约化。进一步坚持科技赋能，加快智慧普法进程。</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44" w:lineRule="atLeast"/>
        <w:ind w:left="0" w:right="0" w:firstLine="516"/>
        <w:rPr>
          <w:rFonts w:hint="eastAsia" w:ascii="微软雅黑" w:hAnsi="微软雅黑" w:eastAsia="微软雅黑" w:cs="微软雅黑"/>
          <w:i w:val="0"/>
          <w:iCs w:val="0"/>
          <w:caps w:val="0"/>
          <w:color w:val="333333"/>
          <w:spacing w:val="0"/>
          <w:sz w:val="16"/>
          <w:szCs w:val="16"/>
        </w:rPr>
      </w:pPr>
      <w:r>
        <w:rPr>
          <w:rFonts w:hint="eastAsia" w:ascii="楷体_GB2312" w:hAnsi="微软雅黑" w:eastAsia="楷体_GB2312" w:cs="楷体_GB2312"/>
          <w:i w:val="0"/>
          <w:iCs w:val="0"/>
          <w:caps w:val="0"/>
          <w:color w:val="333333"/>
          <w:spacing w:val="0"/>
          <w:sz w:val="25"/>
          <w:szCs w:val="25"/>
          <w:bdr w:val="none" w:color="auto" w:sz="0" w:space="0"/>
        </w:rPr>
        <w:t>（十七）坚持普法依法治理。</w:t>
      </w:r>
      <w:r>
        <w:rPr>
          <w:rFonts w:hint="eastAsia" w:ascii="仿宋_GB2312" w:hAnsi="微软雅黑" w:eastAsia="仿宋_GB2312" w:cs="仿宋_GB2312"/>
          <w:i w:val="0"/>
          <w:iCs w:val="0"/>
          <w:caps w:val="0"/>
          <w:color w:val="333333"/>
          <w:spacing w:val="0"/>
          <w:sz w:val="25"/>
          <w:szCs w:val="25"/>
          <w:bdr w:val="none" w:color="auto" w:sz="0" w:space="0"/>
        </w:rPr>
        <w:t>加强基层依法治理，健全分级分类创建工作机制，完善法治创建动态调整机制。积极稳妥推进民主法治示范村（社区）创建活动，有效提升创建质量，打造基层普法和依法治理有效阵地，促进乡村（社区）依法治理。深化行业依法治理，引导和支持各行业依法制定规约、章程，发挥行业自律和专业服务功能，实现自我约束、自我管理。针对社会治理领域人民群众反映强烈的突出问题开展专项依法治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44" w:lineRule="atLeast"/>
        <w:ind w:left="0" w:right="0" w:firstLine="516"/>
        <w:rPr>
          <w:rFonts w:hint="eastAsia" w:ascii="微软雅黑" w:hAnsi="微软雅黑" w:eastAsia="微软雅黑" w:cs="微软雅黑"/>
          <w:i w:val="0"/>
          <w:iCs w:val="0"/>
          <w:caps w:val="0"/>
          <w:color w:val="333333"/>
          <w:spacing w:val="0"/>
          <w:sz w:val="16"/>
          <w:szCs w:val="16"/>
        </w:rPr>
      </w:pPr>
      <w:r>
        <w:rPr>
          <w:rFonts w:hint="eastAsia" w:ascii="楷体_GB2312" w:hAnsi="微软雅黑" w:eastAsia="楷体_GB2312" w:cs="楷体_GB2312"/>
          <w:i w:val="0"/>
          <w:iCs w:val="0"/>
          <w:caps w:val="0"/>
          <w:color w:val="333333"/>
          <w:spacing w:val="0"/>
          <w:sz w:val="25"/>
          <w:szCs w:val="25"/>
          <w:bdr w:val="none" w:color="auto" w:sz="0" w:space="0"/>
        </w:rPr>
        <w:t>（十八）加强法治文化建设。</w:t>
      </w:r>
      <w:r>
        <w:rPr>
          <w:rFonts w:hint="eastAsia" w:ascii="仿宋_GB2312" w:hAnsi="微软雅黑" w:eastAsia="仿宋_GB2312" w:cs="仿宋_GB2312"/>
          <w:i w:val="0"/>
          <w:iCs w:val="0"/>
          <w:caps w:val="0"/>
          <w:color w:val="333333"/>
          <w:spacing w:val="0"/>
          <w:sz w:val="25"/>
          <w:szCs w:val="25"/>
          <w:bdr w:val="none" w:color="auto" w:sz="0" w:space="0"/>
        </w:rPr>
        <w:t>推进法治文化阵地建设。将法治文化阵地建设纳入城乡建设规划，统筹实行动态管理。推进法治文艺繁荣发展。将法治文化建设纳入文化产业协同发展，实现多元化、分众化、精准化的法治文化产品供给。推进法治文化建设与道德教育有机融合，以道德滋养法治精神，把社会主义核心价值观践行到守法普法之中，以法治力量引导人们向上向善，深化打造“法德共建”芦溪品牌。</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44" w:lineRule="atLeast"/>
        <w:ind w:left="0" w:right="0" w:firstLine="516"/>
        <w:rPr>
          <w:rFonts w:hint="eastAsia" w:ascii="微软雅黑" w:hAnsi="微软雅黑" w:eastAsia="微软雅黑" w:cs="微软雅黑"/>
          <w:i w:val="0"/>
          <w:iCs w:val="0"/>
          <w:caps w:val="0"/>
          <w:color w:val="333333"/>
          <w:spacing w:val="0"/>
          <w:sz w:val="16"/>
          <w:szCs w:val="16"/>
        </w:rPr>
      </w:pPr>
      <w:r>
        <w:rPr>
          <w:rFonts w:hint="eastAsia" w:ascii="楷体_GB2312" w:hAnsi="微软雅黑" w:eastAsia="楷体_GB2312" w:cs="楷体_GB2312"/>
          <w:i w:val="0"/>
          <w:iCs w:val="0"/>
          <w:caps w:val="0"/>
          <w:color w:val="333333"/>
          <w:spacing w:val="0"/>
          <w:sz w:val="25"/>
          <w:szCs w:val="25"/>
          <w:bdr w:val="none" w:color="auto" w:sz="0" w:space="0"/>
        </w:rPr>
        <w:t>（十九）优化公共法律服务供给。</w:t>
      </w:r>
      <w:r>
        <w:rPr>
          <w:rFonts w:hint="eastAsia" w:ascii="仿宋_GB2312" w:hAnsi="微软雅黑" w:eastAsia="仿宋_GB2312" w:cs="仿宋_GB2312"/>
          <w:i w:val="0"/>
          <w:iCs w:val="0"/>
          <w:caps w:val="0"/>
          <w:color w:val="333333"/>
          <w:spacing w:val="0"/>
          <w:sz w:val="25"/>
          <w:szCs w:val="25"/>
          <w:bdr w:val="none" w:color="auto" w:sz="0" w:space="0"/>
        </w:rPr>
        <w:t>落实公共法律服务发展规划，全面启动公共法律服务体系规范化标准化建设，打造一批省、市级公共法律服务优质示范窗口。加强乡镇、村（社区）公共法律服务平台建设和服务资源配置，推动律师、公证、法律援助、人民调解、行政复议等法律服务职能和法律服务资源向基层辐射，破解基层公共法律服务资源匮乏难题，有效助力乡村振兴。</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44" w:lineRule="atLeast"/>
        <w:ind w:left="0" w:right="0" w:firstLine="516"/>
        <w:rPr>
          <w:rFonts w:hint="eastAsia" w:ascii="微软雅黑" w:hAnsi="微软雅黑" w:eastAsia="微软雅黑" w:cs="微软雅黑"/>
          <w:i w:val="0"/>
          <w:iCs w:val="0"/>
          <w:caps w:val="0"/>
          <w:color w:val="333333"/>
          <w:spacing w:val="0"/>
          <w:sz w:val="16"/>
          <w:szCs w:val="16"/>
        </w:rPr>
      </w:pPr>
      <w:r>
        <w:rPr>
          <w:rFonts w:hint="eastAsia" w:ascii="楷体_GB2312" w:hAnsi="微软雅黑" w:eastAsia="楷体_GB2312" w:cs="楷体_GB2312"/>
          <w:i w:val="0"/>
          <w:iCs w:val="0"/>
          <w:caps w:val="0"/>
          <w:color w:val="333333"/>
          <w:spacing w:val="0"/>
          <w:sz w:val="25"/>
          <w:szCs w:val="25"/>
          <w:bdr w:val="none" w:color="auto" w:sz="0" w:space="0"/>
        </w:rPr>
        <w:t>（二十）推进社会治理法治化。</w:t>
      </w:r>
      <w:r>
        <w:rPr>
          <w:rFonts w:hint="eastAsia" w:ascii="仿宋_GB2312" w:hAnsi="微软雅黑" w:eastAsia="仿宋_GB2312" w:cs="仿宋_GB2312"/>
          <w:i w:val="0"/>
          <w:iCs w:val="0"/>
          <w:caps w:val="0"/>
          <w:color w:val="333333"/>
          <w:spacing w:val="0"/>
          <w:sz w:val="25"/>
          <w:szCs w:val="25"/>
          <w:bdr w:val="none" w:color="auto" w:sz="0" w:space="0"/>
        </w:rPr>
        <w:t>扎实推进市域社会治理现代化试点工作，深入推进“五有十无”平安创建活动，打造“村民说事点”“芦溪县为民志愿者协会”“芦溪县法德共进志愿者协会”等一批芦溪样板。发挥基层依法自治优势，健全基层自治制度机制，畅通社会组织参与社会治理制度化渠道，保证基层群众自治在法治轨道上健康有序发展，激发全民共建共治共享的积极性创造性。发展新时代“枫桥经验”，构建多元化纠纷解决机制，整合人民调解员、平安联创员、网格员、基层民警、律师等资源，发展专业性、行业性调解组织，促进矛盾纠纷源头化解、多元化解。深入推进法治信访建设，加大信访积案化解力度。探索信息化智能化治理模式，加快推进社会治理信息基础设施联通、网络畅通、平台贯通、数据融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44" w:lineRule="atLeast"/>
        <w:ind w:left="0" w:right="0" w:firstLine="516"/>
        <w:rPr>
          <w:rFonts w:hint="eastAsia" w:ascii="微软雅黑" w:hAnsi="微软雅黑" w:eastAsia="微软雅黑" w:cs="微软雅黑"/>
          <w:i w:val="0"/>
          <w:iCs w:val="0"/>
          <w:caps w:val="0"/>
          <w:color w:val="333333"/>
          <w:spacing w:val="0"/>
          <w:sz w:val="16"/>
          <w:szCs w:val="16"/>
        </w:rPr>
      </w:pPr>
      <w:r>
        <w:rPr>
          <w:rFonts w:hint="eastAsia" w:ascii="黑体" w:hAnsi="宋体" w:eastAsia="黑体" w:cs="黑体"/>
          <w:i w:val="0"/>
          <w:iCs w:val="0"/>
          <w:caps w:val="0"/>
          <w:color w:val="333333"/>
          <w:spacing w:val="0"/>
          <w:sz w:val="25"/>
          <w:szCs w:val="25"/>
          <w:bdr w:val="none" w:color="auto" w:sz="0" w:space="0"/>
        </w:rPr>
        <w:t>七、全面夯实法治保障机制</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44" w:lineRule="atLeast"/>
        <w:ind w:left="0" w:right="0" w:firstLine="516"/>
        <w:rPr>
          <w:rFonts w:hint="eastAsia" w:ascii="微软雅黑" w:hAnsi="微软雅黑" w:eastAsia="微软雅黑" w:cs="微软雅黑"/>
          <w:i w:val="0"/>
          <w:iCs w:val="0"/>
          <w:caps w:val="0"/>
          <w:color w:val="333333"/>
          <w:spacing w:val="0"/>
          <w:sz w:val="16"/>
          <w:szCs w:val="16"/>
        </w:rPr>
      </w:pPr>
      <w:r>
        <w:rPr>
          <w:rFonts w:hint="eastAsia" w:ascii="楷体_GB2312" w:hAnsi="微软雅黑" w:eastAsia="楷体_GB2312" w:cs="楷体_GB2312"/>
          <w:i w:val="0"/>
          <w:iCs w:val="0"/>
          <w:caps w:val="0"/>
          <w:color w:val="333333"/>
          <w:spacing w:val="0"/>
          <w:sz w:val="25"/>
          <w:szCs w:val="25"/>
          <w:bdr w:val="none" w:color="auto" w:sz="0" w:space="0"/>
        </w:rPr>
        <w:t>（二十一）强化政治保障。</w:t>
      </w:r>
      <w:r>
        <w:rPr>
          <w:rFonts w:hint="eastAsia" w:ascii="仿宋_GB2312" w:hAnsi="微软雅黑" w:eastAsia="仿宋_GB2312" w:cs="仿宋_GB2312"/>
          <w:i w:val="0"/>
          <w:iCs w:val="0"/>
          <w:caps w:val="0"/>
          <w:color w:val="333333"/>
          <w:spacing w:val="0"/>
          <w:sz w:val="25"/>
          <w:szCs w:val="25"/>
          <w:bdr w:val="none" w:color="auto" w:sz="0" w:space="0"/>
        </w:rPr>
        <w:t>各级党委（党组）要支持执法、司法机关开展工作，定期听取法治建设工作汇报，及时研究解决法治建设重大问题。县委政法委要加强对政法单位的领导和管理，研究协调政法单位之间、政法单位和有关部门、地方之间有关重大事项，指导、支持、督促政法单位在宪法法律规定的职责范围内开展工作。各级领导干部要带头支持司法机关依法独立公正行使职权，严格落实《领导干部干预司法活动、插手具体案件处理的记录、通报和责任追究规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44" w:lineRule="atLeast"/>
        <w:ind w:left="0" w:right="0" w:firstLine="516"/>
        <w:rPr>
          <w:rFonts w:hint="eastAsia" w:ascii="微软雅黑" w:hAnsi="微软雅黑" w:eastAsia="微软雅黑" w:cs="微软雅黑"/>
          <w:i w:val="0"/>
          <w:iCs w:val="0"/>
          <w:caps w:val="0"/>
          <w:color w:val="333333"/>
          <w:spacing w:val="0"/>
          <w:sz w:val="16"/>
          <w:szCs w:val="16"/>
        </w:rPr>
      </w:pPr>
      <w:r>
        <w:rPr>
          <w:rFonts w:hint="eastAsia" w:ascii="楷体_GB2312" w:hAnsi="微软雅黑" w:eastAsia="楷体_GB2312" w:cs="楷体_GB2312"/>
          <w:i w:val="0"/>
          <w:iCs w:val="0"/>
          <w:caps w:val="0"/>
          <w:color w:val="333333"/>
          <w:spacing w:val="0"/>
          <w:sz w:val="25"/>
          <w:szCs w:val="25"/>
          <w:bdr w:val="none" w:color="auto" w:sz="0" w:space="0"/>
        </w:rPr>
        <w:t>（二十二）强化统筹协调。</w:t>
      </w:r>
      <w:r>
        <w:rPr>
          <w:rFonts w:hint="eastAsia" w:ascii="仿宋_GB2312" w:hAnsi="微软雅黑" w:eastAsia="仿宋_GB2312" w:cs="仿宋_GB2312"/>
          <w:i w:val="0"/>
          <w:iCs w:val="0"/>
          <w:caps w:val="0"/>
          <w:color w:val="333333"/>
          <w:spacing w:val="0"/>
          <w:sz w:val="25"/>
          <w:szCs w:val="25"/>
          <w:bdr w:val="none" w:color="auto" w:sz="0" w:space="0"/>
        </w:rPr>
        <w:t>县委全面依法治县委员会办公室要系统推进法治芦溪建设的总体布局、统筹协调、整体推进和督促落实。县委全面依法治县委员会四个协调小组要各司其职、各负其责、衔接有序，推动本领域法治建设任务落到实处。各级党委政府、部门单位要强化对法治芦溪建设的经费、人员等保障力度，完善法治领域政府购买服务机制，把公共法律服务纳入公共服务发展规划和政府购买服务范围，积极引导规范社会资金参与法治领域建设。</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44" w:lineRule="atLeast"/>
        <w:ind w:left="0" w:right="0" w:firstLine="516"/>
        <w:rPr>
          <w:rFonts w:hint="eastAsia" w:ascii="微软雅黑" w:hAnsi="微软雅黑" w:eastAsia="微软雅黑" w:cs="微软雅黑"/>
          <w:i w:val="0"/>
          <w:iCs w:val="0"/>
          <w:caps w:val="0"/>
          <w:color w:val="333333"/>
          <w:spacing w:val="0"/>
          <w:sz w:val="16"/>
          <w:szCs w:val="16"/>
        </w:rPr>
      </w:pPr>
      <w:r>
        <w:rPr>
          <w:rFonts w:hint="eastAsia" w:ascii="楷体_GB2312" w:hAnsi="微软雅黑" w:eastAsia="楷体_GB2312" w:cs="楷体_GB2312"/>
          <w:i w:val="0"/>
          <w:iCs w:val="0"/>
          <w:caps w:val="0"/>
          <w:color w:val="333333"/>
          <w:spacing w:val="0"/>
          <w:sz w:val="25"/>
          <w:szCs w:val="25"/>
          <w:bdr w:val="none" w:color="auto" w:sz="0" w:space="0"/>
        </w:rPr>
        <w:t>（二十三）强化人才培养。</w:t>
      </w:r>
      <w:r>
        <w:rPr>
          <w:rFonts w:hint="eastAsia" w:ascii="仿宋_GB2312" w:hAnsi="微软雅黑" w:eastAsia="仿宋_GB2312" w:cs="仿宋_GB2312"/>
          <w:i w:val="0"/>
          <w:iCs w:val="0"/>
          <w:caps w:val="0"/>
          <w:color w:val="333333"/>
          <w:spacing w:val="0"/>
          <w:sz w:val="25"/>
          <w:szCs w:val="25"/>
          <w:bdr w:val="none" w:color="auto" w:sz="0" w:space="0"/>
        </w:rPr>
        <w:t>坚持把政治标准放在首位，加强执法、司法、守法各环节、全链条的法治人才培养，努力建设一支忠于党、忠于国家、忠于人民、忠于法律的社会主义法治工作队伍。县委、县政府要高度重视法治人才培养工作，完善人才培训和继续教育机制，创新培养评价和激励保障机制，组织、人社、财政等相关职能部门和政法各单位要按照职责分工抓好法治人才培养。加快律师、公证、人民调解等法律服务人才发展，强化党对法律服务行业的全面统领，不断健全职业道德准则和执业行为规范，推动建设一支德才兼备的高素质法律服务队伍。</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44" w:lineRule="atLeast"/>
        <w:ind w:left="0" w:right="0" w:firstLine="516"/>
        <w:rPr>
          <w:rFonts w:hint="eastAsia" w:ascii="微软雅黑" w:hAnsi="微软雅黑" w:eastAsia="微软雅黑" w:cs="微软雅黑"/>
          <w:i w:val="0"/>
          <w:iCs w:val="0"/>
          <w:caps w:val="0"/>
          <w:color w:val="333333"/>
          <w:spacing w:val="0"/>
          <w:sz w:val="16"/>
          <w:szCs w:val="16"/>
        </w:rPr>
      </w:pPr>
      <w:r>
        <w:rPr>
          <w:rFonts w:hint="eastAsia" w:ascii="楷体_GB2312" w:hAnsi="微软雅黑" w:eastAsia="楷体_GB2312" w:cs="楷体_GB2312"/>
          <w:i w:val="0"/>
          <w:iCs w:val="0"/>
          <w:caps w:val="0"/>
          <w:color w:val="333333"/>
          <w:spacing w:val="0"/>
          <w:sz w:val="25"/>
          <w:szCs w:val="25"/>
          <w:bdr w:val="none" w:color="auto" w:sz="0" w:space="0"/>
        </w:rPr>
        <w:t>（二十四）强化科技支撑。</w:t>
      </w:r>
      <w:r>
        <w:rPr>
          <w:rFonts w:hint="eastAsia" w:ascii="仿宋_GB2312" w:hAnsi="微软雅黑" w:eastAsia="仿宋_GB2312" w:cs="仿宋_GB2312"/>
          <w:i w:val="0"/>
          <w:iCs w:val="0"/>
          <w:caps w:val="0"/>
          <w:color w:val="333333"/>
          <w:spacing w:val="0"/>
          <w:sz w:val="25"/>
          <w:szCs w:val="25"/>
          <w:bdr w:val="none" w:color="auto" w:sz="0" w:space="0"/>
        </w:rPr>
        <w:t>加强信息技术与法治建设的深度融合，打造高效协同、综合集成的数字法治系统。运用大数据、云计算、人工智能等现代科技手段，加快社会治理大数据平台、智慧法院、智慧检务、智慧公安、智慧司法等“智慧法治”建设。优化整合法治领域各类信息、数据、网络平台，逐步建立统一的法治芦溪信息平台，推进各类信息、数据融合共享。加快公共法律服务各类平台有机融合，建设覆盖全业务、全时空的公共法律服务网络。</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方正小标宋简体">
    <w:altName w:val="方正舒体"/>
    <w:panose1 w:val="00000000000000000000"/>
    <w:charset w:val="00"/>
    <w:family w:val="auto"/>
    <w:pitch w:val="default"/>
    <w:sig w:usb0="00000000" w:usb1="00000000" w:usb2="00000000" w:usb3="00000000" w:csb0="00000000" w:csb1="00000000"/>
  </w:font>
  <w:font w:name="方正舒体">
    <w:panose1 w:val="02010601030101010101"/>
    <w:charset w:val="86"/>
    <w:family w:val="auto"/>
    <w:pitch w:val="default"/>
    <w:sig w:usb0="00000003"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 w:name="楷体_GB2312">
    <w:panose1 w:val="02010609030101010101"/>
    <w:charset w:val="86"/>
    <w:family w:val="auto"/>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Y1MjViNDVjYjZiMzg0NGM0NWIzZTFkYTQ3M2NhMDUifQ=="/>
  </w:docVars>
  <w:rsids>
    <w:rsidRoot w:val="0C137FDC"/>
    <w:rsid w:val="0C137F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6030</Words>
  <Characters>6074</Characters>
  <Lines>0</Lines>
  <Paragraphs>0</Paragraphs>
  <TotalTime>0</TotalTime>
  <ScaleCrop>false</ScaleCrop>
  <LinksUpToDate>false</LinksUpToDate>
  <CharactersWithSpaces>6074</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2023-01-14T09:18:00Z</dcterms:created>
  <dc:creator>彼女</dc:creator>
  <cp:lastModifiedBy>彼女</cp:lastModifiedBy>
  <dcterms:modified xsi:type="dcterms:W3CDTF">2023-01-14T09:18:34Z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A093686B591D44E288488058FEFA2715</vt:lpwstr>
  </property>
</Properties>
</file>