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600" w:lineRule="exact"/>
        <w:jc w:val="both"/>
        <w:rPr>
          <w:rFonts w:hint="eastAsia" w:ascii="黑体" w:eastAsia="黑体"/>
          <w:bCs/>
          <w:sz w:val="32"/>
          <w:szCs w:val="32"/>
          <w:lang w:val="en-US" w:eastAsia="zh-CN"/>
        </w:rPr>
      </w:pPr>
      <w:r>
        <w:rPr>
          <w:rFonts w:hint="eastAsia" w:ascii="黑体" w:eastAsia="黑体"/>
          <w:bCs/>
          <w:sz w:val="32"/>
          <w:szCs w:val="32"/>
          <w:lang w:val="en-US" w:eastAsia="zh-CN"/>
        </w:rPr>
        <w:t>附件</w:t>
      </w:r>
    </w:p>
    <w:p>
      <w:pPr>
        <w:adjustRightInd w:val="0"/>
        <w:snapToGrid w:val="0"/>
        <w:jc w:val="center"/>
        <w:rPr>
          <w:rFonts w:hint="eastAsia" w:ascii="方正小标宋简体" w:hAnsi="Calibri" w:eastAsia="方正小标宋简体" w:cs="Times New Roman"/>
          <w:sz w:val="44"/>
          <w:szCs w:val="44"/>
          <w:lang w:val="en-US" w:eastAsia="zh-CN"/>
        </w:rPr>
      </w:pPr>
    </w:p>
    <w:p>
      <w:pPr>
        <w:adjustRightInd w:val="0"/>
        <w:snapToGrid w:val="0"/>
        <w:jc w:val="center"/>
        <w:rPr>
          <w:rFonts w:hint="eastAsia" w:ascii="方正小标宋简体" w:hAnsi="Calibri" w:eastAsia="方正小标宋简体" w:cs="Times New Roman"/>
          <w:sz w:val="44"/>
          <w:szCs w:val="44"/>
          <w:lang w:val="en-US" w:eastAsia="zh-CN"/>
        </w:rPr>
      </w:pPr>
      <w:r>
        <w:rPr>
          <w:rFonts w:hint="eastAsia" w:ascii="方正小标宋简体" w:hAnsi="Calibri" w:eastAsia="方正小标宋简体" w:cs="Times New Roman"/>
          <w:sz w:val="44"/>
          <w:szCs w:val="44"/>
          <w:lang w:val="en-US" w:eastAsia="zh-CN"/>
        </w:rPr>
        <w:t>东阳市民政事业发展“十四五”规划</w:t>
      </w:r>
    </w:p>
    <w:p>
      <w:pPr>
        <w:adjustRightInd w:val="0"/>
        <w:snapToGrid w:val="0"/>
        <w:jc w:val="both"/>
        <w:rPr>
          <w:rFonts w:hint="eastAsia" w:ascii="楷体_GB2312" w:hAnsi="楷体_GB2312" w:eastAsia="楷体_GB2312" w:cs="楷体_GB2312"/>
          <w:spacing w:val="-12"/>
          <w:sz w:val="32"/>
          <w:szCs w:val="32"/>
          <w:lang w:val="en-US" w:eastAsia="zh-CN"/>
        </w:rPr>
      </w:pPr>
      <w:r>
        <w:rPr>
          <w:rFonts w:hint="eastAsia" w:ascii="楷体_GB2312" w:hAnsi="楷体_GB2312" w:eastAsia="楷体_GB2312" w:cs="楷体_GB2312"/>
          <w:spacing w:val="-12"/>
          <w:sz w:val="32"/>
          <w:szCs w:val="32"/>
          <w:lang w:val="en-US" w:eastAsia="zh-CN"/>
        </w:rPr>
        <w:t xml:space="preserve">                       </w:t>
      </w:r>
      <w:bookmarkStart w:id="30" w:name="_GoBack"/>
      <w:bookmarkEnd w:id="30"/>
    </w:p>
    <w:p>
      <w:pPr>
        <w:pStyle w:val="16"/>
        <w:spacing w:line="600" w:lineRule="exact"/>
        <w:ind w:firstLine="31680"/>
        <w:rPr>
          <w:rFonts w:hint="eastAsia" w:ascii="仿宋_GB2312" w:hAnsi="仿宋_GB2312" w:cs="仿宋_GB2312"/>
        </w:rPr>
      </w:pPr>
    </w:p>
    <w:p>
      <w:pPr>
        <w:pStyle w:val="16"/>
        <w:spacing w:line="600" w:lineRule="exact"/>
        <w:ind w:firstLine="31680"/>
        <w:rPr>
          <w:rFonts w:ascii="仿宋_GB2312" w:cs="仿宋_GB2312"/>
          <w:lang w:val="zh-CN"/>
        </w:rPr>
      </w:pPr>
      <w:r>
        <w:rPr>
          <w:rFonts w:hint="eastAsia" w:ascii="仿宋_GB2312" w:hAnsi="仿宋_GB2312" w:cs="仿宋_GB2312"/>
        </w:rPr>
        <w:t>为加快推进新时代我市民政事业</w:t>
      </w:r>
      <w:r>
        <w:rPr>
          <w:rFonts w:hint="eastAsia" w:ascii="仿宋_GB2312" w:hAnsi="仿宋_GB2312" w:cs="仿宋_GB2312"/>
          <w:lang w:val="zh-CN"/>
        </w:rPr>
        <w:t>高质量</w:t>
      </w:r>
      <w:r>
        <w:rPr>
          <w:rFonts w:hint="eastAsia" w:ascii="仿宋_GB2312" w:hAnsi="仿宋_GB2312" w:cs="仿宋_GB2312"/>
        </w:rPr>
        <w:t>发展，</w:t>
      </w:r>
      <w:r>
        <w:rPr>
          <w:rFonts w:hint="eastAsia" w:ascii="仿宋_GB2312" w:hAnsi="仿宋_GB2312" w:cs="仿宋_GB2312"/>
          <w:lang w:val="zh-CN"/>
        </w:rPr>
        <w:t>根据中央和省、</w:t>
      </w:r>
      <w:r>
        <w:rPr>
          <w:rFonts w:hint="eastAsia" w:ascii="仿宋_GB2312" w:hAnsi="仿宋_GB2312" w:cs="仿宋_GB2312"/>
        </w:rPr>
        <w:t>金华</w:t>
      </w:r>
      <w:r>
        <w:rPr>
          <w:rFonts w:hint="eastAsia" w:ascii="仿宋_GB2312" w:hAnsi="仿宋_GB2312" w:cs="仿宋_GB2312"/>
          <w:lang w:val="zh-CN"/>
        </w:rPr>
        <w:t>市关于推进新时代民政事业高质量发展的精神和“十四五”规划要求，结合新时期民政事业发展新环境新需求新任务，特编制《</w:t>
      </w:r>
      <w:r>
        <w:rPr>
          <w:rFonts w:hint="eastAsia" w:ascii="仿宋_GB2312" w:hAnsi="仿宋_GB2312" w:cs="仿宋_GB2312"/>
        </w:rPr>
        <w:t>东阳市</w:t>
      </w:r>
      <w:r>
        <w:rPr>
          <w:rFonts w:hint="eastAsia" w:ascii="仿宋_GB2312" w:hAnsi="仿宋_GB2312" w:cs="仿宋_GB2312"/>
          <w:lang w:val="zh-CN"/>
        </w:rPr>
        <w:t>民政事业发展“十四五”规划》。</w:t>
      </w:r>
    </w:p>
    <w:p>
      <w:pPr>
        <w:pStyle w:val="4"/>
        <w:spacing w:before="0" w:after="0" w:line="600" w:lineRule="exact"/>
        <w:ind w:firstLine="633" w:firstLineChars="198"/>
        <w:rPr>
          <w:rFonts w:ascii="黑体" w:eastAsia="黑体"/>
          <w:b w:val="0"/>
          <w:bCs w:val="0"/>
        </w:rPr>
      </w:pPr>
      <w:bookmarkStart w:id="0" w:name="_Toc81106154"/>
      <w:r>
        <w:rPr>
          <w:rFonts w:hint="eastAsia" w:ascii="黑体" w:eastAsia="黑体"/>
          <w:b w:val="0"/>
          <w:bCs w:val="0"/>
        </w:rPr>
        <w:t>一、发展背景</w:t>
      </w:r>
      <w:bookmarkEnd w:id="0"/>
    </w:p>
    <w:p>
      <w:pPr>
        <w:pStyle w:val="4"/>
        <w:spacing w:before="0" w:after="0" w:line="600" w:lineRule="exact"/>
        <w:ind w:firstLine="473" w:firstLineChars="148"/>
        <w:rPr>
          <w:rFonts w:ascii="楷体_GB2312" w:eastAsia="楷体_GB2312"/>
          <w:b w:val="0"/>
          <w:bCs w:val="0"/>
        </w:rPr>
      </w:pPr>
      <w:bookmarkStart w:id="1" w:name="_Toc81106155"/>
      <w:r>
        <w:rPr>
          <w:rFonts w:hint="eastAsia" w:ascii="楷体_GB2312" w:eastAsia="楷体_GB2312"/>
          <w:b w:val="0"/>
          <w:bCs w:val="0"/>
        </w:rPr>
        <w:t>（一）现实基础</w:t>
      </w:r>
      <w:bookmarkEnd w:id="1"/>
    </w:p>
    <w:p>
      <w:pPr>
        <w:spacing w:line="600" w:lineRule="exact"/>
        <w:ind w:firstLine="640" w:firstLineChars="200"/>
        <w:rPr>
          <w:rFonts w:ascii="仿宋_GB2312" w:hAnsi="宋体" w:eastAsia="仿宋_GB2312"/>
          <w:sz w:val="32"/>
          <w:szCs w:val="32"/>
        </w:rPr>
      </w:pPr>
      <w:r>
        <w:rPr>
          <w:rFonts w:hint="eastAsia" w:ascii="仿宋_GB2312" w:hAnsi="宋体" w:eastAsia="仿宋_GB2312"/>
          <w:sz w:val="32"/>
          <w:szCs w:val="32"/>
        </w:rPr>
        <w:t>“十三五”以来，全市民政系统在市委、市政府的坚强领导和上级民政部门的正确指导下，坚持“民政为民、民政爱民”工作理念，深入实施“十三五”规划，全市民政各项事业取得长足进步，为推进我市“十四五”民政事业高质量发展打下坚实基础。</w:t>
      </w:r>
    </w:p>
    <w:p>
      <w:pPr>
        <w:pStyle w:val="16"/>
        <w:spacing w:line="600" w:lineRule="exact"/>
        <w:ind w:firstLine="31680"/>
        <w:rPr>
          <w:rFonts w:hAnsi="仿宋_GB2312" w:cs="仿宋_GB2312"/>
        </w:rPr>
      </w:pPr>
      <w:r>
        <w:rPr>
          <w:rFonts w:ascii="仿宋_GB2312" w:hAnsi="仿宋_GB2312" w:cs="仿宋_GB2312"/>
          <w:b/>
        </w:rPr>
        <w:t>1.</w:t>
      </w:r>
      <w:r>
        <w:rPr>
          <w:rFonts w:hint="eastAsia" w:ascii="仿宋_GB2312" w:hAnsi="仿宋_GB2312" w:cs="仿宋_GB2312"/>
          <w:b/>
        </w:rPr>
        <w:t>基本民生保障不断夯实。</w:t>
      </w:r>
      <w:r>
        <w:rPr>
          <w:rFonts w:hint="eastAsia"/>
        </w:rPr>
        <w:t>扎实推进新时代社会救助体系建设，基本建立“</w:t>
      </w:r>
      <w:r>
        <w:t>1+8+X</w:t>
      </w:r>
      <w:r>
        <w:rPr>
          <w:rFonts w:hint="eastAsia"/>
        </w:rPr>
        <w:t>”大救助体系。对接省大救助信息系统，</w:t>
      </w:r>
      <w:r>
        <w:rPr>
          <w:rFonts w:hint="eastAsia" w:hAnsi="仿宋_GB2312" w:cs="仿宋_GB2312"/>
        </w:rPr>
        <w:t>落实“社会救助一件事”通办。</w:t>
      </w:r>
      <w:r>
        <w:rPr>
          <w:rFonts w:hint="eastAsia"/>
        </w:rPr>
        <w:t>推进农村低保制度与扶贫开发政策衔接，实行低保边缘户与低收入家庭认定“两线合一”。全面开展最低生活保障边缘家庭、支出型贫困家庭的认定工作，落实全市城乡低保标准一体化。推行低保救助动态监管机制，开展低保专项整治及整改行动，提高低保动态管理水平。稳步提高城乡低保标准，由</w:t>
      </w:r>
      <w:r>
        <w:t>2016</w:t>
      </w:r>
      <w:r>
        <w:rPr>
          <w:rFonts w:hint="eastAsia"/>
        </w:rPr>
        <w:t>年的</w:t>
      </w:r>
      <w:r>
        <w:t>698</w:t>
      </w:r>
      <w:r>
        <w:rPr>
          <w:rFonts w:hint="eastAsia"/>
        </w:rPr>
        <w:t>元</w:t>
      </w:r>
      <w:r>
        <w:t>/</w:t>
      </w:r>
      <w:r>
        <w:rPr>
          <w:rFonts w:hint="eastAsia"/>
        </w:rPr>
        <w:t>月提高到目前的</w:t>
      </w:r>
      <w:r>
        <w:t>850</w:t>
      </w:r>
      <w:r>
        <w:rPr>
          <w:rFonts w:hint="eastAsia"/>
        </w:rPr>
        <w:t>元</w:t>
      </w:r>
      <w:r>
        <w:t>/</w:t>
      </w:r>
      <w:r>
        <w:rPr>
          <w:rFonts w:hint="eastAsia"/>
        </w:rPr>
        <w:t>月，</w:t>
      </w:r>
      <w:r>
        <w:rPr>
          <w:rFonts w:hint="eastAsia" w:hAnsi="仿宋_GB2312" w:cs="仿宋_GB2312"/>
        </w:rPr>
        <w:t>五年累计发放低保低边、临时救助、特困供养等各类救助资金</w:t>
      </w:r>
      <w:r>
        <w:rPr>
          <w:rFonts w:hAnsi="仿宋_GB2312" w:cs="仿宋_GB2312"/>
        </w:rPr>
        <w:t>2.2</w:t>
      </w:r>
      <w:r>
        <w:rPr>
          <w:rFonts w:hint="eastAsia" w:hAnsi="仿宋_GB2312" w:cs="仿宋_GB2312"/>
        </w:rPr>
        <w:t>亿。</w:t>
      </w:r>
      <w:r>
        <w:rPr>
          <w:rFonts w:hint="eastAsia"/>
        </w:rPr>
        <w:t>截至</w:t>
      </w:r>
      <w:r>
        <w:t>2020</w:t>
      </w:r>
      <w:r>
        <w:rPr>
          <w:rFonts w:hint="eastAsia"/>
        </w:rPr>
        <w:t>年底，</w:t>
      </w:r>
      <w:r>
        <w:rPr>
          <w:rFonts w:hint="eastAsia" w:hAnsi="仿宋_GB2312" w:cs="仿宋_GB2312"/>
        </w:rPr>
        <w:t>全市在册低保人员</w:t>
      </w:r>
      <w:r>
        <w:rPr>
          <w:rFonts w:hAnsi="仿宋_GB2312" w:cs="仿宋_GB2312"/>
        </w:rPr>
        <w:t>7125</w:t>
      </w:r>
      <w:r>
        <w:rPr>
          <w:rFonts w:hint="eastAsia" w:hAnsi="仿宋_GB2312" w:cs="仿宋_GB2312"/>
        </w:rPr>
        <w:t>人、低保边缘</w:t>
      </w:r>
      <w:r>
        <w:rPr>
          <w:rFonts w:hAnsi="仿宋_GB2312" w:cs="仿宋_GB2312"/>
        </w:rPr>
        <w:t>1788</w:t>
      </w:r>
      <w:r>
        <w:rPr>
          <w:rFonts w:hint="eastAsia" w:hAnsi="仿宋_GB2312" w:cs="仿宋_GB2312"/>
        </w:rPr>
        <w:t>人，最低生活保障年标准线达到</w:t>
      </w:r>
      <w:r>
        <w:rPr>
          <w:rFonts w:hAnsi="仿宋_GB2312" w:cs="仿宋_GB2312"/>
        </w:rPr>
        <w:t>10200</w:t>
      </w:r>
      <w:r>
        <w:rPr>
          <w:rFonts w:hint="eastAsia" w:hAnsi="仿宋_GB2312" w:cs="仿宋_GB2312"/>
        </w:rPr>
        <w:t>元。</w:t>
      </w:r>
      <w:r>
        <w:rPr>
          <w:rFonts w:hint="eastAsia" w:ascii="仿宋_GB2312" w:hAnsi="宋体"/>
        </w:rPr>
        <w:t>不断完善适度普惠的儿童福利制度，机构养育孤儿基本生活保障标准提到</w:t>
      </w:r>
      <w:r>
        <w:rPr>
          <w:rFonts w:ascii="仿宋_GB2312" w:hAnsi="宋体"/>
        </w:rPr>
        <w:t>2357</w:t>
      </w:r>
      <w:r>
        <w:rPr>
          <w:rFonts w:hint="eastAsia" w:ascii="仿宋_GB2312" w:hAnsi="宋体"/>
        </w:rPr>
        <w:t>元</w:t>
      </w:r>
      <w:r>
        <w:rPr>
          <w:rFonts w:ascii="仿宋_GB2312" w:hAnsi="宋体"/>
        </w:rPr>
        <w:t>/</w:t>
      </w:r>
      <w:r>
        <w:rPr>
          <w:rFonts w:hint="eastAsia" w:ascii="仿宋_GB2312" w:hAnsi="宋体"/>
        </w:rPr>
        <w:t>月，社会散居孤困儿童基本生活保障标准提到</w:t>
      </w:r>
      <w:r>
        <w:rPr>
          <w:rFonts w:ascii="仿宋_GB2312" w:hAnsi="宋体"/>
        </w:rPr>
        <w:t>1886</w:t>
      </w:r>
      <w:r>
        <w:rPr>
          <w:rFonts w:hint="eastAsia" w:ascii="仿宋_GB2312" w:hAnsi="宋体"/>
        </w:rPr>
        <w:t>元</w:t>
      </w:r>
      <w:r>
        <w:rPr>
          <w:rFonts w:ascii="仿宋_GB2312" w:hAnsi="宋体"/>
        </w:rPr>
        <w:t>/</w:t>
      </w:r>
      <w:r>
        <w:rPr>
          <w:rFonts w:hint="eastAsia" w:ascii="仿宋_GB2312" w:hAnsi="宋体"/>
        </w:rPr>
        <w:t>月。建立市未成年人救助保护中心，推行镇（街、区）配备</w:t>
      </w:r>
      <w:r>
        <w:rPr>
          <w:rFonts w:ascii="仿宋_GB2312" w:hAnsi="宋体"/>
        </w:rPr>
        <w:t>1</w:t>
      </w:r>
      <w:r>
        <w:rPr>
          <w:rFonts w:hint="eastAsia" w:ascii="仿宋_GB2312" w:hAnsi="宋体"/>
        </w:rPr>
        <w:t>名儿童督导员和村（居）配备</w:t>
      </w:r>
      <w:r>
        <w:rPr>
          <w:rFonts w:ascii="仿宋_GB2312" w:hAnsi="宋体"/>
        </w:rPr>
        <w:t>1</w:t>
      </w:r>
      <w:r>
        <w:rPr>
          <w:rFonts w:hint="eastAsia" w:ascii="仿宋_GB2312" w:hAnsi="宋体"/>
        </w:rPr>
        <w:t>名儿童主任制度，农村留守儿童关爱保护工作得到加强。</w:t>
      </w:r>
      <w:r>
        <w:rPr>
          <w:rFonts w:hint="eastAsia" w:hAnsi="仿宋_GB2312" w:cs="仿宋_GB2312"/>
        </w:rPr>
        <w:t>慈善总会发放善款</w:t>
      </w:r>
      <w:r>
        <w:rPr>
          <w:rFonts w:hAnsi="仿宋_GB2312" w:cs="仿宋_GB2312"/>
        </w:rPr>
        <w:t>3205</w:t>
      </w:r>
      <w:r>
        <w:rPr>
          <w:rFonts w:hint="eastAsia" w:hAnsi="仿宋_GB2312" w:cs="仿宋_GB2312"/>
        </w:rPr>
        <w:t>万元，受益困难群众达</w:t>
      </w:r>
      <w:r>
        <w:rPr>
          <w:rFonts w:hAnsi="仿宋_GB2312" w:cs="仿宋_GB2312"/>
        </w:rPr>
        <w:t>5</w:t>
      </w:r>
      <w:r>
        <w:rPr>
          <w:rFonts w:hint="eastAsia" w:hAnsi="仿宋_GB2312" w:cs="仿宋_GB2312"/>
        </w:rPr>
        <w:t>万人次。</w:t>
      </w:r>
    </w:p>
    <w:p>
      <w:pPr>
        <w:pStyle w:val="16"/>
        <w:spacing w:line="600" w:lineRule="exact"/>
        <w:ind w:firstLine="31680"/>
      </w:pPr>
      <w:r>
        <w:rPr>
          <w:rFonts w:ascii="仿宋_GB2312" w:hAnsi="仿宋_GB2312" w:cs="仿宋_GB2312"/>
          <w:b/>
        </w:rPr>
        <w:t>2.</w:t>
      </w:r>
      <w:r>
        <w:rPr>
          <w:rFonts w:hint="eastAsia" w:ascii="仿宋_GB2312" w:hAnsi="仿宋_GB2312" w:cs="仿宋_GB2312"/>
          <w:b/>
        </w:rPr>
        <w:t>基层社会治理不断提升。</w:t>
      </w:r>
      <w:r>
        <w:rPr>
          <w:rFonts w:hint="eastAsia"/>
        </w:rPr>
        <w:t>加强党的领导，</w:t>
      </w:r>
      <w:r>
        <w:rPr>
          <w:rFonts w:hint="eastAsia" w:ascii="仿宋_GB2312" w:hAnsi="仿宋" w:cs="仿宋"/>
        </w:rPr>
        <w:t>健全完善城乡社区基层社会治理制度。</w:t>
      </w:r>
      <w:r>
        <w:rPr>
          <w:rFonts w:hint="eastAsia"/>
        </w:rPr>
        <w:t>首次推行村、社区同步选举方式，顺利完成全市</w:t>
      </w:r>
      <w:r>
        <w:rPr>
          <w:rFonts w:hint="eastAsia" w:ascii="仿宋_GB2312" w:hAnsi="仿宋" w:cs="仿宋"/>
        </w:rPr>
        <w:t>村、社区换届选举。深化村（居）务公开和民主监督制度，因地制宜指导《村规民约》、《社区公约》制定修订。积极推进城乡社区建设，创建省级引领型农村社区</w:t>
      </w:r>
      <w:r>
        <w:rPr>
          <w:rFonts w:ascii="仿宋_GB2312" w:hAnsi="仿宋" w:cs="仿宋"/>
        </w:rPr>
        <w:t>14</w:t>
      </w:r>
      <w:r>
        <w:rPr>
          <w:rFonts w:hint="eastAsia" w:ascii="仿宋_GB2312" w:hAnsi="仿宋" w:cs="仿宋"/>
        </w:rPr>
        <w:t>个，市级完善型农村社区</w:t>
      </w:r>
      <w:r>
        <w:rPr>
          <w:rFonts w:ascii="仿宋_GB2312" w:hAnsi="仿宋" w:cs="仿宋"/>
        </w:rPr>
        <w:t>34</w:t>
      </w:r>
      <w:r>
        <w:rPr>
          <w:rFonts w:hint="eastAsia" w:ascii="仿宋_GB2312" w:hAnsi="仿宋" w:cs="仿宋"/>
        </w:rPr>
        <w:t>个、城乡精品社区</w:t>
      </w:r>
      <w:r>
        <w:rPr>
          <w:rFonts w:ascii="仿宋_GB2312" w:hAnsi="仿宋" w:cs="仿宋"/>
        </w:rPr>
        <w:t>9</w:t>
      </w:r>
      <w:r>
        <w:rPr>
          <w:rFonts w:hint="eastAsia" w:ascii="仿宋_GB2312" w:hAnsi="仿宋" w:cs="仿宋"/>
        </w:rPr>
        <w:t>个，打造五星级田园社区</w:t>
      </w:r>
      <w:r>
        <w:rPr>
          <w:rFonts w:ascii="仿宋_GB2312" w:hAnsi="仿宋" w:cs="仿宋"/>
        </w:rPr>
        <w:t>35</w:t>
      </w:r>
      <w:r>
        <w:rPr>
          <w:rFonts w:hint="eastAsia" w:ascii="仿宋_GB2312" w:hAnsi="仿宋" w:cs="仿宋"/>
        </w:rPr>
        <w:t>个、三星级田园社区</w:t>
      </w:r>
      <w:r>
        <w:rPr>
          <w:rFonts w:ascii="仿宋_GB2312" w:hAnsi="仿宋" w:cs="仿宋"/>
        </w:rPr>
        <w:t>110</w:t>
      </w:r>
      <w:r>
        <w:rPr>
          <w:rFonts w:hint="eastAsia" w:ascii="仿宋_GB2312" w:hAnsi="仿宋" w:cs="仿宋"/>
        </w:rPr>
        <w:t>个、</w:t>
      </w:r>
      <w:r>
        <w:rPr>
          <w:rFonts w:hint="eastAsia"/>
        </w:rPr>
        <w:t>一星级田园社区</w:t>
      </w:r>
      <w:r>
        <w:t>243</w:t>
      </w:r>
      <w:r>
        <w:rPr>
          <w:rFonts w:hint="eastAsia"/>
        </w:rPr>
        <w:t>个。城乡社区治理工作取得重大突破，创建全国幸福农村社区建设示范单位，入选首批全国农村社区治理实验区，成功举办首届全国农村社区治理讲习班，农村社区治理实验区实践经验得到全国推广。加强专职社区工作者队伍建设，修订《东阳市专职社区工作者管理办法》，</w:t>
      </w:r>
      <w:r>
        <w:rPr>
          <w:rFonts w:hint="eastAsia" w:ascii="仿宋_GB2312" w:hAnsi="仿宋_GB2312" w:cs="仿宋_GB2312"/>
        </w:rPr>
        <w:t>完成首批</w:t>
      </w:r>
      <w:r>
        <w:rPr>
          <w:rFonts w:ascii="仿宋_GB2312" w:hAnsi="仿宋_GB2312" w:cs="仿宋_GB2312"/>
        </w:rPr>
        <w:t>99</w:t>
      </w:r>
      <w:r>
        <w:rPr>
          <w:rFonts w:hint="eastAsia" w:ascii="仿宋_GB2312" w:hAnsi="仿宋_GB2312" w:cs="仿宋_GB2312"/>
        </w:rPr>
        <w:t>名专职社区工作者招聘工作。</w:t>
      </w:r>
    </w:p>
    <w:p>
      <w:pPr>
        <w:pStyle w:val="16"/>
        <w:spacing w:line="600" w:lineRule="exact"/>
        <w:ind w:firstLine="31680"/>
      </w:pPr>
      <w:r>
        <w:rPr>
          <w:b/>
          <w:bCs/>
        </w:rPr>
        <w:t>3.</w:t>
      </w:r>
      <w:r>
        <w:rPr>
          <w:rFonts w:hint="eastAsia"/>
          <w:b/>
          <w:bCs/>
        </w:rPr>
        <w:t>社会组织和社工不断培育。</w:t>
      </w:r>
      <w:r>
        <w:rPr>
          <w:rFonts w:hint="eastAsia"/>
        </w:rPr>
        <w:t>推进社会组织党建工作，构建形成两新工委、民政部门和主管部门“三位一体、共同负责”的工作机制。横店影视产业协会党群服务中心、市社会组织党群服务中心、南马镇花园村社会组织党群服务中心先后创建为省级党建示范点。大力培育发展社会组织，</w:t>
      </w:r>
      <w:r>
        <w:rPr>
          <w:rFonts w:hint="eastAsia"/>
          <w:lang w:val="zh-CN"/>
        </w:rPr>
        <w:t>健全完善社会组织直接登记和双重管理相结合的登记管理制度。</w:t>
      </w:r>
      <w:r>
        <w:rPr>
          <w:rFonts w:hint="eastAsia"/>
        </w:rPr>
        <w:t>截至</w:t>
      </w:r>
      <w:r>
        <w:t>2020</w:t>
      </w:r>
      <w:r>
        <w:rPr>
          <w:rFonts w:hint="eastAsia"/>
        </w:rPr>
        <w:t>年底全市经登记的社会组织</w:t>
      </w:r>
      <w:r>
        <w:t>766</w:t>
      </w:r>
      <w:r>
        <w:rPr>
          <w:rFonts w:hint="eastAsia"/>
        </w:rPr>
        <w:t>家，社区社会组织</w:t>
      </w:r>
      <w:r>
        <w:t>3122</w:t>
      </w:r>
      <w:r>
        <w:rPr>
          <w:rFonts w:hint="eastAsia"/>
        </w:rPr>
        <w:t>家。支持社会组织举办公益慈善活动，积极开展扶老、助困、送温暖、献爱心等公益活动。投入福彩公益金</w:t>
      </w:r>
      <w:r>
        <w:t>367</w:t>
      </w:r>
      <w:r>
        <w:rPr>
          <w:rFonts w:hint="eastAsia"/>
        </w:rPr>
        <w:t>万元，举办</w:t>
      </w:r>
      <w:r>
        <w:t>6</w:t>
      </w:r>
      <w:r>
        <w:rPr>
          <w:rFonts w:hint="eastAsia"/>
        </w:rPr>
        <w:t>届公益创投，实施公益项目</w:t>
      </w:r>
      <w:r>
        <w:t>70</w:t>
      </w:r>
      <w:r>
        <w:rPr>
          <w:rFonts w:hint="eastAsia"/>
        </w:rPr>
        <w:t>个，撬动社会资金投入约</w:t>
      </w:r>
      <w:r>
        <w:t>760</w:t>
      </w:r>
      <w:r>
        <w:rPr>
          <w:rFonts w:hint="eastAsia"/>
        </w:rPr>
        <w:t>万元，受益人数超</w:t>
      </w:r>
      <w:r>
        <w:t>70</w:t>
      </w:r>
      <w:r>
        <w:rPr>
          <w:rFonts w:hint="eastAsia"/>
        </w:rPr>
        <w:t>万。加强社会组织品牌建设，市红十字救援队、横店影视产业协会被评为省级品牌社会组织，</w:t>
      </w:r>
      <w:r>
        <w:t>2</w:t>
      </w:r>
      <w:r>
        <w:rPr>
          <w:rFonts w:hint="eastAsia"/>
        </w:rPr>
        <w:t>名个人被评为省级社会组织领军人物。加强社会工作人才队伍建设，至</w:t>
      </w:r>
      <w:r>
        <w:t>2020</w:t>
      </w:r>
      <w:r>
        <w:rPr>
          <w:rFonts w:hint="eastAsia"/>
        </w:rPr>
        <w:t>年全市拥有持证社工人数</w:t>
      </w:r>
      <w:r>
        <w:t>1186</w:t>
      </w:r>
      <w:r>
        <w:rPr>
          <w:rFonts w:hint="eastAsia"/>
        </w:rPr>
        <w:t>名，专业社工机构</w:t>
      </w:r>
      <w:r>
        <w:t>6</w:t>
      </w:r>
      <w:r>
        <w:rPr>
          <w:rFonts w:hint="eastAsia"/>
        </w:rPr>
        <w:t>家，乡镇（街道）社工站</w:t>
      </w:r>
      <w:r>
        <w:t>3</w:t>
      </w:r>
      <w:r>
        <w:rPr>
          <w:rFonts w:hint="eastAsia"/>
        </w:rPr>
        <w:t>家。对取得高级、中级、助理社会工作师职业资格证书，分别给予</w:t>
      </w:r>
      <w:r>
        <w:t xml:space="preserve"> 4000</w:t>
      </w:r>
      <w:r>
        <w:rPr>
          <w:rFonts w:hint="eastAsia"/>
        </w:rPr>
        <w:t>元、</w:t>
      </w:r>
      <w:r>
        <w:t>3000</w:t>
      </w:r>
      <w:r>
        <w:rPr>
          <w:rFonts w:hint="eastAsia"/>
        </w:rPr>
        <w:t>元、</w:t>
      </w:r>
      <w:r>
        <w:t>2000</w:t>
      </w:r>
      <w:r>
        <w:rPr>
          <w:rFonts w:hint="eastAsia"/>
        </w:rPr>
        <w:t>元的一次性津贴补助。</w:t>
      </w:r>
    </w:p>
    <w:p>
      <w:pPr>
        <w:pStyle w:val="16"/>
        <w:spacing w:line="600" w:lineRule="exact"/>
        <w:ind w:firstLine="31680"/>
        <w:rPr>
          <w:rFonts w:ascii="仿宋_GB2312" w:cs="仿宋_GB2312"/>
          <w:kern w:val="0"/>
        </w:rPr>
      </w:pPr>
      <w:r>
        <w:rPr>
          <w:rFonts w:ascii="仿宋_GB2312" w:hAnsi="仿宋_GB2312" w:cs="仿宋_GB2312"/>
          <w:b/>
        </w:rPr>
        <w:t>4.</w:t>
      </w:r>
      <w:r>
        <w:rPr>
          <w:rFonts w:hint="eastAsia" w:ascii="仿宋_GB2312" w:hAnsi="仿宋_GB2312" w:cs="仿宋_GB2312"/>
          <w:b/>
        </w:rPr>
        <w:t>养老服务供给不断增强。</w:t>
      </w:r>
      <w:r>
        <w:rPr>
          <w:rFonts w:hint="eastAsia" w:ascii="仿宋_GB2312" w:hAnsi="仿宋_GB2312" w:cs="仿宋_GB2312"/>
          <w:kern w:val="0"/>
        </w:rPr>
        <w:t>推进实施</w:t>
      </w:r>
      <w:r>
        <w:rPr>
          <w:rFonts w:hint="eastAsia" w:ascii="仿宋_GB2312" w:hAnsi="仿宋_GB2312" w:cs="仿宋_GB2312"/>
        </w:rPr>
        <w:t>《关于加快发展养老服务事业的实施意见》，构建“</w:t>
      </w:r>
      <w:r>
        <w:rPr>
          <w:rFonts w:ascii="仿宋_GB2312" w:hAnsi="仿宋_GB2312" w:cs="仿宋_GB2312"/>
        </w:rPr>
        <w:t>1+X+N</w:t>
      </w:r>
      <w:r>
        <w:rPr>
          <w:rFonts w:hint="eastAsia" w:ascii="仿宋_GB2312" w:hAnsi="仿宋_GB2312" w:cs="仿宋_GB2312"/>
        </w:rPr>
        <w:t>”的居家养老服务网络体系。建成乡镇（街道）示范型居家养老服务中心</w:t>
      </w:r>
      <w:r>
        <w:rPr>
          <w:rFonts w:ascii="仿宋_GB2312" w:hAnsi="仿宋_GB2312" w:cs="仿宋_GB2312"/>
        </w:rPr>
        <w:t>10</w:t>
      </w:r>
      <w:r>
        <w:rPr>
          <w:rFonts w:hint="eastAsia" w:ascii="仿宋_GB2312" w:hAnsi="仿宋_GB2312" w:cs="仿宋_GB2312"/>
        </w:rPr>
        <w:t>家，居家养老照料中心</w:t>
      </w:r>
      <w:r>
        <w:rPr>
          <w:rFonts w:ascii="仿宋_GB2312" w:hAnsi="仿宋_GB2312" w:cs="仿宋_GB2312"/>
        </w:rPr>
        <w:t>402</w:t>
      </w:r>
      <w:r>
        <w:rPr>
          <w:rFonts w:hint="eastAsia" w:ascii="仿宋_GB2312" w:hAnsi="仿宋_GB2312" w:cs="仿宋_GB2312"/>
        </w:rPr>
        <w:t>家。大力发展社会养老事业取得新成效，建成养老机构</w:t>
      </w:r>
      <w:r>
        <w:rPr>
          <w:rFonts w:ascii="仿宋_GB2312" w:hAnsi="仿宋_GB2312" w:cs="仿宋_GB2312"/>
        </w:rPr>
        <w:t>27</w:t>
      </w:r>
      <w:r>
        <w:rPr>
          <w:rFonts w:hint="eastAsia" w:ascii="仿宋_GB2312" w:hAnsi="仿宋_GB2312" w:cs="仿宋_GB2312"/>
        </w:rPr>
        <w:t>家，总床位数达</w:t>
      </w:r>
      <w:r>
        <w:rPr>
          <w:rFonts w:ascii="仿宋_GB2312" w:hAnsi="仿宋_GB2312" w:cs="仿宋_GB2312"/>
        </w:rPr>
        <w:t>7265</w:t>
      </w:r>
      <w:r>
        <w:rPr>
          <w:rFonts w:hint="eastAsia" w:ascii="仿宋_GB2312" w:hAnsi="仿宋_GB2312" w:cs="仿宋_GB2312"/>
        </w:rPr>
        <w:t>张，其中</w:t>
      </w:r>
      <w:r>
        <w:rPr>
          <w:rFonts w:hint="eastAsia" w:ascii="仿宋_GB2312" w:hAnsi="仿宋_GB2312" w:cs="仿宋_GB2312"/>
          <w:kern w:val="0"/>
        </w:rPr>
        <w:t>护理型床位</w:t>
      </w:r>
      <w:r>
        <w:rPr>
          <w:rFonts w:ascii="仿宋_GB2312" w:hAnsi="仿宋_GB2312" w:cs="仿宋_GB2312"/>
          <w:kern w:val="0"/>
        </w:rPr>
        <w:t>385</w:t>
      </w:r>
      <w:r>
        <w:rPr>
          <w:rFonts w:ascii="仿宋_GB2312" w:cs="仿宋_GB2312"/>
          <w:kern w:val="0"/>
        </w:rPr>
        <w:t>0</w:t>
      </w:r>
      <w:r>
        <w:rPr>
          <w:rFonts w:hint="eastAsia" w:ascii="仿宋_GB2312" w:hAnsi="仿宋_GB2312" w:cs="仿宋_GB2312"/>
          <w:kern w:val="0"/>
        </w:rPr>
        <w:t>张，占养老床位总数的</w:t>
      </w:r>
      <w:r>
        <w:rPr>
          <w:rFonts w:ascii="仿宋_GB2312" w:hAnsi="仿宋_GB2312" w:cs="仿宋_GB2312"/>
          <w:kern w:val="0"/>
        </w:rPr>
        <w:t>53%</w:t>
      </w:r>
      <w:r>
        <w:rPr>
          <w:rFonts w:hint="eastAsia" w:ascii="仿宋_GB2312" w:hAnsi="仿宋_GB2312" w:cs="仿宋_GB2312"/>
        </w:rPr>
        <w:t>。开展医养结合工作，推动</w:t>
      </w:r>
      <w:r>
        <w:rPr>
          <w:rFonts w:hint="eastAsia" w:ascii="仿宋_GB2312" w:hAnsi="仿宋_GB2312" w:cs="仿宋_GB2312"/>
          <w:kern w:val="0"/>
        </w:rPr>
        <w:t>养老机构与社区卫生院签订服务协议，定期派出全科医生到养老机构坐诊，开展健康知识讲座、免费体检等活动。开展养老院服务质量提升行动，</w:t>
      </w:r>
      <w:r>
        <w:rPr>
          <w:rFonts w:hint="eastAsia" w:ascii="仿宋_GB2312" w:hAnsi="仿宋_GB2312" w:cs="仿宋_GB2312"/>
        </w:rPr>
        <w:t>持续开展养老护理员和家庭照护者培训。</w:t>
      </w:r>
    </w:p>
    <w:p>
      <w:pPr>
        <w:pStyle w:val="16"/>
        <w:spacing w:line="600" w:lineRule="exact"/>
        <w:ind w:firstLine="31680"/>
        <w:rPr>
          <w:rFonts w:cs="仿宋_GB2312"/>
        </w:rPr>
      </w:pPr>
      <w:r>
        <w:rPr>
          <w:b/>
        </w:rPr>
        <w:t>5.</w:t>
      </w:r>
      <w:r>
        <w:rPr>
          <w:rFonts w:hint="eastAsia"/>
          <w:b/>
        </w:rPr>
        <w:t>基本社会服务不断完善。</w:t>
      </w:r>
      <w:r>
        <w:rPr>
          <w:rFonts w:hint="eastAsia"/>
          <w:lang w:val="zh-CN"/>
        </w:rPr>
        <w:t>深化行政区划和地名管理</w:t>
      </w:r>
      <w:r>
        <w:rPr>
          <w:rFonts w:hint="eastAsia"/>
        </w:rPr>
        <w:t>服务</w:t>
      </w:r>
      <w:r>
        <w:rPr>
          <w:rFonts w:hint="eastAsia"/>
          <w:lang w:val="zh-CN"/>
        </w:rPr>
        <w:t>工作，平安边界</w:t>
      </w:r>
      <w:r>
        <w:rPr>
          <w:rFonts w:hint="eastAsia"/>
        </w:rPr>
        <w:t>创建</w:t>
      </w:r>
      <w:r>
        <w:rPr>
          <w:rFonts w:hint="eastAsia"/>
          <w:lang w:val="zh-CN"/>
        </w:rPr>
        <w:t>得到加强，地名管理和信息服务水平得到提高。</w:t>
      </w:r>
      <w:r>
        <w:rPr>
          <w:rFonts w:hint="eastAsia"/>
        </w:rPr>
        <w:t>平稳有序完成南城、西瑶等</w:t>
      </w:r>
      <w:r>
        <w:t>5</w:t>
      </w:r>
      <w:r>
        <w:rPr>
          <w:rFonts w:hint="eastAsia"/>
        </w:rPr>
        <w:t>个行政村并入花园行政村和行政区划调整工作。高质量完成第二次全国地名普查，重修出版《东阳市地名志》，推进《东阳地名故事》编写工作。</w:t>
      </w:r>
      <w:r>
        <w:rPr>
          <w:rFonts w:hint="eastAsia"/>
          <w:lang w:val="zh-CN"/>
        </w:rPr>
        <w:t>深化殡葬服务和管理工作，</w:t>
      </w:r>
      <w:r>
        <w:rPr>
          <w:rFonts w:hint="eastAsia"/>
        </w:rPr>
        <w:t>实行群众身后“一件事”除火化外“零证明”“零跑腿”办理，落实殡葬基本服务费用惠民政策，累计减免惠民金额</w:t>
      </w:r>
      <w:r>
        <w:t>2000</w:t>
      </w:r>
      <w:r>
        <w:rPr>
          <w:rFonts w:hint="eastAsia"/>
        </w:rPr>
        <w:t>多万元。</w:t>
      </w:r>
      <w:r>
        <w:rPr>
          <w:rFonts w:hint="eastAsia"/>
          <w:lang w:val="zh-CN"/>
        </w:rPr>
        <w:t>持续推进“两路两侧”</w:t>
      </w:r>
      <w:r>
        <w:rPr>
          <w:rFonts w:hint="eastAsia"/>
        </w:rPr>
        <w:t>坟墓</w:t>
      </w:r>
      <w:r>
        <w:rPr>
          <w:rFonts w:hint="eastAsia"/>
          <w:lang w:val="zh-CN"/>
        </w:rPr>
        <w:t>专项整治，</w:t>
      </w:r>
      <w:r>
        <w:rPr>
          <w:rFonts w:hint="eastAsia"/>
        </w:rPr>
        <w:t>完成坟墓迁移</w:t>
      </w:r>
      <w:r>
        <w:t>3802</w:t>
      </w:r>
      <w:r>
        <w:rPr>
          <w:rFonts w:hint="eastAsia"/>
        </w:rPr>
        <w:t>座，整治寿坟</w:t>
      </w:r>
      <w:r>
        <w:t>293</w:t>
      </w:r>
      <w:r>
        <w:rPr>
          <w:rFonts w:hint="eastAsia"/>
        </w:rPr>
        <w:t>穴。积极推进节地生态殡葬改革，鼓励树葬、海葬等节地生态葬法取得进展。</w:t>
      </w:r>
      <w:r>
        <w:rPr>
          <w:rFonts w:hint="eastAsia" w:cs="仿宋_GB2312"/>
        </w:rPr>
        <w:t>推进婚姻登记场地</w:t>
      </w:r>
      <w:r>
        <w:rPr>
          <w:rFonts w:cs="仿宋_GB2312"/>
        </w:rPr>
        <w:t>3A</w:t>
      </w:r>
      <w:r>
        <w:rPr>
          <w:rFonts w:hint="eastAsia" w:cs="仿宋_GB2312"/>
        </w:rPr>
        <w:t>级以上规范化建设，落实婚姻登记机关设立婚姻家庭辅导室，提供专业婚姻家庭辅导义务服务，获得全省首批婚俗改革试点单位。拨付水库移民项目资金</w:t>
      </w:r>
      <w:r>
        <w:rPr>
          <w:rFonts w:cs="仿宋_GB2312"/>
        </w:rPr>
        <w:t>9573</w:t>
      </w:r>
      <w:r>
        <w:rPr>
          <w:rFonts w:hint="eastAsia" w:cs="仿宋_GB2312"/>
        </w:rPr>
        <w:t>万元，发放大中型水库移民后扶直补资金</w:t>
      </w:r>
      <w:r>
        <w:rPr>
          <w:rFonts w:cs="仿宋_GB2312"/>
        </w:rPr>
        <w:t>6852.69</w:t>
      </w:r>
      <w:r>
        <w:rPr>
          <w:rFonts w:hint="eastAsia" w:cs="仿宋_GB2312"/>
        </w:rPr>
        <w:t>万元，累计受益移民达</w:t>
      </w:r>
      <w:r>
        <w:rPr>
          <w:rFonts w:cs="仿宋_GB2312"/>
        </w:rPr>
        <w:t>104582</w:t>
      </w:r>
      <w:r>
        <w:rPr>
          <w:rFonts w:hint="eastAsia" w:cs="仿宋_GB2312"/>
        </w:rPr>
        <w:t>人次。</w:t>
      </w:r>
      <w:bookmarkStart w:id="2" w:name="_Toc75254929"/>
      <w:bookmarkStart w:id="3" w:name="_Toc66688053"/>
    </w:p>
    <w:p>
      <w:pPr>
        <w:pStyle w:val="16"/>
        <w:spacing w:line="600" w:lineRule="exact"/>
        <w:ind w:firstLine="31680"/>
      </w:pPr>
      <w:r>
        <w:rPr>
          <w:rFonts w:hint="eastAsia"/>
        </w:rPr>
        <w:t>“十三五”时期我市民政事业取得长足进步，同时要清醒认识到，我市民政事业对标新时代民政事业高质量发展要求还存在短板问题。一是社会治理和服务融合创新有待深化，需要进一步释放社区、社会工作者、社区社会组织、社区志愿者、社区公益慈善资源“五社联动”力量；二是基本民生保障质量有待提升，需要进一步发挥社会慈善</w:t>
      </w:r>
      <w:r>
        <w:rPr>
          <w:rFonts w:hint="eastAsia"/>
          <w:lang w:val="en-US" w:eastAsia="zh-CN"/>
        </w:rPr>
        <w:t>在政府救助中的补充</w:t>
      </w:r>
      <w:r>
        <w:rPr>
          <w:rFonts w:hint="eastAsia"/>
        </w:rPr>
        <w:t>作用；三是养老服务还不能很好适应人民群众的需求，需要进一步加强；四是民政事业硬件软件还存在短板，需要进一步加强民政服务基础设施和专业人才培养。</w:t>
      </w:r>
    </w:p>
    <w:p>
      <w:pPr>
        <w:pStyle w:val="4"/>
        <w:spacing w:before="0" w:after="0" w:line="600" w:lineRule="exact"/>
        <w:ind w:firstLine="473" w:firstLineChars="148"/>
        <w:rPr>
          <w:rFonts w:ascii="楷体_GB2312" w:eastAsia="楷体_GB2312"/>
          <w:b w:val="0"/>
          <w:bCs w:val="0"/>
        </w:rPr>
      </w:pPr>
      <w:bookmarkStart w:id="4" w:name="_Toc81106156"/>
      <w:r>
        <w:rPr>
          <w:rFonts w:hint="eastAsia" w:ascii="楷体_GB2312" w:eastAsia="楷体_GB2312"/>
          <w:b w:val="0"/>
          <w:bCs w:val="0"/>
        </w:rPr>
        <w:t>（二）发展环境</w:t>
      </w:r>
      <w:bookmarkEnd w:id="2"/>
      <w:bookmarkEnd w:id="3"/>
      <w:bookmarkEnd w:id="4"/>
    </w:p>
    <w:p>
      <w:pPr>
        <w:spacing w:line="600" w:lineRule="exact"/>
        <w:ind w:firstLine="640" w:firstLineChars="200"/>
        <w:rPr>
          <w:rFonts w:ascii="仿宋_GB2312" w:hAnsi="宋体" w:eastAsia="仿宋_GB2312"/>
          <w:sz w:val="32"/>
          <w:szCs w:val="32"/>
        </w:rPr>
      </w:pPr>
      <w:r>
        <w:rPr>
          <w:rFonts w:ascii="仿宋_GB2312" w:hAnsi="宋体" w:eastAsia="仿宋_GB2312"/>
          <w:b/>
          <w:sz w:val="32"/>
          <w:szCs w:val="32"/>
        </w:rPr>
        <w:t>1.</w:t>
      </w:r>
      <w:r>
        <w:rPr>
          <w:rFonts w:hint="eastAsia" w:ascii="仿宋_GB2312" w:hAnsi="宋体" w:eastAsia="仿宋_GB2312"/>
          <w:b/>
          <w:sz w:val="32"/>
          <w:szCs w:val="32"/>
        </w:rPr>
        <w:t>新时代要求民政事业高质量发展</w:t>
      </w:r>
      <w:r>
        <w:rPr>
          <w:rFonts w:hint="eastAsia" w:ascii="仿宋_GB2312" w:hAnsi="宋体" w:eastAsia="仿宋_GB2312"/>
          <w:sz w:val="32"/>
          <w:szCs w:val="32"/>
        </w:rPr>
        <w:t>。</w:t>
      </w:r>
      <w:r>
        <w:rPr>
          <w:rFonts w:ascii="仿宋_GB2312" w:hAnsi="宋体" w:eastAsia="仿宋_GB2312"/>
          <w:sz w:val="32"/>
          <w:szCs w:val="32"/>
        </w:rPr>
        <w:t>2019</w:t>
      </w:r>
      <w:r>
        <w:rPr>
          <w:rFonts w:hint="eastAsia" w:ascii="仿宋_GB2312" w:hAnsi="宋体" w:eastAsia="仿宋_GB2312"/>
          <w:sz w:val="32"/>
          <w:szCs w:val="32"/>
        </w:rPr>
        <w:t>年</w:t>
      </w:r>
      <w:r>
        <w:rPr>
          <w:rFonts w:ascii="仿宋_GB2312" w:hAnsi="宋体" w:eastAsia="仿宋_GB2312"/>
          <w:sz w:val="32"/>
          <w:szCs w:val="32"/>
        </w:rPr>
        <w:t>4</w:t>
      </w:r>
      <w:r>
        <w:rPr>
          <w:rFonts w:hint="eastAsia" w:ascii="仿宋_GB2312" w:hAnsi="宋体" w:eastAsia="仿宋_GB2312"/>
          <w:sz w:val="32"/>
          <w:szCs w:val="32"/>
        </w:rPr>
        <w:t>月，第十四次全国民政会议在北京召开，习近平总书记对民政工作作出重要批示，强调近年来民政系统认真贯彻中央决策部署，革弊鼎新、攻坚克难，各项事业取得新进展，有力服务了改革发展稳定大局。</w:t>
      </w:r>
      <w:r>
        <w:rPr>
          <w:rFonts w:ascii="仿宋_GB2312" w:hAnsi="宋体" w:eastAsia="仿宋_GB2312"/>
          <w:sz w:val="32"/>
          <w:szCs w:val="32"/>
        </w:rPr>
        <w:t>2019</w:t>
      </w:r>
      <w:r>
        <w:rPr>
          <w:rFonts w:hint="eastAsia" w:ascii="仿宋_GB2312" w:hAnsi="宋体" w:eastAsia="仿宋_GB2312"/>
          <w:sz w:val="32"/>
          <w:szCs w:val="32"/>
        </w:rPr>
        <w:t>年</w:t>
      </w:r>
      <w:r>
        <w:rPr>
          <w:rFonts w:ascii="仿宋_GB2312" w:hAnsi="宋体" w:eastAsia="仿宋_GB2312"/>
          <w:sz w:val="32"/>
          <w:szCs w:val="32"/>
        </w:rPr>
        <w:t>4</w:t>
      </w:r>
      <w:r>
        <w:rPr>
          <w:rFonts w:hint="eastAsia" w:ascii="仿宋_GB2312" w:hAnsi="宋体" w:eastAsia="仿宋_GB2312"/>
          <w:sz w:val="32"/>
          <w:szCs w:val="32"/>
        </w:rPr>
        <w:t>月，省委、省政府召开第十八次全省民政会议，出台《关于推进新时代民政事业高质量发展的意见》（“民政</w:t>
      </w:r>
      <w:r>
        <w:rPr>
          <w:rFonts w:ascii="仿宋_GB2312" w:hAnsi="宋体" w:eastAsia="仿宋_GB2312"/>
          <w:sz w:val="32"/>
          <w:szCs w:val="32"/>
        </w:rPr>
        <w:t>30</w:t>
      </w:r>
      <w:r>
        <w:rPr>
          <w:rFonts w:hint="eastAsia" w:ascii="仿宋_GB2312" w:hAnsi="宋体" w:eastAsia="仿宋_GB2312"/>
          <w:sz w:val="32"/>
          <w:szCs w:val="32"/>
        </w:rPr>
        <w:t>条”）。</w:t>
      </w:r>
      <w:r>
        <w:rPr>
          <w:rFonts w:ascii="仿宋_GB2312" w:hAnsi="宋体" w:eastAsia="仿宋_GB2312"/>
          <w:sz w:val="32"/>
          <w:szCs w:val="32"/>
        </w:rPr>
        <w:t>2020</w:t>
      </w:r>
      <w:r>
        <w:rPr>
          <w:rFonts w:hint="eastAsia" w:ascii="仿宋_GB2312" w:hAnsi="宋体" w:eastAsia="仿宋_GB2312"/>
          <w:sz w:val="32"/>
          <w:szCs w:val="32"/>
        </w:rPr>
        <w:t>年</w:t>
      </w:r>
      <w:r>
        <w:rPr>
          <w:rFonts w:ascii="仿宋_GB2312" w:hAnsi="宋体" w:eastAsia="仿宋_GB2312"/>
          <w:sz w:val="32"/>
          <w:szCs w:val="32"/>
        </w:rPr>
        <w:t>9</w:t>
      </w:r>
      <w:r>
        <w:rPr>
          <w:rFonts w:hint="eastAsia" w:ascii="仿宋_GB2312" w:hAnsi="宋体" w:eastAsia="仿宋_GB2312"/>
          <w:sz w:val="32"/>
          <w:szCs w:val="32"/>
        </w:rPr>
        <w:t>月，市委、市政府出台《关于推进新时代民政事业高质量发展的实施意见》（“民政</w:t>
      </w:r>
      <w:r>
        <w:rPr>
          <w:rFonts w:ascii="仿宋_GB2312" w:hAnsi="宋体" w:eastAsia="仿宋_GB2312"/>
          <w:sz w:val="32"/>
          <w:szCs w:val="32"/>
        </w:rPr>
        <w:t>20</w:t>
      </w:r>
      <w:r>
        <w:rPr>
          <w:rFonts w:hint="eastAsia" w:ascii="仿宋_GB2312" w:hAnsi="宋体" w:eastAsia="仿宋_GB2312"/>
          <w:sz w:val="32"/>
          <w:szCs w:val="32"/>
        </w:rPr>
        <w:t>条”），召开了全市民政会议暨首届慈善大会，要求深入贯彻习近平总书记关于民政工作的重要论述和指示精神，</w:t>
      </w:r>
      <w:r>
        <w:rPr>
          <w:rFonts w:hint="eastAsia" w:ascii="仿宋_GB2312" w:hAnsi="微软雅黑" w:eastAsia="仿宋_GB2312"/>
          <w:sz w:val="32"/>
          <w:szCs w:val="32"/>
        </w:rPr>
        <w:t>牢固树立以人民为中心的发展思想，着力保基本兜底线，织密民生保障“安全网”，构筑基层治理“现代化”，做优公共服务“基本盘”，推动全市民政事业高质量发展，让群众共享改革发展成果。</w:t>
      </w:r>
      <w:r>
        <w:rPr>
          <w:rFonts w:hint="eastAsia" w:ascii="仿宋_GB2312" w:hAnsi="宋体" w:eastAsia="仿宋_GB2312"/>
          <w:sz w:val="32"/>
          <w:szCs w:val="32"/>
        </w:rPr>
        <w:t>习近平总书记的重要指示、全国民政会议精神、省“民政</w:t>
      </w:r>
      <w:r>
        <w:rPr>
          <w:rFonts w:ascii="仿宋_GB2312" w:hAnsi="宋体" w:eastAsia="仿宋_GB2312"/>
          <w:sz w:val="32"/>
          <w:szCs w:val="32"/>
        </w:rPr>
        <w:t>30</w:t>
      </w:r>
      <w:r>
        <w:rPr>
          <w:rFonts w:hint="eastAsia" w:ascii="仿宋_GB2312" w:hAnsi="宋体" w:eastAsia="仿宋_GB2312"/>
          <w:sz w:val="32"/>
          <w:szCs w:val="32"/>
        </w:rPr>
        <w:t>条”和市“民政</w:t>
      </w:r>
      <w:r>
        <w:rPr>
          <w:rFonts w:ascii="仿宋_GB2312" w:hAnsi="宋体" w:eastAsia="仿宋_GB2312"/>
          <w:sz w:val="32"/>
          <w:szCs w:val="32"/>
        </w:rPr>
        <w:t>20</w:t>
      </w:r>
      <w:r>
        <w:rPr>
          <w:rFonts w:hint="eastAsia" w:ascii="仿宋_GB2312" w:hAnsi="宋体" w:eastAsia="仿宋_GB2312"/>
          <w:sz w:val="32"/>
          <w:szCs w:val="32"/>
        </w:rPr>
        <w:t>条”给新时代东阳民政事业高质量发展指</w:t>
      </w:r>
      <w:r>
        <w:rPr>
          <w:rFonts w:hint="eastAsia" w:ascii="仿宋_GB2312" w:hAnsi="宋体" w:eastAsia="仿宋_GB2312"/>
          <w:sz w:val="32"/>
          <w:szCs w:val="32"/>
          <w:lang w:val="en-US" w:eastAsia="zh-CN"/>
        </w:rPr>
        <w:t>明</w:t>
      </w:r>
      <w:r>
        <w:rPr>
          <w:rFonts w:hint="eastAsia" w:ascii="仿宋_GB2312" w:hAnsi="宋体" w:eastAsia="仿宋_GB2312"/>
          <w:sz w:val="32"/>
          <w:szCs w:val="32"/>
        </w:rPr>
        <w:t>了新方向、提出了新要求、</w:t>
      </w:r>
      <w:r>
        <w:rPr>
          <w:rFonts w:hint="eastAsia" w:ascii="仿宋_GB2312" w:hAnsi="宋体" w:eastAsia="仿宋_GB2312"/>
          <w:sz w:val="32"/>
          <w:szCs w:val="32"/>
          <w:lang w:val="en-US" w:eastAsia="zh-CN"/>
        </w:rPr>
        <w:t>明确</w:t>
      </w:r>
      <w:r>
        <w:rPr>
          <w:rFonts w:hint="eastAsia" w:ascii="仿宋_GB2312" w:hAnsi="宋体" w:eastAsia="仿宋_GB2312"/>
          <w:sz w:val="32"/>
          <w:szCs w:val="32"/>
        </w:rPr>
        <w:t>了新举措，为“十四五”时期推动我市民政事业高质量发展提供了根本遵循和行动指南。</w:t>
      </w:r>
    </w:p>
    <w:p>
      <w:pPr>
        <w:spacing w:line="600" w:lineRule="exact"/>
        <w:ind w:firstLine="640" w:firstLineChars="200"/>
        <w:rPr>
          <w:rFonts w:ascii="仿宋_GB2312" w:hAnsi="宋体" w:eastAsia="仿宋_GB2312"/>
          <w:sz w:val="32"/>
          <w:szCs w:val="32"/>
        </w:rPr>
      </w:pPr>
      <w:r>
        <w:rPr>
          <w:rFonts w:ascii="仿宋_GB2312" w:hAnsi="宋体" w:eastAsia="仿宋_GB2312"/>
          <w:b/>
          <w:sz w:val="32"/>
          <w:szCs w:val="32"/>
        </w:rPr>
        <w:t>2.</w:t>
      </w:r>
      <w:r>
        <w:rPr>
          <w:rFonts w:hint="eastAsia" w:ascii="仿宋_GB2312" w:hAnsi="宋体" w:eastAsia="仿宋_GB2312"/>
          <w:b/>
          <w:sz w:val="32"/>
          <w:szCs w:val="32"/>
        </w:rPr>
        <w:t>新环境要求民政事业深化改革创新</w:t>
      </w:r>
      <w:r>
        <w:rPr>
          <w:rFonts w:hint="eastAsia" w:ascii="仿宋_GB2312" w:hAnsi="宋体" w:eastAsia="仿宋_GB2312"/>
          <w:sz w:val="32"/>
          <w:szCs w:val="32"/>
        </w:rPr>
        <w:t>。我国经济社会进入高质量发展、发展成果由人民共享阶段，群众对民政服务的需要由生存数量型向结构质量型转变，呈现出全面性、多样化、个性化需求趋势。我市人口老龄化问题日渐突出，社会养老服务需求不断增加，对我市发展养老服务产业既是机遇又是挑战。民政服务社会化是潮流趋势，为推动社区、社会工作者、社区社会组织、社区志愿者、社区公益慈善资源发展提供了动力，为民政事业融合发展提供了新契机。新一代信息技术和应用蓬勃发展，移动互联网、大数据、云计算深入融入我们工作、生活和学习全过程，为加快智慧民政建设、提高民政服务效能提供了动能。</w:t>
      </w:r>
    </w:p>
    <w:p>
      <w:pPr>
        <w:spacing w:line="600" w:lineRule="exact"/>
        <w:ind w:firstLine="627" w:firstLineChars="196"/>
        <w:rPr>
          <w:rFonts w:ascii="仿宋_GB2312" w:hAnsi="宋体" w:eastAsia="仿宋_GB2312"/>
          <w:sz w:val="32"/>
          <w:szCs w:val="32"/>
        </w:rPr>
      </w:pPr>
      <w:r>
        <w:rPr>
          <w:rFonts w:ascii="仿宋_GB2312" w:hAnsi="宋体" w:eastAsia="仿宋_GB2312"/>
          <w:b/>
          <w:sz w:val="32"/>
          <w:szCs w:val="32"/>
        </w:rPr>
        <w:t>3.</w:t>
      </w:r>
      <w:r>
        <w:rPr>
          <w:rFonts w:hint="eastAsia" w:ascii="仿宋_GB2312" w:hAnsi="宋体" w:eastAsia="仿宋_GB2312"/>
          <w:b/>
          <w:sz w:val="32"/>
          <w:szCs w:val="32"/>
        </w:rPr>
        <w:t>新阶段要求民政事业促进共同富裕</w:t>
      </w:r>
      <w:r>
        <w:rPr>
          <w:rFonts w:hint="eastAsia" w:ascii="仿宋_GB2312" w:hAnsi="宋体" w:eastAsia="仿宋_GB2312"/>
          <w:sz w:val="32"/>
          <w:szCs w:val="32"/>
        </w:rPr>
        <w:t>。进入“十四五”，我市开启高水平全面建设社会主义现代化新征程。民政工作关系民生、连着民心，是高水平全面建设社会主义现代化的重要保障，是加快推进基层社会治理现代化的重要组成，是创建共同富裕示范区的重要力量。做好民政工作事关民心向背，事关党的执政根基，事关社会主义制度优越性的体现。市委、市政府要求</w:t>
      </w:r>
      <w:r>
        <w:rPr>
          <w:rFonts w:hint="eastAsia" w:ascii="仿宋_GB2312" w:eastAsia="仿宋_GB2312"/>
          <w:sz w:val="32"/>
          <w:szCs w:val="32"/>
        </w:rPr>
        <w:t>全面把握新时代民政工作的方向和要求，全市上下要进一步提高政治站位，从政治的高度审视民政工作，全面加强党对民政工作的领导，强化保障、建好队伍，千方百计把民政工作做到老百姓心里去。要进一步增强政治责任感和使命感，</w:t>
      </w:r>
      <w:r>
        <w:rPr>
          <w:rFonts w:hint="eastAsia" w:ascii="仿宋_GB2312" w:hAnsi="宋体" w:eastAsia="仿宋_GB2312"/>
          <w:sz w:val="32"/>
          <w:szCs w:val="32"/>
        </w:rPr>
        <w:t>履行好基本民生保障、基层社会治理、基本社会服务等职责，</w:t>
      </w:r>
      <w:r>
        <w:rPr>
          <w:rFonts w:hint="eastAsia" w:ascii="仿宋_GB2312" w:eastAsia="仿宋_GB2312"/>
          <w:sz w:val="32"/>
          <w:szCs w:val="32"/>
        </w:rPr>
        <w:t>让困难群众生活更有保障，让基层社会治理更为高效，让基本社会服务更加温暖，</w:t>
      </w:r>
      <w:r>
        <w:rPr>
          <w:rFonts w:hint="eastAsia" w:ascii="仿宋_GB2312" w:hAnsi="宋体" w:eastAsia="仿宋_GB2312"/>
          <w:sz w:val="32"/>
          <w:szCs w:val="32"/>
        </w:rPr>
        <w:t>奋力交出民政和慈善事业“高分答卷”，使人民群众获得感、幸福感、安全感更加充实、更有保障、更可持续，为创建共同富裕示范区贡献力量。</w:t>
      </w:r>
    </w:p>
    <w:p>
      <w:pPr>
        <w:pStyle w:val="4"/>
        <w:spacing w:before="0" w:after="0" w:line="600" w:lineRule="exact"/>
        <w:ind w:firstLine="633" w:firstLineChars="198"/>
        <w:rPr>
          <w:rFonts w:ascii="黑体" w:eastAsia="黑体"/>
          <w:b w:val="0"/>
          <w:bCs w:val="0"/>
        </w:rPr>
      </w:pPr>
      <w:bookmarkStart w:id="5" w:name="_Toc75254930"/>
      <w:bookmarkStart w:id="6" w:name="_Toc81106157"/>
      <w:r>
        <w:rPr>
          <w:rFonts w:hint="eastAsia" w:ascii="黑体" w:eastAsia="黑体"/>
          <w:b w:val="0"/>
          <w:bCs w:val="0"/>
        </w:rPr>
        <w:t>二、</w:t>
      </w:r>
      <w:bookmarkEnd w:id="5"/>
      <w:r>
        <w:rPr>
          <w:rFonts w:hint="eastAsia" w:ascii="黑体" w:eastAsia="黑体"/>
          <w:b w:val="0"/>
          <w:bCs w:val="0"/>
        </w:rPr>
        <w:t>总体要求</w:t>
      </w:r>
      <w:bookmarkEnd w:id="6"/>
    </w:p>
    <w:p>
      <w:pPr>
        <w:pStyle w:val="4"/>
        <w:spacing w:before="0" w:after="0" w:line="600" w:lineRule="exact"/>
        <w:ind w:firstLine="473" w:firstLineChars="148"/>
        <w:rPr>
          <w:rFonts w:ascii="楷体_GB2312" w:eastAsia="楷体_GB2312"/>
          <w:b w:val="0"/>
          <w:bCs w:val="0"/>
        </w:rPr>
      </w:pPr>
      <w:bookmarkStart w:id="7" w:name="_Toc75254931"/>
      <w:bookmarkStart w:id="8" w:name="_Toc81106158"/>
      <w:r>
        <w:rPr>
          <w:rFonts w:hint="eastAsia" w:ascii="楷体_GB2312" w:eastAsia="楷体_GB2312"/>
          <w:b w:val="0"/>
          <w:bCs w:val="0"/>
        </w:rPr>
        <w:t>（一）指导思想</w:t>
      </w:r>
      <w:bookmarkEnd w:id="7"/>
      <w:bookmarkEnd w:id="8"/>
    </w:p>
    <w:p>
      <w:pPr>
        <w:spacing w:line="600" w:lineRule="exact"/>
        <w:ind w:firstLine="640" w:firstLineChars="200"/>
        <w:rPr>
          <w:rFonts w:eastAsia="仿宋_GB2312"/>
          <w:sz w:val="32"/>
          <w:szCs w:val="32"/>
        </w:rPr>
      </w:pPr>
      <w:r>
        <w:rPr>
          <w:rFonts w:hint="eastAsia" w:eastAsia="仿宋_GB2312"/>
          <w:sz w:val="32"/>
          <w:szCs w:val="32"/>
        </w:rPr>
        <w:t>坚持以习近平新时代中国特色社会主义思想为指导，深入贯彻落实党的十九大和十九届二中、三中、四中、五中全会精神，坚持以人民为中心思想，坚持新发展理念，牢固树立“民政为民、民政爱民”工作宗旨，深入实施东阳“民政</w:t>
      </w:r>
      <w:r>
        <w:rPr>
          <w:rFonts w:eastAsia="仿宋_GB2312"/>
          <w:sz w:val="32"/>
          <w:szCs w:val="32"/>
        </w:rPr>
        <w:t>20</w:t>
      </w:r>
      <w:r>
        <w:rPr>
          <w:rFonts w:hint="eastAsia" w:eastAsia="仿宋_GB2312"/>
          <w:sz w:val="32"/>
          <w:szCs w:val="32"/>
        </w:rPr>
        <w:t>条”，推进法治民政、智慧民政、暖心民政建设，调动和促进社区、社会工作者、社区社会组织、社区志愿者、社区公益慈善资源“五社联动”力量，全面提升基本民生保障、基层社会治理、基本社会服务水平，不断增进人民福祉、增强社会活力，创建体现共同富裕的民政事业样板，努力打造全面展现中国特色社会主义制度优越性的“重要窗口”，为东阳市域社会治理体系和能力现代化建设作出新贡献。</w:t>
      </w:r>
    </w:p>
    <w:p>
      <w:pPr>
        <w:pStyle w:val="4"/>
        <w:spacing w:before="0" w:after="0" w:line="600" w:lineRule="exact"/>
        <w:ind w:firstLine="473" w:firstLineChars="148"/>
        <w:rPr>
          <w:rFonts w:ascii="楷体_GB2312" w:eastAsia="楷体_GB2312"/>
          <w:b w:val="0"/>
          <w:bCs w:val="0"/>
        </w:rPr>
      </w:pPr>
      <w:bookmarkStart w:id="9" w:name="_Toc75254932"/>
      <w:bookmarkStart w:id="10" w:name="_Toc81106159"/>
      <w:r>
        <w:rPr>
          <w:rFonts w:hint="eastAsia" w:ascii="楷体_GB2312" w:eastAsia="楷体_GB2312"/>
          <w:b w:val="0"/>
          <w:bCs w:val="0"/>
        </w:rPr>
        <w:t>（二）基本原则</w:t>
      </w:r>
      <w:bookmarkEnd w:id="9"/>
      <w:bookmarkEnd w:id="10"/>
    </w:p>
    <w:p>
      <w:pPr>
        <w:pStyle w:val="16"/>
        <w:spacing w:line="600" w:lineRule="exact"/>
        <w:ind w:firstLine="640" w:firstLineChars="0"/>
        <w:rPr>
          <w:rFonts w:ascii="仿宋_GB2312" w:cs="仿宋_GB2312"/>
        </w:rPr>
      </w:pPr>
      <w:r>
        <w:rPr>
          <w:rFonts w:ascii="仿宋_GB2312" w:hAnsi="仿宋_GB2312" w:cs="仿宋_GB2312"/>
          <w:b/>
          <w:bCs/>
        </w:rPr>
        <w:t>1.</w:t>
      </w:r>
      <w:r>
        <w:rPr>
          <w:rFonts w:hint="eastAsia" w:ascii="仿宋_GB2312" w:hAnsi="仿宋_GB2312" w:cs="仿宋_GB2312"/>
          <w:b/>
          <w:bCs/>
        </w:rPr>
        <w:t>坚持党建引领，民政为民。</w:t>
      </w:r>
      <w:r>
        <w:rPr>
          <w:rFonts w:hint="eastAsia" w:ascii="仿宋_GB2312" w:hAnsi="仿宋_GB2312" w:cs="仿宋_GB2312"/>
        </w:rPr>
        <w:t>坚持党对民政事业的全面领导，确保贯穿民政事业发展和改革的全过程。把不断满足全体人民的民政服务需求作为一切工作的出发点和落脚点。聚焦特殊群体，聚焦群众关切，把党和政府的惠民政策精准送到群众身边，</w:t>
      </w:r>
      <w:r>
        <w:rPr>
          <w:rFonts w:hint="eastAsia"/>
        </w:rPr>
        <w:t>不断</w:t>
      </w:r>
      <w:r>
        <w:rPr>
          <w:rFonts w:hint="eastAsia" w:ascii="仿宋_GB2312" w:hAnsi="仿宋_GB2312" w:cs="仿宋_GB2312"/>
        </w:rPr>
        <w:t>增进人民福祉，</w:t>
      </w:r>
      <w:r>
        <w:rPr>
          <w:rFonts w:hint="eastAsia"/>
        </w:rPr>
        <w:t>打造全面展现中国特色社会主义制度优越性的“重要窗口”。</w:t>
      </w:r>
    </w:p>
    <w:p>
      <w:pPr>
        <w:pStyle w:val="16"/>
        <w:spacing w:line="600" w:lineRule="exact"/>
        <w:ind w:firstLine="640" w:firstLineChars="0"/>
        <w:rPr>
          <w:rFonts w:ascii="仿宋_GB2312" w:cs="仿宋_GB2312"/>
        </w:rPr>
      </w:pPr>
      <w:r>
        <w:rPr>
          <w:rFonts w:ascii="仿宋_GB2312" w:hAnsi="仿宋_GB2312" w:cs="仿宋_GB2312"/>
          <w:b/>
        </w:rPr>
        <w:t>2.</w:t>
      </w:r>
      <w:r>
        <w:rPr>
          <w:rFonts w:hint="eastAsia" w:ascii="仿宋_GB2312" w:hAnsi="仿宋_GB2312" w:cs="仿宋_GB2312"/>
          <w:b/>
        </w:rPr>
        <w:t>坚持系统观念，融合发展</w:t>
      </w:r>
      <w:r>
        <w:rPr>
          <w:rFonts w:hint="eastAsia" w:ascii="仿宋_GB2312" w:hAnsi="仿宋_GB2312" w:cs="仿宋_GB2312"/>
        </w:rPr>
        <w:t>。围绕共同富裕目标，结合基层社会治理现代化、新型城镇化、乡村振兴等重大战略，全面深化基层治理、社会救助、儿童福利、养老服务、移民帮扶、社会服务等民政事业发展。通过政府统筹、市场调节、社会参与，推进社区、社会工作者、社区社会组织、社区志愿者、社区公益慈善资源“五社联动”发展，促进各方广泛参与、各负其责、互为补充、同频共振。</w:t>
      </w:r>
    </w:p>
    <w:p>
      <w:pPr>
        <w:pStyle w:val="16"/>
        <w:spacing w:line="600" w:lineRule="exact"/>
        <w:ind w:firstLine="31680"/>
        <w:rPr>
          <w:rFonts w:ascii="宋体" w:eastAsia="宋体" w:cs="宋体"/>
          <w:kern w:val="0"/>
        </w:rPr>
      </w:pPr>
      <w:r>
        <w:rPr>
          <w:rFonts w:ascii="仿宋_GB2312" w:hAnsi="仿宋_GB2312" w:cs="仿宋_GB2312"/>
          <w:b/>
        </w:rPr>
        <w:t>3.</w:t>
      </w:r>
      <w:r>
        <w:rPr>
          <w:rFonts w:hint="eastAsia" w:ascii="仿宋_GB2312" w:hAnsi="仿宋_GB2312" w:cs="仿宋_GB2312"/>
          <w:b/>
        </w:rPr>
        <w:t>坚持数字赋能，提高效能</w:t>
      </w:r>
      <w:r>
        <w:rPr>
          <w:rFonts w:hint="eastAsia" w:ascii="仿宋_GB2312" w:hAnsi="仿宋_GB2312" w:cs="仿宋_GB2312"/>
        </w:rPr>
        <w:t>。牢固树立“整体智治、高效协同”理念，以数字化改革为动力，加快民政事业规范化、标准化、数字化建设，深化数字民政智慧应用，</w:t>
      </w:r>
      <w:r>
        <w:rPr>
          <w:rFonts w:hint="eastAsia" w:ascii="宋体" w:hAnsi="宋体" w:cs="宋体"/>
          <w:kern w:val="0"/>
        </w:rPr>
        <w:t>不断为民政事业发展探索新方式、注入新动能。建立健全民政大数据开发利用和辅助决策机制，将数字化转型优势转化为暖心服务和强大治理的效能。</w:t>
      </w:r>
    </w:p>
    <w:p>
      <w:pPr>
        <w:pStyle w:val="16"/>
        <w:spacing w:line="600" w:lineRule="exact"/>
        <w:ind w:firstLine="31680"/>
      </w:pPr>
      <w:r>
        <w:rPr>
          <w:rFonts w:ascii="仿宋_GB2312" w:hAnsi="仿宋_GB2312" w:cs="仿宋_GB2312"/>
          <w:b/>
        </w:rPr>
        <w:t>4.</w:t>
      </w:r>
      <w:r>
        <w:rPr>
          <w:rFonts w:hint="eastAsia" w:ascii="仿宋_GB2312" w:hAnsi="仿宋_GB2312" w:cs="仿宋_GB2312"/>
          <w:b/>
        </w:rPr>
        <w:t>坚持深化改革，释放活力。</w:t>
      </w:r>
      <w:r>
        <w:rPr>
          <w:rFonts w:hint="eastAsia" w:ascii="宋体" w:hAnsi="宋体" w:cs="宋体"/>
          <w:kern w:val="0"/>
        </w:rPr>
        <w:t>加大改革创新力度，破除不利于民政事业发展的体制机制障碍，用改革的办法和开放的视野补短板、强弱项、破壁垒，加快我市民政事业高质量发展。加大向基层放权力度，向基层队伍赋能、向参与主体赋能、向服务对象赋能，夯实民政事业高质量发展的基层基础和</w:t>
      </w:r>
      <w:r>
        <w:rPr>
          <w:rFonts w:hint="eastAsia"/>
        </w:rPr>
        <w:t>力量。</w:t>
      </w:r>
    </w:p>
    <w:p>
      <w:pPr>
        <w:pStyle w:val="4"/>
        <w:spacing w:before="0" w:after="0" w:line="600" w:lineRule="exact"/>
        <w:ind w:firstLine="473" w:firstLineChars="148"/>
        <w:rPr>
          <w:rFonts w:ascii="楷体_GB2312" w:eastAsia="楷体_GB2312"/>
          <w:b w:val="0"/>
          <w:bCs w:val="0"/>
        </w:rPr>
      </w:pPr>
      <w:bookmarkStart w:id="11" w:name="_Toc81106160"/>
      <w:r>
        <w:rPr>
          <w:rFonts w:hint="eastAsia" w:ascii="楷体_GB2312" w:eastAsia="楷体_GB2312"/>
          <w:b w:val="0"/>
          <w:bCs w:val="0"/>
        </w:rPr>
        <w:t>（三）发展目标</w:t>
      </w:r>
      <w:bookmarkEnd w:id="11"/>
    </w:p>
    <w:p>
      <w:pPr>
        <w:pStyle w:val="16"/>
        <w:spacing w:line="600" w:lineRule="exact"/>
        <w:ind w:firstLine="31680"/>
        <w:rPr>
          <w:rFonts w:ascii="仿宋_GB2312" w:cs="仿宋_GB2312"/>
        </w:rPr>
      </w:pPr>
      <w:r>
        <w:rPr>
          <w:rFonts w:hint="eastAsia" w:ascii="仿宋_GB2312" w:hAnsi="仿宋_GB2312" w:cs="仿宋_GB2312"/>
        </w:rPr>
        <w:t>到</w:t>
      </w:r>
      <w:r>
        <w:rPr>
          <w:rFonts w:ascii="仿宋_GB2312" w:hAnsi="仿宋_GB2312" w:cs="仿宋_GB2312"/>
        </w:rPr>
        <w:t>2025</w:t>
      </w:r>
      <w:r>
        <w:rPr>
          <w:rFonts w:hint="eastAsia" w:ascii="仿宋_GB2312" w:hAnsi="仿宋_GB2312" w:cs="仿宋_GB2312"/>
        </w:rPr>
        <w:t>年，</w:t>
      </w:r>
      <w:r>
        <w:rPr>
          <w:rFonts w:hint="eastAsia" w:ascii="仿宋_GB2312" w:hAnsi="仿宋_GB2312" w:cs="仿宋_GB2312"/>
          <w:shd w:val="clear" w:color="auto" w:fill="FFFFFF"/>
        </w:rPr>
        <w:t>构建起制度更加完备、体系更加健全、覆盖更加广泛、功能更加强大的民政事业现代化发展体系，</w:t>
      </w:r>
      <w:r>
        <w:rPr>
          <w:rFonts w:hint="eastAsia" w:ascii="仿宋_GB2312" w:hAnsi="仿宋_GB2312" w:cs="仿宋_GB2312"/>
        </w:rPr>
        <w:t>全面建成与经济社会发展水平相适应的民政事业发展格局，民生保障更加精准，社会治理更加健全，东里养老更加幸福，社会服务更加暖心，使人民群众享有更高质量民政服务，创建体现“共同富裕”的民政事业样板。</w:t>
      </w:r>
    </w:p>
    <w:p>
      <w:pPr>
        <w:pStyle w:val="16"/>
        <w:spacing w:line="600" w:lineRule="exact"/>
        <w:ind w:firstLine="31680"/>
        <w:rPr>
          <w:rFonts w:ascii="仿宋_GB2312" w:cs="仿宋_GB2312"/>
        </w:rPr>
      </w:pPr>
      <w:r>
        <w:rPr>
          <w:rFonts w:ascii="仿宋_GB2312" w:hAnsi="仿宋_GB2312" w:cs="仿宋_GB2312"/>
          <w:b/>
        </w:rPr>
        <w:t>1.</w:t>
      </w:r>
      <w:r>
        <w:rPr>
          <w:rFonts w:hint="eastAsia" w:ascii="仿宋_GB2312" w:hAnsi="仿宋_GB2312" w:cs="仿宋_GB2312"/>
          <w:b/>
        </w:rPr>
        <w:t>基本民生保障更加精准</w:t>
      </w:r>
      <w:r>
        <w:rPr>
          <w:rFonts w:hint="eastAsia" w:ascii="仿宋_GB2312" w:hAnsi="仿宋_GB2312" w:cs="仿宋_GB2312"/>
        </w:rPr>
        <w:t>。新时代“</w:t>
      </w:r>
      <w:r>
        <w:rPr>
          <w:rFonts w:ascii="仿宋_GB2312" w:hAnsi="仿宋_GB2312" w:cs="仿宋_GB2312"/>
        </w:rPr>
        <w:t>1+8+X</w:t>
      </w:r>
      <w:r>
        <w:rPr>
          <w:rFonts w:hint="eastAsia" w:ascii="仿宋_GB2312" w:hAnsi="仿宋_GB2312" w:cs="仿宋_GB2312"/>
        </w:rPr>
        <w:t>”社会大救助体系不断健全，社会救助智慧化、协同化、社会化发展取得成效。相对贫困救助制度不断深化，社会未成年人保护网络建立，救助站设施功能得到改善提升。慈善事业不断发展，志愿者服务打开新局面。到</w:t>
      </w:r>
      <w:r>
        <w:rPr>
          <w:rFonts w:ascii="仿宋_GB2312" w:hAnsi="仿宋_GB2312" w:cs="仿宋_GB2312"/>
        </w:rPr>
        <w:t>2025</w:t>
      </w:r>
      <w:r>
        <w:rPr>
          <w:rFonts w:hint="eastAsia" w:ascii="仿宋_GB2312" w:hAnsi="仿宋_GB2312" w:cs="仿宋_GB2312"/>
        </w:rPr>
        <w:t>年，城乡居民最低生活保障标准达到每年</w:t>
      </w:r>
      <w:r>
        <w:rPr>
          <w:rFonts w:ascii="仿宋_GB2312" w:hAnsi="仿宋_GB2312" w:cs="仿宋_GB2312"/>
        </w:rPr>
        <w:t>13000</w:t>
      </w:r>
      <w:r>
        <w:rPr>
          <w:rFonts w:hint="eastAsia" w:ascii="仿宋_GB2312" w:hAnsi="仿宋_GB2312" w:cs="仿宋_GB2312"/>
        </w:rPr>
        <w:t>元以上，基本民生保障更加精准，人民群众获得感、安全感、幸福感显著增强。</w:t>
      </w:r>
    </w:p>
    <w:p>
      <w:pPr>
        <w:pStyle w:val="16"/>
        <w:spacing w:line="600" w:lineRule="exact"/>
        <w:ind w:firstLine="31680"/>
        <w:rPr>
          <w:rFonts w:ascii="仿宋_GB2312" w:cs="仿宋_GB2312"/>
        </w:rPr>
      </w:pPr>
      <w:r>
        <w:rPr>
          <w:rFonts w:ascii="仿宋_GB2312" w:hAnsi="仿宋_GB2312" w:cs="仿宋_GB2312"/>
          <w:b/>
        </w:rPr>
        <w:t>2.</w:t>
      </w:r>
      <w:r>
        <w:rPr>
          <w:rFonts w:hint="eastAsia" w:ascii="仿宋_GB2312" w:hAnsi="仿宋_GB2312" w:cs="仿宋_GB2312"/>
          <w:b/>
        </w:rPr>
        <w:t>基层社会治理更加健全</w:t>
      </w:r>
      <w:r>
        <w:rPr>
          <w:rFonts w:hint="eastAsia" w:ascii="仿宋_GB2312" w:hAnsi="仿宋_GB2312" w:cs="仿宋_GB2312"/>
        </w:rPr>
        <w:t>。</w:t>
      </w:r>
      <w:r>
        <w:rPr>
          <w:rFonts w:hint="eastAsia" w:ascii="仿宋_GB2312"/>
        </w:rPr>
        <w:t>党领导下的自治、法治、德治、智治“四治融合”基层治理体制机制不断健全，基层社会治理和服务能力显著提升。社会组织、社工队伍不断发展，社区、社会工作者、社区社会组织、社区志愿者、社区公益慈善资源“五社联动”纵深推进，每万人拥有登记社会组织数达到</w:t>
      </w:r>
      <w:r>
        <w:rPr>
          <w:rFonts w:ascii="仿宋_GB2312"/>
        </w:rPr>
        <w:t>16</w:t>
      </w:r>
      <w:r>
        <w:rPr>
          <w:rFonts w:hint="eastAsia" w:ascii="仿宋_GB2312"/>
        </w:rPr>
        <w:t>个，每万人持证社会工作专业人才数达到</w:t>
      </w:r>
      <w:r>
        <w:rPr>
          <w:rFonts w:ascii="仿宋_GB2312"/>
        </w:rPr>
        <w:t>20</w:t>
      </w:r>
      <w:r>
        <w:rPr>
          <w:rFonts w:hint="eastAsia" w:ascii="仿宋_GB2312"/>
        </w:rPr>
        <w:t>人。基层治理和服务更加健全，城乡社区自我建设、自我管理、自我服务活力显著增强。</w:t>
      </w:r>
    </w:p>
    <w:p>
      <w:pPr>
        <w:spacing w:line="600" w:lineRule="exact"/>
        <w:ind w:firstLine="640" w:firstLineChars="200"/>
        <w:rPr>
          <w:rFonts w:ascii="仿宋_GB2312" w:eastAsia="仿宋_GB2312"/>
          <w:sz w:val="32"/>
          <w:szCs w:val="32"/>
        </w:rPr>
      </w:pPr>
      <w:r>
        <w:rPr>
          <w:rFonts w:ascii="仿宋_GB2312" w:eastAsia="仿宋_GB2312"/>
          <w:b/>
          <w:sz w:val="32"/>
          <w:szCs w:val="32"/>
        </w:rPr>
        <w:t>3.</w:t>
      </w:r>
      <w:r>
        <w:rPr>
          <w:rFonts w:hint="eastAsia" w:ascii="仿宋_GB2312" w:eastAsia="仿宋_GB2312"/>
          <w:b/>
          <w:sz w:val="32"/>
          <w:szCs w:val="32"/>
        </w:rPr>
        <w:t>养老服务更加幸福</w:t>
      </w:r>
      <w:r>
        <w:rPr>
          <w:rFonts w:hint="eastAsia" w:ascii="仿宋_GB2312" w:eastAsia="仿宋_GB2312"/>
          <w:sz w:val="32"/>
          <w:szCs w:val="32"/>
        </w:rPr>
        <w:t>。以居家社区养老为基础的多层次、多元化、社会化养老服务体系不断健全，社区养老服务设施进一步完善，老年人居家社区养老服务更加方便可及。公办养老机构基础设施明显改善，困难家庭高龄和失能失智老年人养老生活得到兜底保障。社会养老机构加快发展，康养、医养、旅养、文养等养老服务融合发展彰显特色，基本适应老年人品质化、个性化、特殊化养老需求，每万老年人拥有持证养老护理员人数达到</w:t>
      </w:r>
      <w:r>
        <w:rPr>
          <w:rFonts w:ascii="仿宋_GB2312" w:eastAsia="仿宋_GB2312"/>
          <w:sz w:val="32"/>
          <w:szCs w:val="32"/>
        </w:rPr>
        <w:t>25</w:t>
      </w:r>
      <w:r>
        <w:rPr>
          <w:rFonts w:hint="eastAsia" w:ascii="仿宋_GB2312" w:eastAsia="仿宋_GB2312"/>
          <w:sz w:val="32"/>
          <w:szCs w:val="32"/>
        </w:rPr>
        <w:t>人，养老机构护理型床位占比达到</w:t>
      </w:r>
      <w:r>
        <w:rPr>
          <w:rFonts w:ascii="仿宋_GB2312" w:eastAsia="仿宋_GB2312"/>
          <w:sz w:val="32"/>
          <w:szCs w:val="32"/>
        </w:rPr>
        <w:t>58%</w:t>
      </w:r>
      <w:r>
        <w:rPr>
          <w:rFonts w:hint="eastAsia" w:ascii="仿宋_GB2312" w:eastAsia="仿宋_GB2312"/>
          <w:sz w:val="32"/>
          <w:szCs w:val="32"/>
        </w:rPr>
        <w:t>。</w:t>
      </w:r>
    </w:p>
    <w:p>
      <w:pPr>
        <w:spacing w:line="600" w:lineRule="exact"/>
        <w:ind w:firstLine="640" w:firstLineChars="200"/>
        <w:rPr>
          <w:rFonts w:ascii="仿宋_GB2312" w:eastAsia="仿宋_GB2312"/>
          <w:sz w:val="32"/>
          <w:szCs w:val="32"/>
        </w:rPr>
      </w:pPr>
      <w:r>
        <w:rPr>
          <w:rFonts w:ascii="仿宋_GB2312" w:eastAsia="仿宋_GB2312"/>
          <w:b/>
          <w:sz w:val="32"/>
          <w:szCs w:val="32"/>
        </w:rPr>
        <w:t>4.</w:t>
      </w:r>
      <w:r>
        <w:rPr>
          <w:rFonts w:hint="eastAsia" w:ascii="仿宋_GB2312" w:eastAsia="仿宋_GB2312"/>
          <w:b/>
          <w:sz w:val="32"/>
          <w:szCs w:val="32"/>
        </w:rPr>
        <w:t>基本社会服务更加暖心</w:t>
      </w:r>
      <w:r>
        <w:rPr>
          <w:rFonts w:hint="eastAsia" w:ascii="仿宋_GB2312" w:eastAsia="仿宋_GB2312"/>
          <w:sz w:val="32"/>
          <w:szCs w:val="32"/>
        </w:rPr>
        <w:t>。建立新型城镇化和城乡融合发展的行政区划管理体制机制，形成标准化、数字化和内容丰富、高效便捷的行政边界、地名管理和服务体系。婚姻登记方式更加人性化，满足新人婚姻登记美好仪式需求。殡葬改革和服务管理得到深化，形成丧事简办新风尚，生态节地殡葬模式取得特色突破。水库移民后期扶持项目帮得更准，水库移民更加安居乐业，到</w:t>
      </w:r>
      <w:r>
        <w:rPr>
          <w:rFonts w:ascii="仿宋_GB2312" w:eastAsia="仿宋_GB2312"/>
          <w:sz w:val="32"/>
          <w:szCs w:val="32"/>
        </w:rPr>
        <w:t>2025</w:t>
      </w:r>
      <w:r>
        <w:rPr>
          <w:rFonts w:hint="eastAsia" w:ascii="仿宋_GB2312" w:eastAsia="仿宋_GB2312"/>
          <w:sz w:val="32"/>
          <w:szCs w:val="32"/>
        </w:rPr>
        <w:t>年水库移民人均可支配收入达到当地农村居民的平均水平。</w:t>
      </w:r>
    </w:p>
    <w:tbl>
      <w:tblPr>
        <w:tblStyle w:val="8"/>
        <w:tblpPr w:leftFromText="180" w:rightFromText="180" w:vertAnchor="text" w:horzAnchor="page" w:tblpX="1837" w:tblpY="54"/>
        <w:tblOverlap w:val="never"/>
        <w:tblW w:w="846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02"/>
        <w:gridCol w:w="4513"/>
        <w:gridCol w:w="1125"/>
        <w:gridCol w:w="990"/>
        <w:gridCol w:w="103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9" w:type="dxa"/>
            <w:gridSpan w:val="5"/>
            <w:vAlign w:val="center"/>
          </w:tcPr>
          <w:p>
            <w:pPr>
              <w:pStyle w:val="17"/>
              <w:shd w:val="clear" w:color="auto" w:fill="auto"/>
              <w:overflowPunct w:val="0"/>
              <w:spacing w:line="560" w:lineRule="exact"/>
              <w:jc w:val="center"/>
              <w:rPr>
                <w:rFonts w:ascii="仿宋_GB2312" w:eastAsia="仿宋_GB2312"/>
                <w:sz w:val="28"/>
                <w:szCs w:val="28"/>
              </w:rPr>
            </w:pPr>
            <w:r>
              <w:rPr>
                <w:rStyle w:val="18"/>
                <w:rFonts w:hint="eastAsia" w:ascii="仿宋_GB2312" w:hAnsi="宋体" w:eastAsia="仿宋_GB2312"/>
                <w:color w:val="auto"/>
                <w:sz w:val="28"/>
                <w:szCs w:val="28"/>
                <w:lang w:eastAsia="zh-CN"/>
              </w:rPr>
              <w:t>专栏</w:t>
            </w:r>
            <w:r>
              <w:rPr>
                <w:rStyle w:val="18"/>
                <w:rFonts w:ascii="仿宋_GB2312" w:hAnsi="宋体" w:eastAsia="仿宋_GB2312"/>
                <w:color w:val="auto"/>
                <w:sz w:val="28"/>
                <w:szCs w:val="28"/>
                <w:lang w:val="en-US" w:eastAsia="zh-CN"/>
              </w:rPr>
              <w:t xml:space="preserve">  </w:t>
            </w:r>
            <w:r>
              <w:rPr>
                <w:rStyle w:val="18"/>
                <w:rFonts w:hint="eastAsia" w:ascii="仿宋_GB2312" w:eastAsia="仿宋_GB2312"/>
                <w:color w:val="auto"/>
                <w:sz w:val="28"/>
                <w:szCs w:val="28"/>
                <w:lang w:eastAsia="zh-CN"/>
              </w:rPr>
              <w:t>“</w:t>
            </w:r>
            <w:r>
              <w:rPr>
                <w:rFonts w:hint="eastAsia" w:ascii="仿宋_GB2312" w:hAnsi="宋体" w:eastAsia="仿宋_GB2312"/>
                <w:b/>
                <w:bCs/>
                <w:spacing w:val="0"/>
                <w:sz w:val="28"/>
                <w:szCs w:val="28"/>
              </w:rPr>
              <w:t>十四五</w:t>
            </w:r>
            <w:r>
              <w:rPr>
                <w:rFonts w:hint="eastAsia" w:ascii="仿宋_GB2312" w:eastAsia="仿宋_GB2312"/>
                <w:b/>
                <w:bCs/>
                <w:spacing w:val="0"/>
                <w:sz w:val="28"/>
                <w:szCs w:val="28"/>
              </w:rPr>
              <w:t>”</w:t>
            </w:r>
            <w:r>
              <w:rPr>
                <w:rFonts w:hint="eastAsia" w:ascii="仿宋_GB2312" w:hAnsi="宋体" w:eastAsia="仿宋_GB2312"/>
                <w:b/>
                <w:bCs/>
                <w:spacing w:val="0"/>
                <w:sz w:val="28"/>
                <w:szCs w:val="28"/>
              </w:rPr>
              <w:t>时期民政事业发展主要指标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2" w:type="dxa"/>
            <w:vAlign w:val="center"/>
          </w:tcPr>
          <w:p>
            <w:pPr>
              <w:spacing w:line="560" w:lineRule="exact"/>
              <w:jc w:val="center"/>
              <w:rPr>
                <w:rFonts w:ascii="仿宋_GB2312" w:eastAsia="仿宋_GB2312" w:cs="黑体"/>
                <w:b/>
                <w:sz w:val="24"/>
              </w:rPr>
            </w:pPr>
            <w:r>
              <w:rPr>
                <w:rFonts w:hint="eastAsia" w:ascii="仿宋_GB2312" w:hAnsi="黑体" w:eastAsia="仿宋_GB2312" w:cs="黑体"/>
                <w:b/>
                <w:sz w:val="24"/>
              </w:rPr>
              <w:t>序号</w:t>
            </w:r>
          </w:p>
        </w:tc>
        <w:tc>
          <w:tcPr>
            <w:tcW w:w="4513" w:type="dxa"/>
            <w:vAlign w:val="center"/>
          </w:tcPr>
          <w:p>
            <w:pPr>
              <w:spacing w:line="560" w:lineRule="exact"/>
              <w:jc w:val="center"/>
              <w:rPr>
                <w:rFonts w:ascii="仿宋_GB2312" w:eastAsia="仿宋_GB2312" w:cs="黑体"/>
                <w:b/>
                <w:sz w:val="24"/>
              </w:rPr>
            </w:pPr>
            <w:r>
              <w:rPr>
                <w:rFonts w:hint="eastAsia" w:ascii="仿宋_GB2312" w:hAnsi="黑体" w:eastAsia="仿宋_GB2312" w:cs="黑体"/>
                <w:b/>
                <w:sz w:val="24"/>
              </w:rPr>
              <w:t>主要指标</w:t>
            </w:r>
          </w:p>
        </w:tc>
        <w:tc>
          <w:tcPr>
            <w:tcW w:w="1125" w:type="dxa"/>
            <w:vAlign w:val="center"/>
          </w:tcPr>
          <w:p>
            <w:pPr>
              <w:spacing w:line="560" w:lineRule="exact"/>
              <w:jc w:val="center"/>
              <w:rPr>
                <w:rFonts w:ascii="仿宋_GB2312" w:eastAsia="仿宋_GB2312" w:cs="黑体"/>
                <w:b/>
                <w:sz w:val="24"/>
              </w:rPr>
            </w:pPr>
            <w:r>
              <w:rPr>
                <w:rFonts w:ascii="仿宋_GB2312" w:eastAsia="仿宋_GB2312" w:cs="黑体"/>
                <w:b/>
                <w:sz w:val="24"/>
              </w:rPr>
              <w:t>2020</w:t>
            </w:r>
            <w:r>
              <w:rPr>
                <w:rFonts w:hint="eastAsia" w:ascii="仿宋_GB2312" w:hAnsi="黑体" w:eastAsia="仿宋_GB2312" w:cs="黑体"/>
                <w:b/>
                <w:sz w:val="24"/>
              </w:rPr>
              <w:t>年</w:t>
            </w:r>
          </w:p>
          <w:p>
            <w:pPr>
              <w:spacing w:line="560" w:lineRule="exact"/>
              <w:jc w:val="center"/>
              <w:rPr>
                <w:rFonts w:ascii="仿宋_GB2312" w:eastAsia="仿宋_GB2312" w:cs="黑体"/>
                <w:b/>
                <w:sz w:val="24"/>
              </w:rPr>
            </w:pPr>
            <w:r>
              <w:rPr>
                <w:rFonts w:hint="eastAsia" w:ascii="仿宋_GB2312" w:hAnsi="黑体" w:eastAsia="仿宋_GB2312" w:cs="黑体"/>
                <w:b/>
                <w:sz w:val="24"/>
              </w:rPr>
              <w:t>实际值</w:t>
            </w:r>
          </w:p>
        </w:tc>
        <w:tc>
          <w:tcPr>
            <w:tcW w:w="990" w:type="dxa"/>
            <w:vAlign w:val="center"/>
          </w:tcPr>
          <w:p>
            <w:pPr>
              <w:spacing w:line="560" w:lineRule="exact"/>
              <w:jc w:val="center"/>
              <w:rPr>
                <w:rFonts w:ascii="仿宋_GB2312" w:eastAsia="仿宋_GB2312" w:cs="黑体"/>
                <w:b/>
                <w:sz w:val="24"/>
              </w:rPr>
            </w:pPr>
            <w:r>
              <w:rPr>
                <w:rFonts w:ascii="仿宋_GB2312" w:eastAsia="仿宋_GB2312" w:cs="黑体"/>
                <w:b/>
                <w:sz w:val="24"/>
              </w:rPr>
              <w:t>2022</w:t>
            </w:r>
            <w:r>
              <w:rPr>
                <w:rFonts w:hint="eastAsia" w:ascii="仿宋_GB2312" w:hAnsi="黑体" w:eastAsia="仿宋_GB2312" w:cs="黑体"/>
                <w:b/>
                <w:sz w:val="24"/>
              </w:rPr>
              <w:t>年</w:t>
            </w:r>
          </w:p>
          <w:p>
            <w:pPr>
              <w:spacing w:line="560" w:lineRule="exact"/>
              <w:jc w:val="center"/>
              <w:rPr>
                <w:rFonts w:ascii="仿宋_GB2312" w:eastAsia="仿宋_GB2312" w:cs="黑体"/>
                <w:b/>
                <w:sz w:val="24"/>
              </w:rPr>
            </w:pPr>
            <w:r>
              <w:rPr>
                <w:rFonts w:hint="eastAsia" w:ascii="仿宋_GB2312" w:hAnsi="黑体" w:eastAsia="仿宋_GB2312" w:cs="黑体"/>
                <w:b/>
                <w:sz w:val="24"/>
              </w:rPr>
              <w:t>目标值</w:t>
            </w:r>
          </w:p>
        </w:tc>
        <w:tc>
          <w:tcPr>
            <w:tcW w:w="1039" w:type="dxa"/>
            <w:vAlign w:val="center"/>
          </w:tcPr>
          <w:p>
            <w:pPr>
              <w:spacing w:line="560" w:lineRule="exact"/>
              <w:jc w:val="center"/>
              <w:rPr>
                <w:rFonts w:ascii="仿宋_GB2312" w:eastAsia="仿宋_GB2312" w:cs="黑体"/>
                <w:b/>
                <w:sz w:val="24"/>
              </w:rPr>
            </w:pPr>
            <w:r>
              <w:rPr>
                <w:rFonts w:ascii="仿宋_GB2312" w:eastAsia="仿宋_GB2312" w:cs="黑体"/>
                <w:b/>
                <w:sz w:val="24"/>
              </w:rPr>
              <w:t>2025</w:t>
            </w:r>
            <w:r>
              <w:rPr>
                <w:rFonts w:hint="eastAsia" w:ascii="仿宋_GB2312" w:hAnsi="黑体" w:eastAsia="仿宋_GB2312" w:cs="黑体"/>
                <w:b/>
                <w:sz w:val="24"/>
              </w:rPr>
              <w:t>年</w:t>
            </w:r>
          </w:p>
          <w:p>
            <w:pPr>
              <w:spacing w:line="560" w:lineRule="exact"/>
              <w:jc w:val="center"/>
              <w:rPr>
                <w:rFonts w:ascii="仿宋_GB2312" w:eastAsia="仿宋_GB2312" w:cs="黑体"/>
                <w:b/>
                <w:sz w:val="24"/>
              </w:rPr>
            </w:pPr>
            <w:r>
              <w:rPr>
                <w:rFonts w:hint="eastAsia" w:ascii="仿宋_GB2312" w:hAnsi="黑体" w:eastAsia="仿宋_GB2312" w:cs="黑体"/>
                <w:b/>
                <w:sz w:val="24"/>
              </w:rPr>
              <w:t>目标值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 w:hRule="atLeast"/>
        </w:trPr>
        <w:tc>
          <w:tcPr>
            <w:tcW w:w="802" w:type="dxa"/>
            <w:vAlign w:val="center"/>
          </w:tcPr>
          <w:p>
            <w:pPr>
              <w:spacing w:line="560" w:lineRule="exact"/>
              <w:jc w:val="center"/>
              <w:rPr>
                <w:rFonts w:ascii="仿宋_GB2312" w:eastAsia="仿宋_GB2312"/>
                <w:sz w:val="24"/>
              </w:rPr>
            </w:pPr>
            <w:r>
              <w:rPr>
                <w:rFonts w:ascii="仿宋_GB2312" w:eastAsia="仿宋_GB2312"/>
                <w:sz w:val="24"/>
              </w:rPr>
              <w:t>1</w:t>
            </w:r>
          </w:p>
        </w:tc>
        <w:tc>
          <w:tcPr>
            <w:tcW w:w="4513" w:type="dxa"/>
            <w:vAlign w:val="center"/>
          </w:tcPr>
          <w:p>
            <w:pPr>
              <w:spacing w:line="560" w:lineRule="exact"/>
              <w:jc w:val="left"/>
              <w:rPr>
                <w:rFonts w:ascii="仿宋_GB2312" w:eastAsia="仿宋_GB2312"/>
                <w:sz w:val="24"/>
              </w:rPr>
            </w:pPr>
            <w:r>
              <w:rPr>
                <w:rFonts w:hint="eastAsia" w:ascii="仿宋_GB2312" w:eastAsia="仿宋_GB2312"/>
                <w:sz w:val="24"/>
              </w:rPr>
              <w:t>城乡居民最低生活保障标准（元</w:t>
            </w:r>
            <w:r>
              <w:rPr>
                <w:rFonts w:ascii="仿宋_GB2312" w:eastAsia="仿宋_GB2312"/>
                <w:sz w:val="24"/>
              </w:rPr>
              <w:t>/</w:t>
            </w:r>
            <w:r>
              <w:rPr>
                <w:rFonts w:hint="eastAsia" w:ascii="仿宋_GB2312" w:eastAsia="仿宋_GB2312"/>
                <w:sz w:val="24"/>
              </w:rPr>
              <w:t>年）</w:t>
            </w:r>
          </w:p>
        </w:tc>
        <w:tc>
          <w:tcPr>
            <w:tcW w:w="1125" w:type="dxa"/>
            <w:vAlign w:val="center"/>
          </w:tcPr>
          <w:p>
            <w:pPr>
              <w:spacing w:line="560" w:lineRule="exact"/>
              <w:jc w:val="center"/>
              <w:rPr>
                <w:rFonts w:ascii="仿宋_GB2312" w:eastAsia="仿宋_GB2312"/>
                <w:sz w:val="24"/>
              </w:rPr>
            </w:pPr>
            <w:r>
              <w:rPr>
                <w:rFonts w:ascii="仿宋_GB2312" w:eastAsia="仿宋_GB2312"/>
                <w:sz w:val="24"/>
              </w:rPr>
              <w:t>10200</w:t>
            </w:r>
          </w:p>
        </w:tc>
        <w:tc>
          <w:tcPr>
            <w:tcW w:w="990" w:type="dxa"/>
            <w:vAlign w:val="center"/>
          </w:tcPr>
          <w:p>
            <w:pPr>
              <w:spacing w:line="560" w:lineRule="exact"/>
              <w:jc w:val="center"/>
              <w:rPr>
                <w:rFonts w:ascii="仿宋_GB2312" w:eastAsia="仿宋_GB2312"/>
                <w:sz w:val="24"/>
              </w:rPr>
            </w:pPr>
            <w:r>
              <w:rPr>
                <w:rFonts w:ascii="仿宋_GB2312" w:eastAsia="仿宋_GB2312"/>
                <w:sz w:val="24"/>
              </w:rPr>
              <w:t>11000</w:t>
            </w:r>
          </w:p>
        </w:tc>
        <w:tc>
          <w:tcPr>
            <w:tcW w:w="1039" w:type="dxa"/>
            <w:vAlign w:val="center"/>
          </w:tcPr>
          <w:p>
            <w:pPr>
              <w:spacing w:line="560" w:lineRule="exact"/>
              <w:jc w:val="center"/>
              <w:rPr>
                <w:rFonts w:ascii="仿宋_GB2312" w:eastAsia="仿宋_GB2312"/>
                <w:sz w:val="24"/>
              </w:rPr>
            </w:pPr>
            <w:r>
              <w:rPr>
                <w:rFonts w:ascii="仿宋_GB2312" w:eastAsia="仿宋_GB2312"/>
                <w:sz w:val="24"/>
              </w:rPr>
              <w:t>13000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 w:hRule="atLeast"/>
        </w:trPr>
        <w:tc>
          <w:tcPr>
            <w:tcW w:w="802" w:type="dxa"/>
            <w:vAlign w:val="center"/>
          </w:tcPr>
          <w:p>
            <w:pPr>
              <w:spacing w:line="560" w:lineRule="exact"/>
              <w:jc w:val="center"/>
              <w:rPr>
                <w:rFonts w:ascii="仿宋_GB2312" w:eastAsia="仿宋_GB2312"/>
                <w:sz w:val="24"/>
              </w:rPr>
            </w:pPr>
            <w:r>
              <w:rPr>
                <w:rFonts w:ascii="仿宋_GB2312" w:eastAsia="仿宋_GB2312"/>
                <w:sz w:val="24"/>
              </w:rPr>
              <w:t>2</w:t>
            </w:r>
          </w:p>
        </w:tc>
        <w:tc>
          <w:tcPr>
            <w:tcW w:w="4513" w:type="dxa"/>
            <w:vAlign w:val="center"/>
          </w:tcPr>
          <w:p>
            <w:pPr>
              <w:spacing w:line="560" w:lineRule="exact"/>
              <w:jc w:val="left"/>
              <w:rPr>
                <w:rFonts w:ascii="仿宋_GB2312" w:eastAsia="仿宋_GB2312"/>
                <w:sz w:val="24"/>
              </w:rPr>
            </w:pPr>
            <w:r>
              <w:rPr>
                <w:rFonts w:hint="eastAsia" w:ascii="仿宋_GB2312" w:eastAsia="仿宋_GB2312"/>
                <w:sz w:val="24"/>
              </w:rPr>
              <w:t>每万人拥有登记社会组织数（个）</w:t>
            </w:r>
          </w:p>
        </w:tc>
        <w:tc>
          <w:tcPr>
            <w:tcW w:w="1125" w:type="dxa"/>
            <w:vAlign w:val="center"/>
          </w:tcPr>
          <w:p>
            <w:pPr>
              <w:spacing w:line="560" w:lineRule="exact"/>
              <w:jc w:val="center"/>
              <w:rPr>
                <w:rFonts w:ascii="仿宋_GB2312" w:eastAsia="仿宋_GB2312"/>
                <w:sz w:val="24"/>
              </w:rPr>
            </w:pPr>
            <w:r>
              <w:rPr>
                <w:rFonts w:ascii="仿宋_GB2312" w:eastAsia="仿宋_GB2312"/>
                <w:sz w:val="24"/>
              </w:rPr>
              <w:t>12</w:t>
            </w:r>
          </w:p>
        </w:tc>
        <w:tc>
          <w:tcPr>
            <w:tcW w:w="990" w:type="dxa"/>
            <w:vAlign w:val="center"/>
          </w:tcPr>
          <w:p>
            <w:pPr>
              <w:spacing w:line="560" w:lineRule="exact"/>
              <w:jc w:val="center"/>
              <w:rPr>
                <w:rFonts w:ascii="仿宋_GB2312" w:eastAsia="仿宋_GB2312"/>
                <w:sz w:val="24"/>
              </w:rPr>
            </w:pPr>
            <w:r>
              <w:rPr>
                <w:rFonts w:ascii="仿宋_GB2312" w:eastAsia="仿宋_GB2312"/>
                <w:sz w:val="24"/>
              </w:rPr>
              <w:t>13</w:t>
            </w:r>
          </w:p>
        </w:tc>
        <w:tc>
          <w:tcPr>
            <w:tcW w:w="1039" w:type="dxa"/>
            <w:vAlign w:val="center"/>
          </w:tcPr>
          <w:p>
            <w:pPr>
              <w:spacing w:line="560" w:lineRule="exact"/>
              <w:jc w:val="center"/>
              <w:rPr>
                <w:rFonts w:ascii="仿宋_GB2312" w:eastAsia="仿宋_GB2312"/>
                <w:sz w:val="24"/>
              </w:rPr>
            </w:pPr>
            <w:r>
              <w:rPr>
                <w:rFonts w:ascii="仿宋_GB2312" w:eastAsia="仿宋_GB2312"/>
                <w:sz w:val="24"/>
              </w:rPr>
              <w:t>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 w:hRule="atLeast"/>
        </w:trPr>
        <w:tc>
          <w:tcPr>
            <w:tcW w:w="802" w:type="dxa"/>
            <w:vAlign w:val="center"/>
          </w:tcPr>
          <w:p>
            <w:pPr>
              <w:spacing w:line="560" w:lineRule="exact"/>
              <w:jc w:val="center"/>
              <w:rPr>
                <w:rFonts w:ascii="仿宋_GB2312" w:eastAsia="仿宋_GB2312"/>
                <w:sz w:val="24"/>
              </w:rPr>
            </w:pPr>
            <w:r>
              <w:rPr>
                <w:rFonts w:ascii="仿宋_GB2312" w:eastAsia="仿宋_GB2312"/>
                <w:sz w:val="24"/>
              </w:rPr>
              <w:t>3</w:t>
            </w:r>
          </w:p>
        </w:tc>
        <w:tc>
          <w:tcPr>
            <w:tcW w:w="4513" w:type="dxa"/>
            <w:vAlign w:val="center"/>
          </w:tcPr>
          <w:p>
            <w:pPr>
              <w:spacing w:line="560" w:lineRule="exact"/>
              <w:jc w:val="left"/>
              <w:rPr>
                <w:rFonts w:ascii="仿宋_GB2312" w:eastAsia="仿宋_GB2312"/>
                <w:sz w:val="24"/>
              </w:rPr>
            </w:pPr>
            <w:r>
              <w:rPr>
                <w:rFonts w:hint="eastAsia" w:ascii="仿宋_GB2312" w:hAnsi="仿宋_GB2312" w:eastAsia="仿宋_GB2312" w:cs="仿宋_GB2312"/>
                <w:sz w:val="24"/>
              </w:rPr>
              <w:t>每万人持证社会工作专业人才数（人）</w:t>
            </w:r>
          </w:p>
        </w:tc>
        <w:tc>
          <w:tcPr>
            <w:tcW w:w="1125" w:type="dxa"/>
            <w:vAlign w:val="center"/>
          </w:tcPr>
          <w:p>
            <w:pPr>
              <w:spacing w:line="560" w:lineRule="exact"/>
              <w:jc w:val="center"/>
              <w:rPr>
                <w:rFonts w:ascii="仿宋_GB2312" w:eastAsia="仿宋_GB2312"/>
                <w:sz w:val="24"/>
              </w:rPr>
            </w:pPr>
            <w:r>
              <w:rPr>
                <w:rFonts w:ascii="仿宋_GB2312" w:eastAsia="仿宋_GB2312"/>
                <w:sz w:val="24"/>
              </w:rPr>
              <w:t>11</w:t>
            </w:r>
          </w:p>
        </w:tc>
        <w:tc>
          <w:tcPr>
            <w:tcW w:w="990" w:type="dxa"/>
            <w:vAlign w:val="center"/>
          </w:tcPr>
          <w:p>
            <w:pPr>
              <w:spacing w:line="560" w:lineRule="exact"/>
              <w:jc w:val="center"/>
              <w:rPr>
                <w:rFonts w:ascii="仿宋_GB2312" w:eastAsia="仿宋_GB2312"/>
                <w:sz w:val="24"/>
              </w:rPr>
            </w:pPr>
            <w:r>
              <w:rPr>
                <w:rFonts w:ascii="仿宋_GB2312" w:eastAsia="仿宋_GB2312"/>
                <w:sz w:val="24"/>
              </w:rPr>
              <w:t>15</w:t>
            </w:r>
          </w:p>
        </w:tc>
        <w:tc>
          <w:tcPr>
            <w:tcW w:w="1039" w:type="dxa"/>
            <w:vAlign w:val="center"/>
          </w:tcPr>
          <w:p>
            <w:pPr>
              <w:spacing w:line="560" w:lineRule="exact"/>
              <w:jc w:val="center"/>
              <w:rPr>
                <w:rFonts w:ascii="仿宋_GB2312" w:eastAsia="仿宋_GB2312"/>
                <w:sz w:val="24"/>
              </w:rPr>
            </w:pPr>
            <w:r>
              <w:rPr>
                <w:rFonts w:ascii="仿宋_GB2312" w:eastAsia="仿宋_GB2312"/>
                <w:sz w:val="24"/>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 w:hRule="atLeast"/>
        </w:trPr>
        <w:tc>
          <w:tcPr>
            <w:tcW w:w="802" w:type="dxa"/>
            <w:vAlign w:val="center"/>
          </w:tcPr>
          <w:p>
            <w:pPr>
              <w:spacing w:line="560" w:lineRule="exact"/>
              <w:jc w:val="center"/>
              <w:rPr>
                <w:rFonts w:ascii="仿宋_GB2312" w:eastAsia="仿宋_GB2312"/>
                <w:sz w:val="24"/>
              </w:rPr>
            </w:pPr>
            <w:r>
              <w:rPr>
                <w:rFonts w:ascii="仿宋_GB2312" w:eastAsia="仿宋_GB2312"/>
                <w:sz w:val="24"/>
              </w:rPr>
              <w:t>4</w:t>
            </w:r>
          </w:p>
        </w:tc>
        <w:tc>
          <w:tcPr>
            <w:tcW w:w="4513" w:type="dxa"/>
            <w:vAlign w:val="center"/>
          </w:tcPr>
          <w:p>
            <w:pPr>
              <w:spacing w:line="560" w:lineRule="exact"/>
              <w:jc w:val="left"/>
              <w:rPr>
                <w:rFonts w:ascii="仿宋_GB2312" w:eastAsia="仿宋_GB2312"/>
                <w:sz w:val="24"/>
              </w:rPr>
            </w:pPr>
            <w:r>
              <w:rPr>
                <w:rFonts w:hint="eastAsia" w:ascii="仿宋_GB2312" w:eastAsia="仿宋_GB2312"/>
                <w:sz w:val="24"/>
              </w:rPr>
              <w:t>慈善组织接受社会捐助总额（亿元）</w:t>
            </w:r>
          </w:p>
        </w:tc>
        <w:tc>
          <w:tcPr>
            <w:tcW w:w="1125" w:type="dxa"/>
            <w:vAlign w:val="center"/>
          </w:tcPr>
          <w:p>
            <w:pPr>
              <w:spacing w:line="560" w:lineRule="exact"/>
              <w:jc w:val="center"/>
              <w:rPr>
                <w:rFonts w:ascii="仿宋_GB2312" w:eastAsia="仿宋_GB2312"/>
                <w:sz w:val="24"/>
              </w:rPr>
            </w:pPr>
            <w:r>
              <w:rPr>
                <w:rFonts w:ascii="仿宋_GB2312" w:eastAsia="仿宋_GB2312"/>
                <w:sz w:val="24"/>
              </w:rPr>
              <w:t>0.71</w:t>
            </w:r>
          </w:p>
        </w:tc>
        <w:tc>
          <w:tcPr>
            <w:tcW w:w="990" w:type="dxa"/>
            <w:vAlign w:val="center"/>
          </w:tcPr>
          <w:p>
            <w:pPr>
              <w:spacing w:line="560" w:lineRule="exact"/>
              <w:jc w:val="center"/>
              <w:rPr>
                <w:rFonts w:ascii="仿宋_GB2312" w:eastAsia="仿宋_GB2312"/>
                <w:sz w:val="24"/>
              </w:rPr>
            </w:pPr>
            <w:r>
              <w:rPr>
                <w:rFonts w:ascii="仿宋_GB2312" w:eastAsia="仿宋_GB2312"/>
                <w:sz w:val="24"/>
              </w:rPr>
              <w:t>0.73</w:t>
            </w:r>
          </w:p>
        </w:tc>
        <w:tc>
          <w:tcPr>
            <w:tcW w:w="1039" w:type="dxa"/>
            <w:vAlign w:val="center"/>
          </w:tcPr>
          <w:p>
            <w:pPr>
              <w:spacing w:line="560" w:lineRule="exact"/>
              <w:jc w:val="center"/>
              <w:rPr>
                <w:rFonts w:ascii="仿宋_GB2312" w:eastAsia="仿宋_GB2312"/>
                <w:sz w:val="24"/>
              </w:rPr>
            </w:pPr>
            <w:r>
              <w:rPr>
                <w:rFonts w:ascii="仿宋_GB2312" w:eastAsia="仿宋_GB2312"/>
                <w:sz w:val="24"/>
              </w:rPr>
              <w:t>0.76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 w:hRule="atLeast"/>
        </w:trPr>
        <w:tc>
          <w:tcPr>
            <w:tcW w:w="802" w:type="dxa"/>
            <w:vAlign w:val="center"/>
          </w:tcPr>
          <w:p>
            <w:pPr>
              <w:spacing w:line="560" w:lineRule="exact"/>
              <w:jc w:val="center"/>
              <w:rPr>
                <w:rFonts w:ascii="仿宋_GB2312" w:eastAsia="仿宋_GB2312"/>
                <w:sz w:val="24"/>
              </w:rPr>
            </w:pPr>
            <w:r>
              <w:rPr>
                <w:rFonts w:ascii="仿宋_GB2312" w:eastAsia="仿宋_GB2312"/>
                <w:sz w:val="24"/>
              </w:rPr>
              <w:t>5</w:t>
            </w:r>
          </w:p>
        </w:tc>
        <w:tc>
          <w:tcPr>
            <w:tcW w:w="4513" w:type="dxa"/>
            <w:vAlign w:val="center"/>
          </w:tcPr>
          <w:p>
            <w:pPr>
              <w:spacing w:line="560" w:lineRule="exact"/>
              <w:jc w:val="left"/>
              <w:rPr>
                <w:rFonts w:ascii="仿宋_GB2312" w:eastAsia="仿宋_GB2312"/>
                <w:sz w:val="24"/>
              </w:rPr>
            </w:pPr>
            <w:r>
              <w:rPr>
                <w:rFonts w:hint="eastAsia" w:ascii="仿宋_GB2312" w:eastAsia="仿宋_GB2312"/>
                <w:sz w:val="24"/>
              </w:rPr>
              <w:t>每万老年人拥有持证养老护理员人（人）</w:t>
            </w:r>
          </w:p>
        </w:tc>
        <w:tc>
          <w:tcPr>
            <w:tcW w:w="1125" w:type="dxa"/>
            <w:vAlign w:val="center"/>
          </w:tcPr>
          <w:p>
            <w:pPr>
              <w:spacing w:line="560" w:lineRule="exact"/>
              <w:jc w:val="center"/>
              <w:rPr>
                <w:rFonts w:ascii="仿宋_GB2312" w:eastAsia="仿宋_GB2312"/>
                <w:sz w:val="24"/>
              </w:rPr>
            </w:pPr>
            <w:r>
              <w:rPr>
                <w:rFonts w:ascii="仿宋_GB2312" w:eastAsia="仿宋_GB2312"/>
                <w:sz w:val="24"/>
              </w:rPr>
              <w:t>14.6</w:t>
            </w:r>
          </w:p>
        </w:tc>
        <w:tc>
          <w:tcPr>
            <w:tcW w:w="990" w:type="dxa"/>
            <w:vAlign w:val="center"/>
          </w:tcPr>
          <w:p>
            <w:pPr>
              <w:spacing w:line="560" w:lineRule="exact"/>
              <w:jc w:val="center"/>
              <w:rPr>
                <w:rFonts w:ascii="仿宋_GB2312" w:eastAsia="仿宋_GB2312"/>
                <w:sz w:val="24"/>
              </w:rPr>
            </w:pPr>
            <w:r>
              <w:rPr>
                <w:rFonts w:ascii="仿宋_GB2312" w:eastAsia="仿宋_GB2312"/>
                <w:sz w:val="24"/>
              </w:rPr>
              <w:t>20</w:t>
            </w:r>
          </w:p>
        </w:tc>
        <w:tc>
          <w:tcPr>
            <w:tcW w:w="1039" w:type="dxa"/>
            <w:vAlign w:val="center"/>
          </w:tcPr>
          <w:p>
            <w:pPr>
              <w:spacing w:line="560" w:lineRule="exact"/>
              <w:jc w:val="center"/>
              <w:rPr>
                <w:rFonts w:ascii="仿宋_GB2312" w:eastAsia="仿宋_GB2312"/>
                <w:sz w:val="24"/>
              </w:rPr>
            </w:pPr>
            <w:r>
              <w:rPr>
                <w:rFonts w:ascii="仿宋_GB2312" w:eastAsia="仿宋_GB2312"/>
                <w:sz w:val="24"/>
              </w:rPr>
              <w:t>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 w:hRule="atLeast"/>
        </w:trPr>
        <w:tc>
          <w:tcPr>
            <w:tcW w:w="802" w:type="dxa"/>
            <w:vAlign w:val="center"/>
          </w:tcPr>
          <w:p>
            <w:pPr>
              <w:spacing w:line="560" w:lineRule="exact"/>
              <w:jc w:val="center"/>
              <w:rPr>
                <w:rFonts w:ascii="仿宋_GB2312" w:eastAsia="仿宋_GB2312"/>
                <w:sz w:val="24"/>
              </w:rPr>
            </w:pPr>
            <w:r>
              <w:rPr>
                <w:rFonts w:ascii="仿宋_GB2312" w:eastAsia="仿宋_GB2312"/>
                <w:sz w:val="24"/>
              </w:rPr>
              <w:t>6</w:t>
            </w:r>
          </w:p>
        </w:tc>
        <w:tc>
          <w:tcPr>
            <w:tcW w:w="4513" w:type="dxa"/>
            <w:vAlign w:val="center"/>
          </w:tcPr>
          <w:p>
            <w:pPr>
              <w:spacing w:line="560" w:lineRule="exact"/>
              <w:jc w:val="left"/>
              <w:rPr>
                <w:rFonts w:ascii="仿宋_GB2312" w:eastAsia="仿宋_GB2312"/>
                <w:sz w:val="24"/>
              </w:rPr>
            </w:pPr>
            <w:r>
              <w:rPr>
                <w:rFonts w:hint="eastAsia" w:ascii="仿宋_GB2312" w:eastAsia="仿宋_GB2312"/>
                <w:sz w:val="24"/>
              </w:rPr>
              <w:t>养老机构护理型床位占比（</w:t>
            </w:r>
            <w:r>
              <w:rPr>
                <w:rFonts w:ascii="仿宋_GB2312" w:eastAsia="仿宋_GB2312"/>
                <w:sz w:val="24"/>
              </w:rPr>
              <w:t>%</w:t>
            </w:r>
            <w:r>
              <w:rPr>
                <w:rFonts w:hint="eastAsia" w:ascii="仿宋_GB2312" w:eastAsia="仿宋_GB2312"/>
                <w:sz w:val="24"/>
              </w:rPr>
              <w:t>）</w:t>
            </w:r>
          </w:p>
        </w:tc>
        <w:tc>
          <w:tcPr>
            <w:tcW w:w="1125" w:type="dxa"/>
            <w:vAlign w:val="center"/>
          </w:tcPr>
          <w:p>
            <w:pPr>
              <w:spacing w:line="560" w:lineRule="exact"/>
              <w:jc w:val="center"/>
              <w:rPr>
                <w:rFonts w:ascii="仿宋_GB2312" w:eastAsia="仿宋_GB2312"/>
                <w:sz w:val="24"/>
              </w:rPr>
            </w:pPr>
            <w:r>
              <w:rPr>
                <w:rFonts w:ascii="仿宋_GB2312" w:eastAsia="仿宋_GB2312"/>
                <w:sz w:val="24"/>
              </w:rPr>
              <w:t>53</w:t>
            </w:r>
          </w:p>
        </w:tc>
        <w:tc>
          <w:tcPr>
            <w:tcW w:w="990" w:type="dxa"/>
            <w:vAlign w:val="center"/>
          </w:tcPr>
          <w:p>
            <w:pPr>
              <w:spacing w:line="560" w:lineRule="exact"/>
              <w:jc w:val="center"/>
              <w:rPr>
                <w:rFonts w:ascii="仿宋_GB2312" w:eastAsia="仿宋_GB2312"/>
                <w:sz w:val="24"/>
              </w:rPr>
            </w:pPr>
            <w:r>
              <w:rPr>
                <w:rFonts w:ascii="仿宋_GB2312" w:eastAsia="仿宋_GB2312"/>
                <w:sz w:val="24"/>
              </w:rPr>
              <w:t>55</w:t>
            </w:r>
          </w:p>
        </w:tc>
        <w:tc>
          <w:tcPr>
            <w:tcW w:w="1039" w:type="dxa"/>
            <w:vAlign w:val="center"/>
          </w:tcPr>
          <w:p>
            <w:pPr>
              <w:spacing w:line="560" w:lineRule="exact"/>
              <w:jc w:val="center"/>
              <w:rPr>
                <w:rFonts w:ascii="仿宋_GB2312" w:eastAsia="仿宋_GB2312"/>
                <w:sz w:val="24"/>
              </w:rPr>
            </w:pPr>
            <w:r>
              <w:rPr>
                <w:rFonts w:ascii="仿宋_GB2312" w:eastAsia="仿宋_GB2312"/>
                <w:sz w:val="24"/>
              </w:rPr>
              <w:t>58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 w:hRule="atLeast"/>
        </w:trPr>
        <w:tc>
          <w:tcPr>
            <w:tcW w:w="802" w:type="dxa"/>
            <w:vAlign w:val="center"/>
          </w:tcPr>
          <w:p>
            <w:pPr>
              <w:spacing w:line="560" w:lineRule="exact"/>
              <w:jc w:val="center"/>
              <w:rPr>
                <w:rFonts w:ascii="仿宋_GB2312" w:eastAsia="仿宋_GB2312"/>
                <w:sz w:val="24"/>
              </w:rPr>
            </w:pPr>
            <w:r>
              <w:rPr>
                <w:rFonts w:ascii="仿宋_GB2312" w:eastAsia="仿宋_GB2312"/>
                <w:sz w:val="24"/>
              </w:rPr>
              <w:t>7</w:t>
            </w:r>
          </w:p>
        </w:tc>
        <w:tc>
          <w:tcPr>
            <w:tcW w:w="4513" w:type="dxa"/>
            <w:vAlign w:val="center"/>
          </w:tcPr>
          <w:p>
            <w:pPr>
              <w:spacing w:line="560" w:lineRule="exact"/>
              <w:jc w:val="left"/>
              <w:rPr>
                <w:rFonts w:ascii="仿宋_GB2312" w:eastAsia="仿宋_GB2312"/>
                <w:sz w:val="24"/>
              </w:rPr>
            </w:pPr>
            <w:r>
              <w:rPr>
                <w:rFonts w:hint="eastAsia" w:ascii="仿宋_GB2312" w:eastAsia="仿宋_GB2312"/>
                <w:sz w:val="24"/>
              </w:rPr>
              <w:t>节地生态安葬率（</w:t>
            </w:r>
            <w:r>
              <w:rPr>
                <w:rFonts w:ascii="仿宋_GB2312" w:eastAsia="仿宋_GB2312"/>
                <w:sz w:val="24"/>
              </w:rPr>
              <w:t>%</w:t>
            </w:r>
            <w:r>
              <w:rPr>
                <w:rFonts w:hint="eastAsia" w:ascii="仿宋_GB2312" w:eastAsia="仿宋_GB2312"/>
                <w:sz w:val="24"/>
              </w:rPr>
              <w:t>）</w:t>
            </w:r>
          </w:p>
        </w:tc>
        <w:tc>
          <w:tcPr>
            <w:tcW w:w="1125" w:type="dxa"/>
            <w:vAlign w:val="center"/>
          </w:tcPr>
          <w:p>
            <w:pPr>
              <w:spacing w:line="560" w:lineRule="exact"/>
              <w:jc w:val="center"/>
              <w:rPr>
                <w:rFonts w:ascii="仿宋_GB2312" w:eastAsia="仿宋_GB2312"/>
                <w:sz w:val="24"/>
              </w:rPr>
            </w:pPr>
            <w:r>
              <w:rPr>
                <w:rFonts w:ascii="仿宋_GB2312" w:eastAsia="仿宋_GB2312"/>
                <w:sz w:val="24"/>
              </w:rPr>
              <w:t>58</w:t>
            </w:r>
          </w:p>
        </w:tc>
        <w:tc>
          <w:tcPr>
            <w:tcW w:w="990" w:type="dxa"/>
            <w:vAlign w:val="center"/>
          </w:tcPr>
          <w:p>
            <w:pPr>
              <w:spacing w:line="560" w:lineRule="exact"/>
              <w:jc w:val="center"/>
              <w:rPr>
                <w:rFonts w:ascii="仿宋_GB2312" w:eastAsia="仿宋_GB2312"/>
                <w:sz w:val="24"/>
              </w:rPr>
            </w:pPr>
            <w:r>
              <w:rPr>
                <w:rFonts w:ascii="仿宋_GB2312" w:eastAsia="仿宋_GB2312"/>
                <w:sz w:val="24"/>
              </w:rPr>
              <w:t>70</w:t>
            </w:r>
          </w:p>
        </w:tc>
        <w:tc>
          <w:tcPr>
            <w:tcW w:w="1039" w:type="dxa"/>
            <w:vAlign w:val="center"/>
          </w:tcPr>
          <w:p>
            <w:pPr>
              <w:spacing w:line="560" w:lineRule="exact"/>
              <w:jc w:val="center"/>
              <w:rPr>
                <w:rFonts w:ascii="仿宋_GB2312" w:eastAsia="仿宋_GB2312"/>
                <w:sz w:val="24"/>
              </w:rPr>
            </w:pPr>
            <w:r>
              <w:rPr>
                <w:rFonts w:ascii="仿宋_GB2312" w:eastAsia="仿宋_GB2312"/>
                <w:sz w:val="24"/>
              </w:rPr>
              <w:t>80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trPr>
        <w:tc>
          <w:tcPr>
            <w:tcW w:w="802" w:type="dxa"/>
            <w:vAlign w:val="center"/>
          </w:tcPr>
          <w:p>
            <w:pPr>
              <w:spacing w:line="560" w:lineRule="exact"/>
              <w:jc w:val="center"/>
              <w:rPr>
                <w:rFonts w:ascii="仿宋_GB2312" w:eastAsia="仿宋_GB2312"/>
                <w:sz w:val="24"/>
              </w:rPr>
            </w:pPr>
            <w:r>
              <w:rPr>
                <w:rFonts w:ascii="仿宋_GB2312" w:eastAsia="仿宋_GB2312"/>
                <w:sz w:val="24"/>
              </w:rPr>
              <w:t>8</w:t>
            </w:r>
          </w:p>
        </w:tc>
        <w:tc>
          <w:tcPr>
            <w:tcW w:w="4513" w:type="dxa"/>
            <w:vAlign w:val="center"/>
          </w:tcPr>
          <w:p>
            <w:pPr>
              <w:spacing w:line="560" w:lineRule="exact"/>
              <w:jc w:val="left"/>
              <w:rPr>
                <w:rFonts w:ascii="仿宋_GB2312" w:eastAsia="仿宋_GB2312"/>
                <w:sz w:val="24"/>
              </w:rPr>
            </w:pPr>
            <w:r>
              <w:rPr>
                <w:rFonts w:hint="eastAsia" w:ascii="仿宋_GB2312" w:eastAsia="仿宋_GB2312"/>
                <w:sz w:val="24"/>
              </w:rPr>
              <w:t>水库移民人均可支配收入占当地农村居民平均比率（</w:t>
            </w:r>
            <w:r>
              <w:rPr>
                <w:rFonts w:ascii="仿宋_GB2312" w:eastAsia="仿宋_GB2312"/>
                <w:sz w:val="24"/>
              </w:rPr>
              <w:t>%</w:t>
            </w:r>
            <w:r>
              <w:rPr>
                <w:rFonts w:hint="eastAsia" w:ascii="仿宋_GB2312" w:eastAsia="仿宋_GB2312"/>
                <w:sz w:val="24"/>
              </w:rPr>
              <w:t>）</w:t>
            </w:r>
          </w:p>
        </w:tc>
        <w:tc>
          <w:tcPr>
            <w:tcW w:w="1125" w:type="dxa"/>
            <w:vAlign w:val="center"/>
          </w:tcPr>
          <w:p>
            <w:pPr>
              <w:spacing w:line="560" w:lineRule="exact"/>
              <w:jc w:val="center"/>
              <w:rPr>
                <w:rFonts w:ascii="仿宋_GB2312" w:eastAsia="仿宋_GB2312"/>
                <w:sz w:val="24"/>
              </w:rPr>
            </w:pPr>
            <w:r>
              <w:rPr>
                <w:rFonts w:ascii="仿宋_GB2312" w:eastAsia="仿宋_GB2312"/>
                <w:sz w:val="24"/>
              </w:rPr>
              <w:t>96</w:t>
            </w:r>
          </w:p>
        </w:tc>
        <w:tc>
          <w:tcPr>
            <w:tcW w:w="990" w:type="dxa"/>
            <w:vAlign w:val="center"/>
          </w:tcPr>
          <w:p>
            <w:pPr>
              <w:spacing w:line="560" w:lineRule="exact"/>
              <w:jc w:val="center"/>
              <w:rPr>
                <w:rFonts w:ascii="仿宋_GB2312" w:eastAsia="仿宋_GB2312"/>
                <w:sz w:val="24"/>
              </w:rPr>
            </w:pPr>
            <w:r>
              <w:rPr>
                <w:rFonts w:ascii="仿宋_GB2312" w:eastAsia="仿宋_GB2312"/>
                <w:sz w:val="24"/>
              </w:rPr>
              <w:t>98</w:t>
            </w:r>
          </w:p>
        </w:tc>
        <w:tc>
          <w:tcPr>
            <w:tcW w:w="1039" w:type="dxa"/>
            <w:vAlign w:val="center"/>
          </w:tcPr>
          <w:p>
            <w:pPr>
              <w:spacing w:line="560" w:lineRule="exact"/>
              <w:jc w:val="center"/>
              <w:rPr>
                <w:rFonts w:ascii="仿宋_GB2312" w:eastAsia="仿宋_GB2312"/>
                <w:sz w:val="24"/>
              </w:rPr>
            </w:pPr>
            <w:r>
              <w:rPr>
                <w:rFonts w:ascii="仿宋_GB2312" w:eastAsia="仿宋_GB2312"/>
                <w:sz w:val="24"/>
              </w:rPr>
              <w:t>100</w:t>
            </w:r>
          </w:p>
        </w:tc>
      </w:tr>
    </w:tbl>
    <w:p>
      <w:pPr>
        <w:pStyle w:val="4"/>
        <w:spacing w:before="0" w:after="0" w:line="600" w:lineRule="exact"/>
        <w:ind w:firstLine="627" w:firstLineChars="196"/>
        <w:rPr>
          <w:rFonts w:ascii="黑体" w:eastAsia="黑体"/>
        </w:rPr>
      </w:pPr>
      <w:bookmarkStart w:id="12" w:name="_Toc81106161"/>
      <w:r>
        <w:rPr>
          <w:rFonts w:hint="eastAsia" w:ascii="黑体" w:eastAsia="黑体"/>
          <w:b w:val="0"/>
          <w:bCs w:val="0"/>
        </w:rPr>
        <w:t>三、主要任务</w:t>
      </w:r>
      <w:bookmarkEnd w:id="12"/>
    </w:p>
    <w:p>
      <w:pPr>
        <w:pStyle w:val="4"/>
        <w:spacing w:before="0" w:after="0" w:line="600" w:lineRule="exact"/>
        <w:ind w:firstLine="473" w:firstLineChars="148"/>
        <w:rPr>
          <w:rFonts w:ascii="楷体_GB2312" w:eastAsia="楷体_GB2312"/>
          <w:b w:val="0"/>
          <w:bCs w:val="0"/>
        </w:rPr>
      </w:pPr>
      <w:bookmarkStart w:id="13" w:name="_Toc81106162"/>
      <w:r>
        <w:rPr>
          <w:rFonts w:hint="eastAsia" w:ascii="楷体_GB2312" w:eastAsia="楷体_GB2312"/>
          <w:b w:val="0"/>
          <w:bCs w:val="0"/>
        </w:rPr>
        <w:t>（一）聚焦党建引领，提升基层社会治理活力</w:t>
      </w:r>
      <w:bookmarkEnd w:id="13"/>
    </w:p>
    <w:p>
      <w:pPr>
        <w:spacing w:line="600" w:lineRule="exact"/>
        <w:ind w:firstLine="640" w:firstLineChars="200"/>
        <w:rPr>
          <w:rFonts w:ascii="仿宋_GB2312" w:hAnsi="仿宋_GB2312" w:eastAsia="仿宋_GB2312" w:cs="仿宋_GB2312"/>
          <w:sz w:val="32"/>
          <w:szCs w:val="32"/>
        </w:rPr>
      </w:pPr>
      <w:r>
        <w:rPr>
          <w:rFonts w:ascii="仿宋_GB2312" w:hAnsi="仿宋_GB2312" w:eastAsia="仿宋_GB2312" w:cs="仿宋_GB2312"/>
          <w:b/>
          <w:sz w:val="32"/>
          <w:szCs w:val="32"/>
        </w:rPr>
        <w:t>1.</w:t>
      </w:r>
      <w:r>
        <w:rPr>
          <w:rFonts w:hint="eastAsia" w:ascii="仿宋_GB2312" w:hAnsi="仿宋_GB2312" w:eastAsia="仿宋_GB2312" w:cs="仿宋_GB2312"/>
          <w:b/>
          <w:sz w:val="32"/>
          <w:szCs w:val="32"/>
        </w:rPr>
        <w:t>健全完善基层社会治理制度。</w:t>
      </w:r>
      <w:r>
        <w:rPr>
          <w:rFonts w:hint="eastAsia" w:ascii="仿宋_GB2312" w:hAnsi="仿宋_GB2312" w:eastAsia="仿宋_GB2312" w:cs="仿宋_GB2312"/>
          <w:sz w:val="32"/>
          <w:szCs w:val="32"/>
        </w:rPr>
        <w:t>加强基层组织建设，健全完善城乡基层党组织领导、村（居）委会执行、村（居）监委会监督、村（居）民为主体，其他组织参与的城乡基层社会治理体制机制。适应“一肩挑”要求，深化村务公开、民主决策机制。规范村民代表议事规程，提高基层民主自治制度化、规范化、程序化水平。完善城乡社区民主协商制度，探索建立乡镇（街道）协商与城乡社区协商的联动机制。加强对自治章程、村规民约、社区公约的完善指导，并</w:t>
      </w:r>
      <w:r>
        <w:rPr>
          <w:rFonts w:hint="eastAsia" w:eastAsia="仿宋_GB2312" w:cs="FangSong_GB2312"/>
          <w:sz w:val="32"/>
          <w:szCs w:val="32"/>
        </w:rPr>
        <w:t>在社区治理中有效发挥</w:t>
      </w:r>
      <w:r>
        <w:rPr>
          <w:rFonts w:hint="eastAsia" w:ascii="仿宋_GB2312" w:hAnsi="仿宋_GB2312" w:eastAsia="仿宋_GB2312" w:cs="仿宋_GB2312"/>
          <w:sz w:val="32"/>
          <w:szCs w:val="32"/>
        </w:rPr>
        <w:t>作用。积极引导乡贤理事会等社会组织参与基层社会治理，拓宽群众参与基层治理的渠道和方式。坚持自治、强化法治、弘扬德治、发挥智治，探索推动城乡基层社会治理“四治融合”发展，加快我市城乡基层社会治理体系和治理能力现代化进程。</w:t>
      </w:r>
    </w:p>
    <w:p>
      <w:pPr>
        <w:spacing w:line="600" w:lineRule="exact"/>
        <w:ind w:firstLine="640" w:firstLineChars="200"/>
        <w:rPr>
          <w:rFonts w:ascii="仿宋_GB2312" w:hAnsi="仿宋_GB2312" w:eastAsia="仿宋_GB2312" w:cs="仿宋_GB2312"/>
          <w:sz w:val="32"/>
          <w:szCs w:val="32"/>
        </w:rPr>
      </w:pPr>
      <w:r>
        <w:rPr>
          <w:rFonts w:ascii="仿宋_GB2312" w:hAnsi="仿宋_GB2312" w:eastAsia="仿宋_GB2312" w:cs="仿宋_GB2312"/>
          <w:b/>
          <w:sz w:val="32"/>
          <w:szCs w:val="32"/>
        </w:rPr>
        <w:t>2.</w:t>
      </w:r>
      <w:r>
        <w:rPr>
          <w:rFonts w:hint="eastAsia" w:ascii="仿宋_GB2312" w:hAnsi="仿宋_GB2312" w:eastAsia="仿宋_GB2312" w:cs="仿宋_GB2312"/>
          <w:b/>
          <w:sz w:val="32"/>
          <w:szCs w:val="32"/>
        </w:rPr>
        <w:t>推动基层治理和服务融合发展。</w:t>
      </w:r>
      <w:r>
        <w:rPr>
          <w:rFonts w:hint="eastAsia" w:ascii="仿宋_GB2312" w:hAnsi="仿宋_GB2312" w:eastAsia="仿宋_GB2312" w:cs="仿宋_GB2312"/>
          <w:sz w:val="32"/>
          <w:szCs w:val="32"/>
        </w:rPr>
        <w:t>积极开展城乡社区治理和服务融合试点工作，推动城乡社区与社会组织、社工、社区慈善、志愿者合作，建立形成城乡基层社会治理和服务“五社联动”发展体制机制，培育形成城乡社区组织化、专业化、社会化服务力量，提高城乡社区自我建设、自我管理、自我服务能力。深化全国农村社区治理实验区创新实践，总结提升花园村农村社区示范单位建设经验，推动社区众筹众创，积极发展社区合作经济，增强社区深化社会治理和优化公共服务的集体经济基础，打造以村（居）委为甲方，以社区合作社为纽带，以社会组织、社工机构为乙方的城乡社区治理和服务综合体，促进城乡社区社会治理和服务的可持续发展。积极发挥专兼职社区工作者和社会组织的作用，支持参与社区物业管理、矛盾纠纷调节、留守人员关爱、特殊弱势群体关照等社会服务工作。持续实施公益创投项目计划，引领带动社区社会治理和公共服务创新。大力培育社区社会组织和专业社工机构，加强专兼职相结合的社区工作者队伍建设，规范招录程序，落实报酬待遇，强化考核激励，不断增强城乡社区综合服务能力。</w:t>
      </w:r>
    </w:p>
    <w:p>
      <w:pPr>
        <w:spacing w:line="600" w:lineRule="exact"/>
        <w:ind w:firstLine="640" w:firstLineChars="200"/>
        <w:rPr>
          <w:rFonts w:ascii="仿宋_GB2312" w:hAnsi="仿宋_GB2312" w:eastAsia="仿宋_GB2312" w:cs="仿宋_GB2312"/>
          <w:sz w:val="32"/>
          <w:szCs w:val="32"/>
        </w:rPr>
      </w:pPr>
      <w:r>
        <w:rPr>
          <w:rFonts w:ascii="仿宋_GB2312" w:hAnsi="仿宋_GB2312" w:eastAsia="仿宋_GB2312" w:cs="仿宋_GB2312"/>
          <w:b/>
          <w:bCs/>
          <w:sz w:val="32"/>
          <w:szCs w:val="32"/>
        </w:rPr>
        <w:t>3.</w:t>
      </w:r>
      <w:r>
        <w:rPr>
          <w:rFonts w:hint="eastAsia" w:ascii="仿宋_GB2312" w:hAnsi="仿宋_GB2312" w:eastAsia="仿宋_GB2312" w:cs="仿宋_GB2312"/>
          <w:b/>
          <w:bCs/>
          <w:sz w:val="32"/>
          <w:szCs w:val="32"/>
        </w:rPr>
        <w:t>加强城乡社区基础设施建设。</w:t>
      </w:r>
      <w:r>
        <w:rPr>
          <w:rFonts w:hint="eastAsia" w:ascii="仿宋_GB2312" w:hAnsi="仿宋_GB2312" w:eastAsia="仿宋_GB2312" w:cs="仿宋_GB2312"/>
          <w:sz w:val="32"/>
          <w:szCs w:val="32"/>
        </w:rPr>
        <w:t>结合未来社区及美丽乡村建设，优化城乡社区基础设施布局，有序推进城乡社区综合服务设施改造提升，不断提高城乡社区人居环境质量。围绕“五个家园”建设，持续推进示范社区、精品社区和星级田园社区创建，积极开展智慧社区建设试点工作，着力打造未来社区“居民会客厅”，提高村（社区）发展包容度、服务兼容度。</w:t>
      </w:r>
    </w:p>
    <w:p>
      <w:pPr>
        <w:pStyle w:val="4"/>
        <w:spacing w:before="0" w:after="0" w:line="600" w:lineRule="exact"/>
        <w:ind w:firstLine="473" w:firstLineChars="148"/>
        <w:rPr>
          <w:rFonts w:ascii="楷体_GB2312" w:eastAsia="楷体_GB2312"/>
          <w:b w:val="0"/>
          <w:bCs w:val="0"/>
        </w:rPr>
      </w:pPr>
      <w:bookmarkStart w:id="14" w:name="_Toc81106163"/>
      <w:r>
        <w:rPr>
          <w:rFonts w:hint="eastAsia" w:ascii="楷体_GB2312" w:eastAsia="楷体_GB2312"/>
          <w:b w:val="0"/>
          <w:bCs w:val="0"/>
        </w:rPr>
        <w:t>（二）聚焦提质扩面，提升基本民生保障质量</w:t>
      </w:r>
      <w:bookmarkEnd w:id="14"/>
    </w:p>
    <w:p>
      <w:pPr>
        <w:spacing w:line="600" w:lineRule="exact"/>
        <w:ind w:firstLine="640" w:firstLineChars="200"/>
        <w:rPr>
          <w:rFonts w:ascii="仿宋_GB2312" w:hAnsi="仿宋_GB2312" w:eastAsia="仿宋_GB2312" w:cs="仿宋_GB2312"/>
          <w:sz w:val="32"/>
          <w:szCs w:val="32"/>
        </w:rPr>
      </w:pPr>
      <w:r>
        <w:rPr>
          <w:rFonts w:ascii="仿宋_GB2312" w:eastAsia="仿宋_GB2312"/>
          <w:b/>
          <w:sz w:val="32"/>
          <w:szCs w:val="32"/>
        </w:rPr>
        <w:t>1.</w:t>
      </w:r>
      <w:r>
        <w:rPr>
          <w:rFonts w:hint="eastAsia" w:ascii="仿宋_GB2312" w:eastAsia="仿宋_GB2312"/>
          <w:b/>
          <w:sz w:val="32"/>
          <w:szCs w:val="32"/>
        </w:rPr>
        <w:t>建立健全社会化大救助体系。</w:t>
      </w:r>
      <w:r>
        <w:rPr>
          <w:rFonts w:hint="eastAsia" w:ascii="仿宋_GB2312" w:hAnsi="宋体" w:eastAsia="仿宋_GB2312" w:cs="仿宋_GB2312"/>
          <w:sz w:val="32"/>
          <w:szCs w:val="32"/>
        </w:rPr>
        <w:t>加强</w:t>
      </w:r>
      <w:r>
        <w:rPr>
          <w:rFonts w:hint="eastAsia" w:ascii="仿宋_GB2312" w:hAnsi="宋体" w:eastAsia="仿宋_GB2312"/>
          <w:sz w:val="32"/>
          <w:szCs w:val="32"/>
        </w:rPr>
        <w:t>党委领导、政府负责、民政牵头、部门协同、社会力量参与的社会救助体制机制建设，进一步健全完善“</w:t>
      </w:r>
      <w:r>
        <w:rPr>
          <w:rFonts w:ascii="仿宋_GB2312" w:hAnsi="宋体" w:eastAsia="仿宋_GB2312"/>
          <w:sz w:val="32"/>
          <w:szCs w:val="32"/>
        </w:rPr>
        <w:t>1+8+X</w:t>
      </w:r>
      <w:r>
        <w:rPr>
          <w:rFonts w:hint="eastAsia" w:ascii="仿宋_GB2312" w:hAnsi="宋体" w:eastAsia="仿宋_GB2312"/>
          <w:sz w:val="32"/>
          <w:szCs w:val="32"/>
        </w:rPr>
        <w:t>”社会大救助体系。</w:t>
      </w:r>
      <w:r>
        <w:rPr>
          <w:rFonts w:hint="eastAsia" w:ascii="仿宋_GB2312" w:hAnsi="仿宋_GB2312" w:eastAsia="仿宋_GB2312" w:cs="仿宋_GB2312"/>
          <w:sz w:val="32"/>
          <w:szCs w:val="32"/>
        </w:rPr>
        <w:t>发挥民政部门牵头作用，推动政府相关部门分工负责、社会各方力量协同参与，提升低保、特困、受灾、医疗、教育、住房、就业、临时救助等</w:t>
      </w:r>
      <w:r>
        <w:rPr>
          <w:rFonts w:ascii="仿宋_GB2312" w:hAnsi="仿宋_GB2312" w:eastAsia="仿宋_GB2312" w:cs="仿宋_GB2312"/>
          <w:sz w:val="32"/>
          <w:szCs w:val="32"/>
        </w:rPr>
        <w:t>8</w:t>
      </w:r>
      <w:r>
        <w:rPr>
          <w:rFonts w:hint="eastAsia" w:ascii="仿宋_GB2312" w:hAnsi="仿宋_GB2312" w:eastAsia="仿宋_GB2312" w:cs="仿宋_GB2312"/>
          <w:sz w:val="32"/>
          <w:szCs w:val="32"/>
        </w:rPr>
        <w:t>项基本救助服务力量。</w:t>
      </w:r>
      <w:r>
        <w:rPr>
          <w:rFonts w:hint="eastAsia" w:ascii="仿宋_GB2312" w:hAnsi="宋体" w:eastAsia="仿宋_GB2312"/>
          <w:sz w:val="32"/>
          <w:szCs w:val="32"/>
        </w:rPr>
        <w:t>积极对接省民政救助信息系统，推进救助信息互联互通和共建共享，发挥“及时救助、协同救助、精准救助”智慧化救助效能。</w:t>
      </w:r>
      <w:r>
        <w:rPr>
          <w:rFonts w:hint="eastAsia" w:ascii="仿宋_GB2312" w:hAnsi="仿宋_GB2312" w:eastAsia="仿宋_GB2312" w:cs="仿宋_GB2312"/>
          <w:sz w:val="32"/>
          <w:szCs w:val="32"/>
        </w:rPr>
        <w:t>积极探索政府购买服务和社会慈善救助相结合的方式，建立主体多元、形式多样、服务多能的社会化多维救助体制机制，分层分类推动开展培训救助、服务救助、金融救助等内容广泛、形式丰富的普惠性社会救助服务。</w:t>
      </w:r>
    </w:p>
    <w:p>
      <w:pPr>
        <w:spacing w:line="600" w:lineRule="exact"/>
        <w:ind w:firstLine="640" w:firstLineChars="200"/>
        <w:rPr>
          <w:rFonts w:ascii="仿宋_GB2312" w:hAnsi="仿宋_GB2312" w:eastAsia="仿宋_GB2312" w:cs="仿宋_GB2312"/>
          <w:sz w:val="32"/>
          <w:szCs w:val="32"/>
        </w:rPr>
      </w:pPr>
      <w:r>
        <w:rPr>
          <w:rFonts w:ascii="仿宋_GB2312" w:eastAsia="仿宋_GB2312"/>
          <w:b/>
          <w:sz w:val="32"/>
          <w:szCs w:val="32"/>
        </w:rPr>
        <w:t>2.</w:t>
      </w:r>
      <w:r>
        <w:rPr>
          <w:rFonts w:hint="eastAsia" w:ascii="仿宋_GB2312" w:eastAsia="仿宋_GB2312"/>
          <w:b/>
          <w:sz w:val="32"/>
          <w:szCs w:val="32"/>
        </w:rPr>
        <w:t>稳步提高社会救助服务水平。</w:t>
      </w:r>
      <w:r>
        <w:rPr>
          <w:rFonts w:hint="eastAsia" w:ascii="仿宋_GB2312" w:hAnsi="仿宋_GB2312" w:eastAsia="仿宋_GB2312" w:cs="仿宋_GB2312"/>
          <w:sz w:val="32"/>
          <w:szCs w:val="32"/>
        </w:rPr>
        <w:t>健全完善最低生活保障制度，稳步提高低收入农户和低保边缘家庭兜底保障，</w:t>
      </w:r>
      <w:r>
        <w:rPr>
          <w:rFonts w:hint="eastAsia" w:ascii="仿宋_GB2312" w:eastAsia="仿宋_GB2312"/>
          <w:sz w:val="32"/>
          <w:szCs w:val="32"/>
        </w:rPr>
        <w:t>到</w:t>
      </w:r>
      <w:r>
        <w:rPr>
          <w:rFonts w:ascii="仿宋_GB2312" w:eastAsia="仿宋_GB2312"/>
          <w:sz w:val="32"/>
          <w:szCs w:val="32"/>
        </w:rPr>
        <w:t>2025</w:t>
      </w:r>
      <w:r>
        <w:rPr>
          <w:rFonts w:hint="eastAsia" w:ascii="仿宋_GB2312" w:eastAsia="仿宋_GB2312"/>
          <w:sz w:val="32"/>
          <w:szCs w:val="32"/>
        </w:rPr>
        <w:t>年，城乡居民最低生活保障年标准提高到</w:t>
      </w:r>
      <w:r>
        <w:rPr>
          <w:rFonts w:ascii="仿宋_GB2312" w:eastAsia="仿宋_GB2312"/>
          <w:sz w:val="32"/>
          <w:szCs w:val="32"/>
        </w:rPr>
        <w:t>13000</w:t>
      </w:r>
      <w:r>
        <w:rPr>
          <w:rFonts w:hint="eastAsia" w:ascii="仿宋_GB2312" w:eastAsia="仿宋_GB2312"/>
          <w:sz w:val="32"/>
          <w:szCs w:val="32"/>
        </w:rPr>
        <w:t>元以上。</w:t>
      </w:r>
      <w:r>
        <w:rPr>
          <w:rFonts w:hint="eastAsia" w:ascii="仿宋_GB2312" w:hAnsi="仿宋_GB2312" w:eastAsia="仿宋_GB2312" w:cs="仿宋_GB2312"/>
          <w:sz w:val="32"/>
          <w:szCs w:val="32"/>
        </w:rPr>
        <w:t>加强城市困难对象救助，落实困难家庭重病患者、重度残疾人单独列户纳入低保范围。推进低收入农户和低保边缘家庭经济状况认定标准“两线合一”，建立根据物价上涨水平动态调整增长机制，完善困难群众物价补贴机制。加大救助站设施升级改造投入，完善生活无着流浪乞讨人员救助管理体系，规范救助程序，加大“互联网</w:t>
      </w:r>
      <w:r>
        <w:rPr>
          <w:rFonts w:ascii="仿宋_GB2312" w:hAnsi="仿宋_GB2312" w:eastAsia="仿宋_GB2312" w:cs="仿宋_GB2312"/>
          <w:sz w:val="32"/>
          <w:szCs w:val="32"/>
        </w:rPr>
        <w:t>+</w:t>
      </w:r>
      <w:r>
        <w:rPr>
          <w:rFonts w:hint="eastAsia" w:ascii="仿宋_GB2312" w:hAnsi="仿宋_GB2312" w:eastAsia="仿宋_GB2312" w:cs="仿宋_GB2312"/>
          <w:sz w:val="32"/>
          <w:szCs w:val="32"/>
        </w:rPr>
        <w:t>”寻亲力度，完善站外托养和监督管理长效机制，纳入平安建设考核。</w:t>
      </w:r>
    </w:p>
    <w:p>
      <w:pPr>
        <w:spacing w:line="600" w:lineRule="exact"/>
        <w:ind w:firstLine="640" w:firstLineChars="200"/>
        <w:rPr>
          <w:rFonts w:eastAsia="仿宋_GB2312" w:cs="仿宋_GB2312"/>
          <w:sz w:val="32"/>
          <w:szCs w:val="32"/>
        </w:rPr>
      </w:pPr>
      <w:r>
        <w:rPr>
          <w:rFonts w:eastAsia="仿宋_GB2312" w:cs="仿宋_GB2312"/>
          <w:b/>
          <w:sz w:val="32"/>
          <w:szCs w:val="32"/>
        </w:rPr>
        <w:t>3.</w:t>
      </w:r>
      <w:r>
        <w:rPr>
          <w:rFonts w:hint="eastAsia" w:eastAsia="仿宋_GB2312" w:cs="仿宋_GB2312"/>
          <w:b/>
          <w:sz w:val="32"/>
          <w:szCs w:val="32"/>
        </w:rPr>
        <w:t>探索建立多维度救助制度。</w:t>
      </w:r>
      <w:r>
        <w:rPr>
          <w:rFonts w:hint="eastAsia" w:eastAsia="仿宋_GB2312" w:cs="仿宋_GB2312"/>
          <w:sz w:val="32"/>
          <w:szCs w:val="32"/>
        </w:rPr>
        <w:t>建立多维度贫困指标测算和家境调查体系，量化救助范围、细化救助标准、简化救助流程，下放救助审批权限，促进精准救助。适时推进社会救助从收入型单维度救助向综合指标型多维度救助、从重点面向户籍人口救助向重点面向常住人口救助、从物质型救助为主向“物质</w:t>
      </w:r>
      <w:r>
        <w:rPr>
          <w:rFonts w:eastAsia="仿宋_GB2312" w:cs="仿宋_GB2312"/>
          <w:sz w:val="32"/>
          <w:szCs w:val="32"/>
        </w:rPr>
        <w:t>+</w:t>
      </w:r>
      <w:r>
        <w:rPr>
          <w:rFonts w:hint="eastAsia" w:eastAsia="仿宋_GB2312" w:cs="仿宋_GB2312"/>
          <w:sz w:val="32"/>
          <w:szCs w:val="32"/>
        </w:rPr>
        <w:t>服务”救助、从分散型救助向联合型救助转变。全面推行支出型贫困救助，加大医疗、教育等专项救助力度，推行社会救助异地申请服务，发挥临时“救急救难”作用。</w:t>
      </w:r>
    </w:p>
    <w:p>
      <w:pPr>
        <w:spacing w:line="600" w:lineRule="exact"/>
        <w:ind w:firstLine="640" w:firstLineChars="200"/>
        <w:rPr>
          <w:rFonts w:eastAsia="仿宋_GB2312" w:cs="仿宋_GB2312"/>
          <w:sz w:val="32"/>
          <w:szCs w:val="32"/>
        </w:rPr>
      </w:pPr>
      <w:r>
        <w:rPr>
          <w:rFonts w:ascii="仿宋_GB2312" w:hAnsi="仿宋_GB2312" w:eastAsia="仿宋_GB2312" w:cs="仿宋_GB2312"/>
          <w:b/>
          <w:sz w:val="32"/>
          <w:szCs w:val="32"/>
        </w:rPr>
        <w:t>4.</w:t>
      </w:r>
      <w:r>
        <w:rPr>
          <w:rFonts w:hint="eastAsia" w:ascii="仿宋_GB2312" w:hAnsi="仿宋_GB2312" w:eastAsia="仿宋_GB2312" w:cs="仿宋_GB2312"/>
          <w:b/>
          <w:sz w:val="32"/>
          <w:szCs w:val="32"/>
        </w:rPr>
        <w:t>加强儿童福利事业发展。</w:t>
      </w:r>
      <w:r>
        <w:rPr>
          <w:rFonts w:hint="eastAsia" w:ascii="仿宋_GB2312" w:hAnsi="仿宋_GB2312" w:eastAsia="仿宋_GB2312" w:cs="仿宋_GB2312"/>
          <w:sz w:val="32"/>
          <w:szCs w:val="32"/>
        </w:rPr>
        <w:t>健全</w:t>
      </w:r>
      <w:r>
        <w:rPr>
          <w:rFonts w:hint="eastAsia" w:ascii="仿宋_GB2312" w:hAnsi="仿宋_GB2312" w:eastAsia="仿宋_GB2312" w:cs="仿宋_GB2312"/>
          <w:bCs/>
          <w:sz w:val="32"/>
          <w:szCs w:val="32"/>
        </w:rPr>
        <w:t>完善动态调整机制，稳步提高孤儿和困境儿童基本生活养育标准，确保养育标准与经济社会发展水平相适应。</w:t>
      </w:r>
      <w:r>
        <w:rPr>
          <w:rFonts w:hint="eastAsia" w:ascii="仿宋_GB2312" w:hAnsi="仿宋_GB2312" w:eastAsia="仿宋_GB2312" w:cs="仿宋_GB2312"/>
          <w:sz w:val="32"/>
          <w:szCs w:val="32"/>
        </w:rPr>
        <w:t>贯彻落实《未成年人保护法》，加大对未成年人保护关爱力度，</w:t>
      </w:r>
      <w:r>
        <w:rPr>
          <w:rFonts w:hint="eastAsia" w:ascii="仿宋_GB2312" w:hAnsi="仿宋_GB2312" w:eastAsia="仿宋_GB2312" w:cs="仿宋_GB2312"/>
          <w:bCs/>
          <w:sz w:val="32"/>
          <w:szCs w:val="32"/>
        </w:rPr>
        <w:t>调整完善市、乡镇（街道）两级未成年人保护工作组织协调机构，</w:t>
      </w:r>
      <w:r>
        <w:rPr>
          <w:rFonts w:hint="eastAsia" w:ascii="仿宋_GB2312" w:hAnsi="仿宋_GB2312" w:eastAsia="仿宋_GB2312" w:cs="仿宋_GB2312"/>
          <w:sz w:val="32"/>
          <w:szCs w:val="32"/>
        </w:rPr>
        <w:t>建立未成年人救助保护中心实体化运行机制，推进乡镇（街道）镇级未成年人保护工作站建设。推动儿童之家建设，到</w:t>
      </w:r>
      <w:r>
        <w:rPr>
          <w:rFonts w:ascii="仿宋_GB2312" w:hAnsi="仿宋_GB2312" w:eastAsia="仿宋_GB2312" w:cs="仿宋_GB2312"/>
          <w:sz w:val="32"/>
          <w:szCs w:val="32"/>
        </w:rPr>
        <w:t>2025</w:t>
      </w:r>
      <w:r>
        <w:rPr>
          <w:rFonts w:hint="eastAsia" w:ascii="仿宋_GB2312" w:hAnsi="仿宋_GB2312" w:eastAsia="仿宋_GB2312" w:cs="仿宋_GB2312"/>
          <w:sz w:val="32"/>
          <w:szCs w:val="32"/>
        </w:rPr>
        <w:t>年，创建</w:t>
      </w:r>
      <w:r>
        <w:rPr>
          <w:rFonts w:ascii="仿宋_GB2312" w:hAnsi="仿宋_GB2312" w:eastAsia="仿宋_GB2312" w:cs="仿宋_GB2312"/>
          <w:sz w:val="32"/>
          <w:szCs w:val="32"/>
        </w:rPr>
        <w:t>40</w:t>
      </w:r>
      <w:r>
        <w:rPr>
          <w:rFonts w:hint="eastAsia" w:ascii="仿宋_GB2312" w:hAnsi="仿宋_GB2312" w:eastAsia="仿宋_GB2312" w:cs="仿宋_GB2312"/>
          <w:sz w:val="32"/>
          <w:szCs w:val="32"/>
        </w:rPr>
        <w:t>家以上示范型儿童之家，基础型儿童之家应建尽建</w:t>
      </w:r>
      <w:r>
        <w:rPr>
          <w:rFonts w:ascii="仿宋_GB2312" w:hAnsi="仿宋_GB2312" w:eastAsia="仿宋_GB2312" w:cs="仿宋_GB2312"/>
          <w:sz w:val="32"/>
          <w:szCs w:val="32"/>
        </w:rPr>
        <w:t>,</w:t>
      </w:r>
      <w:r>
        <w:rPr>
          <w:rFonts w:hint="eastAsia" w:ascii="仿宋_GB2312" w:hAnsi="仿宋_GB2312" w:eastAsia="仿宋_GB2312" w:cs="仿宋_GB2312"/>
          <w:sz w:val="32"/>
          <w:szCs w:val="32"/>
        </w:rPr>
        <w:t>以“</w:t>
      </w:r>
      <w:r>
        <w:rPr>
          <w:rFonts w:ascii="仿宋_GB2312" w:hAnsi="仿宋_GB2312" w:eastAsia="仿宋_GB2312" w:cs="仿宋_GB2312"/>
          <w:sz w:val="32"/>
          <w:szCs w:val="32"/>
        </w:rPr>
        <w:t>1+N</w:t>
      </w:r>
      <w:r>
        <w:rPr>
          <w:rFonts w:hint="eastAsia" w:ascii="仿宋_GB2312" w:hAnsi="仿宋_GB2312" w:eastAsia="仿宋_GB2312" w:cs="仿宋_GB2312"/>
          <w:sz w:val="32"/>
          <w:szCs w:val="32"/>
        </w:rPr>
        <w:t>”的方式实现服务覆盖全体儿童。配强乡镇（街道）儿童督导员和村（社区）“儿童主任”，落实相关待遇保障，推行定期探访和跟踪报告制度，积极落实儿童关爱保护相关服务。积极培育引进专业化的儿童类社会组织、社工机构，</w:t>
      </w:r>
      <w:r>
        <w:rPr>
          <w:rFonts w:hint="eastAsia" w:eastAsia="仿宋_GB2312" w:cs="仿宋_GB2312"/>
          <w:sz w:val="32"/>
          <w:szCs w:val="32"/>
        </w:rPr>
        <w:t>健全服务功能，规范工作流程，提升对未成年的保护关爱服务质量。</w:t>
      </w:r>
    </w:p>
    <w:p>
      <w:pPr>
        <w:pStyle w:val="4"/>
        <w:spacing w:before="0" w:after="0" w:line="600" w:lineRule="exact"/>
        <w:ind w:firstLine="473" w:firstLineChars="148"/>
        <w:rPr>
          <w:rFonts w:ascii="楷体_GB2312" w:eastAsia="楷体_GB2312"/>
          <w:b w:val="0"/>
          <w:bCs w:val="0"/>
        </w:rPr>
      </w:pPr>
      <w:bookmarkStart w:id="15" w:name="_Toc81106164"/>
      <w:r>
        <w:rPr>
          <w:rFonts w:hint="eastAsia" w:ascii="楷体_GB2312" w:eastAsia="楷体_GB2312"/>
          <w:b w:val="0"/>
          <w:bCs w:val="0"/>
        </w:rPr>
        <w:t>（三）聚焦多元合作，提升养老服务供给能力</w:t>
      </w:r>
      <w:bookmarkEnd w:id="15"/>
    </w:p>
    <w:p>
      <w:pPr>
        <w:spacing w:line="600" w:lineRule="exact"/>
        <w:ind w:firstLine="640" w:firstLineChars="200"/>
        <w:rPr>
          <w:rFonts w:ascii="仿宋_GB2312" w:hAnsi="仿宋_GB2312" w:eastAsia="仿宋_GB2312" w:cs="仿宋_GB2312"/>
          <w:bCs/>
          <w:sz w:val="32"/>
          <w:szCs w:val="32"/>
        </w:rPr>
      </w:pPr>
      <w:r>
        <w:rPr>
          <w:rFonts w:ascii="仿宋_GB2312" w:hAnsi="仿宋_GB2312" w:eastAsia="仿宋_GB2312" w:cs="仿宋_GB2312"/>
          <w:b/>
          <w:sz w:val="32"/>
          <w:szCs w:val="32"/>
        </w:rPr>
        <w:t>1.</w:t>
      </w:r>
      <w:r>
        <w:rPr>
          <w:rFonts w:hint="eastAsia" w:ascii="仿宋_GB2312" w:hAnsi="仿宋_GB2312" w:eastAsia="仿宋_GB2312" w:cs="仿宋_GB2312"/>
          <w:b/>
          <w:sz w:val="32"/>
          <w:szCs w:val="32"/>
        </w:rPr>
        <w:t>完善基本养老服务体系。</w:t>
      </w:r>
      <w:r>
        <w:rPr>
          <w:rFonts w:hint="eastAsia" w:ascii="仿宋_GB2312" w:hAnsi="仿宋_GB2312" w:eastAsia="仿宋_GB2312" w:cs="仿宋_GB2312"/>
          <w:sz w:val="32"/>
          <w:szCs w:val="32"/>
        </w:rPr>
        <w:t>坚持公办养老机构的公益属性，重点为经济困难失能老年人、计划生育特殊家庭老年人提供无偿或低偿托养服务。推进公办养老机构改革，提升护理型床位占比，适应高龄和失能失智老年人的刚性照护需求。推进认知障碍专业照护改革，加大认知障碍</w:t>
      </w:r>
      <w:r>
        <w:rPr>
          <w:rFonts w:hint="eastAsia" w:ascii="仿宋_GB2312" w:hAnsi="仿宋_GB2312" w:eastAsia="仿宋_GB2312" w:cs="仿宋_GB2312"/>
          <w:bCs/>
          <w:sz w:val="32"/>
          <w:szCs w:val="32"/>
        </w:rPr>
        <w:t>照护供给，每万名老年人拥有养老机构认知障碍床位达到</w:t>
      </w:r>
      <w:r>
        <w:rPr>
          <w:rFonts w:ascii="仿宋_GB2312" w:hAnsi="仿宋_GB2312" w:eastAsia="仿宋_GB2312" w:cs="仿宋_GB2312"/>
          <w:bCs/>
          <w:sz w:val="32"/>
          <w:szCs w:val="32"/>
        </w:rPr>
        <w:t>20</w:t>
      </w:r>
      <w:r>
        <w:rPr>
          <w:rFonts w:hint="eastAsia" w:ascii="仿宋_GB2312" w:hAnsi="仿宋_GB2312" w:eastAsia="仿宋_GB2312" w:cs="仿宋_GB2312"/>
          <w:bCs/>
          <w:sz w:val="32"/>
          <w:szCs w:val="32"/>
        </w:rPr>
        <w:t>张。优化居家社区养老服务。</w:t>
      </w:r>
      <w:r>
        <w:rPr>
          <w:rFonts w:hint="eastAsia" w:ascii="仿宋_GB2312" w:hAnsi="仿宋_GB2312" w:eastAsia="仿宋_GB2312" w:cs="仿宋_GB2312"/>
          <w:sz w:val="32"/>
          <w:szCs w:val="32"/>
        </w:rPr>
        <w:t>加快推进</w:t>
      </w:r>
      <w:r>
        <w:rPr>
          <w:rFonts w:hint="eastAsia" w:ascii="仿宋_GB2312" w:hAnsi="仿宋_GB2312" w:eastAsia="仿宋_GB2312" w:cs="仿宋_GB2312"/>
          <w:bCs/>
          <w:sz w:val="32"/>
          <w:szCs w:val="32"/>
        </w:rPr>
        <w:t>“</w:t>
      </w:r>
      <w:r>
        <w:rPr>
          <w:rFonts w:ascii="仿宋_GB2312" w:hAnsi="仿宋_GB2312" w:eastAsia="仿宋_GB2312" w:cs="仿宋_GB2312"/>
          <w:bCs/>
          <w:sz w:val="32"/>
          <w:szCs w:val="32"/>
        </w:rPr>
        <w:t>1+X+N</w:t>
      </w:r>
      <w:r>
        <w:rPr>
          <w:rFonts w:hint="eastAsia" w:ascii="仿宋_GB2312" w:hAnsi="仿宋_GB2312" w:eastAsia="仿宋_GB2312" w:cs="仿宋_GB2312"/>
          <w:bCs/>
          <w:sz w:val="32"/>
          <w:szCs w:val="32"/>
        </w:rPr>
        <w:t>”居家养老服务网络体系建设。到</w:t>
      </w:r>
      <w:r>
        <w:rPr>
          <w:rFonts w:ascii="仿宋_GB2312" w:hAnsi="仿宋_GB2312" w:eastAsia="仿宋_GB2312" w:cs="仿宋_GB2312"/>
          <w:bCs/>
          <w:sz w:val="32"/>
          <w:szCs w:val="32"/>
        </w:rPr>
        <w:t>2021</w:t>
      </w:r>
      <w:r>
        <w:rPr>
          <w:rFonts w:hint="eastAsia" w:ascii="仿宋_GB2312" w:hAnsi="仿宋_GB2312" w:eastAsia="仿宋_GB2312" w:cs="仿宋_GB2312"/>
          <w:bCs/>
          <w:sz w:val="32"/>
          <w:szCs w:val="32"/>
        </w:rPr>
        <w:t>年底，乡镇（街道）居家养老服务中心实现全覆盖。</w:t>
      </w:r>
      <w:r>
        <w:rPr>
          <w:rFonts w:hint="eastAsia" w:eastAsia="仿宋_GB2312" w:cs="仿宋_GB2312"/>
          <w:sz w:val="32"/>
          <w:szCs w:val="32"/>
        </w:rPr>
        <w:t>支持多元主体提供居家养老服务，鼓励社会力量为老年人提供用餐、家庭照料、医疗护理等服务。</w:t>
      </w:r>
      <w:r>
        <w:rPr>
          <w:rFonts w:hint="eastAsia" w:ascii="仿宋_GB2312" w:hAnsi="仿宋_GB2312" w:eastAsia="仿宋_GB2312" w:cs="仿宋_GB2312"/>
          <w:bCs/>
          <w:sz w:val="32"/>
          <w:szCs w:val="32"/>
        </w:rPr>
        <w:t>开展城乡老年人困难家庭适老化改造，改善老年人居家社区养老设施环境。</w:t>
      </w:r>
    </w:p>
    <w:p>
      <w:pPr>
        <w:spacing w:line="600" w:lineRule="exact"/>
        <w:ind w:firstLine="640" w:firstLineChars="200"/>
        <w:rPr>
          <w:rFonts w:ascii="仿宋_GB2312" w:hAnsi="仿宋_GB2312" w:eastAsia="仿宋_GB2312" w:cs="仿宋_GB2312"/>
          <w:bCs/>
          <w:sz w:val="32"/>
          <w:szCs w:val="32"/>
        </w:rPr>
      </w:pPr>
      <w:r>
        <w:rPr>
          <w:rFonts w:eastAsia="仿宋_GB2312" w:cs="仿宋_GB2312"/>
          <w:b/>
          <w:bCs/>
          <w:sz w:val="32"/>
          <w:szCs w:val="32"/>
        </w:rPr>
        <w:t>2.</w:t>
      </w:r>
      <w:r>
        <w:rPr>
          <w:rFonts w:hint="eastAsia" w:eastAsia="仿宋_GB2312" w:cs="仿宋_GB2312"/>
          <w:b/>
          <w:bCs/>
          <w:sz w:val="32"/>
          <w:szCs w:val="32"/>
        </w:rPr>
        <w:t>夯实养老服务基础。</w:t>
      </w:r>
      <w:r>
        <w:rPr>
          <w:rFonts w:hint="eastAsia" w:ascii="仿宋_GB2312" w:hAnsi="仿宋_GB2312" w:eastAsia="仿宋_GB2312" w:cs="仿宋_GB2312"/>
          <w:bCs/>
          <w:sz w:val="32"/>
          <w:szCs w:val="32"/>
        </w:rPr>
        <w:t>积极应对老龄化问题，制定全市养老服务设施布局专项规划，推进养老服务基础设施建设。根据“机构跟着老人走”的总体要求，实施城区“一中心多节点”养老机构布局计划，建成市养老中心和一批基本功能完善，能满足全市老年人中长期服务需求的养老机构，完成乡镇敬老院改造提升工程。引导社会力量参与，鼓励公建民营，支持养老服务机构规模化、连锁化发展。优化社区养老服务设施布局，实施新建住宅小区配建居家养老服务用房建设管理办法，推进新建小区养老服务等设施规划、建设、验收、交付“四同步”。探索医养康养资源结合的创新机制，推动更多医疗康复资源进入养老服务领域，建设康养联合体，增加康养服务供给能力，提高康养服务消费质量。</w:t>
      </w:r>
    </w:p>
    <w:p>
      <w:pPr>
        <w:spacing w:line="600" w:lineRule="exact"/>
        <w:ind w:firstLine="640" w:firstLineChars="200"/>
        <w:rPr>
          <w:rFonts w:ascii="仿宋_GB2312" w:hAnsi="仿宋_GB2312" w:eastAsia="仿宋_GB2312" w:cs="仿宋_GB2312"/>
          <w:sz w:val="32"/>
          <w:szCs w:val="32"/>
        </w:rPr>
      </w:pPr>
      <w:r>
        <w:rPr>
          <w:rFonts w:ascii="仿宋_GB2312" w:hAnsi="仿宋_GB2312" w:eastAsia="仿宋_GB2312" w:cs="仿宋_GB2312"/>
          <w:b/>
          <w:sz w:val="32"/>
          <w:szCs w:val="32"/>
        </w:rPr>
        <w:t>3.</w:t>
      </w:r>
      <w:r>
        <w:rPr>
          <w:rFonts w:hint="eastAsia" w:ascii="仿宋_GB2312" w:hAnsi="仿宋_GB2312" w:eastAsia="仿宋_GB2312" w:cs="仿宋_GB2312"/>
          <w:b/>
          <w:sz w:val="32"/>
          <w:szCs w:val="32"/>
        </w:rPr>
        <w:t>提高养老服务能力水平。</w:t>
      </w:r>
      <w:r>
        <w:rPr>
          <w:rFonts w:hint="eastAsia" w:ascii="仿宋_GB2312" w:hAnsi="仿宋_GB2312" w:eastAsia="仿宋_GB2312" w:cs="仿宋_GB2312"/>
          <w:bCs/>
          <w:sz w:val="32"/>
          <w:szCs w:val="32"/>
        </w:rPr>
        <w:t>打造数字养老驾驶舱，融入全省统一的“浙里养”智慧平台，提高养老服务数字化水平。</w:t>
      </w:r>
      <w:r>
        <w:rPr>
          <w:rFonts w:hint="eastAsia" w:ascii="仿宋_GB2312" w:hAnsi="仿宋_GB2312" w:eastAsia="仿宋_GB2312" w:cs="仿宋_GB2312"/>
          <w:sz w:val="32"/>
          <w:szCs w:val="32"/>
        </w:rPr>
        <w:t>加快市、乡、村</w:t>
      </w:r>
      <w:r>
        <w:rPr>
          <w:rFonts w:hint="eastAsia" w:ascii="仿宋_GB2312" w:hAnsi="仿宋_GB2312" w:eastAsia="仿宋_GB2312" w:cs="仿宋_GB2312"/>
          <w:bCs/>
          <w:sz w:val="32"/>
          <w:szCs w:val="32"/>
        </w:rPr>
        <w:t>三级智慧养老应用服务平台建设，支持智能化养老产品的应用。</w:t>
      </w:r>
      <w:r>
        <w:rPr>
          <w:rFonts w:hint="eastAsia" w:ascii="仿宋_GB2312" w:hAnsi="仿宋_GB2312" w:eastAsia="仿宋_GB2312" w:cs="仿宋_GB2312"/>
          <w:sz w:val="32"/>
          <w:szCs w:val="32"/>
        </w:rPr>
        <w:t>推进与户籍、医疗、社会救助等资源对接，提升养老数据分析研判能力，</w:t>
      </w:r>
      <w:r>
        <w:rPr>
          <w:rFonts w:hint="eastAsia" w:ascii="仿宋_GB2312" w:hAnsi="仿宋_GB2312" w:eastAsia="仿宋_GB2312" w:cs="仿宋_GB2312"/>
          <w:bCs/>
          <w:sz w:val="32"/>
          <w:szCs w:val="32"/>
        </w:rPr>
        <w:t>提升养老服务的精细化和精准度。</w:t>
      </w:r>
      <w:r>
        <w:rPr>
          <w:rFonts w:hint="eastAsia" w:ascii="仿宋_GB2312" w:hAnsi="仿宋_GB2312" w:eastAsia="仿宋_GB2312" w:cs="仿宋_GB2312"/>
          <w:sz w:val="32"/>
          <w:szCs w:val="32"/>
        </w:rPr>
        <w:t>完善养老服务补贴政策，解决困难老年人基本养老服务问题。</w:t>
      </w:r>
      <w:r>
        <w:rPr>
          <w:rFonts w:hint="eastAsia" w:ascii="仿宋_GB2312" w:hAnsi="仿宋_GB2312" w:eastAsia="仿宋_GB2312" w:cs="仿宋_GB2312"/>
          <w:bCs/>
          <w:sz w:val="32"/>
          <w:szCs w:val="32"/>
        </w:rPr>
        <w:t>加强养老服务人才队伍建设，将养老护理员培训纳入社会职业技能提升培训体系，</w:t>
      </w:r>
      <w:r>
        <w:rPr>
          <w:rFonts w:hint="eastAsia" w:ascii="仿宋_GB2312" w:hAnsi="仿宋_GB2312" w:eastAsia="仿宋_GB2312" w:cs="仿宋_GB2312"/>
          <w:sz w:val="32"/>
          <w:szCs w:val="32"/>
        </w:rPr>
        <w:t>依托大中专院校和养老机构，</w:t>
      </w:r>
      <w:r>
        <w:rPr>
          <w:rFonts w:hint="eastAsia" w:ascii="仿宋_GB2312" w:hAnsi="仿宋_GB2312" w:eastAsia="仿宋_GB2312" w:cs="仿宋_GB2312"/>
          <w:bCs/>
          <w:sz w:val="32"/>
          <w:szCs w:val="32"/>
        </w:rPr>
        <w:t>全面开展养老护理员培训，</w:t>
      </w:r>
      <w:r>
        <w:rPr>
          <w:rFonts w:hint="eastAsia" w:ascii="仿宋_GB2312" w:hAnsi="仿宋_GB2312" w:eastAsia="仿宋_GB2312" w:cs="仿宋_GB2312"/>
          <w:sz w:val="32"/>
          <w:szCs w:val="32"/>
        </w:rPr>
        <w:t>拓宽职业技能提升行动对象覆盖面，提高持证养老护理员数量。提升家庭照护能力，鼓励家庭承担养老基础型功能，成年子女与老年父母就近居住或共同生活，对家庭照护者进行护理知识和技能培训。</w:t>
      </w:r>
      <w:r>
        <w:rPr>
          <w:rFonts w:hint="eastAsia" w:ascii="仿宋_GB2312" w:hAnsi="仿宋_GB2312" w:eastAsia="仿宋_GB2312" w:cs="仿宋_GB2312"/>
          <w:bCs/>
          <w:sz w:val="32"/>
          <w:szCs w:val="32"/>
        </w:rPr>
        <w:t>到</w:t>
      </w:r>
      <w:r>
        <w:rPr>
          <w:rFonts w:ascii="仿宋_GB2312" w:hAnsi="仿宋_GB2312" w:eastAsia="仿宋_GB2312" w:cs="仿宋_GB2312"/>
          <w:bCs/>
          <w:sz w:val="32"/>
          <w:szCs w:val="32"/>
        </w:rPr>
        <w:t>2025</w:t>
      </w:r>
      <w:r>
        <w:rPr>
          <w:rFonts w:hint="eastAsia" w:ascii="仿宋_GB2312" w:hAnsi="仿宋_GB2312" w:eastAsia="仿宋_GB2312" w:cs="仿宋_GB2312"/>
          <w:bCs/>
          <w:sz w:val="32"/>
          <w:szCs w:val="32"/>
        </w:rPr>
        <w:t>年，累计培训</w:t>
      </w:r>
      <w:r>
        <w:rPr>
          <w:rFonts w:ascii="仿宋_GB2312" w:hAnsi="仿宋_GB2312" w:eastAsia="仿宋_GB2312" w:cs="仿宋_GB2312"/>
          <w:bCs/>
          <w:sz w:val="32"/>
          <w:szCs w:val="32"/>
        </w:rPr>
        <w:t>1500</w:t>
      </w:r>
      <w:r>
        <w:rPr>
          <w:rFonts w:hint="eastAsia" w:ascii="仿宋_GB2312" w:hAnsi="仿宋_GB2312" w:eastAsia="仿宋_GB2312" w:cs="仿宋_GB2312"/>
          <w:bCs/>
          <w:sz w:val="32"/>
          <w:szCs w:val="32"/>
        </w:rPr>
        <w:t>人次护理员、</w:t>
      </w:r>
      <w:r>
        <w:rPr>
          <w:rFonts w:ascii="仿宋_GB2312" w:hAnsi="仿宋_GB2312" w:eastAsia="仿宋_GB2312" w:cs="仿宋_GB2312"/>
          <w:bCs/>
          <w:sz w:val="32"/>
          <w:szCs w:val="32"/>
        </w:rPr>
        <w:t>2000</w:t>
      </w:r>
      <w:r>
        <w:rPr>
          <w:rFonts w:hint="eastAsia" w:ascii="仿宋_GB2312" w:hAnsi="仿宋_GB2312" w:eastAsia="仿宋_GB2312" w:cs="仿宋_GB2312"/>
          <w:bCs/>
          <w:sz w:val="32"/>
          <w:szCs w:val="32"/>
        </w:rPr>
        <w:t>名家庭照护者，持证养老护理员持救护员证比例达到</w:t>
      </w:r>
      <w:r>
        <w:rPr>
          <w:rFonts w:ascii="仿宋_GB2312" w:hAnsi="仿宋_GB2312" w:eastAsia="仿宋_GB2312" w:cs="仿宋_GB2312"/>
          <w:bCs/>
          <w:sz w:val="32"/>
          <w:szCs w:val="32"/>
        </w:rPr>
        <w:t>60%</w:t>
      </w:r>
      <w:r>
        <w:rPr>
          <w:rFonts w:hint="eastAsia" w:eastAsia="仿宋_GB2312" w:cs="仿宋_GB2312"/>
          <w:sz w:val="32"/>
          <w:szCs w:val="32"/>
        </w:rPr>
        <w:t>。</w:t>
      </w:r>
    </w:p>
    <w:p>
      <w:pPr>
        <w:pStyle w:val="4"/>
        <w:spacing w:before="0" w:after="0" w:line="600" w:lineRule="exact"/>
        <w:ind w:firstLine="473" w:firstLineChars="148"/>
        <w:rPr>
          <w:rFonts w:ascii="楷体_GB2312" w:eastAsia="楷体_GB2312"/>
          <w:b w:val="0"/>
          <w:bCs w:val="0"/>
        </w:rPr>
      </w:pPr>
      <w:bookmarkStart w:id="16" w:name="_Toc81106165"/>
      <w:r>
        <w:rPr>
          <w:rFonts w:hint="eastAsia" w:ascii="楷体_GB2312" w:eastAsia="楷体_GB2312"/>
          <w:b w:val="0"/>
          <w:bCs w:val="0"/>
        </w:rPr>
        <w:t>（四）聚焦质量规范，提升基本社会服务品质</w:t>
      </w:r>
      <w:bookmarkEnd w:id="16"/>
    </w:p>
    <w:p>
      <w:pPr>
        <w:spacing w:line="600" w:lineRule="exact"/>
        <w:ind w:firstLine="627" w:firstLineChars="196"/>
        <w:rPr>
          <w:rFonts w:ascii="仿宋_GB2312" w:hAnsi="仿宋_GB2312" w:eastAsia="仿宋_GB2312" w:cs="仿宋_GB2312"/>
          <w:sz w:val="32"/>
          <w:szCs w:val="32"/>
        </w:rPr>
      </w:pPr>
      <w:r>
        <w:rPr>
          <w:rFonts w:ascii="仿宋_GB2312" w:hAnsi="仿宋_GB2312" w:eastAsia="仿宋_GB2312" w:cs="仿宋_GB2312"/>
          <w:b/>
          <w:sz w:val="32"/>
          <w:szCs w:val="32"/>
        </w:rPr>
        <w:t>1.</w:t>
      </w:r>
      <w:r>
        <w:rPr>
          <w:rFonts w:hint="eastAsia" w:ascii="仿宋_GB2312" w:hAnsi="仿宋_GB2312" w:eastAsia="仿宋_GB2312" w:cs="仿宋_GB2312"/>
          <w:b/>
          <w:sz w:val="32"/>
          <w:szCs w:val="32"/>
        </w:rPr>
        <w:t>深化生态殡葬改革和管理服务。</w:t>
      </w:r>
      <w:r>
        <w:rPr>
          <w:rFonts w:hint="eastAsia" w:ascii="仿宋_GB2312" w:hAnsi="仿宋_GB2312" w:eastAsia="仿宋_GB2312" w:cs="仿宋_GB2312"/>
          <w:sz w:val="32"/>
          <w:szCs w:val="32"/>
        </w:rPr>
        <w:t>完善提升殡葬公共服务，强化殡葬服务事业公益属性，优化殡葬服务各项惠民政策，稳步扩大惠民殡葬服务项目范围。深化群众身后“一件事”改革，提升殡葬服务水平，提高群众满意度。加强殡葬基础设施建设，加快技术革新，推进火化炉环保改造。深化生态殡葬改革，编制完善生态墓地布局规划，经审查批复后纳入国土空间规划。积极探索树葬、草坪葬、海葬和骨灰堂存放等节地生态安葬方式，到</w:t>
      </w:r>
      <w:r>
        <w:rPr>
          <w:rFonts w:ascii="仿宋_GB2312" w:hAnsi="仿宋_GB2312" w:eastAsia="仿宋_GB2312" w:cs="仿宋_GB2312"/>
          <w:sz w:val="32"/>
          <w:szCs w:val="32"/>
        </w:rPr>
        <w:t>2025</w:t>
      </w:r>
      <w:r>
        <w:rPr>
          <w:rFonts w:hint="eastAsia" w:ascii="仿宋_GB2312" w:hAnsi="仿宋_GB2312" w:eastAsia="仿宋_GB2312" w:cs="仿宋_GB2312"/>
          <w:sz w:val="32"/>
          <w:szCs w:val="32"/>
        </w:rPr>
        <w:t>年全市节地生态安葬率达到</w:t>
      </w:r>
      <w:r>
        <w:rPr>
          <w:rFonts w:ascii="仿宋_GB2312" w:hAnsi="仿宋_GB2312" w:eastAsia="仿宋_GB2312" w:cs="仿宋_GB2312"/>
          <w:sz w:val="32"/>
          <w:szCs w:val="32"/>
        </w:rPr>
        <w:t>80%</w:t>
      </w:r>
      <w:r>
        <w:rPr>
          <w:rFonts w:hint="eastAsia" w:ascii="仿宋_GB2312" w:hAnsi="仿宋_GB2312" w:eastAsia="仿宋_GB2312" w:cs="仿宋_GB2312"/>
          <w:sz w:val="32"/>
          <w:szCs w:val="32"/>
        </w:rPr>
        <w:t>以上。严格执行骨灰跟踪管理制度，新死亡人员骨灰入葬公墓率达到</w:t>
      </w:r>
      <w:r>
        <w:rPr>
          <w:rFonts w:ascii="仿宋_GB2312" w:hAnsi="仿宋_GB2312" w:eastAsia="仿宋_GB2312" w:cs="仿宋_GB2312"/>
          <w:sz w:val="32"/>
          <w:szCs w:val="32"/>
        </w:rPr>
        <w:t>96%</w:t>
      </w:r>
      <w:r>
        <w:rPr>
          <w:rFonts w:hint="eastAsia" w:ascii="仿宋_GB2312" w:hAnsi="仿宋_GB2312" w:eastAsia="仿宋_GB2312" w:cs="仿宋_GB2312"/>
          <w:sz w:val="32"/>
          <w:szCs w:val="32"/>
        </w:rPr>
        <w:t>以上，全市生态安葬行政村覆盖率达到</w:t>
      </w:r>
      <w:r>
        <w:rPr>
          <w:rFonts w:ascii="仿宋_GB2312" w:hAnsi="仿宋_GB2312" w:eastAsia="仿宋_GB2312" w:cs="仿宋_GB2312"/>
          <w:sz w:val="32"/>
          <w:szCs w:val="32"/>
        </w:rPr>
        <w:t>100%</w:t>
      </w:r>
      <w:r>
        <w:rPr>
          <w:rFonts w:hint="eastAsia" w:ascii="仿宋_GB2312" w:hAnsi="仿宋_GB2312" w:eastAsia="仿宋_GB2312" w:cs="仿宋_GB2312"/>
          <w:sz w:val="32"/>
          <w:szCs w:val="32"/>
        </w:rPr>
        <w:t>。倡导</w:t>
      </w:r>
      <w:r>
        <w:rPr>
          <w:rFonts w:hint="eastAsia" w:ascii="仿宋_GB2312" w:hAnsi="仿宋_GB2312" w:eastAsia="仿宋_GB2312" w:cs="仿宋_GB2312"/>
          <w:spacing w:val="-6"/>
          <w:sz w:val="32"/>
          <w:szCs w:val="32"/>
        </w:rPr>
        <w:t>绿色、低碳、节俭、文明殡葬，</w:t>
      </w:r>
      <w:r>
        <w:rPr>
          <w:rFonts w:hint="eastAsia" w:ascii="仿宋_GB2312" w:hAnsi="仿宋_GB2312" w:eastAsia="仿宋_GB2312" w:cs="仿宋_GB2312"/>
          <w:sz w:val="32"/>
          <w:szCs w:val="32"/>
        </w:rPr>
        <w:t>积极鼓励支持社会力量参与殡葬方式改革，树立生态殡葬、丧事简办、文明祭扫的移风易俗殡葬新风尚。</w:t>
      </w:r>
    </w:p>
    <w:p>
      <w:pPr>
        <w:spacing w:line="600" w:lineRule="exact"/>
        <w:ind w:firstLine="640" w:firstLineChars="200"/>
        <w:rPr>
          <w:rFonts w:ascii="仿宋_GB2312" w:hAnsi="仿宋_GB2312" w:eastAsia="仿宋_GB2312" w:cs="仿宋_GB2312"/>
          <w:sz w:val="32"/>
          <w:szCs w:val="32"/>
        </w:rPr>
      </w:pPr>
      <w:r>
        <w:rPr>
          <w:rFonts w:ascii="仿宋_GB2312" w:hAnsi="仿宋_GB2312" w:eastAsia="仿宋_GB2312" w:cs="仿宋_GB2312"/>
          <w:b/>
          <w:bCs/>
          <w:sz w:val="32"/>
          <w:szCs w:val="32"/>
        </w:rPr>
        <w:t>2.</w:t>
      </w:r>
      <w:r>
        <w:rPr>
          <w:rFonts w:hint="eastAsia" w:ascii="仿宋_GB2312" w:hAnsi="仿宋_GB2312" w:eastAsia="仿宋_GB2312" w:cs="仿宋_GB2312"/>
          <w:b/>
          <w:sz w:val="32"/>
          <w:szCs w:val="32"/>
        </w:rPr>
        <w:t>优化婚姻登记便民便利服务。</w:t>
      </w:r>
      <w:r>
        <w:rPr>
          <w:rFonts w:hint="eastAsia" w:ascii="仿宋_GB2312" w:hAnsi="仿宋_GB2312" w:eastAsia="仿宋_GB2312" w:cs="仿宋_GB2312"/>
          <w:sz w:val="32"/>
          <w:szCs w:val="32"/>
        </w:rPr>
        <w:t>加强文明婚姻文化建设，宣传贯彻执行《中华人民共和国民法典·婚姻家庭编》，完善婚姻文化展厅，推动婚事移风易俗改革，积极探索推行美好简约的婚礼仪式，开展结婚登记免费颁证服务，倡导健康、和谐、幸福、文明的婚</w:t>
      </w:r>
      <w:r>
        <w:rPr>
          <w:rFonts w:hint="eastAsia" w:ascii="仿宋_GB2312" w:hAnsi="仿宋_GB2312" w:eastAsia="仿宋_GB2312" w:cs="仿宋_GB2312"/>
          <w:sz w:val="32"/>
          <w:szCs w:val="32"/>
          <w:lang w:val="en-US" w:eastAsia="zh-CN"/>
        </w:rPr>
        <w:t>俗文化</w:t>
      </w:r>
      <w:r>
        <w:rPr>
          <w:rFonts w:hint="eastAsia" w:ascii="仿宋_GB2312" w:hAnsi="仿宋_GB2312" w:eastAsia="仿宋_GB2312" w:cs="仿宋_GB2312"/>
          <w:sz w:val="32"/>
          <w:szCs w:val="32"/>
        </w:rPr>
        <w:t>。加快推进</w:t>
      </w:r>
      <w:r>
        <w:rPr>
          <w:rFonts w:ascii="仿宋_GB2312" w:hAnsi="仿宋_GB2312" w:eastAsia="仿宋_GB2312" w:cs="仿宋_GB2312"/>
          <w:sz w:val="32"/>
          <w:szCs w:val="32"/>
        </w:rPr>
        <w:t>5A</w:t>
      </w:r>
      <w:r>
        <w:rPr>
          <w:rFonts w:hint="eastAsia" w:ascii="仿宋_GB2312" w:hAnsi="仿宋_GB2312" w:eastAsia="仿宋_GB2312" w:cs="仿宋_GB2312"/>
          <w:sz w:val="32"/>
          <w:szCs w:val="32"/>
        </w:rPr>
        <w:t>级婚姻登记机关场地建设，提高婚姻登记机关平台场景化、规范标准化、信息数字化，打造优质服务窗口。推动婚姻电子证照共享应用和省内内地居民婚姻登记全省通办，完善结婚生育户口“一件事”联办，提高婚姻登记服务水平和质量。建立婚姻家庭辅导服务长效机制，通过政府购买服务等方式，引入社会工作专业力量，为有需求的当事人提供</w:t>
      </w:r>
      <w:r>
        <w:rPr>
          <w:rFonts w:hint="eastAsia" w:eastAsia="仿宋_GB2312"/>
          <w:sz w:val="32"/>
          <w:szCs w:val="32"/>
        </w:rPr>
        <w:t>情感沟通、心理调适、纠纷调解、危机干预、法律咨询</w:t>
      </w:r>
      <w:r>
        <w:rPr>
          <w:rFonts w:hint="eastAsia" w:ascii="仿宋_GB2312" w:hAnsi="仿宋_GB2312" w:eastAsia="仿宋_GB2312" w:cs="仿宋_GB2312"/>
          <w:sz w:val="32"/>
          <w:szCs w:val="32"/>
        </w:rPr>
        <w:t>等服务，探索完善离婚冷静期制度，不断促进家庭与社会的和谐稳定。</w:t>
      </w:r>
    </w:p>
    <w:p>
      <w:pPr>
        <w:spacing w:line="600" w:lineRule="exact"/>
        <w:ind w:firstLine="640" w:firstLineChars="200"/>
        <w:rPr>
          <w:rFonts w:ascii="仿宋_GB2312" w:eastAsia="仿宋_GB2312"/>
          <w:sz w:val="32"/>
          <w:szCs w:val="32"/>
        </w:rPr>
      </w:pPr>
      <w:r>
        <w:rPr>
          <w:rFonts w:ascii="仿宋_GB2312" w:hAnsi="仿宋_GB2312" w:eastAsia="仿宋_GB2312" w:cs="仿宋_GB2312"/>
          <w:b/>
          <w:bCs/>
          <w:sz w:val="32"/>
          <w:szCs w:val="32"/>
        </w:rPr>
        <w:t>3.</w:t>
      </w:r>
      <w:r>
        <w:rPr>
          <w:rFonts w:hint="eastAsia" w:ascii="仿宋_GB2312" w:hAnsi="仿宋_GB2312" w:eastAsia="仿宋_GB2312" w:cs="仿宋_GB2312"/>
          <w:b/>
          <w:bCs/>
          <w:sz w:val="32"/>
          <w:szCs w:val="32"/>
        </w:rPr>
        <w:t>推进区划地名专项管理服务。</w:t>
      </w:r>
      <w:r>
        <w:rPr>
          <w:rFonts w:hint="eastAsia" w:ascii="仿宋_GB2312" w:hAnsi="仿宋_GB2312" w:eastAsia="仿宋_GB2312" w:cs="仿宋_GB2312"/>
          <w:sz w:val="32"/>
          <w:szCs w:val="32"/>
        </w:rPr>
        <w:t>积极适应新型城镇化和城乡融合发展趋势，加强乡镇行政区划优化工作，构建科学合理的行政区划结构体系，积极服务经济社会发展大局。强化行政区域界线管理，加强界桩联合检查和管护，做好平安边界建设。推动行政区划和地名管理服务规范化、标准化、数字化体系建设，提高行政区划和地方管理服务信息数字化水平。</w:t>
      </w:r>
      <w:r>
        <w:rPr>
          <w:rFonts w:hint="eastAsia" w:ascii="仿宋_GB2312" w:eastAsia="仿宋_GB2312"/>
          <w:sz w:val="32"/>
          <w:szCs w:val="32"/>
        </w:rPr>
        <w:t>加强地名规范管理，健全完善“地名评定”专家评审和论证制度。加强地名文化保护，积极开发地名文化遗产，讲好东阳地名文化故事，发挥地名积极传承历史文化的作用。</w:t>
      </w:r>
    </w:p>
    <w:p>
      <w:pPr>
        <w:spacing w:line="600" w:lineRule="exact"/>
        <w:ind w:firstLine="640" w:firstLineChars="200"/>
        <w:rPr>
          <w:rFonts w:ascii="仿宋_GB2312" w:hAnsi="宋体" w:eastAsia="仿宋_GB2312"/>
          <w:sz w:val="32"/>
          <w:szCs w:val="32"/>
        </w:rPr>
      </w:pPr>
      <w:r>
        <w:rPr>
          <w:rFonts w:ascii="仿宋_GB2312" w:hAnsi="仿宋_GB2312" w:eastAsia="仿宋_GB2312" w:cs="仿宋_GB2312"/>
          <w:b/>
          <w:sz w:val="32"/>
          <w:szCs w:val="32"/>
        </w:rPr>
        <w:t>4.</w:t>
      </w:r>
      <w:r>
        <w:rPr>
          <w:rFonts w:hint="eastAsia" w:ascii="仿宋_GB2312" w:hAnsi="仿宋_GB2312" w:eastAsia="仿宋_GB2312" w:cs="仿宋_GB2312"/>
          <w:b/>
          <w:sz w:val="32"/>
          <w:szCs w:val="32"/>
        </w:rPr>
        <w:t>提高水库移民后期扶持效能。</w:t>
      </w:r>
      <w:r>
        <w:rPr>
          <w:rFonts w:hint="eastAsia" w:ascii="仿宋_GB2312" w:hAnsi="仿宋_GB2312" w:eastAsia="仿宋_GB2312" w:cs="仿宋_GB2312"/>
          <w:sz w:val="32"/>
          <w:szCs w:val="32"/>
        </w:rPr>
        <w:t>加强水库移民后扶项目调研，健全完善精准扶持机制，科学合理安排美丽家园建设、产业转型扶持、</w:t>
      </w:r>
      <w:r>
        <w:rPr>
          <w:rFonts w:hint="eastAsia" w:ascii="仿宋_GB2312" w:eastAsia="仿宋_GB2312"/>
          <w:sz w:val="32"/>
          <w:szCs w:val="32"/>
        </w:rPr>
        <w:t>职业技能培训等项目，提高水库移民帮扶精准度，</w:t>
      </w:r>
      <w:r>
        <w:rPr>
          <w:rFonts w:hint="eastAsia" w:ascii="仿宋_GB2312" w:hAnsi="仿宋_GB2312" w:eastAsia="仿宋_GB2312" w:cs="仿宋_GB2312"/>
          <w:sz w:val="32"/>
          <w:szCs w:val="32"/>
        </w:rPr>
        <w:t>增强</w:t>
      </w:r>
      <w:r>
        <w:rPr>
          <w:rFonts w:hint="eastAsia" w:ascii="仿宋_GB2312" w:eastAsia="仿宋_GB2312"/>
          <w:sz w:val="32"/>
          <w:szCs w:val="32"/>
        </w:rPr>
        <w:t>水库移民</w:t>
      </w:r>
      <w:r>
        <w:rPr>
          <w:rFonts w:hint="eastAsia" w:ascii="仿宋_GB2312" w:hAnsi="仿宋_GB2312" w:eastAsia="仿宋_GB2312" w:cs="仿宋_GB2312"/>
          <w:sz w:val="32"/>
          <w:szCs w:val="32"/>
        </w:rPr>
        <w:t>后扶项目绩效。十四五”期间，投入移民项目资金不少于</w:t>
      </w:r>
      <w:r>
        <w:rPr>
          <w:rFonts w:ascii="仿宋_GB2312" w:hAnsi="仿宋_GB2312" w:eastAsia="仿宋_GB2312" w:cs="仿宋_GB2312"/>
          <w:sz w:val="32"/>
          <w:szCs w:val="32"/>
        </w:rPr>
        <w:t>7500</w:t>
      </w:r>
      <w:r>
        <w:rPr>
          <w:rFonts w:hint="eastAsia" w:ascii="仿宋_GB2312" w:hAnsi="仿宋_GB2312" w:eastAsia="仿宋_GB2312" w:cs="仿宋_GB2312"/>
          <w:sz w:val="32"/>
          <w:szCs w:val="32"/>
        </w:rPr>
        <w:t>万元，力争农村移民生产生活条件得到根本改善，移民人均可支配收入总体达到我市农村居民平均水平。创新水库移民后扶模式，</w:t>
      </w:r>
      <w:r>
        <w:rPr>
          <w:rFonts w:hint="eastAsia" w:ascii="仿宋_GB2312" w:eastAsia="仿宋_GB2312"/>
          <w:sz w:val="32"/>
          <w:szCs w:val="32"/>
        </w:rPr>
        <w:t>积极发展“飞地经济”，投资旅游物业、市场物业等有稳定收益的后扶项目，支持水库移民村、库区村集体经济消薄，改善保障特别困难水库移民的生活，发挥水库移民后扶促进共同富裕的作用。加强水库移民后扶项目信息化建设，</w:t>
      </w:r>
      <w:r>
        <w:rPr>
          <w:rFonts w:hint="eastAsia" w:ascii="仿宋_GB2312" w:hAnsi="仿宋_GB2312" w:eastAsia="仿宋_GB2312" w:cs="仿宋_GB2312"/>
          <w:sz w:val="32"/>
          <w:szCs w:val="32"/>
        </w:rPr>
        <w:t>完善水库移民直补资金发放程序，</w:t>
      </w:r>
      <w:r>
        <w:rPr>
          <w:rFonts w:hint="eastAsia" w:ascii="仿宋_GB2312" w:hAnsi="宋体" w:eastAsia="仿宋_GB2312"/>
          <w:sz w:val="32"/>
          <w:szCs w:val="32"/>
        </w:rPr>
        <w:t>强化项目实施全过程管理，着力提高依法履职能力。进一步完善招标、审价等各项制度，及时化解矛盾防范风险，努力维护库区和移民安置区社会稳定。</w:t>
      </w:r>
    </w:p>
    <w:p>
      <w:pPr>
        <w:pStyle w:val="4"/>
        <w:spacing w:before="0" w:after="0" w:line="600" w:lineRule="exact"/>
        <w:ind w:firstLine="473" w:firstLineChars="148"/>
        <w:rPr>
          <w:rFonts w:ascii="楷体_GB2312" w:eastAsia="楷体_GB2312"/>
          <w:b w:val="0"/>
          <w:bCs w:val="0"/>
        </w:rPr>
      </w:pPr>
      <w:bookmarkStart w:id="17" w:name="_Toc81106166"/>
      <w:r>
        <w:rPr>
          <w:rFonts w:hint="eastAsia" w:ascii="楷体_GB2312" w:eastAsia="楷体_GB2312"/>
          <w:b w:val="0"/>
          <w:bCs w:val="0"/>
        </w:rPr>
        <w:t>（五）聚焦社区融合，提升社会组织公益服务</w:t>
      </w:r>
      <w:bookmarkEnd w:id="17"/>
    </w:p>
    <w:p>
      <w:pPr>
        <w:tabs>
          <w:tab w:val="left" w:pos="4175"/>
        </w:tabs>
        <w:spacing w:line="600" w:lineRule="exact"/>
        <w:ind w:firstLine="640" w:firstLineChars="200"/>
        <w:rPr>
          <w:rFonts w:ascii="仿宋_GB2312" w:hAnsi="仿宋_GB2312" w:eastAsia="仿宋_GB2312" w:cs="仿宋_GB2312"/>
          <w:sz w:val="32"/>
          <w:szCs w:val="32"/>
        </w:rPr>
      </w:pPr>
      <w:r>
        <w:rPr>
          <w:rFonts w:ascii="仿宋_GB2312" w:hAnsi="仿宋_GB2312" w:eastAsia="仿宋_GB2312" w:cs="仿宋_GB2312"/>
          <w:b/>
          <w:kern w:val="0"/>
          <w:sz w:val="32"/>
          <w:szCs w:val="32"/>
        </w:rPr>
        <w:t>1.</w:t>
      </w:r>
      <w:r>
        <w:rPr>
          <w:rFonts w:hint="eastAsia" w:ascii="仿宋_GB2312" w:hAnsi="仿宋_GB2312" w:eastAsia="仿宋_GB2312" w:cs="仿宋_GB2312"/>
          <w:b/>
          <w:kern w:val="0"/>
          <w:sz w:val="32"/>
          <w:szCs w:val="32"/>
        </w:rPr>
        <w:t>加强社会组织党建引领工作。</w:t>
      </w:r>
      <w:r>
        <w:rPr>
          <w:rFonts w:hint="eastAsia" w:eastAsia="仿宋_GB2312" w:cs="仿宋_GB2312"/>
          <w:sz w:val="32"/>
          <w:szCs w:val="32"/>
        </w:rPr>
        <w:t>加强社会组织政治建设，以党建为统领，健全社会组织党建工作机制，落实社会组织党建的主体责任。</w:t>
      </w:r>
      <w:r>
        <w:rPr>
          <w:rFonts w:hint="eastAsia" w:ascii="仿宋_GB2312" w:hAnsi="仿宋_GB2312" w:eastAsia="仿宋_GB2312" w:cs="仿宋_GB2312"/>
          <w:kern w:val="0"/>
          <w:sz w:val="32"/>
          <w:szCs w:val="32"/>
        </w:rPr>
        <w:t>加强</w:t>
      </w:r>
      <w:r>
        <w:rPr>
          <w:rFonts w:hint="eastAsia" w:ascii="仿宋_GB2312" w:hAnsi="仿宋_GB2312" w:eastAsia="仿宋_GB2312" w:cs="仿宋_GB2312"/>
          <w:sz w:val="32"/>
          <w:szCs w:val="32"/>
        </w:rPr>
        <w:t>社会组织党群服务中心示范点建设，建立政治功能突出、实体化运作良好、工作机制健全、职责功能完善、资金保障到位的社会组织党群服务中心，扩大乡镇（街道）社会组织党群服务中心服务覆盖面。党建引领开展公益创投活动，重点扶持扶老助残、恤幼济困、助学助医、文体娱乐等面向社区服务的项目，积极打造党建品牌的社会组织、公益项目和慈善活动。建立健全党委领导、政府负责、群团引领、社会协同、公众参与的社会工作统筹机制，加快推进乡镇（街道）社会工作站建设，推行城乡社区社会工作服务组织化、专业化、社会化服务。</w:t>
      </w:r>
    </w:p>
    <w:p>
      <w:pPr>
        <w:spacing w:line="600" w:lineRule="exact"/>
        <w:ind w:firstLine="640" w:firstLineChars="200"/>
        <w:rPr>
          <w:rFonts w:ascii="仿宋_GB2312" w:hAnsi="仿宋_GB2312" w:eastAsia="仿宋_GB2312" w:cs="仿宋_GB2312"/>
          <w:sz w:val="32"/>
          <w:szCs w:val="32"/>
        </w:rPr>
      </w:pPr>
      <w:r>
        <w:rPr>
          <w:rFonts w:ascii="仿宋_GB2312" w:hAnsi="仿宋_GB2312" w:eastAsia="仿宋_GB2312" w:cs="仿宋_GB2312"/>
          <w:b/>
          <w:sz w:val="32"/>
          <w:szCs w:val="32"/>
        </w:rPr>
        <w:t>2.</w:t>
      </w:r>
      <w:r>
        <w:rPr>
          <w:rFonts w:hint="eastAsia" w:ascii="仿宋_GB2312" w:hAnsi="仿宋_GB2312" w:eastAsia="仿宋_GB2312" w:cs="仿宋_GB2312"/>
          <w:b/>
          <w:sz w:val="32"/>
          <w:szCs w:val="32"/>
        </w:rPr>
        <w:t>大力培育发展社会组织。</w:t>
      </w:r>
      <w:r>
        <w:rPr>
          <w:rFonts w:hint="eastAsia" w:ascii="仿宋_GB2312" w:hAnsi="仿宋_GB2312" w:eastAsia="仿宋_GB2312" w:cs="仿宋_GB2312"/>
          <w:sz w:val="32"/>
          <w:szCs w:val="32"/>
        </w:rPr>
        <w:t>加强枢纽型、社区型、公益型、慈善型等社会组织培育，推动社会组织服务公益化、专业化、社会化发展，发挥社会组织参与基层治理和社会服务的作用。加强对社会组织的工作指导，采取分类分级方式，加强对社会组织负责人和党组织负责人相关业务和政策的培训，提高社会组织的组织能力和业务发展活力。加大财政资金、福利彩票公益金对公益性社会组织的支持力度，增加政府向社会组织购买公共服务的支出比例。加大社会组织培育扶持力度，发挥激励培育作用，积极培育一批有较强专业性和信誉度的社会组织，打造一批公益服务品牌项目，培育一批本土品牌社会组织和领军人物。建立健全社会组织监管机制，落实社会组织负责人审核制度，加强对社会组织的信用和业务评价。加强对社会组织的执法监察，有力打击非法组织和违法违规行为，防范和化解风险，营造社会组织健康发展环境。</w:t>
      </w:r>
    </w:p>
    <w:p>
      <w:pPr>
        <w:spacing w:line="600" w:lineRule="exact"/>
        <w:ind w:firstLine="640" w:firstLineChars="200"/>
        <w:rPr>
          <w:rFonts w:ascii="仿宋_GB2312" w:hAnsi="仿宋_GB2312" w:eastAsia="仿宋_GB2312" w:cs="仿宋_GB2312"/>
          <w:sz w:val="32"/>
          <w:szCs w:val="32"/>
        </w:rPr>
      </w:pPr>
      <w:r>
        <w:rPr>
          <w:rFonts w:ascii="仿宋_GB2312" w:eastAsia="仿宋_GB2312"/>
          <w:b/>
          <w:sz w:val="32"/>
          <w:szCs w:val="32"/>
        </w:rPr>
        <w:t>3.</w:t>
      </w:r>
      <w:r>
        <w:rPr>
          <w:rFonts w:hint="eastAsia" w:ascii="仿宋_GB2312" w:eastAsia="仿宋_GB2312"/>
          <w:b/>
          <w:sz w:val="32"/>
          <w:szCs w:val="32"/>
        </w:rPr>
        <w:t>推动社工和志愿者联动发展。</w:t>
      </w:r>
      <w:r>
        <w:rPr>
          <w:rFonts w:hint="eastAsia" w:ascii="仿宋_GB2312" w:hAnsi="仿宋_GB2312" w:eastAsia="仿宋_GB2312" w:cs="仿宋_GB2312"/>
          <w:sz w:val="32"/>
          <w:szCs w:val="32"/>
        </w:rPr>
        <w:t>建立健全党委领导、政府负责、群团支持、社会协同、公众参与的社会工作统筹机制，推进乡镇（街道）社会工作站建设，搭建市、镇、村（社区）三级社会工作服务平台，围绕“</w:t>
      </w:r>
      <w:r>
        <w:rPr>
          <w:rFonts w:ascii="仿宋_GB2312" w:hAnsi="仿宋_GB2312" w:eastAsia="仿宋_GB2312" w:cs="仿宋_GB2312"/>
          <w:sz w:val="32"/>
          <w:szCs w:val="32"/>
        </w:rPr>
        <w:t>1+5+N+X</w:t>
      </w:r>
      <w:r>
        <w:rPr>
          <w:rFonts w:hint="eastAsia" w:ascii="仿宋_GB2312" w:hAnsi="仿宋_GB2312" w:eastAsia="仿宋_GB2312" w:cs="仿宋_GB2312"/>
          <w:sz w:val="32"/>
          <w:szCs w:val="32"/>
        </w:rPr>
        <w:t>”的特色功能开展社会服务。推动社工和志愿者联动发展，建立城乡社区“社工</w:t>
      </w:r>
      <w:r>
        <w:rPr>
          <w:rFonts w:ascii="仿宋_GB2312" w:hAnsi="仿宋_GB2312" w:eastAsia="仿宋_GB2312" w:cs="仿宋_GB2312"/>
          <w:sz w:val="32"/>
          <w:szCs w:val="32"/>
        </w:rPr>
        <w:t>+</w:t>
      </w:r>
      <w:r>
        <w:rPr>
          <w:rFonts w:hint="eastAsia" w:ascii="仿宋_GB2312" w:hAnsi="仿宋_GB2312" w:eastAsia="仿宋_GB2312" w:cs="仿宋_GB2312"/>
          <w:sz w:val="32"/>
          <w:szCs w:val="32"/>
        </w:rPr>
        <w:t>志愿者”社会工作服务格局，稳步建立覆盖社会救助、慈善活动、矛盾调处、康复服务、儿童关爱、心理咨询等领域的社工机构和志愿者组织服务力量体系。推动社会工作职业化发展，建立健全社会工作规范和标准，大力培育民办社工机构，加大政府购买社会服务和补贴奖励力度，推动城乡社区社会工作专业化、多元化、社会化发展。积极培育社工和志愿服务队伍，鼓励社会工作者参加职业水平考试和职业继续教育，将高层次社工人才纳入急需紧缺和重点人才引进范围，加大社会工作领军人才和督导人才培养和引进力度。</w:t>
      </w:r>
    </w:p>
    <w:p>
      <w:pPr>
        <w:pStyle w:val="4"/>
        <w:spacing w:before="0" w:after="0" w:line="600" w:lineRule="exact"/>
        <w:ind w:firstLine="473" w:firstLineChars="148"/>
        <w:rPr>
          <w:rFonts w:ascii="楷体_GB2312" w:eastAsia="楷体_GB2312"/>
          <w:b w:val="0"/>
          <w:bCs w:val="0"/>
        </w:rPr>
      </w:pPr>
      <w:bookmarkStart w:id="18" w:name="_Toc75254939"/>
      <w:bookmarkStart w:id="19" w:name="_Toc81106167"/>
      <w:r>
        <w:rPr>
          <w:rFonts w:hint="eastAsia" w:ascii="楷体_GB2312" w:eastAsia="楷体_GB2312"/>
          <w:b w:val="0"/>
          <w:bCs w:val="0"/>
        </w:rPr>
        <w:t>（六）聚焦智慧慈善，提升现代慈善事业动能</w:t>
      </w:r>
      <w:bookmarkEnd w:id="18"/>
      <w:bookmarkEnd w:id="19"/>
    </w:p>
    <w:p>
      <w:pPr>
        <w:spacing w:line="600" w:lineRule="exact"/>
        <w:ind w:firstLine="640" w:firstLineChars="200"/>
        <w:rPr>
          <w:rFonts w:ascii="仿宋_GB2312" w:hAnsi="仿宋_GB2312" w:eastAsia="仿宋_GB2312" w:cs="仿宋_GB2312"/>
          <w:sz w:val="32"/>
          <w:szCs w:val="32"/>
        </w:rPr>
      </w:pPr>
      <w:r>
        <w:rPr>
          <w:rFonts w:ascii="仿宋_GB2312" w:hAnsi="仿宋_GB2312" w:eastAsia="仿宋_GB2312" w:cs="仿宋_GB2312"/>
          <w:b/>
          <w:sz w:val="32"/>
          <w:szCs w:val="32"/>
        </w:rPr>
        <w:t>1.</w:t>
      </w:r>
      <w:r>
        <w:rPr>
          <w:rFonts w:hint="eastAsia" w:ascii="仿宋_GB2312" w:hAnsi="仿宋_GB2312" w:eastAsia="仿宋_GB2312" w:cs="仿宋_GB2312"/>
          <w:b/>
          <w:sz w:val="32"/>
          <w:szCs w:val="32"/>
        </w:rPr>
        <w:t>健全现代慈善事业体系。</w:t>
      </w:r>
      <w:r>
        <w:rPr>
          <w:rFonts w:hint="eastAsia" w:ascii="仿宋_GB2312" w:hAnsi="仿宋_GB2312" w:eastAsia="仿宋_GB2312" w:cs="仿宋_GB2312"/>
          <w:sz w:val="32"/>
          <w:szCs w:val="32"/>
        </w:rPr>
        <w:t>全面落实《慈善法》，</w:t>
      </w:r>
      <w:r>
        <w:rPr>
          <w:rFonts w:hint="eastAsia" w:ascii="仿宋_GB2312" w:hAnsi="仿宋_GB2312" w:eastAsia="仿宋_GB2312" w:cs="仿宋_GB2312"/>
          <w:sz w:val="32"/>
          <w:szCs w:val="32"/>
          <w:lang w:val="en-GB"/>
        </w:rPr>
        <w:t>坚持“大慈善”发展导向，推动慈善转型发展，运用“互联网</w:t>
      </w:r>
      <w:r>
        <w:rPr>
          <w:rFonts w:ascii="仿宋_GB2312" w:hAnsi="仿宋_GB2312" w:eastAsia="仿宋_GB2312" w:cs="仿宋_GB2312"/>
          <w:sz w:val="32"/>
          <w:szCs w:val="32"/>
          <w:lang w:val="en-GB"/>
        </w:rPr>
        <w:t>+</w:t>
      </w:r>
      <w:r>
        <w:rPr>
          <w:rFonts w:hint="eastAsia" w:ascii="仿宋_GB2312" w:hAnsi="仿宋_GB2312" w:eastAsia="仿宋_GB2312" w:cs="仿宋_GB2312"/>
          <w:sz w:val="32"/>
          <w:szCs w:val="32"/>
          <w:lang w:val="en-GB"/>
        </w:rPr>
        <w:t>”模式，</w:t>
      </w:r>
      <w:r>
        <w:rPr>
          <w:rFonts w:hint="eastAsia" w:ascii="仿宋_GB2312" w:hAnsi="仿宋_GB2312" w:eastAsia="仿宋_GB2312" w:cs="仿宋_GB2312"/>
          <w:sz w:val="32"/>
          <w:szCs w:val="32"/>
        </w:rPr>
        <w:t>推动建立覆盖全市域的慈善组织和慈善活动体系。深化现代慈善事业发展体制改革，强化慈善品牌策划、慈善组织指导、慈善活动协调、慈善资金监管、慈善信息公布、慈善人士表彰等方面职能，发挥指导服务、品牌塑造作用。加强慈善基地建设，引进和调动第三方运行积极性，围绕重点群体和重点领域，打造慈善品牌，拓宽慈善募集渠道，提高慈善资源开发能力，壮大慈善实力内在要求，普及慈善文化，扩大慈善影响，力创具有东阳特色的慈善品牌。</w:t>
      </w:r>
    </w:p>
    <w:p>
      <w:pPr>
        <w:spacing w:line="600" w:lineRule="exact"/>
        <w:ind w:firstLine="640" w:firstLineChars="200"/>
        <w:rPr>
          <w:rFonts w:ascii="仿宋_GB2312" w:hAnsi="仿宋_GB2312" w:eastAsia="仿宋_GB2312" w:cs="仿宋_GB2312"/>
          <w:sz w:val="32"/>
          <w:szCs w:val="32"/>
          <w:lang w:val="en-GB"/>
        </w:rPr>
      </w:pPr>
      <w:r>
        <w:rPr>
          <w:rFonts w:ascii="仿宋_GB2312" w:hAnsi="仿宋_GB2312" w:eastAsia="仿宋_GB2312" w:cs="仿宋_GB2312"/>
          <w:b/>
          <w:sz w:val="32"/>
          <w:szCs w:val="32"/>
        </w:rPr>
        <w:t>2.</w:t>
      </w:r>
      <w:r>
        <w:rPr>
          <w:rFonts w:hint="eastAsia" w:ascii="仿宋_GB2312" w:hAnsi="仿宋_GB2312" w:eastAsia="仿宋_GB2312" w:cs="仿宋_GB2312"/>
          <w:b/>
          <w:sz w:val="32"/>
          <w:szCs w:val="32"/>
        </w:rPr>
        <w:t>深化慈善活动项目。</w:t>
      </w:r>
      <w:r>
        <w:rPr>
          <w:rFonts w:hint="eastAsia" w:ascii="仿宋_GB2312" w:hAnsi="仿宋_GB2312" w:eastAsia="仿宋_GB2312" w:cs="仿宋_GB2312"/>
          <w:sz w:val="32"/>
          <w:szCs w:val="32"/>
        </w:rPr>
        <w:t>积极办好“中华慈善日”和“慈善宣传月”活动，推动慈善文化进机关、进企业、进学校、进社区、进家庭，做好“您慈善、我点赞”慈善文化宣传工作，讲好东阳慈善故事，形成人人可慈善、人人做慈善的良好氛围。积极探索“时间银行”、“公益互助”等志愿者慈善互助互惠活动新模式，不断吸引壮大志愿者队伍，打开志愿者服务工作新局面。</w:t>
      </w:r>
      <w:r>
        <w:rPr>
          <w:rFonts w:hint="eastAsia" w:ascii="仿宋_GB2312" w:hAnsi="仿宋_GB2312" w:eastAsia="仿宋_GB2312" w:cs="仿宋_GB2312"/>
          <w:sz w:val="32"/>
          <w:szCs w:val="32"/>
          <w:lang w:val="en-GB"/>
        </w:rPr>
        <w:t>完善社会募捐机制，</w:t>
      </w:r>
      <w:r>
        <w:rPr>
          <w:rFonts w:hint="eastAsia" w:ascii="仿宋_GB2312" w:hAnsi="仿宋_GB2312" w:eastAsia="仿宋_GB2312" w:cs="仿宋_GB2312"/>
          <w:sz w:val="32"/>
          <w:szCs w:val="32"/>
        </w:rPr>
        <w:t>深入开展慈善宣传动员和募捐互动，持续深化“慈善一日捐”活动，</w:t>
      </w:r>
      <w:r>
        <w:rPr>
          <w:rFonts w:hint="eastAsia" w:ascii="仿宋_GB2312" w:hAnsi="仿宋_GB2312" w:eastAsia="仿宋_GB2312" w:cs="仿宋_GB2312"/>
          <w:sz w:val="32"/>
          <w:szCs w:val="32"/>
          <w:lang w:val="en-GB"/>
        </w:rPr>
        <w:t>拓宽慈善资金新渠道，</w:t>
      </w:r>
      <w:r>
        <w:rPr>
          <w:rFonts w:hint="eastAsia" w:ascii="仿宋_GB2312" w:hAnsi="仿宋_GB2312" w:eastAsia="仿宋_GB2312" w:cs="仿宋_GB2312"/>
          <w:sz w:val="32"/>
          <w:szCs w:val="32"/>
        </w:rPr>
        <w:t>积极开展慈善募捐活动，</w:t>
      </w:r>
      <w:r>
        <w:rPr>
          <w:rFonts w:hint="eastAsia" w:ascii="仿宋_GB2312" w:hAnsi="仿宋_GB2312" w:eastAsia="仿宋_GB2312" w:cs="仿宋_GB2312"/>
          <w:sz w:val="32"/>
          <w:szCs w:val="32"/>
          <w:lang w:val="en-GB"/>
        </w:rPr>
        <w:t>强化精准扶贫，</w:t>
      </w:r>
      <w:r>
        <w:rPr>
          <w:rFonts w:hint="eastAsia" w:ascii="仿宋_GB2312" w:hAnsi="仿宋_GB2312" w:eastAsia="仿宋_GB2312" w:cs="仿宋_GB2312"/>
          <w:sz w:val="32"/>
          <w:szCs w:val="32"/>
        </w:rPr>
        <w:t>发挥慈善救助救难作用，创建慈善公益品牌。</w:t>
      </w:r>
    </w:p>
    <w:p>
      <w:pPr>
        <w:spacing w:line="600" w:lineRule="exact"/>
        <w:ind w:firstLine="640" w:firstLineChars="200"/>
        <w:rPr>
          <w:rFonts w:ascii="仿宋_GB2312" w:hAnsi="仿宋_GB2312" w:eastAsia="仿宋_GB2312" w:cs="仿宋_GB2312"/>
          <w:sz w:val="32"/>
          <w:szCs w:val="32"/>
        </w:rPr>
      </w:pPr>
      <w:r>
        <w:rPr>
          <w:rFonts w:ascii="仿宋_GB2312" w:hAnsi="仿宋_GB2312" w:eastAsia="仿宋_GB2312" w:cs="仿宋_GB2312"/>
          <w:b/>
          <w:sz w:val="32"/>
          <w:szCs w:val="32"/>
        </w:rPr>
        <w:t>3.</w:t>
      </w:r>
      <w:r>
        <w:rPr>
          <w:rFonts w:hint="eastAsia" w:ascii="仿宋_GB2312" w:hAnsi="仿宋_GB2312" w:eastAsia="仿宋_GB2312" w:cs="仿宋_GB2312"/>
          <w:b/>
          <w:sz w:val="32"/>
          <w:szCs w:val="32"/>
        </w:rPr>
        <w:t>促进慈善事业健康发展。</w:t>
      </w:r>
      <w:r>
        <w:rPr>
          <w:rFonts w:hint="eastAsia" w:ascii="仿宋_GB2312" w:hAnsi="仿宋_GB2312" w:eastAsia="仿宋_GB2312" w:cs="仿宋_GB2312"/>
          <w:sz w:val="32"/>
          <w:szCs w:val="32"/>
        </w:rPr>
        <w:t>建立完善与慈善社会责任、慈善个人积分、慈善公益互助等相配套的激励政策制度，落实优惠政策和支持条件，广泛调动社会公众参与慈善活动的积极性。加强对慈善活动全过程的数据监测和信息公开监管，建立形成行业自律、社会监督、政府监管相结合的综合监管体系。规范慈善组织慈善行为，提高慈善组织社会信誉，促进慈善事业健康发展。</w:t>
      </w:r>
    </w:p>
    <w:p>
      <w:pPr>
        <w:pStyle w:val="4"/>
        <w:spacing w:before="0" w:after="0" w:line="600" w:lineRule="exact"/>
        <w:ind w:firstLine="473" w:firstLineChars="148"/>
        <w:rPr>
          <w:rFonts w:ascii="楷体_GB2312" w:eastAsia="楷体_GB2312"/>
          <w:b w:val="0"/>
          <w:bCs w:val="0"/>
        </w:rPr>
      </w:pPr>
      <w:bookmarkStart w:id="20" w:name="_Toc81106168"/>
      <w:r>
        <w:rPr>
          <w:rFonts w:hint="eastAsia" w:ascii="楷体_GB2312" w:eastAsia="楷体_GB2312"/>
          <w:b w:val="0"/>
          <w:bCs w:val="0"/>
        </w:rPr>
        <w:t>（七）聚焦数字改革，提升智慧民政码办速度</w:t>
      </w:r>
      <w:bookmarkEnd w:id="20"/>
    </w:p>
    <w:p>
      <w:pPr>
        <w:spacing w:line="600" w:lineRule="exact"/>
        <w:ind w:firstLine="640"/>
        <w:rPr>
          <w:rFonts w:ascii="仿宋_GB2312" w:hAnsi="仿宋_GB2312" w:eastAsia="仿宋_GB2312" w:cs="仿宋_GB2312"/>
          <w:sz w:val="32"/>
          <w:szCs w:val="32"/>
        </w:rPr>
      </w:pPr>
      <w:r>
        <w:rPr>
          <w:rFonts w:ascii="仿宋_GB2312" w:hAnsi="仿宋_GB2312" w:eastAsia="仿宋_GB2312" w:cs="仿宋_GB2312"/>
          <w:b/>
          <w:bCs/>
          <w:sz w:val="32"/>
          <w:szCs w:val="32"/>
        </w:rPr>
        <w:t>1.</w:t>
      </w:r>
      <w:r>
        <w:rPr>
          <w:rFonts w:hint="eastAsia" w:ascii="仿宋_GB2312" w:hAnsi="仿宋_GB2312" w:eastAsia="仿宋_GB2312" w:cs="仿宋_GB2312"/>
          <w:b/>
          <w:bCs/>
          <w:sz w:val="32"/>
          <w:szCs w:val="32"/>
        </w:rPr>
        <w:t>提升民政资源数字化率。</w:t>
      </w:r>
      <w:r>
        <w:rPr>
          <w:rFonts w:hint="eastAsia" w:ascii="仿宋_GB2312" w:hAnsi="仿宋_GB2312" w:eastAsia="仿宋_GB2312" w:cs="仿宋_GB2312"/>
          <w:sz w:val="32"/>
          <w:szCs w:val="32"/>
        </w:rPr>
        <w:t>以民政服务“码上办”为抓手，在全面贯通</w:t>
      </w:r>
      <w:r>
        <w:rPr>
          <w:rFonts w:ascii="仿宋_GB2312" w:hAnsi="仿宋_GB2312" w:eastAsia="仿宋_GB2312" w:cs="仿宋_GB2312"/>
          <w:sz w:val="32"/>
          <w:szCs w:val="32"/>
        </w:rPr>
        <w:t xml:space="preserve"> 12 </w:t>
      </w:r>
      <w:r>
        <w:rPr>
          <w:rFonts w:hint="eastAsia" w:ascii="仿宋_GB2312" w:hAnsi="仿宋_GB2312" w:eastAsia="仿宋_GB2312" w:cs="仿宋_GB2312"/>
          <w:sz w:val="32"/>
          <w:szCs w:val="32"/>
        </w:rPr>
        <w:t>个条线“码上办”的基础上，全面挖掘民政资源信息，建立数据目录化、目录全局化、全局动态化的民政数据归集工作机制，实现数据全量、准确、实时归集，形成民政数据资源支撑体系。加强数据安全监测预警和态势感知能力建设，保证民政数字系统稳定安全运行。</w:t>
      </w:r>
    </w:p>
    <w:p>
      <w:pPr>
        <w:spacing w:line="600" w:lineRule="exact"/>
        <w:ind w:firstLine="640"/>
        <w:rPr>
          <w:rFonts w:ascii="仿宋_GB2312" w:hAnsi="仿宋_GB2312" w:eastAsia="仿宋_GB2312" w:cs="仿宋_GB2312"/>
          <w:sz w:val="32"/>
          <w:szCs w:val="32"/>
        </w:rPr>
      </w:pPr>
      <w:r>
        <w:rPr>
          <w:rFonts w:ascii="仿宋_GB2312" w:hAnsi="仿宋_GB2312" w:eastAsia="仿宋_GB2312" w:cs="仿宋_GB2312"/>
          <w:b/>
          <w:bCs/>
          <w:sz w:val="32"/>
          <w:szCs w:val="32"/>
        </w:rPr>
        <w:t>2.</w:t>
      </w:r>
      <w:r>
        <w:rPr>
          <w:rFonts w:hint="eastAsia" w:ascii="仿宋_GB2312" w:hAnsi="仿宋_GB2312" w:eastAsia="仿宋_GB2312" w:cs="仿宋_GB2312"/>
          <w:b/>
          <w:bCs/>
          <w:sz w:val="32"/>
          <w:szCs w:val="32"/>
        </w:rPr>
        <w:t>提升民政工作数字化率。</w:t>
      </w:r>
      <w:r>
        <w:rPr>
          <w:rFonts w:hint="eastAsia" w:ascii="仿宋_GB2312" w:hAnsi="仿宋_GB2312" w:eastAsia="仿宋_GB2312" w:cs="仿宋_GB2312"/>
          <w:sz w:val="32"/>
          <w:szCs w:val="32"/>
        </w:rPr>
        <w:t>建立完善民政工作数字化管理制度，加强业务部门信息共享与治理合作，创新数字化治理手段。打造强化型的民政综合“驾驶舱”，做到“一组数据看态势”，为民政领域社会治理提供精准量化的分析与管理手段。</w:t>
      </w:r>
    </w:p>
    <w:p>
      <w:pPr>
        <w:spacing w:line="600" w:lineRule="exact"/>
        <w:ind w:firstLine="640"/>
        <w:rPr>
          <w:rFonts w:ascii="仿宋_GB2312" w:hAnsi="仿宋_GB2312" w:eastAsia="仿宋_GB2312" w:cs="仿宋_GB2312"/>
          <w:sz w:val="32"/>
          <w:szCs w:val="32"/>
        </w:rPr>
      </w:pPr>
      <w:r>
        <w:rPr>
          <w:rFonts w:ascii="仿宋_GB2312" w:hAnsi="仿宋_GB2312" w:eastAsia="仿宋_GB2312" w:cs="仿宋_GB2312"/>
          <w:b/>
          <w:bCs/>
          <w:sz w:val="32"/>
          <w:szCs w:val="32"/>
        </w:rPr>
        <w:t>3.</w:t>
      </w:r>
      <w:r>
        <w:rPr>
          <w:rFonts w:hint="eastAsia" w:ascii="仿宋_GB2312" w:hAnsi="仿宋_GB2312" w:eastAsia="仿宋_GB2312" w:cs="仿宋_GB2312"/>
          <w:b/>
          <w:bCs/>
          <w:sz w:val="32"/>
          <w:szCs w:val="32"/>
        </w:rPr>
        <w:t>提升民政服务管理智能化率。</w:t>
      </w:r>
      <w:r>
        <w:rPr>
          <w:rFonts w:hint="eastAsia" w:ascii="仿宋_GB2312" w:hAnsi="仿宋_GB2312" w:eastAsia="仿宋_GB2312" w:cs="仿宋_GB2312"/>
          <w:sz w:val="32"/>
          <w:szCs w:val="32"/>
        </w:rPr>
        <w:t>深度梳理核心业务，细化流程和场景，选择业务模式成熟、工作标准清晰、不需要复杂人工认知评估的业务条线，构建“业务系统建设</w:t>
      </w:r>
      <w:r>
        <w:rPr>
          <w:rFonts w:ascii="仿宋_GB2312" w:hAnsi="仿宋_GB2312" w:eastAsia="仿宋_GB2312" w:cs="仿宋_GB2312"/>
          <w:sz w:val="32"/>
          <w:szCs w:val="32"/>
        </w:rPr>
        <w:t>+</w:t>
      </w:r>
      <w:r>
        <w:rPr>
          <w:rFonts w:hint="eastAsia" w:ascii="仿宋_GB2312" w:hAnsi="仿宋_GB2312" w:eastAsia="仿宋_GB2312" w:cs="仿宋_GB2312"/>
          <w:sz w:val="32"/>
          <w:szCs w:val="32"/>
        </w:rPr>
        <w:t>数据集成分析”民政管理服务闭环。利用前期积累的数据开展深度学习，结合物联网、人工智能技术应用，逐步扩大民政业务智能秒办、无感智办的环节和事项，做到“一部手机办事项”。</w:t>
      </w:r>
    </w:p>
    <w:p>
      <w:pPr>
        <w:pStyle w:val="4"/>
        <w:spacing w:before="0" w:after="0" w:line="600" w:lineRule="exact"/>
        <w:ind w:firstLine="633" w:firstLineChars="198"/>
        <w:rPr>
          <w:rFonts w:ascii="黑体" w:hAnsi="黑体" w:eastAsia="黑体" w:cs="黑体"/>
          <w:b w:val="0"/>
          <w:bCs w:val="0"/>
        </w:rPr>
      </w:pPr>
      <w:bookmarkStart w:id="21" w:name="_Toc81106169"/>
      <w:r>
        <w:rPr>
          <w:rFonts w:hint="eastAsia" w:ascii="黑体" w:hAnsi="黑体" w:eastAsia="黑体" w:cs="黑体"/>
          <w:b w:val="0"/>
          <w:bCs w:val="0"/>
        </w:rPr>
        <w:t>四、保障措施</w:t>
      </w:r>
      <w:bookmarkEnd w:id="21"/>
    </w:p>
    <w:p>
      <w:pPr>
        <w:pStyle w:val="4"/>
        <w:spacing w:before="0" w:after="0" w:line="600" w:lineRule="exact"/>
        <w:ind w:firstLine="473" w:firstLineChars="148"/>
        <w:rPr>
          <w:rFonts w:ascii="楷体_GB2312" w:eastAsia="楷体_GB2312"/>
          <w:b w:val="0"/>
          <w:bCs w:val="0"/>
        </w:rPr>
      </w:pPr>
      <w:bookmarkStart w:id="22" w:name="_Toc81106170"/>
      <w:r>
        <w:rPr>
          <w:rFonts w:hint="eastAsia" w:ascii="楷体_GB2312" w:eastAsia="楷体_GB2312"/>
          <w:b w:val="0"/>
          <w:bCs w:val="0"/>
        </w:rPr>
        <w:t>（一）加强党的领导</w:t>
      </w:r>
      <w:bookmarkEnd w:id="22"/>
    </w:p>
    <w:p>
      <w:pPr>
        <w:spacing w:line="600" w:lineRule="exact"/>
        <w:ind w:firstLine="627" w:firstLineChars="196"/>
        <w:rPr>
          <w:rFonts w:ascii="仿宋_GB2312" w:hAnsi="仿宋_GB2312" w:eastAsia="仿宋_GB2312" w:cs="仿宋_GB2312"/>
          <w:sz w:val="32"/>
          <w:szCs w:val="32"/>
        </w:rPr>
      </w:pPr>
      <w:r>
        <w:rPr>
          <w:rFonts w:hint="eastAsia" w:eastAsia="仿宋_GB2312"/>
          <w:sz w:val="32"/>
          <w:szCs w:val="32"/>
        </w:rPr>
        <w:t>坚持党的全面领导，将民政事业放在“关心民生、赢取民心”的重要位置，</w:t>
      </w:r>
      <w:r>
        <w:rPr>
          <w:rFonts w:hint="eastAsia" w:ascii="仿宋_GB2312" w:hAnsi="仿宋_GB2312" w:eastAsia="仿宋_GB2312" w:cs="仿宋_GB2312"/>
          <w:sz w:val="32"/>
          <w:szCs w:val="32"/>
        </w:rPr>
        <w:t>切实增强“四个意识”、坚定“四个自信”、做到“两个维护”，确保把习近平总书记对民政工作的重</w:t>
      </w:r>
      <w:r>
        <w:rPr>
          <w:rFonts w:hint="eastAsia" w:eastAsia="仿宋_GB2312"/>
          <w:sz w:val="32"/>
          <w:szCs w:val="32"/>
        </w:rPr>
        <w:t>要指示贯穿到“民政爱民、民政为民”工作的全过程、各方面、各环节。不断提高政治判断力、政治领悟力、政治执行力，积极探索党建工作和业务工作同向而行、同频共振的方法路径，确保党建工作和业务工作深度融合、互促共进。</w:t>
      </w:r>
      <w:r>
        <w:rPr>
          <w:rFonts w:hint="eastAsia" w:ascii="仿宋_GB2312" w:hAnsi="仿宋_GB2312" w:eastAsia="仿宋_GB2312" w:cs="仿宋_GB2312"/>
          <w:sz w:val="32"/>
          <w:szCs w:val="32"/>
        </w:rPr>
        <w:t>坚持全面从严治党，落实主体责任，深化“清廉民政”建设，着力整治不正之风和腐败问题，为民政事业高质量发展提供坚强保障。</w:t>
      </w:r>
    </w:p>
    <w:p>
      <w:pPr>
        <w:pStyle w:val="4"/>
        <w:spacing w:before="0" w:after="0" w:line="600" w:lineRule="exact"/>
        <w:ind w:firstLine="473" w:firstLineChars="148"/>
        <w:rPr>
          <w:rFonts w:ascii="楷体_GB2312" w:eastAsia="楷体_GB2312"/>
          <w:b w:val="0"/>
          <w:bCs w:val="0"/>
        </w:rPr>
      </w:pPr>
      <w:bookmarkStart w:id="23" w:name="_Toc81106171"/>
      <w:r>
        <w:rPr>
          <w:rFonts w:hint="eastAsia" w:ascii="楷体_GB2312" w:eastAsia="楷体_GB2312"/>
          <w:b w:val="0"/>
          <w:bCs w:val="0"/>
        </w:rPr>
        <w:t>（二）夯实力量基础</w:t>
      </w:r>
      <w:bookmarkEnd w:id="23"/>
    </w:p>
    <w:p>
      <w:pPr>
        <w:spacing w:line="600" w:lineRule="exact"/>
        <w:ind w:firstLine="627" w:firstLineChars="196"/>
        <w:rPr>
          <w:sz w:val="32"/>
          <w:szCs w:val="32"/>
        </w:rPr>
      </w:pPr>
      <w:r>
        <w:rPr>
          <w:rFonts w:hint="eastAsia" w:ascii="仿宋_GB2312" w:hAnsi="仿宋_GB2312" w:eastAsia="仿宋_GB2312" w:cs="仿宋_GB2312"/>
          <w:sz w:val="32"/>
          <w:szCs w:val="32"/>
        </w:rPr>
        <w:t>配优配强民政干部队伍，足额配备乡镇（街道）民政工作经办服务人员，以</w:t>
      </w:r>
      <w:r>
        <w:rPr>
          <w:rFonts w:hint="eastAsia" w:ascii="仿宋_GB2312" w:hAnsi="仿宋_GB2312" w:eastAsia="仿宋_GB2312" w:cs="仿宋_GB2312"/>
          <w:kern w:val="0"/>
          <w:sz w:val="32"/>
          <w:szCs w:val="32"/>
        </w:rPr>
        <w:t>提升基层民政服务质量为重点，打造一支适应新时代民政事业高质量发展需求的基层民政队伍。健全基层民政机构，强化人员配备，畅通运行体制，形成运作有效、保障有力、服务高效、群众满意的基层民政运行机制。</w:t>
      </w:r>
    </w:p>
    <w:p>
      <w:pPr>
        <w:pStyle w:val="4"/>
        <w:spacing w:before="0" w:after="0" w:line="600" w:lineRule="exact"/>
        <w:ind w:firstLine="473" w:firstLineChars="148"/>
        <w:jc w:val="left"/>
        <w:rPr>
          <w:rFonts w:ascii="楷体_GB2312" w:eastAsia="楷体_GB2312"/>
          <w:b w:val="0"/>
          <w:bCs w:val="0"/>
        </w:rPr>
      </w:pPr>
      <w:bookmarkStart w:id="24" w:name="_Toc81106172"/>
      <w:r>
        <w:rPr>
          <w:rFonts w:hint="eastAsia" w:ascii="楷体_GB2312" w:eastAsia="楷体_GB2312"/>
          <w:b w:val="0"/>
          <w:bCs w:val="0"/>
        </w:rPr>
        <w:t>（三）深化法治民政</w:t>
      </w:r>
      <w:bookmarkEnd w:id="24"/>
    </w:p>
    <w:p>
      <w:pPr>
        <w:spacing w:line="600" w:lineRule="exact"/>
        <w:ind w:firstLine="640" w:firstLineChars="200"/>
        <w:rPr>
          <w:rFonts w:ascii="仿宋_GB2312" w:hAnsi="仿宋_GB2312" w:eastAsia="仿宋_GB2312" w:cs="仿宋_GB2312"/>
          <w:sz w:val="32"/>
          <w:szCs w:val="32"/>
        </w:rPr>
      </w:pPr>
      <w:r>
        <w:rPr>
          <w:rFonts w:hint="eastAsia" w:eastAsia="仿宋_GB2312" w:cs="仿宋_GB2312"/>
          <w:sz w:val="32"/>
          <w:szCs w:val="32"/>
        </w:rPr>
        <w:t>加强对民政领域的普法教育工作，增强民政工作人员的法律意识，</w:t>
      </w:r>
      <w:r>
        <w:rPr>
          <w:rFonts w:hint="eastAsia" w:ascii="仿宋_GB2312" w:hAnsi="仿宋_GB2312" w:eastAsia="仿宋_GB2312" w:cs="仿宋_GB2312"/>
          <w:sz w:val="32"/>
          <w:szCs w:val="32"/>
        </w:rPr>
        <w:t>建立民政系统外聘法律顾问制度，</w:t>
      </w:r>
      <w:r>
        <w:rPr>
          <w:rFonts w:hint="eastAsia" w:eastAsia="仿宋_GB2312" w:cs="仿宋_GB2312"/>
          <w:sz w:val="32"/>
          <w:szCs w:val="32"/>
        </w:rPr>
        <w:t>提高依法行政和依法服务、依法管理能力水平。严格民政执法监管规范，全面落实“双随机一公开”监管机制，全面推行行政执法公示、执法全过程记录、重大执法决定制度审核“三项制度”，开展跨部门跨层级联合执法。加快实施“互联网</w:t>
      </w:r>
      <w:r>
        <w:rPr>
          <w:rFonts w:eastAsia="仿宋_GB2312" w:cs="仿宋_GB2312"/>
          <w:sz w:val="32"/>
          <w:szCs w:val="32"/>
        </w:rPr>
        <w:t>+</w:t>
      </w:r>
      <w:r>
        <w:rPr>
          <w:rFonts w:hint="eastAsia" w:eastAsia="仿宋_GB2312" w:cs="仿宋_GB2312"/>
          <w:sz w:val="32"/>
          <w:szCs w:val="32"/>
        </w:rPr>
        <w:t>民政监管”的民政监管执法体系，建立健全数字执法功能平台，推动数字监管、线上执法、掌上处罚，提高民政监管执法智慧效能。</w:t>
      </w:r>
    </w:p>
    <w:p>
      <w:pPr>
        <w:pStyle w:val="4"/>
        <w:spacing w:before="0" w:after="0" w:line="600" w:lineRule="exact"/>
        <w:ind w:firstLine="473" w:firstLineChars="148"/>
        <w:rPr>
          <w:rFonts w:ascii="楷体_GB2312" w:eastAsia="楷体_GB2312"/>
          <w:b w:val="0"/>
          <w:bCs w:val="0"/>
        </w:rPr>
      </w:pPr>
      <w:bookmarkStart w:id="25" w:name="_Toc81106173"/>
      <w:r>
        <w:rPr>
          <w:rFonts w:hint="eastAsia" w:ascii="楷体_GB2312" w:eastAsia="楷体_GB2312"/>
          <w:b w:val="0"/>
          <w:bCs w:val="0"/>
        </w:rPr>
        <w:t>（四）强化安全稳定</w:t>
      </w:r>
      <w:bookmarkEnd w:id="25"/>
    </w:p>
    <w:p>
      <w:pPr>
        <w:spacing w:line="600"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kern w:val="0"/>
          <w:sz w:val="32"/>
          <w:szCs w:val="32"/>
        </w:rPr>
        <w:t>牢固树立</w:t>
      </w:r>
      <w:r>
        <w:rPr>
          <w:rFonts w:hint="eastAsia" w:ascii="仿宋_GB2312" w:hAnsi="仿宋_GB2312" w:eastAsia="仿宋_GB2312" w:cs="仿宋_GB2312"/>
          <w:sz w:val="32"/>
          <w:szCs w:val="32"/>
        </w:rPr>
        <w:t>安全稳定发展理念，坚持以人民为中心，切实强化底线思维，构建民政大安全格局。建立健全民政领域风险防范化解工作机制，严格落实安全生产责任制，完善安全预防控制体系，健全安全风险评估制度。强化民政服务“聚民心、暖人心”功能，积极发挥民政事业的“平安东阳”建设作用。严格落实各级民政服务机构主体责任，加强安全稳定培训教育，定期开展安全稳定排查整治，提高安全稳定响应能力和水平。</w:t>
      </w:r>
    </w:p>
    <w:p>
      <w:pPr>
        <w:pStyle w:val="4"/>
        <w:spacing w:before="0" w:after="0" w:line="600" w:lineRule="exact"/>
        <w:ind w:firstLine="633" w:firstLineChars="198"/>
        <w:rPr>
          <w:rFonts w:ascii="黑体" w:eastAsia="黑体"/>
          <w:b w:val="0"/>
          <w:bCs w:val="0"/>
        </w:rPr>
      </w:pPr>
      <w:bookmarkStart w:id="26" w:name="_Toc81106174"/>
      <w:r>
        <w:rPr>
          <w:rFonts w:hint="eastAsia" w:ascii="黑体" w:eastAsia="黑体"/>
          <w:b w:val="0"/>
          <w:bCs w:val="0"/>
        </w:rPr>
        <w:t>五、规划实施</w:t>
      </w:r>
      <w:bookmarkEnd w:id="26"/>
    </w:p>
    <w:p>
      <w:pPr>
        <w:pStyle w:val="4"/>
        <w:spacing w:before="0" w:after="0" w:line="600" w:lineRule="exact"/>
        <w:ind w:firstLine="473" w:firstLineChars="148"/>
        <w:rPr>
          <w:rFonts w:ascii="楷体_GB2312" w:eastAsia="楷体_GB2312"/>
          <w:b w:val="0"/>
          <w:bCs w:val="0"/>
        </w:rPr>
      </w:pPr>
      <w:bookmarkStart w:id="27" w:name="_Toc81106175"/>
      <w:r>
        <w:rPr>
          <w:rFonts w:hint="eastAsia" w:ascii="楷体_GB2312" w:eastAsia="楷体_GB2312"/>
          <w:b w:val="0"/>
          <w:bCs w:val="0"/>
        </w:rPr>
        <w:t>（一）加强组织领导</w:t>
      </w:r>
      <w:bookmarkEnd w:id="27"/>
    </w:p>
    <w:p>
      <w:pPr>
        <w:spacing w:line="600" w:lineRule="exact"/>
        <w:ind w:firstLine="640" w:firstLineChars="200"/>
        <w:rPr>
          <w:rFonts w:ascii="仿宋_GB2312" w:hAnsi="仿宋_GB2312" w:eastAsia="仿宋_GB2312" w:cs="仿宋_GB2312"/>
          <w:sz w:val="32"/>
          <w:szCs w:val="32"/>
        </w:rPr>
      </w:pPr>
      <w:r>
        <w:rPr>
          <w:rFonts w:hint="eastAsia" w:eastAsia="仿宋_GB2312"/>
          <w:sz w:val="32"/>
          <w:szCs w:val="32"/>
        </w:rPr>
        <w:t>加强对民政工作统筹领导，建立上下贯通、部门协作、社会参与、整体协同的组织体系。加强民政党建工作，激发基层社区、社会组织、社工机构、社区慈善、志愿者队伍发展活力，形成民政事业“五社联动”发展力量格局。将民政事业指标列入党政工作考核重要内容，发挥绩效考核指挥棒作用，切实落实主体责任，强化部门齐抓共管、协调联动，形成推进民政事业发展的强大合力。</w:t>
      </w:r>
    </w:p>
    <w:p>
      <w:pPr>
        <w:pStyle w:val="4"/>
        <w:spacing w:before="0" w:after="0" w:line="600" w:lineRule="exact"/>
        <w:ind w:firstLine="473" w:firstLineChars="148"/>
        <w:rPr>
          <w:rFonts w:ascii="楷体_GB2312" w:eastAsia="楷体_GB2312"/>
          <w:b w:val="0"/>
          <w:bCs w:val="0"/>
        </w:rPr>
      </w:pPr>
      <w:bookmarkStart w:id="28" w:name="_Toc81106176"/>
      <w:r>
        <w:rPr>
          <w:rFonts w:hint="eastAsia" w:ascii="楷体_GB2312" w:eastAsia="楷体_GB2312"/>
          <w:b w:val="0"/>
          <w:bCs w:val="0"/>
        </w:rPr>
        <w:t>（二）健全实施机制</w:t>
      </w:r>
      <w:bookmarkEnd w:id="28"/>
    </w:p>
    <w:p>
      <w:pPr>
        <w:spacing w:line="600" w:lineRule="exact"/>
        <w:ind w:firstLine="640" w:firstLineChars="200"/>
        <w:rPr>
          <w:rFonts w:ascii="仿宋_GB2312" w:eastAsia="仿宋_GB2312"/>
          <w:sz w:val="32"/>
          <w:szCs w:val="32"/>
        </w:rPr>
      </w:pPr>
      <w:r>
        <w:rPr>
          <w:rFonts w:hint="eastAsia" w:ascii="仿宋_GB2312" w:eastAsia="仿宋_GB2312"/>
          <w:sz w:val="32"/>
          <w:szCs w:val="32"/>
        </w:rPr>
        <w:t>建立健全规划实施管理机制，</w:t>
      </w:r>
      <w:r>
        <w:rPr>
          <w:rFonts w:hint="eastAsia" w:ascii="仿宋_GB2312" w:hAnsi="仿宋_GB2312" w:eastAsia="仿宋_GB2312" w:cs="仿宋_GB2312"/>
          <w:sz w:val="32"/>
          <w:szCs w:val="32"/>
        </w:rPr>
        <w:t>对规划涉及的各项任务制定工作计划和行动方案，分解工作任务，</w:t>
      </w:r>
      <w:r>
        <w:rPr>
          <w:rFonts w:hint="eastAsia" w:ascii="仿宋_GB2312" w:eastAsia="仿宋_GB2312"/>
          <w:sz w:val="32"/>
          <w:szCs w:val="32"/>
        </w:rPr>
        <w:t>落实主体责任，</w:t>
      </w:r>
      <w:r>
        <w:rPr>
          <w:rFonts w:hint="eastAsia" w:ascii="仿宋_GB2312" w:hAnsi="仿宋_GB2312" w:eastAsia="仿宋_GB2312" w:cs="仿宋_GB2312"/>
          <w:sz w:val="32"/>
          <w:szCs w:val="32"/>
        </w:rPr>
        <w:t>明确具体举措，有力</w:t>
      </w:r>
      <w:r>
        <w:rPr>
          <w:rFonts w:hint="eastAsia" w:ascii="仿宋_GB2312" w:eastAsia="仿宋_GB2312"/>
          <w:sz w:val="32"/>
          <w:szCs w:val="32"/>
        </w:rPr>
        <w:t>推进规划顺利实施。充分利用智慧民政数据资源，加强数据分析和目标监测，准确掌握规划实施进展情况，</w:t>
      </w:r>
      <w:r>
        <w:rPr>
          <w:rFonts w:hint="eastAsia" w:ascii="仿宋_GB2312" w:hAnsi="仿宋_GB2312" w:eastAsia="仿宋_GB2312" w:cs="仿宋_GB2312"/>
          <w:sz w:val="32"/>
          <w:szCs w:val="32"/>
        </w:rPr>
        <w:t>确保完成各阶段的发展和改革目标任务，</w:t>
      </w:r>
      <w:r>
        <w:rPr>
          <w:rFonts w:hint="eastAsia" w:ascii="仿宋_GB2312" w:eastAsia="仿宋_GB2312"/>
          <w:sz w:val="32"/>
          <w:szCs w:val="32"/>
        </w:rPr>
        <w:t>兑现对人民群众的郑重承诺。</w:t>
      </w:r>
    </w:p>
    <w:p>
      <w:pPr>
        <w:pStyle w:val="4"/>
        <w:spacing w:before="0" w:after="0" w:line="600" w:lineRule="exact"/>
        <w:ind w:firstLine="473" w:firstLineChars="148"/>
        <w:rPr>
          <w:rFonts w:ascii="楷体_GB2312" w:eastAsia="楷体_GB2312"/>
          <w:b w:val="0"/>
          <w:bCs w:val="0"/>
        </w:rPr>
      </w:pPr>
      <w:bookmarkStart w:id="29" w:name="_Toc81106177"/>
      <w:r>
        <w:rPr>
          <w:rFonts w:hint="eastAsia" w:ascii="楷体_GB2312" w:eastAsia="楷体_GB2312"/>
          <w:b w:val="0"/>
          <w:bCs w:val="0"/>
        </w:rPr>
        <w:t>（三）强化评估监督</w:t>
      </w:r>
      <w:bookmarkEnd w:id="29"/>
    </w:p>
    <w:p>
      <w:pPr>
        <w:spacing w:line="600" w:lineRule="exact"/>
        <w:ind w:firstLine="640" w:firstLineChars="200"/>
      </w:pPr>
      <w:r>
        <w:rPr>
          <w:rFonts w:hint="eastAsia" w:ascii="仿宋_GB2312" w:eastAsia="仿宋_GB2312"/>
          <w:sz w:val="32"/>
          <w:szCs w:val="32"/>
        </w:rPr>
        <w:t>建立健全常态化评估监督机制，对规划实施进行年度监测、中期进展评估和期终总结，将评估结果作为改进民政工作和绩效考核的重要依据。</w:t>
      </w:r>
      <w:r>
        <w:rPr>
          <w:rFonts w:hint="eastAsia" w:ascii="仿宋_GB2312" w:hAnsi="仿宋_GB2312" w:eastAsia="仿宋_GB2312" w:cs="仿宋_GB2312"/>
          <w:kern w:val="0"/>
          <w:sz w:val="32"/>
          <w:szCs w:val="32"/>
        </w:rPr>
        <w:t>健全统计指标体系，强化对重点领域、重点</w:t>
      </w:r>
      <w:r>
        <w:rPr>
          <w:rFonts w:hint="eastAsia" w:ascii="仿宋_GB2312" w:eastAsia="仿宋_GB2312"/>
          <w:sz w:val="32"/>
          <w:szCs w:val="32"/>
        </w:rPr>
        <w:t>工程的动态监测，准确把握规划实施进度和质量情况。加强民政工作调研和政策评估，及时总结工作经验、发现存在问题，改进行动计划和政策举措，提高民政工作效率和政策效能。</w:t>
      </w:r>
    </w:p>
    <w:sectPr>
      <w:headerReference r:id="rId3" w:type="default"/>
      <w:footerReference r:id="rId4" w:type="default"/>
      <w:pgSz w:w="11906" w:h="16838"/>
      <w:pgMar w:top="1440" w:right="1800" w:bottom="1440" w:left="1800" w:header="851" w:footer="992" w:gutter="0"/>
      <w:pgNumType w:fmt="numberInDash"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Noto Sans CJK SC"/>
    <w:panose1 w:val="02010600030101010101"/>
    <w:charset w:val="7A"/>
    <w:family w:val="auto"/>
    <w:pitch w:val="default"/>
    <w:sig w:usb0="00000000" w:usb1="0000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altName w:val="Noto Sans CJK SC"/>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Cambria">
    <w:altName w:val="Noto Sans Syriac Eastern"/>
    <w:panose1 w:val="02040503050406030204"/>
    <w:charset w:val="00"/>
    <w:family w:val="modern"/>
    <w:pitch w:val="default"/>
    <w:sig w:usb0="00000000" w:usb1="00000000" w:usb2="00000000" w:usb3="00000000" w:csb0="2000019F" w:csb1="00000000"/>
  </w:font>
  <w:font w:name="楷体_GB2312">
    <w:altName w:val="Noto Sans CJK SC"/>
    <w:panose1 w:val="02010609030101010101"/>
    <w:charset w:val="86"/>
    <w:family w:val="roman"/>
    <w:pitch w:val="default"/>
    <w:sig w:usb0="00000000" w:usb1="00000000" w:usb2="00000000" w:usb3="00000000" w:csb0="00040000" w:csb1="00000000"/>
  </w:font>
  <w:font w:name="文星简小标宋">
    <w:altName w:val="CESI仿宋-GB13000"/>
    <w:panose1 w:val="00000000000000000000"/>
    <w:charset w:val="86"/>
    <w:family w:val="modern"/>
    <w:pitch w:val="default"/>
    <w:sig w:usb0="00000000" w:usb1="00000000" w:usb2="00000010" w:usb3="00000000" w:csb0="00040000" w:csb1="00000000"/>
  </w:font>
  <w:font w:name="仿宋_GB2312">
    <w:altName w:val="Noto Sans CJK SC"/>
    <w:panose1 w:val="02010609030101010101"/>
    <w:charset w:val="86"/>
    <w:family w:val="roman"/>
    <w:pitch w:val="default"/>
    <w:sig w:usb0="00000000" w:usb1="00000000" w:usb2="00000000" w:usb3="00000000" w:csb0="00040000" w:csb1="00000000"/>
  </w:font>
  <w:font w:name="FangSong_GB2312">
    <w:altName w:val="Noto Sans CJK SC"/>
    <w:panose1 w:val="00000000000000000000"/>
    <w:charset w:val="00"/>
    <w:family w:val="roman"/>
    <w:pitch w:val="default"/>
    <w:sig w:usb0="00000000" w:usb1="00000000" w:usb2="00000000" w:usb3="00000000" w:csb0="00000001" w:csb1="00000000"/>
  </w:font>
  <w:font w:name="方正小标宋简体">
    <w:altName w:val="CESI仿宋-GB13000"/>
    <w:panose1 w:val="03000509000000000000"/>
    <w:charset w:val="86"/>
    <w:family w:val="script"/>
    <w:pitch w:val="default"/>
    <w:sig w:usb0="00000000" w:usb1="00000000" w:usb2="00000000" w:usb3="00000000" w:csb0="00040000" w:csb1="00000000"/>
  </w:font>
  <w:font w:name="仿宋">
    <w:altName w:val="Noto Sans CJK SC"/>
    <w:panose1 w:val="02010609060101010101"/>
    <w:charset w:val="86"/>
    <w:family w:val="modern"/>
    <w:pitch w:val="default"/>
    <w:sig w:usb0="00000000" w:usb1="00000000" w:usb2="00000016" w:usb3="00000000" w:csb0="00040001" w:csb1="00000000"/>
  </w:font>
  <w:font w:name="微软雅黑">
    <w:altName w:val="Noto Sans CJK SC"/>
    <w:panose1 w:val="020B0503020204020204"/>
    <w:charset w:val="86"/>
    <w:family w:val="roman"/>
    <w:pitch w:val="default"/>
    <w:sig w:usb0="00000000" w:usb1="00000000" w:usb2="00000016" w:usb3="00000000" w:csb0="0004001F" w:csb1="00000000"/>
  </w:font>
  <w:font w:name="Noto Sans CJK SC">
    <w:panose1 w:val="020B0500000000000000"/>
    <w:charset w:val="86"/>
    <w:family w:val="auto"/>
    <w:pitch w:val="default"/>
    <w:sig w:usb0="30000003" w:usb1="2BDF3C10" w:usb2="00000016" w:usb3="00000000" w:csb0="602E0107" w:csb1="00000000"/>
  </w:font>
  <w:font w:name="CESI仿宋-GB13000">
    <w:panose1 w:val="02000500000000000000"/>
    <w:charset w:val="86"/>
    <w:family w:val="auto"/>
    <w:pitch w:val="default"/>
    <w:sig w:usb0="800002BF" w:usb1="18CF7CF8" w:usb2="00000016" w:usb3="00000000" w:csb0="0004000F" w:csb1="00000000"/>
  </w:font>
  <w:font w:name="Noto Sans Syriac Eastern">
    <w:panose1 w:val="02040503050306020203"/>
    <w:charset w:val="86"/>
    <w:family w:val="auto"/>
    <w:pitch w:val="default"/>
    <w:sig w:usb0="00000000" w:usb1="00000000" w:usb2="00000080" w:usb3="00000000" w:csb0="203E0161" w:csb1="D7FF0000"/>
  </w:font>
  <w:font w:name="Bitstream Charter">
    <w:panose1 w:val="00000000000000000000"/>
    <w:charset w:val="00"/>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tabs>
        <w:tab w:val="clear" w:pos="4153"/>
      </w:tabs>
      <w:jc w:val="center"/>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025"/>
              <wp:cNvGraphicFramePr/>
              <a:graphic xmlns:a="http://schemas.openxmlformats.org/drawingml/2006/main">
                <a:graphicData uri="http://schemas.microsoft.com/office/word/2010/wordprocessingShape">
                  <wps:wsp>
                    <wps:cNvSpPr txBox="true"/>
                    <wps:spPr>
                      <a:xfrm>
                        <a:off x="0" y="0"/>
                        <a:ext cx="1828800" cy="1828800"/>
                      </a:xfrm>
                      <a:prstGeom prst="rect">
                        <a:avLst/>
                      </a:prstGeom>
                      <a:noFill/>
                      <a:ln w="6350">
                        <a:noFill/>
                      </a:ln>
                    </wps:spPr>
                    <wps:txbx>
                      <w:txbxContent>
                        <w:p>
                          <w:pPr>
                            <w:pStyle w:val="5"/>
                            <w:rPr>
                              <w:rStyle w:val="10"/>
                            </w:rPr>
                          </w:pPr>
                          <w:r>
                            <w:rPr>
                              <w:rStyle w:val="10"/>
                            </w:rPr>
                            <w:fldChar w:fldCharType="begin"/>
                          </w:r>
                          <w:r>
                            <w:rPr>
                              <w:rStyle w:val="10"/>
                            </w:rPr>
                            <w:instrText xml:space="preserve">PAGE  </w:instrText>
                          </w:r>
                          <w:r>
                            <w:rPr>
                              <w:rStyle w:val="10"/>
                            </w:rPr>
                            <w:fldChar w:fldCharType="separate"/>
                          </w:r>
                          <w:r>
                            <w:rPr>
                              <w:rStyle w:val="10"/>
                            </w:rPr>
                            <w:t>18</w:t>
                          </w:r>
                          <w:r>
                            <w:rPr>
                              <w:rStyle w:val="10"/>
                            </w:rPr>
                            <w:fldChar w:fldCharType="end"/>
                          </w:r>
                        </w:p>
                      </w:txbxContent>
                    </wps:txbx>
                    <wps:bodyPr wrap="none" lIns="0" tIns="0" rIns="0" bIns="0" upright="true">
                      <a:spAutoFit/>
                    </wps:bodyPr>
                  </wps:wsp>
                </a:graphicData>
              </a:graphic>
            </wp:anchor>
          </w:drawing>
        </mc:Choice>
        <mc:Fallback>
          <w:pict>
            <v:shape id="文本框 1025"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&#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FgAAAGRycy9QSwECFAAUAAAACACHTuJAs0lY7tAAAAAFAQAADwAAAAAAAAABACAAAAA4AAAAZHJz&#10;L2Rvd25yZXYueG1sUEsBAhQAFAAAAAgAh07iQJINoBq9AQAAXQMAAA4AAAAAAAAAAQAgAAAANQEA&#10;AGRycy9lMm9Eb2MueG1sUEsFBgAAAAAGAAYAWQEAAGQFAAAAAA==&#10;">
              <v:fill on="f" focussize="0,0"/>
              <v:stroke on="f" weight="0.5pt"/>
              <v:imagedata o:title=""/>
              <o:lock v:ext="edit" aspectratio="f"/>
              <v:textbox inset="0mm,0mm,0mm,0mm" style="mso-fit-shape-to-text:t;">
                <w:txbxContent>
                  <w:p>
                    <w:pPr>
                      <w:pStyle w:val="5"/>
                      <w:rPr>
                        <w:rStyle w:val="10"/>
                      </w:rPr>
                    </w:pPr>
                    <w:r>
                      <w:rPr>
                        <w:rStyle w:val="10"/>
                      </w:rPr>
                      <w:fldChar w:fldCharType="begin"/>
                    </w:r>
                    <w:r>
                      <w:rPr>
                        <w:rStyle w:val="10"/>
                      </w:rPr>
                      <w:instrText xml:space="preserve">PAGE  </w:instrText>
                    </w:r>
                    <w:r>
                      <w:rPr>
                        <w:rStyle w:val="10"/>
                      </w:rPr>
                      <w:fldChar w:fldCharType="separate"/>
                    </w:r>
                    <w:r>
                      <w:rPr>
                        <w:rStyle w:val="10"/>
                      </w:rPr>
                      <w:t>18</w:t>
                    </w:r>
                    <w:r>
                      <w:rPr>
                        <w:rStyle w:val="10"/>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true"/>
  <w:embedSystemFonts/>
  <w:bordersDoNotSurroundHeader w:val="false"/>
  <w:bordersDoNotSurroundFooter w:val="false"/>
  <w:documentProtection w:enforcement="0"/>
  <w:defaultTabStop w:val="420"/>
  <w:drawingGridVerticalSpacing w:val="156"/>
  <w:displayHorizontalDrawingGridEvery w:val="1"/>
  <w:displayVerticalDrawingGridEvery w:val="1"/>
  <w:noPunctuationKerning w:val="true"/>
  <w:characterSpacingControl w:val="compressPunctuation"/>
  <w:noLineBreaksAfter w:lang="zh-CN" w:val="$([{£¥·‘“〈《「『【〔〖〝﹙﹛﹝＄（．［｛￡￥"/>
  <w:noLineBreaksBefore w:lang="zh-CN" w:val="!%),.:;&gt;?]}¢¨°·ˇˉ―‖’”…‰′″›℃∶、。〃〉》」』】〕〗〞︶︺︾﹀﹄﹚﹜﹞！＂％＇），．：；？］｀｜｝～￠"/>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doNotUseIndentAsNumberingTabStop/>
    <w:useAltKinsokuLineBreakRules/>
    <w:underlineTabInNumLis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E7DC6"/>
    <w:rsid w:val="000245F3"/>
    <w:rsid w:val="00035C69"/>
    <w:rsid w:val="0006419D"/>
    <w:rsid w:val="0007338A"/>
    <w:rsid w:val="002B6CB3"/>
    <w:rsid w:val="002C1A59"/>
    <w:rsid w:val="003C1953"/>
    <w:rsid w:val="00413C52"/>
    <w:rsid w:val="00463EF0"/>
    <w:rsid w:val="00575866"/>
    <w:rsid w:val="00611EB6"/>
    <w:rsid w:val="00731173"/>
    <w:rsid w:val="009A2AFA"/>
    <w:rsid w:val="00AB04F4"/>
    <w:rsid w:val="00AE7DC6"/>
    <w:rsid w:val="00BA5131"/>
    <w:rsid w:val="00BC7D5A"/>
    <w:rsid w:val="00BD318C"/>
    <w:rsid w:val="00C6126B"/>
    <w:rsid w:val="00CC1BC3"/>
    <w:rsid w:val="00E258CF"/>
    <w:rsid w:val="00EA69AE"/>
    <w:rsid w:val="00F24717"/>
    <w:rsid w:val="0B50592F"/>
    <w:rsid w:val="12D96388"/>
    <w:rsid w:val="1BA24272"/>
    <w:rsid w:val="1D8A31E7"/>
    <w:rsid w:val="2164036F"/>
    <w:rsid w:val="22CB4D1C"/>
    <w:rsid w:val="259D1504"/>
    <w:rsid w:val="27840152"/>
    <w:rsid w:val="31EA2FC0"/>
    <w:rsid w:val="33FF14E1"/>
    <w:rsid w:val="346F1B50"/>
    <w:rsid w:val="35004DF7"/>
    <w:rsid w:val="3A6E37F9"/>
    <w:rsid w:val="3C2B18CA"/>
    <w:rsid w:val="3CBC5766"/>
    <w:rsid w:val="3DAA4A91"/>
    <w:rsid w:val="3E5C437E"/>
    <w:rsid w:val="416555AB"/>
    <w:rsid w:val="44BF70C1"/>
    <w:rsid w:val="46E62D83"/>
    <w:rsid w:val="483D013F"/>
    <w:rsid w:val="487D6B94"/>
    <w:rsid w:val="4A236894"/>
    <w:rsid w:val="61B36FB2"/>
    <w:rsid w:val="6CE0708E"/>
    <w:rsid w:val="70CB1D6D"/>
    <w:rsid w:val="74973E37"/>
    <w:rsid w:val="78F6599A"/>
    <w:rsid w:val="79FE25C4"/>
    <w:rsid w:val="EAFF4151"/>
  </w:rsids>
  <m:mathPr>
    <m:brkBin m:val="before"/>
    <m:brkBinSub m:val="--"/>
    <m:smallFrac m:val="0"/>
    <m:dispDef/>
    <m:lMargin m:val="0"/>
    <m:rMargin m:val="0"/>
    <m:defJc m:val="centerGroup"/>
    <m:wrapIndent m:val="1440"/>
    <m:intLim m:val="subSup"/>
    <m:naryLim m:val="undOvr"/>
  </m:mathPr>
  <w:doNotAutoCompressPictures/>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ocked="1"/>
    <w:lsdException w:qFormat="1" w:unhideWhenUsed="0" w:uiPriority="99" w:semiHidden="0" w:name="heading 2"/>
    <w:lsdException w:qFormat="1" w:uiPriority="0" w:name="heading 3" w:locked="1"/>
    <w:lsdException w:qFormat="1" w:uiPriority="0" w:name="heading 4" w:locked="1"/>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qFormat="1" w:unhideWhenUsed="0" w:uiPriority="9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99" w:semiHidden="0" w:name="header"/>
    <w:lsdException w:qFormat="1" w:unhideWhenUsed="0" w:uiPriority="99" w:semiHidden="0" w:name="footer"/>
    <w:lsdException w:uiPriority="99" w:name="index heading"/>
    <w:lsdException w:qFormat="1" w:uiPriority="0" w:name="caption" w:locked="1"/>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ocked="1"/>
    <w:lsdException w:uiPriority="99" w:name="Closing"/>
    <w:lsdException w:uiPriority="99" w:name="Signature"/>
    <w:lsdException w:qFormat="1" w:unhideWhenUsed="0" w:uiPriority="99" w:name="Default Paragraph Font"/>
    <w:lsdException w:qFormat="1"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ocked="1"/>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0" w:semiHidden="0" w:name="Strong" w:locked="1"/>
    <w:lsdException w:qFormat="1" w:unhideWhenUsed="0" w:uiPriority="0" w:semiHidden="0" w:name="Emphasis" w:locked="1"/>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4">
    <w:name w:val="heading 2"/>
    <w:basedOn w:val="1"/>
    <w:next w:val="1"/>
    <w:link w:val="12"/>
    <w:qFormat/>
    <w:uiPriority w:val="99"/>
    <w:pPr>
      <w:keepNext/>
      <w:keepLines/>
      <w:spacing w:before="260" w:after="260" w:line="416" w:lineRule="auto"/>
      <w:outlineLvl w:val="1"/>
    </w:pPr>
    <w:rPr>
      <w:rFonts w:ascii="Cambria" w:hAnsi="Cambria"/>
      <w:b/>
      <w:bCs/>
      <w:sz w:val="32"/>
      <w:szCs w:val="32"/>
    </w:rPr>
  </w:style>
  <w:style w:type="character" w:default="1" w:styleId="9">
    <w:name w:val="Default Paragraph Font"/>
    <w:semiHidden/>
    <w:qFormat/>
    <w:uiPriority w:val="99"/>
  </w:style>
  <w:style w:type="table" w:default="1" w:styleId="8">
    <w:name w:val="Normal Table"/>
    <w:unhideWhenUsed/>
    <w:qFormat/>
    <w:uiPriority w:val="99"/>
    <w:tblPr>
      <w:tblCellMar>
        <w:top w:w="0" w:type="dxa"/>
        <w:left w:w="108" w:type="dxa"/>
        <w:bottom w:w="0" w:type="dxa"/>
        <w:right w:w="108" w:type="dxa"/>
      </w:tblCellMar>
    </w:tblPr>
  </w:style>
  <w:style w:type="paragraph" w:customStyle="1" w:styleId="2">
    <w:name w:val="正文首行缩进1"/>
    <w:basedOn w:val="3"/>
    <w:qFormat/>
    <w:uiPriority w:val="99"/>
    <w:pPr>
      <w:spacing w:before="100" w:beforeAutospacing="1"/>
      <w:ind w:firstLine="420" w:firstLineChars="100"/>
    </w:pPr>
    <w:rPr>
      <w:rFonts w:eastAsia="楷体_GB2312"/>
    </w:rPr>
  </w:style>
  <w:style w:type="paragraph" w:styleId="3">
    <w:name w:val="Body Text"/>
    <w:basedOn w:val="1"/>
    <w:link w:val="13"/>
    <w:qFormat/>
    <w:uiPriority w:val="99"/>
    <w:pPr>
      <w:jc w:val="center"/>
    </w:pPr>
    <w:rPr>
      <w:rFonts w:ascii="Calibri" w:hAnsi="Calibri" w:eastAsia="文星简小标宋"/>
      <w:sz w:val="44"/>
      <w:szCs w:val="20"/>
    </w:rPr>
  </w:style>
  <w:style w:type="paragraph" w:styleId="5">
    <w:name w:val="footer"/>
    <w:basedOn w:val="1"/>
    <w:link w:val="14"/>
    <w:qFormat/>
    <w:uiPriority w:val="99"/>
    <w:pPr>
      <w:tabs>
        <w:tab w:val="center" w:pos="4153"/>
        <w:tab w:val="right" w:pos="8306"/>
      </w:tabs>
      <w:snapToGrid w:val="0"/>
      <w:jc w:val="left"/>
    </w:pPr>
    <w:rPr>
      <w:sz w:val="18"/>
      <w:szCs w:val="18"/>
    </w:rPr>
  </w:style>
  <w:style w:type="paragraph" w:styleId="6">
    <w:name w:val="header"/>
    <w:basedOn w:val="1"/>
    <w:link w:val="15"/>
    <w:qFormat/>
    <w:uiPriority w:val="99"/>
    <w:pPr>
      <w:pBdr>
        <w:bottom w:val="single" w:color="auto" w:sz="6" w:space="1"/>
      </w:pBdr>
      <w:tabs>
        <w:tab w:val="center" w:pos="4153"/>
        <w:tab w:val="right" w:pos="8306"/>
      </w:tabs>
      <w:snapToGrid w:val="0"/>
      <w:jc w:val="center"/>
    </w:pPr>
    <w:rPr>
      <w:sz w:val="18"/>
      <w:szCs w:val="18"/>
    </w:rPr>
  </w:style>
  <w:style w:type="paragraph" w:styleId="7">
    <w:name w:val="toc 2"/>
    <w:basedOn w:val="1"/>
    <w:next w:val="1"/>
    <w:semiHidden/>
    <w:qFormat/>
    <w:uiPriority w:val="99"/>
    <w:pPr>
      <w:ind w:left="420" w:leftChars="200"/>
    </w:pPr>
  </w:style>
  <w:style w:type="character" w:styleId="10">
    <w:name w:val="page number"/>
    <w:basedOn w:val="9"/>
    <w:qFormat/>
    <w:uiPriority w:val="99"/>
    <w:rPr>
      <w:rFonts w:cs="Times New Roman"/>
    </w:rPr>
  </w:style>
  <w:style w:type="character" w:styleId="11">
    <w:name w:val="Hyperlink"/>
    <w:basedOn w:val="9"/>
    <w:qFormat/>
    <w:uiPriority w:val="99"/>
    <w:rPr>
      <w:rFonts w:cs="Times New Roman"/>
      <w:color w:val="0000FF"/>
      <w:u w:val="single"/>
    </w:rPr>
  </w:style>
  <w:style w:type="character" w:customStyle="1" w:styleId="12">
    <w:name w:val="Heading 2 Char"/>
    <w:basedOn w:val="9"/>
    <w:link w:val="4"/>
    <w:semiHidden/>
    <w:qFormat/>
    <w:uiPriority w:val="9"/>
    <w:rPr>
      <w:rFonts w:asciiTheme="majorHAnsi" w:hAnsiTheme="majorHAnsi" w:eastAsiaTheme="majorEastAsia" w:cstheme="majorBidi"/>
      <w:b/>
      <w:bCs/>
      <w:sz w:val="32"/>
      <w:szCs w:val="32"/>
    </w:rPr>
  </w:style>
  <w:style w:type="character" w:customStyle="1" w:styleId="13">
    <w:name w:val="Body Text Char"/>
    <w:basedOn w:val="9"/>
    <w:link w:val="3"/>
    <w:semiHidden/>
    <w:qFormat/>
    <w:uiPriority w:val="99"/>
    <w:rPr>
      <w:szCs w:val="24"/>
    </w:rPr>
  </w:style>
  <w:style w:type="character" w:customStyle="1" w:styleId="14">
    <w:name w:val="Footer Char"/>
    <w:basedOn w:val="9"/>
    <w:link w:val="5"/>
    <w:semiHidden/>
    <w:qFormat/>
    <w:uiPriority w:val="99"/>
    <w:rPr>
      <w:sz w:val="18"/>
      <w:szCs w:val="18"/>
    </w:rPr>
  </w:style>
  <w:style w:type="character" w:customStyle="1" w:styleId="15">
    <w:name w:val="Header Char"/>
    <w:basedOn w:val="9"/>
    <w:link w:val="6"/>
    <w:semiHidden/>
    <w:qFormat/>
    <w:uiPriority w:val="99"/>
    <w:rPr>
      <w:sz w:val="18"/>
      <w:szCs w:val="18"/>
    </w:rPr>
  </w:style>
  <w:style w:type="paragraph" w:customStyle="1" w:styleId="16">
    <w:name w:val="行文正文"/>
    <w:basedOn w:val="1"/>
    <w:qFormat/>
    <w:uiPriority w:val="99"/>
    <w:pPr>
      <w:adjustRightInd w:val="0"/>
      <w:snapToGrid w:val="0"/>
      <w:spacing w:line="580" w:lineRule="exact"/>
      <w:ind w:firstLine="200" w:firstLineChars="200"/>
    </w:pPr>
    <w:rPr>
      <w:rFonts w:eastAsia="仿宋_GB2312"/>
      <w:sz w:val="32"/>
      <w:szCs w:val="32"/>
    </w:rPr>
  </w:style>
  <w:style w:type="paragraph" w:customStyle="1" w:styleId="17">
    <w:name w:val="表格标题 (3)"/>
    <w:basedOn w:val="1"/>
    <w:link w:val="19"/>
    <w:qFormat/>
    <w:uiPriority w:val="99"/>
    <w:pPr>
      <w:shd w:val="clear" w:color="auto" w:fill="FFFFFF"/>
      <w:spacing w:line="240" w:lineRule="atLeast"/>
      <w:jc w:val="left"/>
    </w:pPr>
    <w:rPr>
      <w:rFonts w:ascii="FangSong_GB2312" w:hAnsi="FangSong_GB2312"/>
      <w:spacing w:val="-20"/>
      <w:kern w:val="0"/>
      <w:sz w:val="25"/>
      <w:szCs w:val="25"/>
    </w:rPr>
  </w:style>
  <w:style w:type="character" w:customStyle="1" w:styleId="18">
    <w:name w:val="表格标题 (3) + Times New Roman1"/>
    <w:basedOn w:val="19"/>
    <w:qFormat/>
    <w:uiPriority w:val="99"/>
    <w:rPr>
      <w:rFonts w:ascii="Times New Roman" w:hAnsi="Times New Roman"/>
      <w:b/>
      <w:bCs/>
      <w:color w:val="000000"/>
      <w:spacing w:val="0"/>
      <w:w w:val="100"/>
      <w:position w:val="0"/>
      <w:sz w:val="18"/>
      <w:szCs w:val="18"/>
      <w:lang w:val="zh-CN"/>
    </w:rPr>
  </w:style>
  <w:style w:type="character" w:customStyle="1" w:styleId="19">
    <w:name w:val="表格标题 (3)_"/>
    <w:basedOn w:val="9"/>
    <w:link w:val="17"/>
    <w:qFormat/>
    <w:locked/>
    <w:uiPriority w:val="99"/>
    <w:rPr>
      <w:rFonts w:ascii="FangSong_GB2312" w:hAnsi="FangSong_GB2312" w:cs="Times New Roman"/>
      <w:spacing w:val="-20"/>
      <w:kern w:val="0"/>
      <w:sz w:val="25"/>
      <w:szCs w:val="2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true">
          <a:gsLst>
            <a:gs pos="0">
              <a:schemeClr val="phClr">
                <a:tint val="50000"/>
                <a:satMod val="300000"/>
              </a:schemeClr>
            </a:gs>
            <a:gs pos="35000">
              <a:schemeClr val="phClr">
                <a:tint val="37000"/>
                <a:satMod val="300000"/>
              </a:schemeClr>
            </a:gs>
            <a:gs pos="100000">
              <a:schemeClr val="phClr">
                <a:tint val="15000"/>
                <a:satMod val="350000"/>
              </a:schemeClr>
            </a:gs>
          </a:gsLst>
          <a:lin ang="16200000" scaled="true"/>
        </a:gradFill>
        <a:gradFill rotWithShape="true">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false"/>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true">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true">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Normal_Wordconv</Template>
  <Pages>28</Pages>
  <Words>7742</Words>
  <Characters>7897</Characters>
  <Lines>0</Lines>
  <Paragraphs>0</Paragraphs>
  <TotalTime>0</TotalTime>
  <ScaleCrop>false</ScaleCrop>
  <LinksUpToDate>false</LinksUpToDate>
  <CharactersWithSpaces>0</CharactersWithSpaces>
  <Application>WPS Office_11.1.0.10161_F1E327BC-269C-435d-A152-05C5408002CA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159</dc:creator>
  <cp:lastModifiedBy>李倩</cp:lastModifiedBy>
  <cp:lastPrinted>2021-08-18T14:11:00Z</cp:lastPrinted>
  <dcterms:modified xsi:type="dcterms:W3CDTF">2021-09-22T15:33:58Z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2052-11.1.0.10161</vt:lpwstr>
  </property>
</Properties>
</file>