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b/>
          <w:sz w:val="44"/>
          <w:szCs w:val="44"/>
        </w:rPr>
      </w:pPr>
      <w:bookmarkStart w:id="483" w:name="_GoBack"/>
      <w:bookmarkEnd w:id="483"/>
      <w:r>
        <w:rPr>
          <w:rFonts w:hint="eastAsia" w:ascii="宋体" w:hAnsi="宋体"/>
          <w:b/>
          <w:sz w:val="44"/>
          <w:szCs w:val="44"/>
        </w:rPr>
        <w:t>盐城市生态文明建设规划</w:t>
      </w:r>
    </w:p>
    <w:p>
      <w:pPr>
        <w:jc w:val="center"/>
        <w:rPr>
          <w:rFonts w:hint="eastAsia" w:ascii="楷体_GB2312" w:eastAsia="楷体_GB2312"/>
          <w:b/>
          <w:sz w:val="32"/>
          <w:szCs w:val="32"/>
        </w:rPr>
      </w:pPr>
      <w:r>
        <w:rPr>
          <w:rFonts w:hint="eastAsia" w:ascii="楷体_GB2312" w:hAnsi="宋体" w:eastAsia="楷体_GB2312"/>
          <w:b/>
          <w:sz w:val="32"/>
          <w:szCs w:val="32"/>
        </w:rPr>
        <w:t>（2013-2022）</w:t>
      </w:r>
    </w:p>
    <w:p>
      <w:pPr>
        <w:spacing w:line="560" w:lineRule="exact"/>
        <w:ind w:firstLine="880" w:firstLineChars="200"/>
        <w:rPr>
          <w:rFonts w:hint="eastAsia"/>
          <w:sz w:val="44"/>
          <w:szCs w:val="44"/>
        </w:rPr>
      </w:pPr>
    </w:p>
    <w:p>
      <w:pPr>
        <w:spacing w:line="560" w:lineRule="exact"/>
        <w:ind w:firstLine="640" w:firstLineChars="200"/>
        <w:rPr>
          <w:rFonts w:hint="eastAsia" w:eastAsia="仿宋_GB2312"/>
          <w:sz w:val="32"/>
          <w:szCs w:val="32"/>
        </w:rPr>
      </w:pPr>
      <w:r>
        <w:rPr>
          <w:rFonts w:hint="eastAsia" w:eastAsia="仿宋_GB2312"/>
          <w:sz w:val="32"/>
          <w:szCs w:val="32"/>
        </w:rPr>
        <w:t>党的十八大指出，建设生态文明是关系人民福祉、关乎民族未来的长远大计，要把生态文明建设放在突出地位，融入经济建设、政治建设、文化建设、社会建设各方面和全过程。江苏省委、省政府制定出台了《关于深入推进生态文明建设工程 率先建成全国生态文明建设示范区的意见》和《江苏省生态文明建设规划》，提出率先建成全国生态文明建设示范区的目标，把江苏建成经济发达与生态宜居协调融合、都市风貌与田园风光相印生辉、人与自然和谐共生的美好家园。</w:t>
      </w:r>
    </w:p>
    <w:p>
      <w:pPr>
        <w:spacing w:line="560" w:lineRule="exact"/>
        <w:ind w:firstLine="640" w:firstLineChars="200"/>
        <w:rPr>
          <w:rFonts w:hint="eastAsia" w:eastAsia="仿宋_GB2312"/>
          <w:sz w:val="32"/>
          <w:szCs w:val="32"/>
        </w:rPr>
      </w:pPr>
      <w:r>
        <w:rPr>
          <w:rFonts w:hint="eastAsia" w:eastAsia="仿宋_GB2312"/>
          <w:sz w:val="32"/>
          <w:szCs w:val="32"/>
        </w:rPr>
        <w:t>“十二五”以来，盐城市把“生态立市”作为加快经济社会又好又快发展的五大战略之一，特别是党的十八大和省委十二届五次全会召开以后，市委、市政府作出了建设生态盐城，打造富有魅力的生态之都的决策部署，组织编制《盐城市生态文明建设规划》（以下简称《规划》），进一步提升全市生态文明建设水平，把盐城的生态优势转化为未来的发展优势。《规划》全面贯彻落实党的十八大、十八届三中全会精神，以及</w:t>
      </w:r>
      <w:r>
        <w:rPr>
          <w:rFonts w:hint="eastAsia" w:eastAsia="仿宋_GB2312"/>
          <w:sz w:val="32"/>
          <w:szCs w:val="32"/>
          <w:lang w:eastAsia="zh-CN"/>
        </w:rPr>
        <w:t>习近平总书记</w:t>
      </w:r>
      <w:r>
        <w:rPr>
          <w:rFonts w:hint="eastAsia" w:eastAsia="仿宋_GB2312"/>
          <w:sz w:val="32"/>
          <w:szCs w:val="32"/>
        </w:rPr>
        <w:t>对江苏工作的新要求，明确生态文明建设的指导思想、总体目标和主要任务，是新时期盐城市生态文明建设工作的指导性、纲领性文件。</w:t>
      </w:r>
    </w:p>
    <w:p>
      <w:pPr>
        <w:spacing w:line="560" w:lineRule="exact"/>
        <w:ind w:firstLine="640" w:firstLineChars="200"/>
        <w:rPr>
          <w:rFonts w:hint="eastAsia" w:eastAsia="仿宋_GB2312"/>
          <w:sz w:val="32"/>
          <w:szCs w:val="32"/>
        </w:rPr>
      </w:pPr>
      <w:r>
        <w:rPr>
          <w:rFonts w:hint="eastAsia" w:eastAsia="仿宋_GB2312"/>
          <w:sz w:val="32"/>
          <w:szCs w:val="32"/>
        </w:rPr>
        <w:t>规划范围为盐城市域，规划期限为2013—2022年，其中2013-2015年为重点建设期，是盐城市全面启动生态文明建设的关键阶段。</w:t>
      </w:r>
    </w:p>
    <w:p>
      <w:pPr>
        <w:pStyle w:val="2"/>
        <w:keepNext w:val="0"/>
        <w:keepLines w:val="0"/>
        <w:spacing w:before="156" w:beforeLines="50" w:after="156" w:afterLines="50" w:line="560" w:lineRule="exact"/>
        <w:jc w:val="center"/>
        <w:rPr>
          <w:rFonts w:hint="eastAsia" w:eastAsia="方正小标宋_GBK"/>
          <w:b w:val="0"/>
        </w:rPr>
      </w:pPr>
      <w:bookmarkStart w:id="0" w:name="_Toc360777552"/>
      <w:bookmarkStart w:id="1" w:name="_Toc368067584"/>
      <w:bookmarkStart w:id="2" w:name="_Toc367802584"/>
      <w:bookmarkStart w:id="3" w:name="_Toc369179314"/>
      <w:bookmarkStart w:id="4" w:name="_Toc369555563"/>
      <w:r>
        <w:rPr>
          <w:rFonts w:ascii="方正小标宋简体" w:eastAsia="方正小标宋简体"/>
        </w:rPr>
        <w:br w:type="page"/>
      </w:r>
      <w:bookmarkStart w:id="5" w:name="_Toc374364896"/>
      <w:bookmarkStart w:id="6" w:name="_Toc370234353"/>
      <w:r>
        <w:rPr>
          <w:rFonts w:hint="eastAsia" w:eastAsia="方正小标宋_GBK"/>
          <w:b w:val="0"/>
        </w:rPr>
        <w:t>第一章  基础与</w:t>
      </w:r>
      <w:bookmarkEnd w:id="0"/>
      <w:bookmarkEnd w:id="1"/>
      <w:bookmarkEnd w:id="2"/>
      <w:bookmarkEnd w:id="3"/>
      <w:r>
        <w:rPr>
          <w:rFonts w:hint="eastAsia" w:eastAsia="方正小标宋_GBK"/>
          <w:b w:val="0"/>
        </w:rPr>
        <w:t>形势</w:t>
      </w:r>
      <w:bookmarkEnd w:id="4"/>
      <w:bookmarkEnd w:id="5"/>
      <w:bookmarkEnd w:id="6"/>
    </w:p>
    <w:p>
      <w:pPr>
        <w:spacing w:line="560" w:lineRule="exact"/>
        <w:ind w:firstLine="640" w:firstLineChars="200"/>
        <w:rPr>
          <w:rFonts w:hint="eastAsia" w:eastAsia="仿宋_GB2312"/>
          <w:sz w:val="32"/>
          <w:szCs w:val="32"/>
        </w:rPr>
      </w:pPr>
      <w:r>
        <w:rPr>
          <w:rFonts w:hint="eastAsia" w:eastAsia="仿宋_GB2312"/>
          <w:sz w:val="32"/>
          <w:szCs w:val="32"/>
        </w:rPr>
        <w:t>盐城是长三角北翼中心城市、江苏沿海开发战略重点区域，是江苏土地面积、海域面积最大的地级市，总面积1.7万平方公里，人口820.69万人。盐城生态资源丰富，拥有太平洋西海岸、亚洲大陆边缘最大的海岸型湿地和里下河典型泻湖型湖荡湿地，建有世界上第一个野生麋鹿保护区和国家级珍禽自然保护区，被誉为“东方湿地之都”。</w:t>
      </w:r>
    </w:p>
    <w:p>
      <w:pPr>
        <w:pStyle w:val="3"/>
        <w:keepNext w:val="0"/>
        <w:keepLines w:val="0"/>
        <w:spacing w:before="156" w:beforeLines="50" w:after="156" w:afterLines="50" w:line="560" w:lineRule="exact"/>
        <w:rPr>
          <w:rFonts w:hint="eastAsia" w:ascii="Times New Roman" w:hAnsi="Times New Roman"/>
          <w:b w:val="0"/>
        </w:rPr>
      </w:pPr>
      <w:bookmarkStart w:id="7" w:name="_Toc360777553"/>
      <w:bookmarkStart w:id="8" w:name="_Toc367802585"/>
      <w:bookmarkStart w:id="9" w:name="_Toc369179315"/>
      <w:bookmarkStart w:id="10" w:name="_Toc368067585"/>
      <w:bookmarkStart w:id="11" w:name="_Toc369555564"/>
      <w:bookmarkStart w:id="12" w:name="_Toc374364897"/>
      <w:bookmarkStart w:id="13" w:name="_Toc370234354"/>
      <w:r>
        <w:rPr>
          <w:rFonts w:hint="eastAsia" w:ascii="Times New Roman" w:hAnsi="Times New Roman"/>
          <w:b w:val="0"/>
        </w:rPr>
        <w:t xml:space="preserve">1.1  </w:t>
      </w:r>
      <w:bookmarkEnd w:id="7"/>
      <w:r>
        <w:rPr>
          <w:rFonts w:hint="eastAsia" w:ascii="Times New Roman" w:hAnsi="Times New Roman"/>
          <w:b w:val="0"/>
        </w:rPr>
        <w:t>工作基础</w:t>
      </w:r>
      <w:bookmarkEnd w:id="8"/>
      <w:bookmarkEnd w:id="9"/>
      <w:bookmarkEnd w:id="10"/>
      <w:bookmarkEnd w:id="11"/>
      <w:bookmarkEnd w:id="12"/>
      <w:bookmarkEnd w:id="13"/>
    </w:p>
    <w:p>
      <w:pPr>
        <w:spacing w:line="560" w:lineRule="exact"/>
        <w:ind w:firstLine="640" w:firstLineChars="200"/>
        <w:rPr>
          <w:rFonts w:hint="eastAsia" w:eastAsia="仿宋_GB2312"/>
          <w:sz w:val="32"/>
          <w:szCs w:val="32"/>
        </w:rPr>
      </w:pPr>
      <w:r>
        <w:rPr>
          <w:rFonts w:hint="eastAsia" w:eastAsia="仿宋_GB2312"/>
          <w:sz w:val="32"/>
          <w:szCs w:val="32"/>
        </w:rPr>
        <w:t>进入新世纪以来，市委、市政府积极探索生态文明的盐城路径。2001年，市委、市政府作出了启动国家生态市建设的决策。2003年《盐城市生态市建设规划》通过国家环保总局专家评审，9个县（市、区）同步进行了《生态县（市、区）建设规划》编制和修编，2006年全部通过国家生态示范区验收并命名，在苏北最早实现国家级生态示范区创建“一片绿”。</w:t>
      </w:r>
    </w:p>
    <w:p>
      <w:pPr>
        <w:spacing w:line="560" w:lineRule="exact"/>
        <w:ind w:firstLine="640" w:firstLineChars="200"/>
        <w:rPr>
          <w:rFonts w:hint="eastAsia" w:eastAsia="仿宋_GB2312"/>
          <w:sz w:val="32"/>
          <w:szCs w:val="32"/>
        </w:rPr>
      </w:pPr>
      <w:r>
        <w:rPr>
          <w:rFonts w:hint="eastAsia" w:eastAsia="仿宋_GB2312"/>
          <w:b/>
          <w:sz w:val="32"/>
          <w:szCs w:val="32"/>
        </w:rPr>
        <w:t>生态盐城建设目标进一步明确。</w:t>
      </w:r>
      <w:r>
        <w:rPr>
          <w:rFonts w:hint="eastAsia" w:eastAsia="仿宋_GB2312"/>
          <w:sz w:val="32"/>
          <w:szCs w:val="32"/>
        </w:rPr>
        <w:t>2011年出台《关于大力推进生态市建设的意见》，明确生态市建设目标、内容和保障措施。2013年，市委六届三次全会进一步明确以全面建设高水平小康社会为总目标，围绕沿海当先、苏北领先、全省争先的总要求，将生态绿色发展和生态盐城建设作为大力推动“六大”发展、努力建设“四个”新盐城的重要内容。保护生态环境、建设生态盐城成为全社会普遍共识，为推进生态文明建设奠定了坚实的思想基础。</w:t>
      </w:r>
    </w:p>
    <w:p>
      <w:pPr>
        <w:spacing w:line="560" w:lineRule="exact"/>
        <w:ind w:firstLine="640" w:firstLineChars="200"/>
        <w:rPr>
          <w:rFonts w:hint="eastAsia" w:eastAsia="仿宋_GB2312"/>
          <w:sz w:val="32"/>
          <w:szCs w:val="32"/>
        </w:rPr>
      </w:pPr>
      <w:r>
        <w:rPr>
          <w:rFonts w:hint="eastAsia" w:eastAsia="仿宋_GB2312"/>
          <w:b/>
          <w:sz w:val="32"/>
          <w:szCs w:val="32"/>
        </w:rPr>
        <w:t>转型升级取得明显成效。</w:t>
      </w:r>
      <w:r>
        <w:rPr>
          <w:rFonts w:hint="eastAsia" w:eastAsia="仿宋_GB2312"/>
          <w:sz w:val="32"/>
          <w:szCs w:val="32"/>
        </w:rPr>
        <w:t>产业结构持续优化，2012年，全市三次产业结构调整为14.4∶47.5∶38.1，二三产业比重提高0.6个百分点。全市新特产业销售收入1700亿元，同比增长26%。新兴产业销售收入和高新技术产业产值分别突破  1700亿元和1300亿元，服务业增加值1190亿元，增长129%；坚决淘汰落后产能，“十一五”期间，累计关闭污染企业480家，淘汰落后小火电机组67.5万千瓦。化学需氧量、二氧化硫累计削减10.6%、25.8%，2012年，单位地区生产总值能耗下降到0.518吨标煤/万元，单位地区生产总值用水量下降到170立方米/万元。创新能力持续增强，高新技术产业产值占规模以上工业产值比重达25%。</w:t>
      </w:r>
    </w:p>
    <w:p>
      <w:pPr>
        <w:spacing w:line="560" w:lineRule="exact"/>
        <w:ind w:firstLine="640" w:firstLineChars="200"/>
        <w:rPr>
          <w:rFonts w:hint="eastAsia" w:eastAsia="仿宋_GB2312"/>
          <w:sz w:val="32"/>
          <w:szCs w:val="32"/>
        </w:rPr>
      </w:pPr>
      <w:r>
        <w:rPr>
          <w:rFonts w:hint="eastAsia" w:eastAsia="仿宋_GB2312"/>
          <w:b/>
          <w:sz w:val="32"/>
          <w:szCs w:val="32"/>
        </w:rPr>
        <w:t>环境综合整治力度不断加大。</w:t>
      </w:r>
      <w:r>
        <w:rPr>
          <w:rFonts w:hint="eastAsia" w:eastAsia="仿宋_GB2312"/>
          <w:sz w:val="32"/>
          <w:szCs w:val="32"/>
        </w:rPr>
        <w:t>城乡环境基础设施建设大幅提速，实施了一大批生态建设工程，国家和省淮河流域水污染防治规划的11个城市污水处理厂全部投入使用，67个镇建成污水处理厂，20个镇污水接管处理，建成生活垃圾中转站90座；城市（县城）生活垃圾无害化处理率达61.93%，镇村生活垃圾集中收运率达67%。深入实施蓝天工程，综合开展工地和道路扬尘整治，开展燃煤电厂脱硫脱硝治理，环境空气质量稳中趋好。坚持实行最严格的饮用水源地保护制度，全市11个主要饮用水源地水质达标率达100%。</w:t>
      </w:r>
    </w:p>
    <w:p>
      <w:pPr>
        <w:spacing w:line="560" w:lineRule="exact"/>
        <w:ind w:firstLine="640" w:firstLineChars="200"/>
        <w:rPr>
          <w:rFonts w:hint="eastAsia" w:eastAsia="仿宋_GB2312"/>
          <w:sz w:val="32"/>
          <w:szCs w:val="32"/>
        </w:rPr>
      </w:pPr>
      <w:r>
        <w:rPr>
          <w:rFonts w:hint="eastAsia" w:eastAsia="仿宋_GB2312"/>
          <w:b/>
          <w:sz w:val="32"/>
          <w:szCs w:val="32"/>
        </w:rPr>
        <w:t>生态盐城建设稳步推进。</w:t>
      </w:r>
      <w:r>
        <w:rPr>
          <w:rFonts w:hint="eastAsia" w:eastAsia="仿宋_GB2312"/>
          <w:sz w:val="32"/>
          <w:szCs w:val="32"/>
        </w:rPr>
        <w:t>不断加强自然保护区规范化建设，明确保护区的范围、界限和功能区划，实施麋鹿、丹顶鹤等国家一级保护野生动物拯救扩繁工程。绿色盐城建设成效显著，林木覆盖率和自然湿地保护率分别达到23.89%、35.4%。国家园林城市、国家卫生城市、国家环保模范城市和国家生态市创建工作有序推进，建成国家级生态镇36个，省级生态镇77个，大丰市通过省级生态市考核验收，东台市、建湖县、盐都区通过省级生态县（市、区）技术评估，盐城经济技术开发区已建成省级生态工业园区，建湖经济开发区通过省级生态工业园区验收。</w:t>
      </w:r>
    </w:p>
    <w:p>
      <w:pPr>
        <w:pStyle w:val="3"/>
        <w:keepNext w:val="0"/>
        <w:keepLines w:val="0"/>
        <w:spacing w:before="156" w:beforeLines="50" w:after="156" w:afterLines="50" w:line="560" w:lineRule="exact"/>
        <w:rPr>
          <w:rFonts w:hint="eastAsia" w:ascii="Times New Roman" w:hAnsi="Times New Roman"/>
          <w:b w:val="0"/>
        </w:rPr>
      </w:pPr>
      <w:bookmarkStart w:id="14" w:name="_Toc360777554"/>
      <w:bookmarkStart w:id="15" w:name="_Toc370234355"/>
      <w:bookmarkStart w:id="16" w:name="_Toc367802586"/>
      <w:bookmarkStart w:id="17" w:name="_Toc369555565"/>
      <w:bookmarkStart w:id="18" w:name="_Toc368067586"/>
      <w:bookmarkStart w:id="19" w:name="_Toc369179316"/>
      <w:bookmarkStart w:id="20" w:name="_Toc374364898"/>
      <w:r>
        <w:rPr>
          <w:rFonts w:hint="eastAsia" w:ascii="Times New Roman" w:hAnsi="Times New Roman"/>
          <w:b w:val="0"/>
        </w:rPr>
        <w:t>1.2  有利条件</w:t>
      </w:r>
      <w:bookmarkEnd w:id="14"/>
      <w:bookmarkEnd w:id="15"/>
      <w:bookmarkEnd w:id="16"/>
      <w:bookmarkEnd w:id="17"/>
      <w:bookmarkEnd w:id="18"/>
      <w:bookmarkEnd w:id="19"/>
      <w:bookmarkEnd w:id="20"/>
    </w:p>
    <w:p>
      <w:pPr>
        <w:spacing w:line="560" w:lineRule="exact"/>
        <w:ind w:firstLine="640" w:firstLineChars="200"/>
        <w:rPr>
          <w:rFonts w:hint="eastAsia" w:eastAsia="仿宋_GB2312"/>
          <w:sz w:val="32"/>
          <w:szCs w:val="32"/>
        </w:rPr>
      </w:pPr>
      <w:r>
        <w:rPr>
          <w:rFonts w:hint="eastAsia" w:eastAsia="仿宋_GB2312"/>
          <w:b/>
          <w:sz w:val="32"/>
          <w:szCs w:val="32"/>
        </w:rPr>
        <w:t>沿海发展和可持续发展实验区建设带来新机遇</w:t>
      </w:r>
      <w:r>
        <w:rPr>
          <w:rFonts w:hint="eastAsia" w:eastAsia="仿宋_GB2312"/>
          <w:sz w:val="32"/>
          <w:szCs w:val="32"/>
        </w:rPr>
        <w:t>。2009年江苏沿海发展战略上升为国家战略，2012年盐城被列为国家可持续发展实验区，机遇叠加将有力地促进区域内各种产业要素的高效流动和优化配置。同时，盐城与亚欧大陆桥沿线、东北亚地区的联系紧密，区域内外产业对接融合的条件日益成熟，为盐城发展带来了巨大的发展空间。</w:t>
      </w:r>
    </w:p>
    <w:p>
      <w:pPr>
        <w:spacing w:line="560" w:lineRule="exact"/>
        <w:ind w:firstLine="640" w:firstLineChars="200"/>
        <w:rPr>
          <w:rFonts w:hint="eastAsia" w:eastAsia="仿宋_GB2312"/>
          <w:sz w:val="32"/>
          <w:szCs w:val="32"/>
        </w:rPr>
      </w:pPr>
      <w:r>
        <w:rPr>
          <w:rFonts w:hint="eastAsia" w:eastAsia="仿宋_GB2312"/>
          <w:b/>
          <w:sz w:val="32"/>
          <w:szCs w:val="32"/>
        </w:rPr>
        <w:t>区域生态优势日益凸显。</w:t>
      </w:r>
      <w:r>
        <w:rPr>
          <w:rFonts w:hint="eastAsia" w:eastAsia="仿宋_GB2312"/>
          <w:sz w:val="32"/>
          <w:szCs w:val="32"/>
        </w:rPr>
        <w:t>盐城湿地生态资源得天独厚，建有珍禽（丹顶鹤）和野生麋鹿2个国家级自然保护区，市域拥有天然湿地（包括海岸滩涂湿地、湖泊荡滩湿地和河流湿地）面积约6026平方公里，占全市土地面积的35.59%，其中市域沿海地区拥有我国面积最大的沿海滩涂，面积达4553万平方公里，占江苏省的67%，射阳河口以南沿海地段还以每年成陆1000多公顷的速度向大海延伸，具有江苏最大、最具潜力的土地后备资源。</w:t>
      </w:r>
    </w:p>
    <w:p>
      <w:pPr>
        <w:spacing w:line="560" w:lineRule="exact"/>
        <w:ind w:firstLine="640" w:firstLineChars="200"/>
        <w:rPr>
          <w:rFonts w:hint="eastAsia" w:eastAsia="仿宋_GB2312"/>
          <w:sz w:val="32"/>
          <w:szCs w:val="32"/>
        </w:rPr>
      </w:pPr>
      <w:r>
        <w:rPr>
          <w:rFonts w:hint="eastAsia" w:eastAsia="仿宋_GB2312"/>
          <w:b/>
          <w:sz w:val="32"/>
          <w:szCs w:val="32"/>
        </w:rPr>
        <w:t>综合实力不断增强。</w:t>
      </w:r>
      <w:r>
        <w:rPr>
          <w:rFonts w:hint="eastAsia" w:eastAsia="仿宋_GB2312"/>
          <w:sz w:val="32"/>
          <w:szCs w:val="32"/>
        </w:rPr>
        <w:t>2012年，全市地区生产总值达到3120亿元，人均地区生产总值43172元；公共财政预算收入312.78亿元；城镇居民人均可支配收入达到21941元，农民人均纯收入11898元，全市实现农林牧渔业总产值925.38亿元。日益雄厚的城市综合实力，为推进生态文明建设打下了坚实的经济基础。</w:t>
      </w:r>
    </w:p>
    <w:p>
      <w:pPr>
        <w:spacing w:line="560" w:lineRule="exact"/>
        <w:ind w:firstLine="640" w:firstLineChars="200"/>
        <w:rPr>
          <w:rFonts w:hint="eastAsia" w:eastAsia="仿宋_GB2312"/>
          <w:sz w:val="32"/>
          <w:szCs w:val="32"/>
        </w:rPr>
      </w:pPr>
      <w:r>
        <w:rPr>
          <w:rFonts w:hint="eastAsia" w:eastAsia="仿宋_GB2312"/>
          <w:b/>
          <w:sz w:val="32"/>
          <w:szCs w:val="32"/>
        </w:rPr>
        <w:t>战略性新兴产业发展态势良好</w:t>
      </w:r>
      <w:r>
        <w:rPr>
          <w:rFonts w:hint="eastAsia" w:eastAsia="仿宋_GB2312"/>
          <w:sz w:val="32"/>
          <w:szCs w:val="32"/>
        </w:rPr>
        <w:t>。全市立足产业基础和资源优势，加速汽车、机械装备、纺织、化工、农副产品加工等支柱产业向高端环节升级、向高附加值方向发展。以新型工业化为主导、新型城镇化为支撑、农业现代化为基础，加快形成城乡融合一体化发展新格局，目前已建成绿色能源、环保装备、海上风电等国家高新技术特色产业基地。</w:t>
      </w:r>
    </w:p>
    <w:p>
      <w:pPr>
        <w:pStyle w:val="3"/>
        <w:keepNext w:val="0"/>
        <w:keepLines w:val="0"/>
        <w:spacing w:before="156" w:beforeLines="50" w:after="156" w:afterLines="50" w:line="560" w:lineRule="exact"/>
        <w:rPr>
          <w:rFonts w:hint="eastAsia" w:ascii="Times New Roman" w:hAnsi="Times New Roman"/>
          <w:b w:val="0"/>
        </w:rPr>
      </w:pPr>
      <w:bookmarkStart w:id="21" w:name="_Toc369179318"/>
      <w:bookmarkStart w:id="22" w:name="_Toc369555566"/>
      <w:bookmarkStart w:id="23" w:name="_Toc370234356"/>
      <w:bookmarkStart w:id="24" w:name="_Toc374364899"/>
      <w:r>
        <w:rPr>
          <w:rFonts w:hint="eastAsia" w:ascii="Times New Roman" w:hAnsi="Times New Roman"/>
          <w:b w:val="0"/>
        </w:rPr>
        <w:t xml:space="preserve">1.3  </w:t>
      </w:r>
      <w:bookmarkEnd w:id="21"/>
      <w:r>
        <w:rPr>
          <w:rFonts w:hint="eastAsia" w:ascii="Times New Roman" w:hAnsi="Times New Roman"/>
          <w:b w:val="0"/>
        </w:rPr>
        <w:t>面临挑战</w:t>
      </w:r>
      <w:bookmarkEnd w:id="22"/>
      <w:bookmarkEnd w:id="23"/>
      <w:bookmarkEnd w:id="24"/>
    </w:p>
    <w:p>
      <w:pPr>
        <w:spacing w:line="560" w:lineRule="exact"/>
        <w:ind w:firstLine="627" w:firstLineChars="196"/>
        <w:rPr>
          <w:rFonts w:hint="eastAsia" w:eastAsia="仿宋_GB2312"/>
          <w:b/>
          <w:sz w:val="32"/>
          <w:szCs w:val="32"/>
        </w:rPr>
      </w:pPr>
      <w:r>
        <w:rPr>
          <w:rFonts w:hint="eastAsia" w:eastAsia="仿宋_GB2312"/>
          <w:b/>
          <w:sz w:val="32"/>
          <w:szCs w:val="32"/>
        </w:rPr>
        <w:t>产业结构调整压力较大。</w:t>
      </w:r>
      <w:r>
        <w:rPr>
          <w:rFonts w:hint="eastAsia" w:eastAsia="仿宋_GB2312"/>
          <w:kern w:val="32"/>
          <w:sz w:val="32"/>
          <w:szCs w:val="32"/>
        </w:rPr>
        <w:t>经济增长粗放的状况尚未根本改变，结构性矛盾依然突出，化工、纺织等传统高耗能产业仍占主导地位，2012年全市能源电力、化工、非金属矿产、石化、造纸、冶金等六大工业行业能源消耗量占规模以上工业企业能源消耗量的70%以上，但工业总产值仅占规模以上企业总产值的22.8%。高新技术产业、战略性新兴产业发展规模偏小，产品关联度低，产业链延伸相对较短。服务业发展相对滞后，信息技术服务、内容服务、增值服务等现代服务业和新兴服务业占比较低。</w:t>
      </w:r>
    </w:p>
    <w:p>
      <w:pPr>
        <w:spacing w:line="560" w:lineRule="exact"/>
        <w:ind w:firstLine="627" w:firstLineChars="196"/>
        <w:rPr>
          <w:rFonts w:hint="eastAsia" w:eastAsia="仿宋_GB2312"/>
          <w:kern w:val="32"/>
          <w:sz w:val="32"/>
          <w:szCs w:val="32"/>
        </w:rPr>
      </w:pPr>
      <w:r>
        <w:rPr>
          <w:rFonts w:hint="eastAsia" w:eastAsia="仿宋_GB2312"/>
          <w:b/>
          <w:sz w:val="32"/>
          <w:szCs w:val="32"/>
        </w:rPr>
        <w:t>生态环境质量改善难度加大。</w:t>
      </w:r>
      <w:r>
        <w:rPr>
          <w:rFonts w:hint="eastAsia" w:eastAsia="仿宋_GB2312"/>
          <w:kern w:val="32"/>
          <w:sz w:val="32"/>
          <w:szCs w:val="32"/>
        </w:rPr>
        <w:t>在经济总量持续增长、煤炭用量和污染产生量持续增加的情况下，完成污染物减排任务难度巨大。2012年，全市二氧化硫、氮氧化物排放量分别达4.27万吨、4.92万吨，二氧化硫减排仅完成“十二五”时期目标值的4%，氮氧化物排放量不降反增。环境质量改善程度和进度与人民群众的要求仍有较大差距，市区空气质量平均达标率仅为77.3%，扬尘、工业废气污染较为严重。具有饮用水源功能的主要河道水质还不能稳定达标，突发性环境事件呈增多趋势，重金属、危险固体废物和危险化学品等长期积累的环境问题集中显现。</w:t>
      </w:r>
    </w:p>
    <w:p>
      <w:pPr>
        <w:spacing w:line="560" w:lineRule="exact"/>
        <w:ind w:firstLine="627" w:firstLineChars="196"/>
        <w:rPr>
          <w:rFonts w:hint="eastAsia" w:eastAsia="仿宋_GB2312"/>
          <w:kern w:val="32"/>
          <w:sz w:val="32"/>
          <w:szCs w:val="32"/>
        </w:rPr>
      </w:pPr>
      <w:r>
        <w:rPr>
          <w:rFonts w:hint="eastAsia" w:eastAsia="仿宋_GB2312"/>
          <w:b/>
          <w:sz w:val="32"/>
          <w:szCs w:val="32"/>
        </w:rPr>
        <w:t>生态文明制度建设有待加强。</w:t>
      </w:r>
      <w:r>
        <w:rPr>
          <w:rFonts w:hint="eastAsia" w:eastAsia="仿宋_GB2312"/>
          <w:kern w:val="32"/>
          <w:sz w:val="32"/>
          <w:szCs w:val="32"/>
        </w:rPr>
        <w:t>生态环境保护体制机制与生态文明建设的要求还不相适应，推进生态文明建设的地方相关政策法规、制度尚不健全，资源环境有偿使用和生态补偿制度尚未建立，环保责任追究和环境损害赔偿制度有待进一步加强。生态文明建设投入与实际需求还存在较大差距，社会资本参与生态环保投资的积极性不高。生态文明建设考核奖惩机制、环境与发展综合决策机制、环境管理体制、公众参与机制等需要进一步完善。</w:t>
      </w:r>
    </w:p>
    <w:p>
      <w:pPr>
        <w:spacing w:line="560" w:lineRule="exact"/>
        <w:ind w:firstLine="627" w:firstLineChars="196"/>
        <w:rPr>
          <w:rFonts w:hint="eastAsia" w:eastAsia="仿宋_GB2312"/>
          <w:b/>
          <w:sz w:val="32"/>
          <w:szCs w:val="32"/>
        </w:rPr>
      </w:pPr>
      <w:r>
        <w:rPr>
          <w:rFonts w:hint="eastAsia" w:eastAsia="仿宋_GB2312"/>
          <w:b/>
          <w:sz w:val="32"/>
          <w:szCs w:val="32"/>
        </w:rPr>
        <w:t>全社会生态文明意识有待进一步提升。</w:t>
      </w:r>
      <w:r>
        <w:rPr>
          <w:rFonts w:hint="eastAsia" w:eastAsia="仿宋_GB2312"/>
          <w:kern w:val="32"/>
          <w:sz w:val="32"/>
          <w:szCs w:val="32"/>
        </w:rPr>
        <w:t>全社会生态文明意识和生态文化建设较为薄弱。部分干部执行环保优先的方针不坚决，少数地方存在牺牲环境利益换取经济增长的现象。企业环保责任意识不强，超标排放、非法排污等行为依然存在。传统的生活方式和消费理念尚未根本转变，尊重自然、顺应自然和保护自然的理念尚未完全形成，公众的环境责任意识相对较差的现象较为普遍。</w:t>
      </w:r>
    </w:p>
    <w:p>
      <w:pPr>
        <w:spacing w:line="560" w:lineRule="exact"/>
        <w:ind w:firstLine="627" w:firstLineChars="196"/>
        <w:rPr>
          <w:rFonts w:hint="eastAsia" w:eastAsia="仿宋_GB2312"/>
          <w:kern w:val="32"/>
          <w:sz w:val="32"/>
          <w:szCs w:val="32"/>
        </w:rPr>
      </w:pPr>
    </w:p>
    <w:p>
      <w:pPr>
        <w:spacing w:line="560" w:lineRule="exact"/>
        <w:ind w:firstLine="627" w:firstLineChars="196"/>
        <w:rPr>
          <w:rFonts w:hint="eastAsia" w:eastAsia="仿宋_GB2312"/>
          <w:kern w:val="32"/>
          <w:sz w:val="32"/>
          <w:szCs w:val="32"/>
        </w:rPr>
      </w:pPr>
    </w:p>
    <w:p>
      <w:pPr>
        <w:pStyle w:val="2"/>
        <w:keepNext w:val="0"/>
        <w:keepLines w:val="0"/>
        <w:spacing w:before="156" w:beforeLines="50" w:after="156" w:afterLines="50" w:line="560" w:lineRule="exact"/>
        <w:jc w:val="center"/>
        <w:rPr>
          <w:rFonts w:hint="eastAsia" w:eastAsia="方正小标宋_GBK"/>
          <w:b w:val="0"/>
        </w:rPr>
      </w:pPr>
      <w:bookmarkStart w:id="25" w:name="_Toc369179320"/>
      <w:bookmarkStart w:id="26" w:name="_Toc367802589"/>
      <w:bookmarkStart w:id="27" w:name="_Toc369555568"/>
      <w:bookmarkStart w:id="28" w:name="_Toc368067588"/>
      <w:bookmarkStart w:id="29" w:name="_Toc360777557"/>
      <w:r>
        <w:rPr>
          <w:rFonts w:eastAsia="方正小标宋_GBK"/>
          <w:b w:val="0"/>
        </w:rPr>
        <w:br w:type="page"/>
      </w:r>
      <w:bookmarkStart w:id="30" w:name="_Toc370234358"/>
      <w:bookmarkStart w:id="31" w:name="_Toc374364900"/>
      <w:r>
        <w:rPr>
          <w:rFonts w:hint="eastAsia" w:eastAsia="方正小标宋_GBK"/>
          <w:b w:val="0"/>
        </w:rPr>
        <w:t>第二章  指导思想、原则和目标</w:t>
      </w:r>
      <w:bookmarkEnd w:id="25"/>
      <w:bookmarkEnd w:id="26"/>
      <w:bookmarkEnd w:id="27"/>
      <w:bookmarkEnd w:id="28"/>
      <w:bookmarkEnd w:id="29"/>
      <w:bookmarkEnd w:id="30"/>
      <w:bookmarkEnd w:id="31"/>
    </w:p>
    <w:p>
      <w:pPr>
        <w:pStyle w:val="3"/>
        <w:keepNext w:val="0"/>
        <w:keepLines w:val="0"/>
        <w:spacing w:before="156" w:beforeLines="50" w:after="156" w:afterLines="50" w:line="560" w:lineRule="exact"/>
        <w:rPr>
          <w:rFonts w:hint="eastAsia" w:ascii="Times New Roman" w:hAnsi="Times New Roman"/>
          <w:b w:val="0"/>
        </w:rPr>
      </w:pPr>
      <w:bookmarkStart w:id="32" w:name="_Toc374364901"/>
      <w:bookmarkStart w:id="33" w:name="_Toc360777558"/>
      <w:bookmarkStart w:id="34" w:name="_Toc367802590"/>
      <w:bookmarkStart w:id="35" w:name="_Toc368067589"/>
      <w:bookmarkStart w:id="36" w:name="_Toc369179321"/>
      <w:bookmarkStart w:id="37" w:name="_Toc370234359"/>
      <w:bookmarkStart w:id="38" w:name="_Toc369555569"/>
      <w:r>
        <w:rPr>
          <w:rFonts w:hint="eastAsia" w:ascii="Times New Roman" w:hAnsi="Times New Roman"/>
          <w:b w:val="0"/>
        </w:rPr>
        <w:t>2.1  指导思想</w:t>
      </w:r>
      <w:bookmarkEnd w:id="32"/>
      <w:bookmarkEnd w:id="33"/>
      <w:bookmarkEnd w:id="34"/>
      <w:bookmarkEnd w:id="35"/>
      <w:bookmarkEnd w:id="36"/>
      <w:bookmarkEnd w:id="37"/>
      <w:bookmarkEnd w:id="38"/>
    </w:p>
    <w:p>
      <w:pPr>
        <w:spacing w:line="560" w:lineRule="exact"/>
        <w:ind w:firstLine="720" w:firstLineChars="225"/>
        <w:rPr>
          <w:rFonts w:hint="eastAsia" w:eastAsia="仿宋_GB2312" w:cs="仿宋_GB2312"/>
          <w:sz w:val="32"/>
          <w:szCs w:val="32"/>
        </w:rPr>
      </w:pPr>
      <w:r>
        <w:rPr>
          <w:rFonts w:hint="eastAsia" w:eastAsia="仿宋_GB2312"/>
          <w:sz w:val="32"/>
          <w:szCs w:val="32"/>
        </w:rPr>
        <w:t>坚持以邓小平理论、“三个代表”重要思想和科学发展观为指导，全面贯彻落实党的十八大和十八届三中全会精神，按照省委十二届五次全会和市委六届三次全会部署，</w:t>
      </w:r>
      <w:r>
        <w:rPr>
          <w:rFonts w:hint="eastAsia" w:eastAsia="仿宋_GB2312" w:cs="仿宋_GB2312"/>
          <w:sz w:val="32"/>
          <w:szCs w:val="32"/>
        </w:rPr>
        <w:t>以</w:t>
      </w:r>
      <w:r>
        <w:rPr>
          <w:rFonts w:hint="eastAsia" w:eastAsia="仿宋_GB2312"/>
          <w:sz w:val="32"/>
          <w:szCs w:val="32"/>
        </w:rPr>
        <w:t>“沿海当先、苏北领先、全省争先”为动力，</w:t>
      </w:r>
      <w:r>
        <w:rPr>
          <w:rFonts w:hint="eastAsia" w:eastAsia="仿宋_GB2312" w:cs="仿宋_GB2312"/>
          <w:sz w:val="32"/>
          <w:szCs w:val="32"/>
        </w:rPr>
        <w:t>以建设国家可持续发展实验区为引领，以省生态文明建设工程“七大行动”为指导，</w:t>
      </w:r>
      <w:r>
        <w:rPr>
          <w:rFonts w:hint="eastAsia" w:eastAsia="仿宋_GB2312"/>
          <w:sz w:val="32"/>
          <w:szCs w:val="32"/>
        </w:rPr>
        <w:t>大力推进环境保护、生态建设、绿色发展，着力建设生态盐城，努力将盐城建设成为天蓝、地绿、水清，富有魅力的生态之都。</w:t>
      </w:r>
    </w:p>
    <w:p>
      <w:pPr>
        <w:pStyle w:val="3"/>
        <w:keepNext w:val="0"/>
        <w:keepLines w:val="0"/>
        <w:spacing w:before="156" w:beforeLines="50" w:after="156" w:afterLines="50" w:line="560" w:lineRule="exact"/>
        <w:rPr>
          <w:rFonts w:hint="eastAsia" w:ascii="Times New Roman" w:hAnsi="Times New Roman"/>
          <w:b w:val="0"/>
        </w:rPr>
      </w:pPr>
      <w:bookmarkStart w:id="39" w:name="_Toc368067590"/>
      <w:bookmarkStart w:id="40" w:name="_Toc369179322"/>
      <w:bookmarkStart w:id="41" w:name="_Toc360777559"/>
      <w:bookmarkStart w:id="42" w:name="_Toc367802591"/>
      <w:bookmarkStart w:id="43" w:name="_Toc374364902"/>
      <w:bookmarkStart w:id="44" w:name="_Toc370234360"/>
      <w:bookmarkStart w:id="45" w:name="_Toc369555570"/>
      <w:r>
        <w:rPr>
          <w:rFonts w:hint="eastAsia" w:ascii="Times New Roman" w:hAnsi="Times New Roman"/>
          <w:b w:val="0"/>
        </w:rPr>
        <w:t>2.2  基本原则</w:t>
      </w:r>
      <w:bookmarkEnd w:id="39"/>
      <w:bookmarkEnd w:id="40"/>
      <w:bookmarkEnd w:id="41"/>
      <w:bookmarkEnd w:id="42"/>
      <w:bookmarkEnd w:id="43"/>
      <w:bookmarkEnd w:id="44"/>
      <w:bookmarkEnd w:id="45"/>
    </w:p>
    <w:p>
      <w:pPr>
        <w:spacing w:line="560" w:lineRule="exact"/>
        <w:ind w:firstLine="627" w:firstLineChars="196"/>
        <w:rPr>
          <w:rFonts w:hint="eastAsia" w:eastAsia="仿宋_GB2312"/>
          <w:sz w:val="32"/>
          <w:szCs w:val="32"/>
        </w:rPr>
      </w:pPr>
      <w:r>
        <w:rPr>
          <w:rFonts w:hint="eastAsia" w:eastAsia="仿宋_GB2312"/>
          <w:b/>
          <w:sz w:val="32"/>
          <w:szCs w:val="32"/>
        </w:rPr>
        <w:t>以人为本，生态优先。</w:t>
      </w:r>
      <w:r>
        <w:rPr>
          <w:rFonts w:hint="eastAsia" w:eastAsia="仿宋_GB2312"/>
          <w:sz w:val="32"/>
          <w:szCs w:val="32"/>
        </w:rPr>
        <w:t>良好的生态环境是重要的战略资源，是社会可持续发展的根本基础，是最普惠的民生福祉，是区域发展的重要品牌。要牢固树立尊重自然、顺应自然、保护自然的理念，将保障和改善人民群众的生态权益作为生态文明建设的重要内容，以改革创新的精神推进生态文明建设，最终达到人与自然协调发展的目标。</w:t>
      </w:r>
    </w:p>
    <w:p>
      <w:pPr>
        <w:spacing w:line="560" w:lineRule="exact"/>
        <w:ind w:firstLine="627" w:firstLineChars="196"/>
        <w:rPr>
          <w:rFonts w:hint="eastAsia" w:eastAsia="仿宋_GB2312"/>
          <w:sz w:val="32"/>
          <w:szCs w:val="32"/>
        </w:rPr>
      </w:pPr>
      <w:r>
        <w:rPr>
          <w:rFonts w:hint="eastAsia" w:eastAsia="仿宋_GB2312"/>
          <w:b/>
          <w:sz w:val="32"/>
          <w:szCs w:val="32"/>
        </w:rPr>
        <w:t>统筹城乡，和谐发展。</w:t>
      </w:r>
      <w:r>
        <w:rPr>
          <w:rFonts w:hint="eastAsia" w:eastAsia="仿宋_GB2312"/>
          <w:sz w:val="32"/>
          <w:szCs w:val="32"/>
        </w:rPr>
        <w:t>从盐城发展全局和最广大人民的根本利益出发，统筹兼顾，合理布局，妥善处理保护与发展的关系，促进城乡间、区域间公平协调发展，促进社会和谐发展。</w:t>
      </w:r>
    </w:p>
    <w:p>
      <w:pPr>
        <w:spacing w:line="560" w:lineRule="exact"/>
        <w:ind w:firstLine="720" w:firstLineChars="225"/>
        <w:rPr>
          <w:rFonts w:hint="eastAsia" w:eastAsia="仿宋_GB2312"/>
          <w:sz w:val="32"/>
          <w:szCs w:val="32"/>
        </w:rPr>
      </w:pPr>
      <w:r>
        <w:rPr>
          <w:rFonts w:hint="eastAsia" w:eastAsia="仿宋_GB2312"/>
          <w:b/>
          <w:sz w:val="32"/>
          <w:szCs w:val="32"/>
        </w:rPr>
        <w:t>因地制宜，分类指导。</w:t>
      </w:r>
      <w:r>
        <w:rPr>
          <w:rFonts w:hint="eastAsia" w:eastAsia="仿宋_GB2312"/>
          <w:sz w:val="32"/>
          <w:szCs w:val="32"/>
        </w:rPr>
        <w:t>立足盐城经济社会发展现状，加快产业转型发展，重点推进</w:t>
      </w:r>
      <w:r>
        <w:rPr>
          <w:rFonts w:hint="eastAsia" w:eastAsia="仿宋_GB2312"/>
          <w:kern w:val="32"/>
          <w:sz w:val="32"/>
          <w:szCs w:val="32"/>
        </w:rPr>
        <w:t>新能源、节能环保、电子信息、高端装备等四个主导产业发展，加快培育新能源汽车、海洋产业、航空装备等三个先导产业</w:t>
      </w:r>
      <w:r>
        <w:rPr>
          <w:rFonts w:hint="eastAsia" w:eastAsia="仿宋_GB2312"/>
          <w:sz w:val="32"/>
          <w:szCs w:val="32"/>
        </w:rPr>
        <w:t>，全面提升经济增长质量和效益。</w:t>
      </w:r>
    </w:p>
    <w:p>
      <w:pPr>
        <w:spacing w:line="560" w:lineRule="exact"/>
        <w:ind w:firstLine="720" w:firstLineChars="225"/>
        <w:rPr>
          <w:rFonts w:hint="eastAsia" w:eastAsia="仿宋_GB2312"/>
          <w:sz w:val="32"/>
          <w:szCs w:val="32"/>
        </w:rPr>
      </w:pPr>
      <w:r>
        <w:rPr>
          <w:rFonts w:hint="eastAsia" w:eastAsia="仿宋_GB2312"/>
          <w:b/>
          <w:sz w:val="32"/>
          <w:szCs w:val="32"/>
        </w:rPr>
        <w:t>工程推进，彰显特色。</w:t>
      </w:r>
      <w:r>
        <w:rPr>
          <w:rFonts w:hint="eastAsia" w:eastAsia="仿宋_GB2312"/>
          <w:sz w:val="32"/>
          <w:szCs w:val="32"/>
        </w:rPr>
        <w:t>以创建国家园林城市、国家卫生城市、国家环保模范城市、国家生态市、国家可持续发展实验区和全国生态文明建设示范区为重要抓手，充分发挥盐城地域优势，按照“工作项目化、项目目标化、目标责任化”要求，全面推进生态文明建设，探索盐城特色的生态文明发展道路。</w:t>
      </w:r>
    </w:p>
    <w:p>
      <w:pPr>
        <w:spacing w:line="560" w:lineRule="exact"/>
        <w:ind w:firstLine="720" w:firstLineChars="225"/>
        <w:rPr>
          <w:rFonts w:hint="eastAsia" w:eastAsia="仿宋_GB2312"/>
          <w:sz w:val="32"/>
          <w:szCs w:val="32"/>
        </w:rPr>
      </w:pPr>
      <w:r>
        <w:rPr>
          <w:rFonts w:hint="eastAsia" w:eastAsia="仿宋_GB2312"/>
          <w:b/>
          <w:sz w:val="32"/>
          <w:szCs w:val="32"/>
        </w:rPr>
        <w:t>政府引导，社会参与。</w:t>
      </w:r>
      <w:r>
        <w:rPr>
          <w:rFonts w:hint="eastAsia" w:eastAsia="仿宋_GB2312"/>
          <w:sz w:val="32"/>
          <w:szCs w:val="32"/>
        </w:rPr>
        <w:t>充分发挥各级党委、政府在生态文明建设中的组织引导、协调推动作用，广泛调动企业和社会组织、公众参与生态文明建设的积极性，依托市场的主体地位，形成政府引导、部门分工协作、全社会共同参与的生态文明建设工作机制。</w:t>
      </w:r>
    </w:p>
    <w:p>
      <w:pPr>
        <w:pStyle w:val="3"/>
        <w:keepNext w:val="0"/>
        <w:keepLines w:val="0"/>
        <w:spacing w:before="156" w:beforeLines="50" w:after="156" w:afterLines="50" w:line="560" w:lineRule="exact"/>
        <w:rPr>
          <w:rFonts w:hint="eastAsia" w:ascii="Times New Roman" w:hAnsi="Times New Roman"/>
          <w:b w:val="0"/>
        </w:rPr>
      </w:pPr>
      <w:bookmarkStart w:id="46" w:name="_Toc360777560"/>
      <w:bookmarkStart w:id="47" w:name="_Toc367802592"/>
      <w:bookmarkStart w:id="48" w:name="_Toc369179323"/>
      <w:bookmarkStart w:id="49" w:name="_Toc370234361"/>
      <w:bookmarkStart w:id="50" w:name="_Toc369555571"/>
      <w:bookmarkStart w:id="51" w:name="_Toc368067591"/>
      <w:bookmarkStart w:id="52" w:name="_Toc374364903"/>
      <w:r>
        <w:rPr>
          <w:rFonts w:hint="eastAsia" w:ascii="Times New Roman" w:hAnsi="Times New Roman"/>
          <w:b w:val="0"/>
        </w:rPr>
        <w:t>2.3  规划目标</w:t>
      </w:r>
      <w:bookmarkEnd w:id="46"/>
      <w:bookmarkEnd w:id="47"/>
      <w:bookmarkEnd w:id="48"/>
      <w:bookmarkEnd w:id="49"/>
      <w:bookmarkEnd w:id="50"/>
      <w:bookmarkEnd w:id="51"/>
      <w:bookmarkEnd w:id="52"/>
    </w:p>
    <w:p>
      <w:pPr>
        <w:spacing w:line="560" w:lineRule="exact"/>
        <w:outlineLvl w:val="2"/>
        <w:rPr>
          <w:rFonts w:eastAsia="楷体"/>
          <w:b/>
          <w:sz w:val="32"/>
          <w:szCs w:val="32"/>
        </w:rPr>
      </w:pPr>
      <w:bookmarkStart w:id="53" w:name="_Toc370234362"/>
      <w:bookmarkStart w:id="54" w:name="_Toc374364904"/>
      <w:bookmarkStart w:id="55" w:name="_Toc369555572"/>
      <w:bookmarkStart w:id="56" w:name="_Toc369179324"/>
      <w:r>
        <w:rPr>
          <w:rFonts w:eastAsia="楷体"/>
          <w:b/>
          <w:sz w:val="32"/>
          <w:szCs w:val="32"/>
        </w:rPr>
        <w:t>2.3.1  总体目标</w:t>
      </w:r>
      <w:bookmarkEnd w:id="53"/>
      <w:bookmarkEnd w:id="54"/>
      <w:bookmarkEnd w:id="55"/>
      <w:bookmarkEnd w:id="56"/>
    </w:p>
    <w:p>
      <w:pPr>
        <w:shd w:val="clear" w:color="auto" w:fill="FFFFFF"/>
        <w:tabs>
          <w:tab w:val="left" w:pos="720"/>
          <w:tab w:val="left" w:pos="2700"/>
          <w:tab w:val="left" w:pos="3600"/>
          <w:tab w:val="left" w:pos="3960"/>
        </w:tabs>
        <w:spacing w:line="560" w:lineRule="exact"/>
        <w:ind w:firstLine="640" w:firstLineChars="200"/>
        <w:rPr>
          <w:rFonts w:hint="eastAsia" w:eastAsia="仿宋_GB2312"/>
          <w:sz w:val="32"/>
          <w:szCs w:val="32"/>
        </w:rPr>
      </w:pPr>
      <w:r>
        <w:rPr>
          <w:rFonts w:hint="eastAsia" w:eastAsia="仿宋_GB2312"/>
          <w:sz w:val="32"/>
          <w:szCs w:val="32"/>
        </w:rPr>
        <w:t>到2015年，盐城市建成省级生态市和国家环保模范城市。</w:t>
      </w:r>
    </w:p>
    <w:p>
      <w:pPr>
        <w:shd w:val="clear" w:color="auto" w:fill="FFFFFF"/>
        <w:tabs>
          <w:tab w:val="left" w:pos="720"/>
          <w:tab w:val="left" w:pos="2700"/>
          <w:tab w:val="left" w:pos="3600"/>
          <w:tab w:val="left" w:pos="3960"/>
        </w:tabs>
        <w:spacing w:line="560" w:lineRule="exact"/>
        <w:ind w:firstLine="640" w:firstLineChars="200"/>
        <w:rPr>
          <w:rFonts w:hint="eastAsia" w:eastAsia="仿宋_GB2312"/>
          <w:sz w:val="32"/>
          <w:szCs w:val="32"/>
        </w:rPr>
      </w:pPr>
      <w:r>
        <w:rPr>
          <w:rFonts w:eastAsia="仿宋_GB2312"/>
          <w:sz w:val="32"/>
          <w:szCs w:val="32"/>
        </w:rPr>
        <w:t>——</w:t>
      </w:r>
      <w:r>
        <w:rPr>
          <w:rFonts w:hint="eastAsia" w:eastAsia="仿宋_GB2312"/>
          <w:sz w:val="32"/>
          <w:szCs w:val="32"/>
        </w:rPr>
        <w:t>绿色转型取得重大进展。服务业增加值占地区生产总值比重达到39%以上，高新技术产业产值占规模以上工业产值比重达到35%，主要农产品中无公害农产品、绿色食品和有机农产品（以下简称“三品”）种植面积的比重达到83%以上。</w:t>
      </w:r>
    </w:p>
    <w:p>
      <w:pPr>
        <w:shd w:val="clear" w:color="auto" w:fill="FFFFFF"/>
        <w:tabs>
          <w:tab w:val="left" w:pos="720"/>
          <w:tab w:val="left" w:pos="2700"/>
          <w:tab w:val="left" w:pos="3600"/>
          <w:tab w:val="left" w:pos="3960"/>
        </w:tabs>
        <w:spacing w:line="560" w:lineRule="exact"/>
        <w:ind w:firstLine="640" w:firstLineChars="200"/>
        <w:rPr>
          <w:rFonts w:hint="eastAsia" w:eastAsia="仿宋_GB2312"/>
          <w:sz w:val="32"/>
          <w:szCs w:val="32"/>
        </w:rPr>
      </w:pPr>
      <w:r>
        <w:rPr>
          <w:rFonts w:eastAsia="仿宋_GB2312"/>
          <w:sz w:val="32"/>
          <w:szCs w:val="32"/>
        </w:rPr>
        <w:t>——</w:t>
      </w:r>
      <w:r>
        <w:rPr>
          <w:rFonts w:hint="eastAsia" w:eastAsia="仿宋_GB2312"/>
          <w:sz w:val="32"/>
          <w:szCs w:val="32"/>
        </w:rPr>
        <w:t>资源能源利用效率得到提高。非化石能源占一次能源消费比例提高到15.33%，单位地区生产总值能耗低于0.464吨标煤/万元，单位地区生产总值水耗低于146立方米/万元。</w:t>
      </w:r>
    </w:p>
    <w:p>
      <w:pPr>
        <w:shd w:val="clear" w:color="auto" w:fill="FFFFFF"/>
        <w:tabs>
          <w:tab w:val="left" w:pos="720"/>
          <w:tab w:val="left" w:pos="2700"/>
          <w:tab w:val="left" w:pos="3600"/>
          <w:tab w:val="left" w:pos="3960"/>
        </w:tabs>
        <w:spacing w:line="560" w:lineRule="exact"/>
        <w:ind w:firstLine="640" w:firstLineChars="200"/>
        <w:rPr>
          <w:rFonts w:hint="eastAsia" w:eastAsia="仿宋_GB2312"/>
          <w:sz w:val="32"/>
          <w:szCs w:val="32"/>
        </w:rPr>
      </w:pPr>
      <w:r>
        <w:rPr>
          <w:rFonts w:eastAsia="仿宋_GB2312"/>
          <w:sz w:val="32"/>
          <w:szCs w:val="32"/>
        </w:rPr>
        <w:t>——</w:t>
      </w:r>
      <w:r>
        <w:rPr>
          <w:rFonts w:hint="eastAsia" w:eastAsia="仿宋_GB2312"/>
          <w:sz w:val="32"/>
          <w:szCs w:val="32"/>
        </w:rPr>
        <w:t>环境基础设施取得重大突破。城市、县城污水处理率分别达到85%、80%，建制镇污水处理设施覆盖率达到92%，城乡生活垃圾无害化处理率达到90%以上。</w:t>
      </w:r>
    </w:p>
    <w:p>
      <w:pPr>
        <w:shd w:val="clear" w:color="auto" w:fill="FFFFFF"/>
        <w:tabs>
          <w:tab w:val="left" w:pos="720"/>
          <w:tab w:val="left" w:pos="2700"/>
          <w:tab w:val="left" w:pos="3600"/>
          <w:tab w:val="left" w:pos="3960"/>
        </w:tabs>
        <w:spacing w:line="560" w:lineRule="exact"/>
        <w:ind w:firstLine="640" w:firstLineChars="200"/>
        <w:rPr>
          <w:rFonts w:hint="eastAsia" w:eastAsia="仿宋_GB2312"/>
          <w:sz w:val="32"/>
          <w:szCs w:val="32"/>
        </w:rPr>
      </w:pPr>
      <w:r>
        <w:rPr>
          <w:rFonts w:eastAsia="仿宋_GB2312"/>
          <w:sz w:val="32"/>
          <w:szCs w:val="32"/>
        </w:rPr>
        <w:t>——</w:t>
      </w:r>
      <w:r>
        <w:rPr>
          <w:rFonts w:hint="eastAsia" w:eastAsia="仿宋_GB2312"/>
          <w:sz w:val="32"/>
          <w:szCs w:val="32"/>
        </w:rPr>
        <w:t>生态环境质量持续改善。城市空气质量达到或优于二级标准的天数比例达到81%（GB3095-2012），地表水优于Ⅲ类水质的比例达到75%，近岸海域环境功能区水质达标率达到90%，林木覆盖率达到24.6%，城市建成区绿地率达到38.0%。</w:t>
      </w:r>
    </w:p>
    <w:p>
      <w:pPr>
        <w:shd w:val="clear" w:color="auto" w:fill="FFFFFF"/>
        <w:tabs>
          <w:tab w:val="left" w:pos="720"/>
          <w:tab w:val="left" w:pos="2700"/>
          <w:tab w:val="left" w:pos="3600"/>
          <w:tab w:val="left" w:pos="3960"/>
        </w:tabs>
        <w:spacing w:line="560" w:lineRule="exact"/>
        <w:ind w:firstLine="640" w:firstLineChars="200"/>
        <w:rPr>
          <w:rFonts w:hint="eastAsia" w:eastAsia="仿宋_GB2312"/>
          <w:sz w:val="32"/>
          <w:szCs w:val="32"/>
        </w:rPr>
      </w:pPr>
      <w:r>
        <w:rPr>
          <w:rFonts w:eastAsia="仿宋_GB2312"/>
          <w:sz w:val="32"/>
          <w:szCs w:val="32"/>
        </w:rPr>
        <w:t>——</w:t>
      </w:r>
      <w:r>
        <w:rPr>
          <w:rFonts w:hint="eastAsia" w:eastAsia="仿宋_GB2312"/>
          <w:sz w:val="32"/>
          <w:szCs w:val="32"/>
        </w:rPr>
        <w:t>生态示范区建设基础不断夯实。9个县（市、区）全部建成国家生态县（市、区）。</w:t>
      </w:r>
    </w:p>
    <w:p>
      <w:pPr>
        <w:shd w:val="clear" w:color="auto" w:fill="FFFFFF"/>
        <w:tabs>
          <w:tab w:val="left" w:pos="720"/>
          <w:tab w:val="left" w:pos="2700"/>
          <w:tab w:val="left" w:pos="3600"/>
          <w:tab w:val="left" w:pos="3960"/>
        </w:tabs>
        <w:spacing w:line="560" w:lineRule="exact"/>
        <w:ind w:firstLine="640" w:firstLineChars="200"/>
        <w:rPr>
          <w:rFonts w:hint="eastAsia" w:eastAsia="仿宋_GB2312"/>
          <w:sz w:val="32"/>
          <w:szCs w:val="32"/>
        </w:rPr>
      </w:pPr>
      <w:r>
        <w:rPr>
          <w:rFonts w:hint="eastAsia" w:eastAsia="仿宋_GB2312"/>
          <w:sz w:val="32"/>
          <w:szCs w:val="32"/>
        </w:rPr>
        <w:t>到2017年，在2016年实现国家可持续发展实验区建设目标的基础上，巩固提升生态县（市、区）建设成果，建成国家生态市，为创建生态文明示范区奠定基础。</w:t>
      </w:r>
    </w:p>
    <w:p>
      <w:pPr>
        <w:shd w:val="clear" w:color="auto" w:fill="FFFFFF"/>
        <w:tabs>
          <w:tab w:val="left" w:pos="720"/>
          <w:tab w:val="left" w:pos="2700"/>
          <w:tab w:val="left" w:pos="3600"/>
          <w:tab w:val="left" w:pos="3960"/>
        </w:tabs>
        <w:spacing w:line="560" w:lineRule="exact"/>
        <w:ind w:firstLine="640" w:firstLineChars="200"/>
        <w:rPr>
          <w:rFonts w:hint="eastAsia" w:eastAsia="仿宋_GB2312"/>
          <w:sz w:val="32"/>
          <w:szCs w:val="32"/>
        </w:rPr>
      </w:pPr>
      <w:r>
        <w:rPr>
          <w:rFonts w:eastAsia="仿宋_GB2312"/>
          <w:sz w:val="32"/>
          <w:szCs w:val="32"/>
        </w:rPr>
        <w:t>——</w:t>
      </w:r>
      <w:r>
        <w:rPr>
          <w:rFonts w:hint="eastAsia" w:eastAsia="仿宋_GB2312"/>
          <w:sz w:val="32"/>
          <w:szCs w:val="32"/>
        </w:rPr>
        <w:t>绿色产业发展体系基本形成。服务业增加值占地区生产总值比重达到39.5%，高新技术产业产值占规模以上工业产值比重达到36%，主要农产品中“三品”种植面积的比重达到85%以上。</w:t>
      </w:r>
    </w:p>
    <w:p>
      <w:pPr>
        <w:shd w:val="clear" w:color="auto" w:fill="FFFFFF"/>
        <w:tabs>
          <w:tab w:val="left" w:pos="720"/>
          <w:tab w:val="left" w:pos="2700"/>
          <w:tab w:val="left" w:pos="3600"/>
          <w:tab w:val="left" w:pos="3960"/>
        </w:tabs>
        <w:spacing w:line="560" w:lineRule="exact"/>
        <w:ind w:firstLine="640" w:firstLineChars="200"/>
        <w:rPr>
          <w:rFonts w:hint="eastAsia" w:eastAsia="仿宋_GB2312"/>
          <w:sz w:val="32"/>
          <w:szCs w:val="32"/>
        </w:rPr>
      </w:pPr>
      <w:r>
        <w:rPr>
          <w:rFonts w:eastAsia="仿宋_GB2312"/>
          <w:sz w:val="32"/>
          <w:szCs w:val="32"/>
        </w:rPr>
        <w:t>——</w:t>
      </w:r>
      <w:r>
        <w:rPr>
          <w:rFonts w:hint="eastAsia" w:eastAsia="仿宋_GB2312"/>
          <w:sz w:val="32"/>
          <w:szCs w:val="32"/>
        </w:rPr>
        <w:t>资源环境约束得到有效缓解。非化石能源占一次能源消费比例提高到15.5%，单位地区生产总值能耗低于0.439吨标煤/万元，单位地区生产总值水耗低于137立方米/万元，再生资源的循环利用率达到50%。</w:t>
      </w:r>
    </w:p>
    <w:p>
      <w:pPr>
        <w:shd w:val="clear" w:color="auto" w:fill="FFFFFF"/>
        <w:tabs>
          <w:tab w:val="left" w:pos="720"/>
          <w:tab w:val="left" w:pos="2700"/>
          <w:tab w:val="left" w:pos="3600"/>
          <w:tab w:val="left" w:pos="3960"/>
        </w:tabs>
        <w:spacing w:line="560" w:lineRule="exact"/>
        <w:ind w:firstLine="640" w:firstLineChars="200"/>
        <w:rPr>
          <w:rFonts w:hint="eastAsia" w:eastAsia="仿宋_GB2312"/>
          <w:sz w:val="32"/>
          <w:szCs w:val="32"/>
        </w:rPr>
      </w:pPr>
      <w:r>
        <w:rPr>
          <w:rFonts w:eastAsia="仿宋_GB2312"/>
          <w:sz w:val="32"/>
          <w:szCs w:val="32"/>
        </w:rPr>
        <w:t>——</w:t>
      </w:r>
      <w:r>
        <w:rPr>
          <w:rFonts w:hint="eastAsia" w:eastAsia="仿宋_GB2312"/>
          <w:sz w:val="32"/>
          <w:szCs w:val="32"/>
        </w:rPr>
        <w:t>环境基础设施基本实现全覆盖。城市、县城污水处理率分别达到92%、90%，建制镇污水处理设施覆盖率达到95%，城乡生活垃圾无害化处理率达到92%。</w:t>
      </w:r>
    </w:p>
    <w:p>
      <w:pPr>
        <w:shd w:val="clear" w:color="auto" w:fill="FFFFFF"/>
        <w:tabs>
          <w:tab w:val="left" w:pos="720"/>
          <w:tab w:val="left" w:pos="2700"/>
          <w:tab w:val="left" w:pos="3600"/>
          <w:tab w:val="left" w:pos="3960"/>
        </w:tabs>
        <w:spacing w:line="560" w:lineRule="exact"/>
        <w:ind w:firstLine="640" w:firstLineChars="200"/>
        <w:rPr>
          <w:rFonts w:hint="eastAsia" w:eastAsia="仿宋_GB2312"/>
          <w:sz w:val="32"/>
          <w:szCs w:val="32"/>
        </w:rPr>
      </w:pPr>
      <w:r>
        <w:rPr>
          <w:rFonts w:eastAsia="仿宋_GB2312"/>
          <w:sz w:val="32"/>
          <w:szCs w:val="32"/>
        </w:rPr>
        <w:t>——</w:t>
      </w:r>
      <w:r>
        <w:rPr>
          <w:rFonts w:hint="eastAsia" w:eastAsia="仿宋_GB2312"/>
          <w:sz w:val="32"/>
          <w:szCs w:val="32"/>
        </w:rPr>
        <w:t>生态环境质量明显改善。城市空气质量达到或优于二级标准的天数比例达到83%（GB3095-2012），地表水优于Ⅲ类水质的比例达到77%，近岸海域环境功能区水质达标率达到90%，林木覆盖率达到25%，城市建成区绿地率保持大于38.5%。</w:t>
      </w:r>
    </w:p>
    <w:p>
      <w:pPr>
        <w:shd w:val="clear" w:color="auto" w:fill="FFFFFF"/>
        <w:tabs>
          <w:tab w:val="left" w:pos="720"/>
          <w:tab w:val="left" w:pos="2700"/>
          <w:tab w:val="left" w:pos="3600"/>
          <w:tab w:val="left" w:pos="3960"/>
        </w:tabs>
        <w:spacing w:line="560" w:lineRule="exact"/>
        <w:ind w:firstLine="640" w:firstLineChars="200"/>
        <w:rPr>
          <w:rFonts w:hint="eastAsia" w:eastAsia="仿宋_GB2312"/>
          <w:sz w:val="32"/>
          <w:szCs w:val="32"/>
        </w:rPr>
      </w:pPr>
      <w:r>
        <w:rPr>
          <w:rFonts w:hint="eastAsia" w:eastAsia="仿宋_GB2312"/>
          <w:sz w:val="32"/>
          <w:szCs w:val="32"/>
        </w:rPr>
        <w:t>到2022年，全市生态文明建设水平明显提升，达到与“沿海当先、苏北领先、全省争先”相适应的生态环境目标，实现经济发展与生态宜居协调融合、都市风貌与田园风光相映生辉、人与自然和谐共生，将盐城建设成为生态环境优良、生态风险可控、生态秩序良好、群众满意度高的全国生态文明建设示范区和让本地人自豪、外地人向往的中国最美丽的城市和最美丽的乡村。</w:t>
      </w:r>
    </w:p>
    <w:p>
      <w:pPr>
        <w:spacing w:line="560" w:lineRule="exact"/>
        <w:outlineLvl w:val="2"/>
        <w:rPr>
          <w:rFonts w:hint="eastAsia" w:eastAsia="楷体"/>
          <w:b/>
          <w:sz w:val="32"/>
          <w:szCs w:val="32"/>
        </w:rPr>
      </w:pPr>
      <w:bookmarkStart w:id="57" w:name="_Toc369555573"/>
      <w:bookmarkStart w:id="58" w:name="_Toc369179325"/>
      <w:bookmarkStart w:id="59" w:name="_Toc370234363"/>
      <w:bookmarkStart w:id="60" w:name="_Toc374364905"/>
      <w:r>
        <w:rPr>
          <w:rFonts w:hint="eastAsia" w:eastAsia="楷体"/>
          <w:b/>
          <w:sz w:val="32"/>
          <w:szCs w:val="32"/>
        </w:rPr>
        <w:t xml:space="preserve">2.3.2  </w:t>
      </w:r>
      <w:bookmarkEnd w:id="57"/>
      <w:bookmarkEnd w:id="58"/>
      <w:bookmarkEnd w:id="59"/>
      <w:r>
        <w:rPr>
          <w:rFonts w:hint="eastAsia" w:eastAsia="楷体"/>
          <w:b/>
          <w:sz w:val="32"/>
          <w:szCs w:val="32"/>
        </w:rPr>
        <w:t>主要指标</w:t>
      </w:r>
      <w:bookmarkEnd w:id="60"/>
    </w:p>
    <w:p>
      <w:pPr>
        <w:spacing w:line="560" w:lineRule="exact"/>
        <w:ind w:firstLine="640" w:firstLineChars="200"/>
        <w:rPr>
          <w:rFonts w:hint="eastAsia" w:eastAsia="仿宋_GB2312"/>
          <w:sz w:val="32"/>
          <w:szCs w:val="32"/>
        </w:rPr>
      </w:pPr>
      <w:r>
        <w:rPr>
          <w:rFonts w:hint="eastAsia" w:eastAsia="仿宋_GB2312"/>
          <w:sz w:val="32"/>
          <w:szCs w:val="32"/>
        </w:rPr>
        <w:t>主要指标包括生态空间、生态经济、生态环境、生态生活、生态文化、生态制度、评价指标，共计7大类22项48小项。</w:t>
      </w:r>
    </w:p>
    <w:p>
      <w:pPr>
        <w:spacing w:line="560" w:lineRule="exact"/>
        <w:ind w:firstLine="720" w:firstLineChars="225"/>
        <w:rPr>
          <w:rFonts w:eastAsia="仿宋_GB2312"/>
          <w:sz w:val="32"/>
          <w:szCs w:val="32"/>
        </w:rPr>
        <w:sectPr>
          <w:footerReference r:id="rId3" w:type="default"/>
          <w:pgSz w:w="11906" w:h="16838"/>
          <w:pgMar w:top="1985" w:right="1701" w:bottom="1701" w:left="1701" w:header="851" w:footer="1361" w:gutter="0"/>
          <w:pgNumType w:start="1"/>
          <w:cols w:space="720" w:num="1"/>
          <w:docGrid w:type="linesAndChars" w:linePitch="312" w:charSpace="0"/>
        </w:sectPr>
      </w:pPr>
    </w:p>
    <w:p>
      <w:pPr>
        <w:spacing w:after="120" w:afterLines="50" w:line="400" w:lineRule="exact"/>
        <w:jc w:val="center"/>
        <w:rPr>
          <w:rFonts w:hint="eastAsia" w:ascii="方正小标宋简体" w:eastAsia="方正小标宋简体"/>
          <w:sz w:val="36"/>
          <w:szCs w:val="36"/>
        </w:rPr>
      </w:pPr>
      <w:r>
        <w:rPr>
          <w:rFonts w:hint="eastAsia" w:ascii="方正小标宋简体" w:eastAsia="方正小标宋简体"/>
          <w:sz w:val="36"/>
          <w:szCs w:val="36"/>
        </w:rPr>
        <w:t>盐城市生态文明建设规划主要指标</w:t>
      </w:r>
    </w:p>
    <w:tbl>
      <w:tblPr>
        <w:tblStyle w:val="25"/>
        <w:tblW w:w="1500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683"/>
        <w:gridCol w:w="534"/>
        <w:gridCol w:w="1244"/>
        <w:gridCol w:w="200"/>
        <w:gridCol w:w="14"/>
        <w:gridCol w:w="764"/>
        <w:gridCol w:w="3655"/>
        <w:gridCol w:w="989"/>
        <w:gridCol w:w="1070"/>
        <w:gridCol w:w="1177"/>
        <w:gridCol w:w="983"/>
        <w:gridCol w:w="1067"/>
        <w:gridCol w:w="1067"/>
        <w:gridCol w:w="1555"/>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blHeader/>
          <w:jc w:val="center"/>
        </w:trPr>
        <w:tc>
          <w:tcPr>
            <w:tcW w:w="683"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260" w:lineRule="exact"/>
              <w:jc w:val="center"/>
              <w:rPr>
                <w:rFonts w:hint="eastAsia" w:ascii="黑体" w:eastAsia="黑体"/>
                <w:bCs/>
                <w:szCs w:val="21"/>
              </w:rPr>
            </w:pPr>
            <w:r>
              <w:rPr>
                <w:rFonts w:hint="eastAsia" w:ascii="黑体" w:eastAsia="黑体"/>
                <w:bCs/>
                <w:szCs w:val="21"/>
              </w:rPr>
              <w:t>类别</w:t>
            </w:r>
          </w:p>
        </w:tc>
        <w:tc>
          <w:tcPr>
            <w:tcW w:w="534"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260" w:lineRule="exact"/>
              <w:jc w:val="center"/>
              <w:rPr>
                <w:rFonts w:hint="eastAsia" w:ascii="黑体" w:eastAsia="黑体"/>
                <w:bCs/>
                <w:szCs w:val="21"/>
              </w:rPr>
            </w:pPr>
            <w:r>
              <w:rPr>
                <w:rFonts w:hint="eastAsia" w:ascii="黑体" w:eastAsia="黑体"/>
                <w:bCs/>
                <w:szCs w:val="21"/>
              </w:rPr>
              <w:t>序号</w:t>
            </w:r>
          </w:p>
        </w:tc>
        <w:tc>
          <w:tcPr>
            <w:tcW w:w="5877" w:type="dxa"/>
            <w:gridSpan w:val="5"/>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260" w:lineRule="exact"/>
              <w:jc w:val="center"/>
              <w:rPr>
                <w:rFonts w:hint="eastAsia" w:ascii="黑体" w:eastAsia="黑体"/>
                <w:bCs/>
                <w:szCs w:val="21"/>
              </w:rPr>
            </w:pPr>
            <w:r>
              <w:rPr>
                <w:rFonts w:hint="eastAsia" w:ascii="黑体" w:eastAsia="黑体"/>
                <w:bCs/>
                <w:szCs w:val="21"/>
              </w:rPr>
              <w:t>指    标</w:t>
            </w:r>
          </w:p>
        </w:tc>
        <w:tc>
          <w:tcPr>
            <w:tcW w:w="989"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260" w:lineRule="exact"/>
              <w:jc w:val="center"/>
              <w:rPr>
                <w:rFonts w:hint="eastAsia" w:ascii="黑体" w:eastAsia="黑体"/>
                <w:bCs/>
                <w:szCs w:val="21"/>
              </w:rPr>
            </w:pPr>
            <w:r>
              <w:rPr>
                <w:rFonts w:hint="eastAsia" w:ascii="黑体" w:eastAsia="黑体"/>
                <w:bCs/>
                <w:szCs w:val="21"/>
              </w:rPr>
              <w:t>单位</w:t>
            </w:r>
          </w:p>
        </w:tc>
        <w:tc>
          <w:tcPr>
            <w:tcW w:w="1070"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260" w:lineRule="exact"/>
              <w:jc w:val="center"/>
              <w:rPr>
                <w:rFonts w:hint="eastAsia" w:ascii="黑体" w:eastAsia="黑体"/>
                <w:bCs/>
                <w:szCs w:val="21"/>
              </w:rPr>
            </w:pPr>
            <w:r>
              <w:rPr>
                <w:rFonts w:hint="eastAsia" w:ascii="黑体" w:eastAsia="黑体"/>
                <w:bCs/>
                <w:szCs w:val="21"/>
              </w:rPr>
              <w:t>现状年2012年</w:t>
            </w:r>
          </w:p>
        </w:tc>
        <w:tc>
          <w:tcPr>
            <w:tcW w:w="117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260" w:lineRule="exact"/>
              <w:jc w:val="center"/>
              <w:rPr>
                <w:rFonts w:hint="eastAsia" w:ascii="黑体" w:eastAsia="黑体"/>
                <w:bCs/>
                <w:szCs w:val="21"/>
              </w:rPr>
            </w:pPr>
            <w:r>
              <w:rPr>
                <w:rFonts w:hint="eastAsia" w:ascii="黑体" w:eastAsia="黑体"/>
                <w:bCs/>
                <w:szCs w:val="21"/>
              </w:rPr>
              <w:t>2015年</w:t>
            </w:r>
          </w:p>
        </w:tc>
        <w:tc>
          <w:tcPr>
            <w:tcW w:w="983" w:type="dxa"/>
            <w:tcBorders>
              <w:top w:val="single" w:color="auto" w:sz="8" w:space="0"/>
              <w:left w:val="single" w:color="auto" w:sz="8" w:space="0"/>
              <w:bottom w:val="single" w:color="auto" w:sz="8" w:space="0"/>
              <w:right w:val="single" w:color="auto" w:sz="4" w:space="0"/>
            </w:tcBorders>
            <w:noWrap w:val="0"/>
            <w:tcMar>
              <w:left w:w="57" w:type="dxa"/>
              <w:right w:w="57" w:type="dxa"/>
            </w:tcMar>
            <w:vAlign w:val="center"/>
          </w:tcPr>
          <w:p>
            <w:pPr>
              <w:spacing w:line="260" w:lineRule="exact"/>
              <w:jc w:val="center"/>
              <w:rPr>
                <w:rFonts w:hint="eastAsia" w:ascii="黑体" w:eastAsia="黑体"/>
                <w:bCs/>
                <w:szCs w:val="21"/>
              </w:rPr>
            </w:pPr>
            <w:r>
              <w:rPr>
                <w:rFonts w:hint="eastAsia" w:ascii="黑体" w:eastAsia="黑体"/>
                <w:bCs/>
                <w:szCs w:val="21"/>
              </w:rPr>
              <w:t>2017年</w:t>
            </w:r>
          </w:p>
        </w:tc>
        <w:tc>
          <w:tcPr>
            <w:tcW w:w="1067" w:type="dxa"/>
            <w:tcBorders>
              <w:top w:val="single" w:color="auto" w:sz="8" w:space="0"/>
              <w:left w:val="single" w:color="auto" w:sz="4" w:space="0"/>
              <w:bottom w:val="single" w:color="auto" w:sz="8" w:space="0"/>
              <w:right w:val="single" w:color="auto" w:sz="8" w:space="0"/>
            </w:tcBorders>
            <w:noWrap w:val="0"/>
            <w:vAlign w:val="center"/>
          </w:tcPr>
          <w:p>
            <w:pPr>
              <w:spacing w:line="260" w:lineRule="exact"/>
              <w:jc w:val="center"/>
              <w:rPr>
                <w:rFonts w:hint="eastAsia" w:ascii="黑体" w:eastAsia="黑体"/>
                <w:bCs/>
                <w:szCs w:val="21"/>
              </w:rPr>
            </w:pPr>
            <w:r>
              <w:rPr>
                <w:rFonts w:hint="eastAsia" w:ascii="黑体" w:eastAsia="黑体"/>
                <w:bCs/>
                <w:szCs w:val="21"/>
              </w:rPr>
              <w:t>2022年</w:t>
            </w:r>
          </w:p>
        </w:tc>
        <w:tc>
          <w:tcPr>
            <w:tcW w:w="106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260" w:lineRule="exact"/>
              <w:jc w:val="center"/>
              <w:rPr>
                <w:rFonts w:hint="eastAsia" w:ascii="黑体" w:eastAsia="黑体"/>
                <w:bCs/>
                <w:szCs w:val="21"/>
              </w:rPr>
            </w:pPr>
            <w:r>
              <w:rPr>
                <w:rFonts w:hint="eastAsia" w:ascii="黑体" w:eastAsia="黑体"/>
                <w:bCs/>
                <w:szCs w:val="21"/>
              </w:rPr>
              <w:t>目标</w:t>
            </w:r>
          </w:p>
          <w:p>
            <w:pPr>
              <w:spacing w:line="260" w:lineRule="exact"/>
              <w:jc w:val="center"/>
              <w:rPr>
                <w:rFonts w:hint="eastAsia" w:ascii="黑体" w:eastAsia="黑体"/>
                <w:bCs/>
                <w:szCs w:val="21"/>
              </w:rPr>
            </w:pPr>
            <w:r>
              <w:rPr>
                <w:rFonts w:hint="eastAsia" w:ascii="黑体" w:eastAsia="黑体"/>
                <w:bCs/>
                <w:szCs w:val="21"/>
              </w:rPr>
              <w:t>属性</w:t>
            </w:r>
          </w:p>
        </w:tc>
        <w:tc>
          <w:tcPr>
            <w:tcW w:w="1555" w:type="dxa"/>
            <w:tcBorders>
              <w:top w:val="single" w:color="auto" w:sz="8" w:space="0"/>
              <w:left w:val="single" w:color="auto" w:sz="8" w:space="0"/>
              <w:bottom w:val="single" w:color="auto" w:sz="8" w:space="0"/>
              <w:right w:val="single" w:color="auto" w:sz="8" w:space="0"/>
            </w:tcBorders>
            <w:noWrap w:val="0"/>
            <w:tcMar>
              <w:left w:w="14" w:type="dxa"/>
              <w:right w:w="14" w:type="dxa"/>
            </w:tcMar>
            <w:vAlign w:val="center"/>
          </w:tcPr>
          <w:p>
            <w:pPr>
              <w:spacing w:line="260" w:lineRule="exact"/>
              <w:jc w:val="center"/>
              <w:rPr>
                <w:rFonts w:hint="eastAsia" w:ascii="黑体" w:eastAsia="黑体"/>
                <w:bCs/>
                <w:szCs w:val="21"/>
              </w:rPr>
            </w:pPr>
            <w:r>
              <w:rPr>
                <w:rFonts w:hint="eastAsia" w:ascii="黑体" w:eastAsia="黑体"/>
                <w:bCs/>
                <w:szCs w:val="21"/>
              </w:rPr>
              <w:t>责任</w:t>
            </w:r>
          </w:p>
          <w:p>
            <w:pPr>
              <w:spacing w:line="260" w:lineRule="exact"/>
              <w:jc w:val="center"/>
              <w:rPr>
                <w:rFonts w:hint="eastAsia" w:ascii="黑体" w:eastAsia="黑体"/>
                <w:bCs/>
                <w:spacing w:val="-12"/>
                <w:szCs w:val="21"/>
              </w:rPr>
            </w:pPr>
            <w:r>
              <w:rPr>
                <w:rFonts w:hint="eastAsia" w:ascii="黑体" w:eastAsia="黑体"/>
                <w:bCs/>
                <w:szCs w:val="21"/>
              </w:rPr>
              <w:t>部门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25" w:hRule="exact"/>
          <w:jc w:val="center"/>
        </w:trPr>
        <w:tc>
          <w:tcPr>
            <w:tcW w:w="683" w:type="dxa"/>
            <w:vMerge w:val="restart"/>
            <w:tcBorders>
              <w:top w:val="single" w:color="auto" w:sz="8" w:space="0"/>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生态空间</w:t>
            </w:r>
          </w:p>
        </w:tc>
        <w:tc>
          <w:tcPr>
            <w:tcW w:w="534" w:type="dxa"/>
            <w:vMerge w:val="restart"/>
            <w:tcBorders>
              <w:top w:val="single" w:color="auto" w:sz="8" w:space="0"/>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1</w:t>
            </w:r>
          </w:p>
        </w:tc>
        <w:tc>
          <w:tcPr>
            <w:tcW w:w="1458" w:type="dxa"/>
            <w:gridSpan w:val="3"/>
            <w:vMerge w:val="restart"/>
            <w:tcBorders>
              <w:top w:val="single" w:color="auto" w:sz="8" w:space="0"/>
              <w:left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生态用地保护程度</w:t>
            </w:r>
          </w:p>
        </w:tc>
        <w:tc>
          <w:tcPr>
            <w:tcW w:w="4419" w:type="dxa"/>
            <w:gridSpan w:val="2"/>
            <w:tcBorders>
              <w:top w:val="single" w:color="auto" w:sz="8" w:space="0"/>
              <w:left w:val="single" w:color="auto" w:sz="4"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受保护面积占国土面积比例</w:t>
            </w:r>
          </w:p>
        </w:tc>
        <w:tc>
          <w:tcPr>
            <w:tcW w:w="989"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ind w:left="-105" w:leftChars="-50" w:right="-105" w:rightChars="-50"/>
              <w:jc w:val="center"/>
              <w:rPr>
                <w:rFonts w:hint="eastAsia" w:eastAsia="仿宋_GB2312"/>
                <w:szCs w:val="21"/>
              </w:rPr>
            </w:pPr>
            <w:r>
              <w:rPr>
                <w:rFonts w:hint="eastAsia" w:eastAsia="仿宋_GB2312"/>
                <w:szCs w:val="21"/>
              </w:rPr>
              <w:t>%</w:t>
            </w:r>
          </w:p>
        </w:tc>
        <w:tc>
          <w:tcPr>
            <w:tcW w:w="1070"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21.77</w:t>
            </w:r>
          </w:p>
        </w:tc>
        <w:tc>
          <w:tcPr>
            <w:tcW w:w="117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jc w:val="center"/>
            </w:pPr>
            <w:r>
              <w:rPr>
                <w:rFonts w:hint="eastAsia" w:eastAsia="仿宋_GB2312"/>
                <w:szCs w:val="21"/>
              </w:rPr>
              <w:t>21.77</w:t>
            </w:r>
          </w:p>
        </w:tc>
        <w:tc>
          <w:tcPr>
            <w:tcW w:w="983" w:type="dxa"/>
            <w:tcBorders>
              <w:top w:val="single" w:color="auto" w:sz="8" w:space="0"/>
              <w:left w:val="single" w:color="auto" w:sz="8" w:space="0"/>
              <w:bottom w:val="single" w:color="auto" w:sz="8" w:space="0"/>
              <w:right w:val="single" w:color="auto" w:sz="4" w:space="0"/>
            </w:tcBorders>
            <w:noWrap w:val="0"/>
            <w:tcMar>
              <w:left w:w="57" w:type="dxa"/>
              <w:right w:w="57" w:type="dxa"/>
            </w:tcMar>
            <w:vAlign w:val="center"/>
          </w:tcPr>
          <w:p>
            <w:pPr>
              <w:jc w:val="center"/>
            </w:pPr>
            <w:r>
              <w:rPr>
                <w:rFonts w:hint="eastAsia" w:eastAsia="仿宋_GB2312"/>
                <w:szCs w:val="21"/>
              </w:rPr>
              <w:t>21.77</w:t>
            </w:r>
          </w:p>
        </w:tc>
        <w:tc>
          <w:tcPr>
            <w:tcW w:w="1067" w:type="dxa"/>
            <w:tcBorders>
              <w:top w:val="single" w:color="auto" w:sz="8" w:space="0"/>
              <w:left w:val="single" w:color="auto" w:sz="4" w:space="0"/>
              <w:bottom w:val="single" w:color="auto" w:sz="8" w:space="0"/>
              <w:right w:val="single" w:color="auto" w:sz="8" w:space="0"/>
            </w:tcBorders>
            <w:noWrap w:val="0"/>
            <w:vAlign w:val="center"/>
          </w:tcPr>
          <w:p>
            <w:pPr>
              <w:jc w:val="center"/>
            </w:pPr>
            <w:r>
              <w:rPr>
                <w:rFonts w:hint="eastAsia" w:eastAsia="仿宋_GB2312"/>
                <w:szCs w:val="21"/>
              </w:rPr>
              <w:t>21.77</w:t>
            </w:r>
          </w:p>
        </w:tc>
        <w:tc>
          <w:tcPr>
            <w:tcW w:w="106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约束性</w:t>
            </w:r>
          </w:p>
        </w:tc>
        <w:tc>
          <w:tcPr>
            <w:tcW w:w="1555" w:type="dxa"/>
            <w:tcBorders>
              <w:top w:val="single" w:color="auto" w:sz="8" w:space="0"/>
              <w:left w:val="single" w:color="auto" w:sz="8" w:space="0"/>
              <w:bottom w:val="single" w:color="auto" w:sz="8" w:space="0"/>
              <w:right w:val="single" w:color="auto" w:sz="8" w:space="0"/>
            </w:tcBorders>
            <w:noWrap w:val="0"/>
            <w:tcMar>
              <w:left w:w="14" w:type="dxa"/>
              <w:right w:w="14" w:type="dxa"/>
            </w:tcMar>
            <w:vAlign w:val="center"/>
          </w:tcPr>
          <w:p>
            <w:pPr>
              <w:spacing w:line="300" w:lineRule="exact"/>
              <w:jc w:val="center"/>
              <w:rPr>
                <w:rFonts w:hint="eastAsia" w:eastAsia="仿宋_GB2312"/>
                <w:spacing w:val="-12"/>
                <w:szCs w:val="21"/>
              </w:rPr>
            </w:pPr>
            <w:r>
              <w:rPr>
                <w:rFonts w:hint="eastAsia" w:eastAsia="仿宋_GB2312"/>
                <w:spacing w:val="-12"/>
                <w:szCs w:val="21"/>
              </w:rPr>
              <w:t>市国土局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25" w:hRule="exact"/>
          <w:jc w:val="center"/>
        </w:trPr>
        <w:tc>
          <w:tcPr>
            <w:tcW w:w="683" w:type="dxa"/>
            <w:vMerge w:val="continue"/>
            <w:tcBorders>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534" w:type="dxa"/>
            <w:vMerge w:val="continue"/>
            <w:tcBorders>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1458" w:type="dxa"/>
            <w:gridSpan w:val="3"/>
            <w:vMerge w:val="continue"/>
            <w:tcBorders>
              <w:left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p>
        </w:tc>
        <w:tc>
          <w:tcPr>
            <w:tcW w:w="4419" w:type="dxa"/>
            <w:gridSpan w:val="2"/>
            <w:tcBorders>
              <w:top w:val="single" w:color="auto" w:sz="8" w:space="0"/>
              <w:left w:val="single" w:color="auto" w:sz="4"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自然湿地保护率*</w:t>
            </w:r>
          </w:p>
        </w:tc>
        <w:tc>
          <w:tcPr>
            <w:tcW w:w="989"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ind w:left="-105" w:leftChars="-50" w:right="-105" w:rightChars="-50"/>
              <w:jc w:val="center"/>
              <w:rPr>
                <w:rFonts w:hint="eastAsia" w:eastAsia="仿宋_GB2312"/>
                <w:szCs w:val="21"/>
              </w:rPr>
            </w:pPr>
            <w:r>
              <w:rPr>
                <w:rFonts w:hint="eastAsia" w:eastAsia="仿宋_GB2312"/>
                <w:szCs w:val="21"/>
              </w:rPr>
              <w:t>%</w:t>
            </w:r>
          </w:p>
        </w:tc>
        <w:tc>
          <w:tcPr>
            <w:tcW w:w="1070"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35.4</w:t>
            </w:r>
          </w:p>
        </w:tc>
        <w:tc>
          <w:tcPr>
            <w:tcW w:w="117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40.2</w:t>
            </w:r>
          </w:p>
        </w:tc>
        <w:tc>
          <w:tcPr>
            <w:tcW w:w="983" w:type="dxa"/>
            <w:tcBorders>
              <w:top w:val="single" w:color="auto" w:sz="8" w:space="0"/>
              <w:left w:val="single" w:color="auto" w:sz="8"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40.8</w:t>
            </w:r>
          </w:p>
        </w:tc>
        <w:tc>
          <w:tcPr>
            <w:tcW w:w="1067" w:type="dxa"/>
            <w:tcBorders>
              <w:top w:val="single" w:color="auto" w:sz="8" w:space="0"/>
              <w:left w:val="single" w:color="auto" w:sz="4" w:space="0"/>
              <w:bottom w:val="single" w:color="auto" w:sz="8" w:space="0"/>
              <w:right w:val="single" w:color="auto" w:sz="8" w:space="0"/>
            </w:tcBorders>
            <w:noWrap w:val="0"/>
            <w:vAlign w:val="center"/>
          </w:tcPr>
          <w:p>
            <w:pPr>
              <w:spacing w:line="300" w:lineRule="exact"/>
              <w:jc w:val="center"/>
              <w:rPr>
                <w:rFonts w:hint="eastAsia" w:eastAsia="仿宋_GB2312"/>
                <w:szCs w:val="21"/>
              </w:rPr>
            </w:pPr>
            <w:r>
              <w:rPr>
                <w:rFonts w:hint="eastAsia" w:eastAsia="仿宋_GB2312"/>
                <w:szCs w:val="21"/>
              </w:rPr>
              <w:t>42.0</w:t>
            </w:r>
          </w:p>
        </w:tc>
        <w:tc>
          <w:tcPr>
            <w:tcW w:w="106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约束性</w:t>
            </w:r>
          </w:p>
        </w:tc>
        <w:tc>
          <w:tcPr>
            <w:tcW w:w="1555" w:type="dxa"/>
            <w:tcBorders>
              <w:top w:val="single" w:color="auto" w:sz="8" w:space="0"/>
              <w:left w:val="single" w:color="auto" w:sz="8" w:space="0"/>
              <w:bottom w:val="single" w:color="auto" w:sz="8" w:space="0"/>
              <w:right w:val="single" w:color="auto" w:sz="8" w:space="0"/>
            </w:tcBorders>
            <w:noWrap w:val="0"/>
            <w:tcMar>
              <w:left w:w="14" w:type="dxa"/>
              <w:right w:w="14" w:type="dxa"/>
            </w:tcMar>
            <w:vAlign w:val="center"/>
          </w:tcPr>
          <w:p>
            <w:pPr>
              <w:spacing w:line="300" w:lineRule="exact"/>
              <w:jc w:val="center"/>
              <w:rPr>
                <w:rFonts w:hint="eastAsia" w:eastAsia="仿宋_GB2312"/>
                <w:spacing w:val="-12"/>
                <w:szCs w:val="21"/>
              </w:rPr>
            </w:pPr>
            <w:r>
              <w:rPr>
                <w:rFonts w:hint="eastAsia" w:eastAsia="仿宋_GB2312"/>
                <w:spacing w:val="-12"/>
                <w:szCs w:val="21"/>
              </w:rPr>
              <w:t>市林业局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25" w:hRule="exact"/>
          <w:jc w:val="center"/>
        </w:trPr>
        <w:tc>
          <w:tcPr>
            <w:tcW w:w="683" w:type="dxa"/>
            <w:vMerge w:val="continue"/>
            <w:tcBorders>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534" w:type="dxa"/>
            <w:vMerge w:val="continue"/>
            <w:tcBorders>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1458" w:type="dxa"/>
            <w:gridSpan w:val="3"/>
            <w:vMerge w:val="continue"/>
            <w:tcBorders>
              <w:left w:val="single" w:color="auto" w:sz="8"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p>
        </w:tc>
        <w:tc>
          <w:tcPr>
            <w:tcW w:w="4419" w:type="dxa"/>
            <w:gridSpan w:val="2"/>
            <w:tcBorders>
              <w:top w:val="single" w:color="auto" w:sz="8" w:space="0"/>
              <w:left w:val="single" w:color="auto" w:sz="4"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水面率</w:t>
            </w:r>
          </w:p>
        </w:tc>
        <w:tc>
          <w:tcPr>
            <w:tcW w:w="989"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ind w:left="-105" w:leftChars="-50" w:right="-105" w:rightChars="-50"/>
              <w:jc w:val="center"/>
              <w:rPr>
                <w:rFonts w:hint="eastAsia" w:eastAsia="仿宋_GB2312"/>
                <w:szCs w:val="21"/>
              </w:rPr>
            </w:pPr>
            <w:r>
              <w:rPr>
                <w:rFonts w:hint="eastAsia" w:eastAsia="仿宋_GB2312"/>
                <w:szCs w:val="21"/>
              </w:rPr>
              <w:t>%</w:t>
            </w:r>
          </w:p>
        </w:tc>
        <w:tc>
          <w:tcPr>
            <w:tcW w:w="1070"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12.5</w:t>
            </w:r>
          </w:p>
        </w:tc>
        <w:tc>
          <w:tcPr>
            <w:tcW w:w="117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12.5</w:t>
            </w:r>
          </w:p>
        </w:tc>
        <w:tc>
          <w:tcPr>
            <w:tcW w:w="983" w:type="dxa"/>
            <w:tcBorders>
              <w:top w:val="single" w:color="auto" w:sz="8" w:space="0"/>
              <w:left w:val="single" w:color="auto" w:sz="8"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rPr>
            </w:pPr>
            <w:r>
              <w:rPr>
                <w:rFonts w:hint="eastAsia"/>
              </w:rPr>
              <w:t>12.5</w:t>
            </w:r>
          </w:p>
        </w:tc>
        <w:tc>
          <w:tcPr>
            <w:tcW w:w="1067" w:type="dxa"/>
            <w:tcBorders>
              <w:top w:val="single" w:color="auto" w:sz="8" w:space="0"/>
              <w:left w:val="single" w:color="auto" w:sz="4" w:space="0"/>
              <w:bottom w:val="single" w:color="auto" w:sz="8" w:space="0"/>
              <w:right w:val="single" w:color="auto" w:sz="8" w:space="0"/>
            </w:tcBorders>
            <w:noWrap w:val="0"/>
            <w:vAlign w:val="center"/>
          </w:tcPr>
          <w:p>
            <w:pPr>
              <w:spacing w:line="300" w:lineRule="exact"/>
              <w:jc w:val="center"/>
            </w:pPr>
            <w:r>
              <w:rPr>
                <w:rFonts w:hint="eastAsia" w:eastAsia="仿宋_GB2312"/>
                <w:szCs w:val="21"/>
              </w:rPr>
              <w:t>12.5</w:t>
            </w:r>
          </w:p>
        </w:tc>
        <w:tc>
          <w:tcPr>
            <w:tcW w:w="106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约束性</w:t>
            </w:r>
          </w:p>
        </w:tc>
        <w:tc>
          <w:tcPr>
            <w:tcW w:w="1555" w:type="dxa"/>
            <w:tcBorders>
              <w:top w:val="single" w:color="auto" w:sz="8" w:space="0"/>
              <w:left w:val="single" w:color="auto" w:sz="8" w:space="0"/>
              <w:bottom w:val="single" w:color="auto" w:sz="8" w:space="0"/>
              <w:right w:val="single" w:color="auto" w:sz="8" w:space="0"/>
            </w:tcBorders>
            <w:noWrap w:val="0"/>
            <w:tcMar>
              <w:left w:w="14" w:type="dxa"/>
              <w:right w:w="14" w:type="dxa"/>
            </w:tcMar>
            <w:vAlign w:val="center"/>
          </w:tcPr>
          <w:p>
            <w:pPr>
              <w:spacing w:line="300" w:lineRule="exact"/>
              <w:jc w:val="center"/>
              <w:rPr>
                <w:rFonts w:hint="eastAsia" w:eastAsia="仿宋_GB2312"/>
                <w:spacing w:val="-12"/>
                <w:szCs w:val="21"/>
              </w:rPr>
            </w:pPr>
            <w:r>
              <w:rPr>
                <w:rFonts w:hint="eastAsia" w:eastAsia="仿宋_GB2312"/>
                <w:spacing w:val="-12"/>
                <w:szCs w:val="21"/>
              </w:rPr>
              <w:t>市水利局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25" w:hRule="exact"/>
          <w:jc w:val="center"/>
        </w:trPr>
        <w:tc>
          <w:tcPr>
            <w:tcW w:w="683" w:type="dxa"/>
            <w:vMerge w:val="continue"/>
            <w:tcBorders>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534" w:type="dxa"/>
            <w:vMerge w:val="restart"/>
            <w:tcBorders>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2</w:t>
            </w:r>
          </w:p>
        </w:tc>
        <w:tc>
          <w:tcPr>
            <w:tcW w:w="1458" w:type="dxa"/>
            <w:gridSpan w:val="3"/>
            <w:vMerge w:val="restart"/>
            <w:tcBorders>
              <w:left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生态系统恢复程度</w:t>
            </w:r>
          </w:p>
        </w:tc>
        <w:tc>
          <w:tcPr>
            <w:tcW w:w="4419" w:type="dxa"/>
            <w:gridSpan w:val="2"/>
            <w:tcBorders>
              <w:top w:val="single" w:color="auto" w:sz="8" w:space="0"/>
              <w:left w:val="single" w:color="auto" w:sz="4"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建设和恢复湿地面积</w:t>
            </w:r>
          </w:p>
        </w:tc>
        <w:tc>
          <w:tcPr>
            <w:tcW w:w="989"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ind w:left="-105" w:leftChars="-50" w:right="-105" w:rightChars="-50"/>
              <w:jc w:val="center"/>
              <w:rPr>
                <w:rFonts w:hint="eastAsia" w:eastAsia="仿宋_GB2312"/>
                <w:szCs w:val="21"/>
              </w:rPr>
            </w:pPr>
            <w:r>
              <w:rPr>
                <w:rFonts w:hint="eastAsia" w:eastAsia="仿宋_GB2312"/>
                <w:szCs w:val="21"/>
              </w:rPr>
              <w:t>亩</w:t>
            </w:r>
          </w:p>
        </w:tc>
        <w:tc>
          <w:tcPr>
            <w:tcW w:w="1070"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1500</w:t>
            </w:r>
          </w:p>
        </w:tc>
        <w:tc>
          <w:tcPr>
            <w:tcW w:w="117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4500</w:t>
            </w:r>
          </w:p>
        </w:tc>
        <w:tc>
          <w:tcPr>
            <w:tcW w:w="983" w:type="dxa"/>
            <w:tcBorders>
              <w:top w:val="single" w:color="auto" w:sz="8" w:space="0"/>
              <w:left w:val="single" w:color="auto" w:sz="8"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6500</w:t>
            </w:r>
          </w:p>
        </w:tc>
        <w:tc>
          <w:tcPr>
            <w:tcW w:w="1067" w:type="dxa"/>
            <w:tcBorders>
              <w:top w:val="single" w:color="auto" w:sz="8" w:space="0"/>
              <w:left w:val="single" w:color="auto" w:sz="4" w:space="0"/>
              <w:bottom w:val="single" w:color="auto" w:sz="8" w:space="0"/>
              <w:right w:val="single" w:color="auto" w:sz="8" w:space="0"/>
            </w:tcBorders>
            <w:noWrap w:val="0"/>
            <w:vAlign w:val="center"/>
          </w:tcPr>
          <w:p>
            <w:pPr>
              <w:spacing w:line="300" w:lineRule="exact"/>
              <w:jc w:val="center"/>
              <w:rPr>
                <w:rFonts w:hint="eastAsia" w:eastAsia="仿宋_GB2312"/>
                <w:szCs w:val="21"/>
              </w:rPr>
            </w:pPr>
            <w:r>
              <w:rPr>
                <w:rFonts w:hint="eastAsia" w:eastAsia="仿宋_GB2312"/>
                <w:szCs w:val="21"/>
              </w:rPr>
              <w:t>8000</w:t>
            </w:r>
          </w:p>
        </w:tc>
        <w:tc>
          <w:tcPr>
            <w:tcW w:w="106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约束性</w:t>
            </w:r>
          </w:p>
        </w:tc>
        <w:tc>
          <w:tcPr>
            <w:tcW w:w="1555" w:type="dxa"/>
            <w:tcBorders>
              <w:top w:val="single" w:color="auto" w:sz="8" w:space="0"/>
              <w:left w:val="single" w:color="auto" w:sz="8" w:space="0"/>
              <w:bottom w:val="single" w:color="auto" w:sz="8" w:space="0"/>
              <w:right w:val="single" w:color="auto" w:sz="8" w:space="0"/>
            </w:tcBorders>
            <w:noWrap w:val="0"/>
            <w:tcMar>
              <w:left w:w="14" w:type="dxa"/>
              <w:right w:w="14" w:type="dxa"/>
            </w:tcMar>
            <w:vAlign w:val="center"/>
          </w:tcPr>
          <w:p>
            <w:pPr>
              <w:spacing w:line="300" w:lineRule="exact"/>
              <w:jc w:val="center"/>
              <w:rPr>
                <w:rFonts w:hint="eastAsia" w:eastAsia="仿宋_GB2312"/>
                <w:spacing w:val="-12"/>
                <w:szCs w:val="21"/>
              </w:rPr>
            </w:pPr>
            <w:r>
              <w:rPr>
                <w:rFonts w:hint="eastAsia" w:eastAsia="仿宋_GB2312"/>
                <w:spacing w:val="-12"/>
                <w:szCs w:val="21"/>
              </w:rPr>
              <w:t>市林业局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25" w:hRule="exact"/>
          <w:jc w:val="center"/>
        </w:trPr>
        <w:tc>
          <w:tcPr>
            <w:tcW w:w="683" w:type="dxa"/>
            <w:vMerge w:val="continue"/>
            <w:tcBorders>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534" w:type="dxa"/>
            <w:vMerge w:val="continue"/>
            <w:tcBorders>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1458" w:type="dxa"/>
            <w:gridSpan w:val="3"/>
            <w:vMerge w:val="continue"/>
            <w:tcBorders>
              <w:left w:val="single" w:color="auto" w:sz="8"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p>
        </w:tc>
        <w:tc>
          <w:tcPr>
            <w:tcW w:w="4419" w:type="dxa"/>
            <w:gridSpan w:val="2"/>
            <w:tcBorders>
              <w:top w:val="single" w:color="auto" w:sz="8" w:space="0"/>
              <w:left w:val="single" w:color="auto" w:sz="4"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矿区恢复治理面积</w:t>
            </w:r>
          </w:p>
        </w:tc>
        <w:tc>
          <w:tcPr>
            <w:tcW w:w="989"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ind w:left="-105" w:leftChars="-50" w:right="-105" w:rightChars="-50"/>
              <w:jc w:val="center"/>
              <w:rPr>
                <w:rFonts w:hint="eastAsia" w:eastAsia="仿宋_GB2312"/>
                <w:szCs w:val="21"/>
              </w:rPr>
            </w:pPr>
            <w:r>
              <w:rPr>
                <w:rFonts w:hint="eastAsia" w:eastAsia="仿宋_GB2312"/>
                <w:szCs w:val="21"/>
              </w:rPr>
              <w:t>万亩</w:t>
            </w:r>
          </w:p>
        </w:tc>
        <w:tc>
          <w:tcPr>
            <w:tcW w:w="1070"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0.03</w:t>
            </w:r>
          </w:p>
        </w:tc>
        <w:tc>
          <w:tcPr>
            <w:tcW w:w="117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0.045</w:t>
            </w:r>
          </w:p>
        </w:tc>
        <w:tc>
          <w:tcPr>
            <w:tcW w:w="983" w:type="dxa"/>
            <w:tcBorders>
              <w:top w:val="single" w:color="auto" w:sz="8" w:space="0"/>
              <w:left w:val="single" w:color="auto" w:sz="8"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0.005</w:t>
            </w:r>
          </w:p>
        </w:tc>
        <w:tc>
          <w:tcPr>
            <w:tcW w:w="1067" w:type="dxa"/>
            <w:tcBorders>
              <w:top w:val="single" w:color="auto" w:sz="8" w:space="0"/>
              <w:left w:val="single" w:color="auto" w:sz="4" w:space="0"/>
              <w:bottom w:val="single" w:color="auto" w:sz="8" w:space="0"/>
              <w:right w:val="single" w:color="auto" w:sz="8" w:space="0"/>
            </w:tcBorders>
            <w:noWrap w:val="0"/>
            <w:vAlign w:val="center"/>
          </w:tcPr>
          <w:p>
            <w:pPr>
              <w:spacing w:line="300" w:lineRule="exact"/>
              <w:jc w:val="center"/>
              <w:rPr>
                <w:rFonts w:hint="eastAsia" w:eastAsia="仿宋_GB2312"/>
                <w:szCs w:val="21"/>
              </w:rPr>
            </w:pPr>
            <w:r>
              <w:rPr>
                <w:rFonts w:hint="eastAsia" w:eastAsia="仿宋_GB2312"/>
                <w:szCs w:val="21"/>
              </w:rPr>
              <w:t>0.06</w:t>
            </w:r>
          </w:p>
        </w:tc>
        <w:tc>
          <w:tcPr>
            <w:tcW w:w="106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约束性</w:t>
            </w:r>
          </w:p>
        </w:tc>
        <w:tc>
          <w:tcPr>
            <w:tcW w:w="1555" w:type="dxa"/>
            <w:tcBorders>
              <w:top w:val="single" w:color="auto" w:sz="8" w:space="0"/>
              <w:left w:val="single" w:color="auto" w:sz="8" w:space="0"/>
              <w:bottom w:val="single" w:color="auto" w:sz="8" w:space="0"/>
              <w:right w:val="single" w:color="auto" w:sz="8" w:space="0"/>
            </w:tcBorders>
            <w:noWrap w:val="0"/>
            <w:tcMar>
              <w:left w:w="14" w:type="dxa"/>
              <w:right w:w="14" w:type="dxa"/>
            </w:tcMar>
            <w:vAlign w:val="center"/>
          </w:tcPr>
          <w:p>
            <w:pPr>
              <w:spacing w:line="300" w:lineRule="exact"/>
              <w:jc w:val="center"/>
              <w:rPr>
                <w:rFonts w:hint="eastAsia" w:eastAsia="仿宋_GB2312"/>
                <w:spacing w:val="-12"/>
                <w:szCs w:val="21"/>
              </w:rPr>
            </w:pPr>
            <w:r>
              <w:rPr>
                <w:rFonts w:hint="eastAsia" w:eastAsia="仿宋_GB2312"/>
                <w:spacing w:val="-12"/>
                <w:szCs w:val="21"/>
              </w:rPr>
              <w:t>市国土局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25" w:hRule="exact"/>
          <w:jc w:val="center"/>
        </w:trPr>
        <w:tc>
          <w:tcPr>
            <w:tcW w:w="683" w:type="dxa"/>
            <w:vMerge w:val="continue"/>
            <w:tcBorders>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534" w:type="dxa"/>
            <w:vMerge w:val="restart"/>
            <w:tcBorders>
              <w:top w:val="single" w:color="auto" w:sz="8" w:space="0"/>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3</w:t>
            </w:r>
          </w:p>
        </w:tc>
        <w:tc>
          <w:tcPr>
            <w:tcW w:w="1458" w:type="dxa"/>
            <w:gridSpan w:val="3"/>
            <w:vMerge w:val="restart"/>
            <w:tcBorders>
              <w:top w:val="single" w:color="auto" w:sz="8" w:space="0"/>
              <w:left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绿化水平</w:t>
            </w:r>
          </w:p>
        </w:tc>
        <w:tc>
          <w:tcPr>
            <w:tcW w:w="4419" w:type="dxa"/>
            <w:gridSpan w:val="2"/>
            <w:tcBorders>
              <w:top w:val="single" w:color="auto" w:sz="8" w:space="0"/>
              <w:left w:val="single" w:color="auto" w:sz="4"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林木覆盖率</w:t>
            </w:r>
          </w:p>
        </w:tc>
        <w:tc>
          <w:tcPr>
            <w:tcW w:w="989"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ind w:left="-105" w:leftChars="-50" w:right="-105" w:rightChars="-50"/>
              <w:jc w:val="center"/>
              <w:rPr>
                <w:rFonts w:hint="eastAsia" w:eastAsia="仿宋_GB2312"/>
                <w:szCs w:val="21"/>
              </w:rPr>
            </w:pPr>
            <w:r>
              <w:rPr>
                <w:rFonts w:hint="eastAsia" w:eastAsia="仿宋_GB2312"/>
                <w:szCs w:val="21"/>
              </w:rPr>
              <w:t>%</w:t>
            </w:r>
          </w:p>
        </w:tc>
        <w:tc>
          <w:tcPr>
            <w:tcW w:w="1070"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23.89</w:t>
            </w:r>
          </w:p>
        </w:tc>
        <w:tc>
          <w:tcPr>
            <w:tcW w:w="117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24.6</w:t>
            </w:r>
          </w:p>
        </w:tc>
        <w:tc>
          <w:tcPr>
            <w:tcW w:w="983" w:type="dxa"/>
            <w:tcBorders>
              <w:top w:val="single" w:color="auto" w:sz="8" w:space="0"/>
              <w:left w:val="single" w:color="auto" w:sz="8"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25</w:t>
            </w:r>
          </w:p>
        </w:tc>
        <w:tc>
          <w:tcPr>
            <w:tcW w:w="1067" w:type="dxa"/>
            <w:tcBorders>
              <w:top w:val="single" w:color="auto" w:sz="8" w:space="0"/>
              <w:left w:val="single" w:color="auto" w:sz="4" w:space="0"/>
              <w:bottom w:val="single" w:color="auto" w:sz="8" w:space="0"/>
              <w:right w:val="single" w:color="auto" w:sz="8" w:space="0"/>
            </w:tcBorders>
            <w:noWrap w:val="0"/>
            <w:vAlign w:val="center"/>
          </w:tcPr>
          <w:p>
            <w:pPr>
              <w:spacing w:line="300" w:lineRule="exact"/>
              <w:jc w:val="center"/>
              <w:rPr>
                <w:rFonts w:hint="eastAsia" w:eastAsia="仿宋_GB2312"/>
                <w:szCs w:val="21"/>
              </w:rPr>
            </w:pPr>
            <w:r>
              <w:rPr>
                <w:rFonts w:hint="eastAsia" w:eastAsia="仿宋_GB2312"/>
                <w:szCs w:val="21"/>
              </w:rPr>
              <w:t>25.3</w:t>
            </w:r>
          </w:p>
        </w:tc>
        <w:tc>
          <w:tcPr>
            <w:tcW w:w="106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约束性</w:t>
            </w:r>
          </w:p>
        </w:tc>
        <w:tc>
          <w:tcPr>
            <w:tcW w:w="1555" w:type="dxa"/>
            <w:tcBorders>
              <w:top w:val="single" w:color="auto" w:sz="8" w:space="0"/>
              <w:left w:val="single" w:color="auto" w:sz="8" w:space="0"/>
              <w:bottom w:val="single" w:color="auto" w:sz="8" w:space="0"/>
              <w:right w:val="single" w:color="auto" w:sz="8" w:space="0"/>
            </w:tcBorders>
            <w:noWrap w:val="0"/>
            <w:tcMar>
              <w:left w:w="14" w:type="dxa"/>
              <w:right w:w="14" w:type="dxa"/>
            </w:tcMar>
            <w:vAlign w:val="center"/>
          </w:tcPr>
          <w:p>
            <w:pPr>
              <w:spacing w:line="300" w:lineRule="exact"/>
              <w:jc w:val="center"/>
              <w:rPr>
                <w:rFonts w:hint="eastAsia" w:eastAsia="仿宋_GB2312"/>
                <w:spacing w:val="-12"/>
                <w:szCs w:val="21"/>
              </w:rPr>
            </w:pPr>
            <w:r>
              <w:rPr>
                <w:rFonts w:hint="eastAsia" w:eastAsia="仿宋_GB2312"/>
                <w:spacing w:val="-12"/>
                <w:szCs w:val="21"/>
              </w:rPr>
              <w:t>市林业局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25" w:hRule="exact"/>
          <w:jc w:val="center"/>
        </w:trPr>
        <w:tc>
          <w:tcPr>
            <w:tcW w:w="683" w:type="dxa"/>
            <w:vMerge w:val="continue"/>
            <w:tcBorders>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534" w:type="dxa"/>
            <w:vMerge w:val="continue"/>
            <w:tcBorders>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1458" w:type="dxa"/>
            <w:gridSpan w:val="3"/>
            <w:vMerge w:val="continue"/>
            <w:tcBorders>
              <w:left w:val="single" w:color="auto" w:sz="8"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p>
        </w:tc>
        <w:tc>
          <w:tcPr>
            <w:tcW w:w="4419" w:type="dxa"/>
            <w:gridSpan w:val="2"/>
            <w:tcBorders>
              <w:top w:val="single" w:color="auto" w:sz="8" w:space="0"/>
              <w:left w:val="single" w:color="auto" w:sz="4"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城市建成区绿地率</w:t>
            </w:r>
          </w:p>
        </w:tc>
        <w:tc>
          <w:tcPr>
            <w:tcW w:w="989"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ind w:left="-105" w:leftChars="-50" w:right="-105" w:rightChars="-50"/>
              <w:jc w:val="center"/>
              <w:rPr>
                <w:rFonts w:hint="eastAsia" w:eastAsia="仿宋_GB2312"/>
                <w:szCs w:val="21"/>
              </w:rPr>
            </w:pPr>
            <w:r>
              <w:rPr>
                <w:rFonts w:hint="eastAsia" w:eastAsia="仿宋_GB2312"/>
                <w:szCs w:val="21"/>
              </w:rPr>
              <w:t>%</w:t>
            </w:r>
          </w:p>
        </w:tc>
        <w:tc>
          <w:tcPr>
            <w:tcW w:w="1070"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36.85</w:t>
            </w:r>
          </w:p>
        </w:tc>
        <w:tc>
          <w:tcPr>
            <w:tcW w:w="117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38.0</w:t>
            </w:r>
          </w:p>
        </w:tc>
        <w:tc>
          <w:tcPr>
            <w:tcW w:w="983" w:type="dxa"/>
            <w:tcBorders>
              <w:top w:val="single" w:color="auto" w:sz="8" w:space="0"/>
              <w:left w:val="single" w:color="auto" w:sz="8"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38.5</w:t>
            </w:r>
          </w:p>
        </w:tc>
        <w:tc>
          <w:tcPr>
            <w:tcW w:w="1067" w:type="dxa"/>
            <w:tcBorders>
              <w:top w:val="single" w:color="auto" w:sz="8" w:space="0"/>
              <w:left w:val="single" w:color="auto" w:sz="4" w:space="0"/>
              <w:bottom w:val="single" w:color="auto" w:sz="8" w:space="0"/>
              <w:right w:val="single" w:color="auto" w:sz="8" w:space="0"/>
            </w:tcBorders>
            <w:noWrap w:val="0"/>
            <w:vAlign w:val="center"/>
          </w:tcPr>
          <w:p>
            <w:pPr>
              <w:spacing w:line="300" w:lineRule="exact"/>
              <w:jc w:val="center"/>
              <w:rPr>
                <w:rFonts w:hint="eastAsia" w:eastAsia="仿宋_GB2312"/>
                <w:szCs w:val="21"/>
              </w:rPr>
            </w:pPr>
            <w:r>
              <w:rPr>
                <w:rFonts w:hint="eastAsia" w:eastAsia="仿宋_GB2312"/>
                <w:szCs w:val="21"/>
              </w:rPr>
              <w:t>&gt;39.0</w:t>
            </w:r>
          </w:p>
        </w:tc>
        <w:tc>
          <w:tcPr>
            <w:tcW w:w="106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约束性</w:t>
            </w:r>
          </w:p>
        </w:tc>
        <w:tc>
          <w:tcPr>
            <w:tcW w:w="1555" w:type="dxa"/>
            <w:tcBorders>
              <w:top w:val="single" w:color="auto" w:sz="8" w:space="0"/>
              <w:left w:val="single" w:color="auto" w:sz="8" w:space="0"/>
              <w:bottom w:val="single" w:color="auto" w:sz="8" w:space="0"/>
              <w:right w:val="single" w:color="auto" w:sz="8" w:space="0"/>
            </w:tcBorders>
            <w:noWrap w:val="0"/>
            <w:tcMar>
              <w:left w:w="14" w:type="dxa"/>
              <w:right w:w="14" w:type="dxa"/>
            </w:tcMar>
            <w:vAlign w:val="center"/>
          </w:tcPr>
          <w:p>
            <w:pPr>
              <w:spacing w:line="300" w:lineRule="exact"/>
              <w:jc w:val="center"/>
              <w:rPr>
                <w:rFonts w:hint="eastAsia" w:eastAsia="仿宋_GB2312"/>
                <w:spacing w:val="-12"/>
                <w:szCs w:val="21"/>
              </w:rPr>
            </w:pPr>
            <w:r>
              <w:rPr>
                <w:rFonts w:hint="eastAsia" w:eastAsia="仿宋_GB2312"/>
                <w:spacing w:val="-12"/>
                <w:szCs w:val="21"/>
              </w:rPr>
              <w:t>市城乡建设局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25" w:hRule="exact"/>
          <w:jc w:val="center"/>
        </w:trPr>
        <w:tc>
          <w:tcPr>
            <w:tcW w:w="683" w:type="dxa"/>
            <w:vMerge w:val="continue"/>
            <w:tcBorders>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534" w:type="dxa"/>
            <w:tcBorders>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4</w:t>
            </w:r>
          </w:p>
        </w:tc>
        <w:tc>
          <w:tcPr>
            <w:tcW w:w="5877" w:type="dxa"/>
            <w:gridSpan w:val="5"/>
            <w:tcBorders>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本地物种受保护程度</w:t>
            </w:r>
          </w:p>
        </w:tc>
        <w:tc>
          <w:tcPr>
            <w:tcW w:w="989"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ind w:left="-105" w:leftChars="-50" w:right="-105" w:rightChars="-50"/>
              <w:jc w:val="center"/>
              <w:rPr>
                <w:rFonts w:hint="eastAsia" w:eastAsia="仿宋_GB2312"/>
                <w:szCs w:val="21"/>
              </w:rPr>
            </w:pPr>
            <w:r>
              <w:rPr>
                <w:rFonts w:hint="eastAsia" w:eastAsia="仿宋_GB2312"/>
                <w:szCs w:val="21"/>
              </w:rPr>
              <w:t>%</w:t>
            </w:r>
          </w:p>
        </w:tc>
        <w:tc>
          <w:tcPr>
            <w:tcW w:w="1070"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80</w:t>
            </w:r>
          </w:p>
        </w:tc>
        <w:tc>
          <w:tcPr>
            <w:tcW w:w="117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90</w:t>
            </w:r>
          </w:p>
        </w:tc>
        <w:tc>
          <w:tcPr>
            <w:tcW w:w="983" w:type="dxa"/>
            <w:tcBorders>
              <w:top w:val="single" w:color="auto" w:sz="8" w:space="0"/>
              <w:left w:val="single" w:color="auto" w:sz="8"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92</w:t>
            </w:r>
          </w:p>
        </w:tc>
        <w:tc>
          <w:tcPr>
            <w:tcW w:w="1067" w:type="dxa"/>
            <w:tcBorders>
              <w:top w:val="single" w:color="auto" w:sz="8" w:space="0"/>
              <w:left w:val="single" w:color="auto" w:sz="4" w:space="0"/>
              <w:bottom w:val="single" w:color="auto" w:sz="8" w:space="0"/>
              <w:right w:val="single" w:color="auto" w:sz="8" w:space="0"/>
            </w:tcBorders>
            <w:noWrap w:val="0"/>
            <w:vAlign w:val="center"/>
          </w:tcPr>
          <w:p>
            <w:pPr>
              <w:spacing w:line="300" w:lineRule="exact"/>
              <w:jc w:val="center"/>
              <w:rPr>
                <w:rFonts w:hint="eastAsia" w:eastAsia="仿宋_GB2312"/>
                <w:szCs w:val="21"/>
              </w:rPr>
            </w:pPr>
            <w:r>
              <w:rPr>
                <w:rFonts w:hint="eastAsia" w:eastAsia="仿宋_GB2312"/>
                <w:szCs w:val="21"/>
              </w:rPr>
              <w:t>95</w:t>
            </w:r>
          </w:p>
        </w:tc>
        <w:tc>
          <w:tcPr>
            <w:tcW w:w="106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预期性</w:t>
            </w:r>
          </w:p>
        </w:tc>
        <w:tc>
          <w:tcPr>
            <w:tcW w:w="1555" w:type="dxa"/>
            <w:tcBorders>
              <w:top w:val="single" w:color="auto" w:sz="8" w:space="0"/>
              <w:left w:val="single" w:color="auto" w:sz="8" w:space="0"/>
              <w:bottom w:val="single" w:color="auto" w:sz="8" w:space="0"/>
              <w:right w:val="single" w:color="auto" w:sz="8" w:space="0"/>
            </w:tcBorders>
            <w:noWrap w:val="0"/>
            <w:tcMar>
              <w:left w:w="14" w:type="dxa"/>
              <w:right w:w="14" w:type="dxa"/>
            </w:tcMar>
            <w:vAlign w:val="center"/>
          </w:tcPr>
          <w:p>
            <w:pPr>
              <w:spacing w:line="300" w:lineRule="exact"/>
              <w:jc w:val="center"/>
              <w:rPr>
                <w:rFonts w:hint="eastAsia" w:eastAsia="仿宋_GB2312"/>
                <w:spacing w:val="-12"/>
                <w:szCs w:val="21"/>
              </w:rPr>
            </w:pPr>
            <w:r>
              <w:rPr>
                <w:rFonts w:hint="eastAsia" w:eastAsia="仿宋_GB2312"/>
                <w:spacing w:val="-12"/>
                <w:szCs w:val="21"/>
              </w:rPr>
              <w:t>市环保局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25" w:hRule="exact"/>
          <w:jc w:val="center"/>
        </w:trPr>
        <w:tc>
          <w:tcPr>
            <w:tcW w:w="683" w:type="dxa"/>
            <w:vMerge w:val="restart"/>
            <w:tcBorders>
              <w:top w:val="single" w:color="auto" w:sz="8" w:space="0"/>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生态经济</w:t>
            </w:r>
          </w:p>
        </w:tc>
        <w:tc>
          <w:tcPr>
            <w:tcW w:w="534" w:type="dxa"/>
            <w:vMerge w:val="restart"/>
            <w:tcBorders>
              <w:top w:val="single" w:color="auto" w:sz="8" w:space="0"/>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5</w:t>
            </w:r>
          </w:p>
        </w:tc>
        <w:tc>
          <w:tcPr>
            <w:tcW w:w="1444" w:type="dxa"/>
            <w:gridSpan w:val="2"/>
            <w:vMerge w:val="restart"/>
            <w:tcBorders>
              <w:top w:val="single" w:color="auto" w:sz="8" w:space="0"/>
              <w:left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产业绿色化水平</w:t>
            </w:r>
          </w:p>
        </w:tc>
        <w:tc>
          <w:tcPr>
            <w:tcW w:w="4433" w:type="dxa"/>
            <w:gridSpan w:val="3"/>
            <w:tcBorders>
              <w:top w:val="single" w:color="auto" w:sz="8" w:space="0"/>
              <w:left w:val="single" w:color="auto" w:sz="4"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服务业增加值占地区生产总值比重</w:t>
            </w:r>
          </w:p>
        </w:tc>
        <w:tc>
          <w:tcPr>
            <w:tcW w:w="989"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ind w:left="-105" w:leftChars="-50" w:right="-105" w:rightChars="-50"/>
              <w:jc w:val="center"/>
              <w:rPr>
                <w:rFonts w:hint="eastAsia" w:eastAsia="仿宋_GB2312"/>
                <w:szCs w:val="21"/>
              </w:rPr>
            </w:pPr>
            <w:r>
              <w:rPr>
                <w:rFonts w:hint="eastAsia" w:eastAsia="仿宋_GB2312"/>
                <w:szCs w:val="21"/>
              </w:rPr>
              <w:t>%</w:t>
            </w:r>
          </w:p>
        </w:tc>
        <w:tc>
          <w:tcPr>
            <w:tcW w:w="1070"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38.2</w:t>
            </w:r>
          </w:p>
        </w:tc>
        <w:tc>
          <w:tcPr>
            <w:tcW w:w="117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39</w:t>
            </w:r>
          </w:p>
        </w:tc>
        <w:tc>
          <w:tcPr>
            <w:tcW w:w="983" w:type="dxa"/>
            <w:tcBorders>
              <w:top w:val="single" w:color="auto" w:sz="8" w:space="0"/>
              <w:left w:val="single" w:color="auto" w:sz="8"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39.5</w:t>
            </w:r>
          </w:p>
        </w:tc>
        <w:tc>
          <w:tcPr>
            <w:tcW w:w="1067" w:type="dxa"/>
            <w:tcBorders>
              <w:top w:val="single" w:color="auto" w:sz="8" w:space="0"/>
              <w:left w:val="single" w:color="auto" w:sz="4" w:space="0"/>
              <w:bottom w:val="single" w:color="auto" w:sz="8" w:space="0"/>
              <w:right w:val="single" w:color="auto" w:sz="8" w:space="0"/>
            </w:tcBorders>
            <w:noWrap w:val="0"/>
            <w:vAlign w:val="center"/>
          </w:tcPr>
          <w:p>
            <w:pPr>
              <w:spacing w:line="300" w:lineRule="exact"/>
              <w:jc w:val="center"/>
              <w:rPr>
                <w:rFonts w:hint="eastAsia" w:eastAsia="仿宋_GB2312"/>
                <w:szCs w:val="21"/>
              </w:rPr>
            </w:pPr>
            <w:r>
              <w:rPr>
                <w:rFonts w:hint="eastAsia" w:eastAsia="仿宋_GB2312"/>
                <w:szCs w:val="21"/>
              </w:rPr>
              <w:t>&gt;41</w:t>
            </w:r>
          </w:p>
        </w:tc>
        <w:tc>
          <w:tcPr>
            <w:tcW w:w="106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预期性</w:t>
            </w:r>
          </w:p>
        </w:tc>
        <w:tc>
          <w:tcPr>
            <w:tcW w:w="1555" w:type="dxa"/>
            <w:tcBorders>
              <w:top w:val="single" w:color="auto" w:sz="8" w:space="0"/>
              <w:left w:val="single" w:color="auto" w:sz="8" w:space="0"/>
              <w:bottom w:val="single" w:color="auto" w:sz="8" w:space="0"/>
              <w:right w:val="single" w:color="auto" w:sz="8" w:space="0"/>
            </w:tcBorders>
            <w:noWrap w:val="0"/>
            <w:tcMar>
              <w:left w:w="14" w:type="dxa"/>
              <w:right w:w="14" w:type="dxa"/>
            </w:tcMar>
            <w:vAlign w:val="center"/>
          </w:tcPr>
          <w:p>
            <w:pPr>
              <w:spacing w:line="300" w:lineRule="exact"/>
              <w:jc w:val="center"/>
              <w:rPr>
                <w:rFonts w:hint="eastAsia" w:eastAsia="仿宋_GB2312"/>
                <w:spacing w:val="-12"/>
                <w:szCs w:val="21"/>
              </w:rPr>
            </w:pPr>
            <w:r>
              <w:rPr>
                <w:rFonts w:hint="eastAsia" w:eastAsia="仿宋_GB2312"/>
                <w:spacing w:val="-12"/>
                <w:szCs w:val="21"/>
              </w:rPr>
              <w:t>市发改委</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25" w:hRule="exact"/>
          <w:jc w:val="center"/>
        </w:trPr>
        <w:tc>
          <w:tcPr>
            <w:tcW w:w="683" w:type="dxa"/>
            <w:vMerge w:val="continue"/>
            <w:tcBorders>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534" w:type="dxa"/>
            <w:vMerge w:val="continue"/>
            <w:tcBorders>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1444" w:type="dxa"/>
            <w:gridSpan w:val="2"/>
            <w:vMerge w:val="continue"/>
            <w:tcBorders>
              <w:left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p>
        </w:tc>
        <w:tc>
          <w:tcPr>
            <w:tcW w:w="4433" w:type="dxa"/>
            <w:gridSpan w:val="3"/>
            <w:tcBorders>
              <w:top w:val="nil"/>
              <w:left w:val="single" w:color="auto" w:sz="4"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高新技术产业产值占规模以上工业产值比重</w:t>
            </w:r>
          </w:p>
        </w:tc>
        <w:tc>
          <w:tcPr>
            <w:tcW w:w="989" w:type="dxa"/>
            <w:tcBorders>
              <w:left w:val="single" w:color="auto" w:sz="8" w:space="0"/>
              <w:bottom w:val="single" w:color="auto" w:sz="8" w:space="0"/>
              <w:right w:val="single" w:color="auto" w:sz="8" w:space="0"/>
            </w:tcBorders>
            <w:noWrap w:val="0"/>
            <w:tcMar>
              <w:left w:w="57" w:type="dxa"/>
              <w:right w:w="57" w:type="dxa"/>
            </w:tcMar>
            <w:vAlign w:val="center"/>
          </w:tcPr>
          <w:p>
            <w:pPr>
              <w:spacing w:line="300" w:lineRule="exact"/>
              <w:ind w:left="-105" w:leftChars="-50" w:right="-105" w:rightChars="-50"/>
              <w:jc w:val="center"/>
              <w:rPr>
                <w:rFonts w:hint="eastAsia" w:eastAsia="仿宋_GB2312"/>
                <w:szCs w:val="21"/>
              </w:rPr>
            </w:pPr>
            <w:r>
              <w:rPr>
                <w:rFonts w:hint="eastAsia" w:eastAsia="仿宋_GB2312"/>
                <w:szCs w:val="21"/>
              </w:rPr>
              <w:t>%</w:t>
            </w:r>
          </w:p>
        </w:tc>
        <w:tc>
          <w:tcPr>
            <w:tcW w:w="1070" w:type="dxa"/>
            <w:tcBorders>
              <w:top w:val="nil"/>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25</w:t>
            </w:r>
          </w:p>
        </w:tc>
        <w:tc>
          <w:tcPr>
            <w:tcW w:w="1177" w:type="dxa"/>
            <w:tcBorders>
              <w:top w:val="nil"/>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35</w:t>
            </w:r>
          </w:p>
        </w:tc>
        <w:tc>
          <w:tcPr>
            <w:tcW w:w="983" w:type="dxa"/>
            <w:tcBorders>
              <w:top w:val="nil"/>
              <w:left w:val="single" w:color="auto" w:sz="8"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36</w:t>
            </w:r>
          </w:p>
        </w:tc>
        <w:tc>
          <w:tcPr>
            <w:tcW w:w="1067" w:type="dxa"/>
            <w:tcBorders>
              <w:top w:val="nil"/>
              <w:left w:val="single" w:color="auto" w:sz="4" w:space="0"/>
              <w:bottom w:val="single" w:color="auto" w:sz="8" w:space="0"/>
              <w:right w:val="single" w:color="auto" w:sz="8" w:space="0"/>
            </w:tcBorders>
            <w:noWrap w:val="0"/>
            <w:vAlign w:val="center"/>
          </w:tcPr>
          <w:p>
            <w:pPr>
              <w:spacing w:line="300" w:lineRule="exact"/>
              <w:jc w:val="center"/>
              <w:rPr>
                <w:rFonts w:hint="eastAsia" w:eastAsia="仿宋_GB2312"/>
                <w:szCs w:val="21"/>
              </w:rPr>
            </w:pPr>
            <w:r>
              <w:rPr>
                <w:rFonts w:hint="eastAsia" w:eastAsia="仿宋_GB2312"/>
                <w:szCs w:val="21"/>
              </w:rPr>
              <w:t>&gt;38</w:t>
            </w:r>
          </w:p>
        </w:tc>
        <w:tc>
          <w:tcPr>
            <w:tcW w:w="1067" w:type="dxa"/>
            <w:tcBorders>
              <w:top w:val="nil"/>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预期性</w:t>
            </w:r>
          </w:p>
        </w:tc>
        <w:tc>
          <w:tcPr>
            <w:tcW w:w="1555" w:type="dxa"/>
            <w:tcBorders>
              <w:top w:val="nil"/>
              <w:left w:val="single" w:color="auto" w:sz="8" w:space="0"/>
              <w:bottom w:val="single" w:color="auto" w:sz="8" w:space="0"/>
              <w:right w:val="single" w:color="auto" w:sz="8" w:space="0"/>
            </w:tcBorders>
            <w:noWrap w:val="0"/>
            <w:tcMar>
              <w:left w:w="14" w:type="dxa"/>
              <w:right w:w="14" w:type="dxa"/>
            </w:tcMar>
            <w:vAlign w:val="center"/>
          </w:tcPr>
          <w:p>
            <w:pPr>
              <w:spacing w:line="300" w:lineRule="exact"/>
              <w:jc w:val="center"/>
              <w:rPr>
                <w:rFonts w:hint="eastAsia" w:eastAsia="仿宋_GB2312"/>
                <w:spacing w:val="-12"/>
                <w:szCs w:val="21"/>
              </w:rPr>
            </w:pPr>
            <w:r>
              <w:rPr>
                <w:rFonts w:hint="eastAsia" w:eastAsia="仿宋_GB2312"/>
                <w:spacing w:val="-12"/>
                <w:szCs w:val="21"/>
              </w:rPr>
              <w:t>市科技局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670" w:hRule="exact"/>
          <w:jc w:val="center"/>
        </w:trPr>
        <w:tc>
          <w:tcPr>
            <w:tcW w:w="683" w:type="dxa"/>
            <w:vMerge w:val="continue"/>
            <w:tcBorders>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534" w:type="dxa"/>
            <w:vMerge w:val="continue"/>
            <w:tcBorders>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1444" w:type="dxa"/>
            <w:gridSpan w:val="2"/>
            <w:vMerge w:val="continue"/>
            <w:tcBorders>
              <w:left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p>
        </w:tc>
        <w:tc>
          <w:tcPr>
            <w:tcW w:w="4433" w:type="dxa"/>
            <w:gridSpan w:val="3"/>
            <w:tcBorders>
              <w:top w:val="single" w:color="auto" w:sz="8" w:space="0"/>
              <w:left w:val="single" w:color="auto" w:sz="4" w:space="0"/>
              <w:bottom w:val="nil"/>
              <w:right w:val="single" w:color="auto" w:sz="8" w:space="0"/>
            </w:tcBorders>
            <w:noWrap w:val="0"/>
            <w:tcMar>
              <w:left w:w="57" w:type="dxa"/>
              <w:right w:w="57" w:type="dxa"/>
            </w:tcMar>
            <w:vAlign w:val="center"/>
          </w:tcPr>
          <w:p>
            <w:pPr>
              <w:spacing w:line="300" w:lineRule="exact"/>
              <w:jc w:val="center"/>
              <w:rPr>
                <w:rFonts w:hint="eastAsia" w:eastAsia="仿宋_GB2312"/>
                <w:dstrike/>
                <w:spacing w:val="-8"/>
                <w:szCs w:val="21"/>
              </w:rPr>
            </w:pPr>
            <w:r>
              <w:rPr>
                <w:rFonts w:hint="eastAsia" w:eastAsia="仿宋_GB2312"/>
                <w:spacing w:val="-8"/>
                <w:szCs w:val="21"/>
              </w:rPr>
              <w:t>主要农产品中无公害、绿色、有机“三品”食品种植面积的比重</w:t>
            </w:r>
          </w:p>
        </w:tc>
        <w:tc>
          <w:tcPr>
            <w:tcW w:w="989" w:type="dxa"/>
            <w:tcBorders>
              <w:top w:val="single" w:color="auto" w:sz="8" w:space="0"/>
              <w:left w:val="single" w:color="auto" w:sz="8" w:space="0"/>
              <w:bottom w:val="nil"/>
              <w:right w:val="single" w:color="auto" w:sz="8" w:space="0"/>
            </w:tcBorders>
            <w:noWrap w:val="0"/>
            <w:tcMar>
              <w:left w:w="57" w:type="dxa"/>
              <w:right w:w="57" w:type="dxa"/>
            </w:tcMar>
            <w:vAlign w:val="center"/>
          </w:tcPr>
          <w:p>
            <w:pPr>
              <w:spacing w:line="300" w:lineRule="exact"/>
              <w:ind w:left="-105" w:leftChars="-50" w:right="-105" w:rightChars="-50"/>
              <w:jc w:val="center"/>
              <w:rPr>
                <w:rFonts w:hint="eastAsia" w:eastAsia="仿宋_GB2312"/>
                <w:szCs w:val="21"/>
              </w:rPr>
            </w:pPr>
            <w:r>
              <w:rPr>
                <w:rFonts w:hint="eastAsia" w:eastAsia="仿宋_GB2312"/>
                <w:szCs w:val="21"/>
              </w:rPr>
              <w:t>%</w:t>
            </w:r>
          </w:p>
        </w:tc>
        <w:tc>
          <w:tcPr>
            <w:tcW w:w="1070" w:type="dxa"/>
            <w:tcBorders>
              <w:top w:val="single" w:color="auto" w:sz="8" w:space="0"/>
              <w:left w:val="single" w:color="auto" w:sz="8" w:space="0"/>
              <w:bottom w:val="nil"/>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“三品”</w:t>
            </w:r>
          </w:p>
          <w:p>
            <w:pPr>
              <w:spacing w:line="300" w:lineRule="exact"/>
              <w:jc w:val="center"/>
              <w:rPr>
                <w:rFonts w:hint="eastAsia" w:eastAsia="仿宋_GB2312"/>
                <w:szCs w:val="21"/>
              </w:rPr>
            </w:pPr>
            <w:r>
              <w:rPr>
                <w:rFonts w:hint="eastAsia" w:eastAsia="仿宋_GB2312"/>
                <w:szCs w:val="21"/>
              </w:rPr>
              <w:t>79.94</w:t>
            </w:r>
          </w:p>
        </w:tc>
        <w:tc>
          <w:tcPr>
            <w:tcW w:w="1177" w:type="dxa"/>
            <w:tcBorders>
              <w:top w:val="single" w:color="auto" w:sz="8" w:space="0"/>
              <w:left w:val="single" w:color="auto" w:sz="8" w:space="0"/>
              <w:bottom w:val="nil"/>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“三品”</w:t>
            </w:r>
          </w:p>
          <w:p>
            <w:pPr>
              <w:spacing w:line="300" w:lineRule="exact"/>
              <w:jc w:val="center"/>
              <w:rPr>
                <w:rFonts w:hint="eastAsia" w:eastAsia="仿宋_GB2312"/>
                <w:szCs w:val="21"/>
              </w:rPr>
            </w:pPr>
            <w:r>
              <w:rPr>
                <w:rFonts w:hint="eastAsia" w:eastAsia="仿宋_GB2312"/>
                <w:szCs w:val="21"/>
              </w:rPr>
              <w:t>83</w:t>
            </w:r>
          </w:p>
        </w:tc>
        <w:tc>
          <w:tcPr>
            <w:tcW w:w="983" w:type="dxa"/>
            <w:tcBorders>
              <w:top w:val="single" w:color="auto" w:sz="8" w:space="0"/>
              <w:left w:val="single" w:color="auto" w:sz="8" w:space="0"/>
              <w:bottom w:val="nil"/>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“三品”</w:t>
            </w:r>
          </w:p>
          <w:p>
            <w:pPr>
              <w:spacing w:line="300" w:lineRule="exact"/>
              <w:jc w:val="center"/>
              <w:rPr>
                <w:rFonts w:hint="eastAsia" w:eastAsia="仿宋_GB2312"/>
                <w:szCs w:val="21"/>
              </w:rPr>
            </w:pPr>
            <w:r>
              <w:rPr>
                <w:rFonts w:hint="eastAsia" w:eastAsia="仿宋_GB2312"/>
                <w:szCs w:val="21"/>
              </w:rPr>
              <w:t>85</w:t>
            </w:r>
          </w:p>
        </w:tc>
        <w:tc>
          <w:tcPr>
            <w:tcW w:w="1067" w:type="dxa"/>
            <w:tcBorders>
              <w:top w:val="single" w:color="auto" w:sz="8" w:space="0"/>
              <w:left w:val="single" w:color="auto" w:sz="4" w:space="0"/>
              <w:bottom w:val="nil"/>
              <w:right w:val="single" w:color="auto" w:sz="8" w:space="0"/>
            </w:tcBorders>
            <w:noWrap w:val="0"/>
            <w:vAlign w:val="center"/>
          </w:tcPr>
          <w:p>
            <w:pPr>
              <w:spacing w:line="300" w:lineRule="exact"/>
              <w:jc w:val="center"/>
              <w:rPr>
                <w:rFonts w:hint="eastAsia" w:eastAsia="仿宋_GB2312"/>
                <w:spacing w:val="-20"/>
                <w:szCs w:val="21"/>
              </w:rPr>
            </w:pPr>
            <w:r>
              <w:rPr>
                <w:rFonts w:hint="eastAsia" w:eastAsia="仿宋_GB2312"/>
                <w:spacing w:val="-20"/>
                <w:szCs w:val="21"/>
              </w:rPr>
              <w:t>绿色、有机</w:t>
            </w:r>
          </w:p>
          <w:p>
            <w:pPr>
              <w:spacing w:line="300" w:lineRule="exact"/>
              <w:jc w:val="center"/>
              <w:rPr>
                <w:rFonts w:hint="eastAsia" w:eastAsia="仿宋_GB2312"/>
                <w:szCs w:val="21"/>
              </w:rPr>
            </w:pPr>
            <w:r>
              <w:rPr>
                <w:rFonts w:hint="eastAsia" w:eastAsia="仿宋_GB2312"/>
                <w:szCs w:val="21"/>
              </w:rPr>
              <w:t>&gt;60</w:t>
            </w:r>
          </w:p>
        </w:tc>
        <w:tc>
          <w:tcPr>
            <w:tcW w:w="1067" w:type="dxa"/>
            <w:tcBorders>
              <w:top w:val="single" w:color="auto" w:sz="8" w:space="0"/>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约束性</w:t>
            </w:r>
          </w:p>
        </w:tc>
        <w:tc>
          <w:tcPr>
            <w:tcW w:w="1555" w:type="dxa"/>
            <w:tcBorders>
              <w:top w:val="single" w:color="auto" w:sz="8" w:space="0"/>
              <w:left w:val="single" w:color="auto" w:sz="8" w:space="0"/>
              <w:right w:val="single" w:color="auto" w:sz="8" w:space="0"/>
            </w:tcBorders>
            <w:noWrap w:val="0"/>
            <w:tcMar>
              <w:left w:w="14" w:type="dxa"/>
              <w:right w:w="14" w:type="dxa"/>
            </w:tcMar>
            <w:vAlign w:val="center"/>
          </w:tcPr>
          <w:p>
            <w:pPr>
              <w:spacing w:line="300" w:lineRule="exact"/>
              <w:jc w:val="center"/>
              <w:rPr>
                <w:rFonts w:hint="eastAsia" w:eastAsia="仿宋_GB2312"/>
                <w:spacing w:val="-12"/>
                <w:szCs w:val="21"/>
              </w:rPr>
            </w:pPr>
            <w:r>
              <w:rPr>
                <w:rFonts w:hint="eastAsia" w:eastAsia="仿宋_GB2312"/>
                <w:spacing w:val="-12"/>
                <w:szCs w:val="21"/>
              </w:rPr>
              <w:t>市农委</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25" w:hRule="exact"/>
          <w:jc w:val="center"/>
        </w:trPr>
        <w:tc>
          <w:tcPr>
            <w:tcW w:w="683" w:type="dxa"/>
            <w:vMerge w:val="continue"/>
            <w:tcBorders>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534" w:type="dxa"/>
            <w:vMerge w:val="restart"/>
            <w:tcBorders>
              <w:top w:val="single" w:color="auto" w:sz="4" w:space="0"/>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6</w:t>
            </w:r>
          </w:p>
        </w:tc>
        <w:tc>
          <w:tcPr>
            <w:tcW w:w="1444" w:type="dxa"/>
            <w:gridSpan w:val="2"/>
            <w:vMerge w:val="restart"/>
            <w:tcBorders>
              <w:top w:val="single" w:color="auto" w:sz="4" w:space="0"/>
              <w:left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能源结构优化与集约</w:t>
            </w:r>
            <w:r>
              <w:rPr>
                <w:rFonts w:hint="eastAsia" w:eastAsia="仿宋_GB2312"/>
                <w:spacing w:val="-22"/>
                <w:szCs w:val="21"/>
              </w:rPr>
              <w:t>利用水平</w:t>
            </w:r>
          </w:p>
        </w:tc>
        <w:tc>
          <w:tcPr>
            <w:tcW w:w="4433" w:type="dxa"/>
            <w:gridSpan w:val="3"/>
            <w:tcBorders>
              <w:top w:val="single" w:color="auto" w:sz="4" w:space="0"/>
              <w:left w:val="single" w:color="auto" w:sz="4"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pacing w:val="-14"/>
                <w:szCs w:val="21"/>
              </w:rPr>
            </w:pPr>
            <w:r>
              <w:rPr>
                <w:rFonts w:hint="eastAsia" w:eastAsia="仿宋_GB2312"/>
                <w:spacing w:val="-14"/>
                <w:szCs w:val="21"/>
              </w:rPr>
              <w:t>非化石能源占一次能源消费比例</w:t>
            </w:r>
          </w:p>
        </w:tc>
        <w:tc>
          <w:tcPr>
            <w:tcW w:w="989"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ind w:left="-105" w:leftChars="-50" w:right="-105" w:rightChars="-50"/>
              <w:jc w:val="center"/>
              <w:rPr>
                <w:rFonts w:hint="eastAsia" w:eastAsia="仿宋_GB2312"/>
                <w:szCs w:val="21"/>
              </w:rPr>
            </w:pPr>
            <w:r>
              <w:rPr>
                <w:rFonts w:hint="eastAsia" w:eastAsia="仿宋_GB2312"/>
                <w:szCs w:val="21"/>
              </w:rPr>
              <w:t>%</w:t>
            </w:r>
          </w:p>
        </w:tc>
        <w:tc>
          <w:tcPr>
            <w:tcW w:w="1070"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15.03</w:t>
            </w:r>
          </w:p>
        </w:tc>
        <w:tc>
          <w:tcPr>
            <w:tcW w:w="117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15.33</w:t>
            </w:r>
          </w:p>
        </w:tc>
        <w:tc>
          <w:tcPr>
            <w:tcW w:w="983" w:type="dxa"/>
            <w:tcBorders>
              <w:top w:val="single" w:color="auto" w:sz="8" w:space="0"/>
              <w:left w:val="single" w:color="auto" w:sz="8"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15.5</w:t>
            </w:r>
          </w:p>
        </w:tc>
        <w:tc>
          <w:tcPr>
            <w:tcW w:w="1067" w:type="dxa"/>
            <w:tcBorders>
              <w:top w:val="single" w:color="auto" w:sz="8" w:space="0"/>
              <w:left w:val="single" w:color="auto" w:sz="4" w:space="0"/>
              <w:bottom w:val="single" w:color="auto" w:sz="8" w:space="0"/>
              <w:right w:val="single" w:color="auto" w:sz="8" w:space="0"/>
            </w:tcBorders>
            <w:noWrap w:val="0"/>
            <w:vAlign w:val="center"/>
          </w:tcPr>
          <w:p>
            <w:pPr>
              <w:spacing w:line="300" w:lineRule="exact"/>
              <w:jc w:val="center"/>
              <w:rPr>
                <w:rFonts w:hint="eastAsia" w:eastAsia="仿宋_GB2312"/>
                <w:szCs w:val="21"/>
              </w:rPr>
            </w:pPr>
            <w:r>
              <w:rPr>
                <w:rFonts w:hint="eastAsia" w:eastAsia="仿宋_GB2312"/>
                <w:szCs w:val="21"/>
              </w:rPr>
              <w:t>&gt;16</w:t>
            </w:r>
          </w:p>
        </w:tc>
        <w:tc>
          <w:tcPr>
            <w:tcW w:w="106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预期性</w:t>
            </w:r>
          </w:p>
        </w:tc>
        <w:tc>
          <w:tcPr>
            <w:tcW w:w="1555" w:type="dxa"/>
            <w:tcBorders>
              <w:top w:val="single" w:color="auto" w:sz="8" w:space="0"/>
              <w:left w:val="single" w:color="auto" w:sz="8" w:space="0"/>
              <w:bottom w:val="single" w:color="auto" w:sz="8" w:space="0"/>
              <w:right w:val="single" w:color="auto" w:sz="8" w:space="0"/>
            </w:tcBorders>
            <w:noWrap w:val="0"/>
            <w:tcMar>
              <w:left w:w="14" w:type="dxa"/>
              <w:right w:w="14" w:type="dxa"/>
            </w:tcMar>
            <w:vAlign w:val="center"/>
          </w:tcPr>
          <w:p>
            <w:pPr>
              <w:spacing w:line="300" w:lineRule="exact"/>
              <w:jc w:val="center"/>
              <w:rPr>
                <w:rFonts w:hint="eastAsia" w:eastAsia="仿宋_GB2312"/>
                <w:spacing w:val="-12"/>
                <w:szCs w:val="21"/>
              </w:rPr>
            </w:pPr>
            <w:r>
              <w:rPr>
                <w:rFonts w:hint="eastAsia" w:eastAsia="仿宋_GB2312"/>
                <w:spacing w:val="-12"/>
                <w:szCs w:val="21"/>
              </w:rPr>
              <w:t>市发改委</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90" w:hRule="atLeast"/>
          <w:jc w:val="center"/>
        </w:trPr>
        <w:tc>
          <w:tcPr>
            <w:tcW w:w="683" w:type="dxa"/>
            <w:vMerge w:val="continue"/>
            <w:tcBorders>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534" w:type="dxa"/>
            <w:vMerge w:val="continue"/>
            <w:tcBorders>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1444" w:type="dxa"/>
            <w:gridSpan w:val="2"/>
            <w:vMerge w:val="continue"/>
            <w:tcBorders>
              <w:left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p>
        </w:tc>
        <w:tc>
          <w:tcPr>
            <w:tcW w:w="4433" w:type="dxa"/>
            <w:gridSpan w:val="3"/>
            <w:tcBorders>
              <w:top w:val="single" w:color="auto" w:sz="8" w:space="0"/>
              <w:left w:val="single" w:color="auto" w:sz="4"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单位地区生产总值能耗</w:t>
            </w:r>
          </w:p>
        </w:tc>
        <w:tc>
          <w:tcPr>
            <w:tcW w:w="989"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240" w:lineRule="exact"/>
              <w:ind w:left="-105" w:leftChars="-50" w:right="-105" w:rightChars="-50"/>
              <w:jc w:val="center"/>
              <w:rPr>
                <w:rFonts w:hint="eastAsia" w:eastAsia="仿宋_GB2312"/>
                <w:szCs w:val="21"/>
              </w:rPr>
            </w:pPr>
            <w:r>
              <w:rPr>
                <w:rFonts w:hint="eastAsia" w:eastAsia="仿宋_GB2312"/>
                <w:szCs w:val="21"/>
              </w:rPr>
              <w:t>吨标煤/</w:t>
            </w:r>
          </w:p>
          <w:p>
            <w:pPr>
              <w:spacing w:line="240" w:lineRule="exact"/>
              <w:ind w:left="-105" w:leftChars="-50" w:right="-105" w:rightChars="-50"/>
              <w:jc w:val="center"/>
              <w:rPr>
                <w:rFonts w:hint="eastAsia" w:eastAsia="仿宋_GB2312"/>
                <w:szCs w:val="21"/>
              </w:rPr>
            </w:pPr>
            <w:r>
              <w:rPr>
                <w:rFonts w:hint="eastAsia" w:eastAsia="仿宋_GB2312"/>
                <w:szCs w:val="21"/>
              </w:rPr>
              <w:t>万元</w:t>
            </w:r>
          </w:p>
        </w:tc>
        <w:tc>
          <w:tcPr>
            <w:tcW w:w="1070"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0.518</w:t>
            </w:r>
          </w:p>
        </w:tc>
        <w:tc>
          <w:tcPr>
            <w:tcW w:w="117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0.464</w:t>
            </w:r>
          </w:p>
        </w:tc>
        <w:tc>
          <w:tcPr>
            <w:tcW w:w="983" w:type="dxa"/>
            <w:tcBorders>
              <w:top w:val="single" w:color="auto" w:sz="8" w:space="0"/>
              <w:left w:val="single" w:color="auto" w:sz="8"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eastAsia="仿宋_GB2312"/>
                <w:szCs w:val="21"/>
              </w:rPr>
              <w:t>0.438</w:t>
            </w:r>
          </w:p>
        </w:tc>
        <w:tc>
          <w:tcPr>
            <w:tcW w:w="1067" w:type="dxa"/>
            <w:tcBorders>
              <w:top w:val="single" w:color="auto" w:sz="8" w:space="0"/>
              <w:left w:val="single" w:color="auto" w:sz="4" w:space="0"/>
              <w:bottom w:val="single" w:color="auto" w:sz="8" w:space="0"/>
              <w:right w:val="single" w:color="auto" w:sz="8" w:space="0"/>
            </w:tcBorders>
            <w:noWrap w:val="0"/>
            <w:vAlign w:val="center"/>
          </w:tcPr>
          <w:p>
            <w:pPr>
              <w:spacing w:line="300" w:lineRule="exact"/>
              <w:jc w:val="center"/>
              <w:rPr>
                <w:rFonts w:hint="eastAsia" w:eastAsia="仿宋_GB2312"/>
                <w:szCs w:val="21"/>
              </w:rPr>
            </w:pPr>
            <w:r>
              <w:rPr>
                <w:rFonts w:hint="eastAsia" w:eastAsia="仿宋_GB2312"/>
                <w:szCs w:val="21"/>
              </w:rPr>
              <w:t>0.387</w:t>
            </w:r>
          </w:p>
        </w:tc>
        <w:tc>
          <w:tcPr>
            <w:tcW w:w="106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约束性</w:t>
            </w:r>
          </w:p>
        </w:tc>
        <w:tc>
          <w:tcPr>
            <w:tcW w:w="1555" w:type="dxa"/>
            <w:tcBorders>
              <w:top w:val="single" w:color="auto" w:sz="8" w:space="0"/>
              <w:left w:val="single" w:color="auto" w:sz="8" w:space="0"/>
              <w:bottom w:val="single" w:color="auto" w:sz="8" w:space="0"/>
              <w:right w:val="single" w:color="auto" w:sz="8" w:space="0"/>
            </w:tcBorders>
            <w:noWrap w:val="0"/>
            <w:tcMar>
              <w:left w:w="14" w:type="dxa"/>
              <w:right w:w="14" w:type="dxa"/>
            </w:tcMar>
            <w:vAlign w:val="center"/>
          </w:tcPr>
          <w:p>
            <w:pPr>
              <w:spacing w:line="300" w:lineRule="exact"/>
              <w:jc w:val="center"/>
              <w:rPr>
                <w:rFonts w:hint="eastAsia" w:eastAsia="仿宋_GB2312"/>
                <w:spacing w:val="-12"/>
                <w:szCs w:val="21"/>
              </w:rPr>
            </w:pPr>
            <w:r>
              <w:rPr>
                <w:rFonts w:hint="eastAsia" w:eastAsia="仿宋_GB2312"/>
                <w:spacing w:val="-12"/>
                <w:szCs w:val="21"/>
              </w:rPr>
              <w:t>市经信委</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25" w:hRule="exact"/>
          <w:jc w:val="center"/>
        </w:trPr>
        <w:tc>
          <w:tcPr>
            <w:tcW w:w="683" w:type="dxa"/>
            <w:vMerge w:val="continue"/>
            <w:tcBorders>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534" w:type="dxa"/>
            <w:vMerge w:val="continue"/>
            <w:tcBorders>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1444" w:type="dxa"/>
            <w:gridSpan w:val="2"/>
            <w:vMerge w:val="continue"/>
            <w:tcBorders>
              <w:left w:val="single" w:color="auto" w:sz="8"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p>
        </w:tc>
        <w:tc>
          <w:tcPr>
            <w:tcW w:w="4433" w:type="dxa"/>
            <w:gridSpan w:val="3"/>
            <w:tcBorders>
              <w:top w:val="single" w:color="auto" w:sz="8" w:space="0"/>
              <w:left w:val="single" w:color="auto" w:sz="4"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pacing w:val="-4"/>
                <w:szCs w:val="21"/>
              </w:rPr>
            </w:pPr>
            <w:r>
              <w:rPr>
                <w:rFonts w:hint="eastAsia" w:eastAsia="仿宋_GB2312"/>
                <w:spacing w:val="-4"/>
                <w:szCs w:val="21"/>
              </w:rPr>
              <w:t>单位地区生产总值二氧化碳排放强度</w:t>
            </w:r>
          </w:p>
        </w:tc>
        <w:tc>
          <w:tcPr>
            <w:tcW w:w="989"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ind w:left="-105" w:leftChars="-50" w:right="-105" w:rightChars="-50"/>
              <w:jc w:val="center"/>
              <w:rPr>
                <w:rFonts w:hint="eastAsia" w:eastAsia="仿宋_GB2312"/>
                <w:szCs w:val="21"/>
              </w:rPr>
            </w:pPr>
            <w:r>
              <w:rPr>
                <w:rFonts w:hint="eastAsia" w:eastAsia="仿宋_GB2312"/>
                <w:szCs w:val="21"/>
              </w:rPr>
              <w:t>吨/万元</w:t>
            </w:r>
          </w:p>
        </w:tc>
        <w:tc>
          <w:tcPr>
            <w:tcW w:w="1070"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highlight w:val="yellow"/>
              </w:rPr>
            </w:pPr>
            <w:r>
              <w:rPr>
                <w:rFonts w:hint="eastAsia" w:eastAsia="仿宋_GB2312"/>
                <w:szCs w:val="21"/>
              </w:rPr>
              <w:t>/</w:t>
            </w:r>
          </w:p>
        </w:tc>
        <w:tc>
          <w:tcPr>
            <w:tcW w:w="117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1.2</w:t>
            </w:r>
          </w:p>
        </w:tc>
        <w:tc>
          <w:tcPr>
            <w:tcW w:w="983" w:type="dxa"/>
            <w:tcBorders>
              <w:top w:val="single" w:color="auto" w:sz="8" w:space="0"/>
              <w:left w:val="single" w:color="auto" w:sz="8"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1.15</w:t>
            </w:r>
          </w:p>
        </w:tc>
        <w:tc>
          <w:tcPr>
            <w:tcW w:w="1067" w:type="dxa"/>
            <w:tcBorders>
              <w:top w:val="single" w:color="auto" w:sz="8" w:space="0"/>
              <w:left w:val="single" w:color="auto" w:sz="4" w:space="0"/>
              <w:bottom w:val="single" w:color="auto" w:sz="8" w:space="0"/>
              <w:right w:val="single" w:color="auto" w:sz="8" w:space="0"/>
            </w:tcBorders>
            <w:noWrap w:val="0"/>
            <w:vAlign w:val="center"/>
          </w:tcPr>
          <w:p>
            <w:pPr>
              <w:spacing w:line="300" w:lineRule="exact"/>
              <w:jc w:val="center"/>
              <w:rPr>
                <w:rFonts w:hint="eastAsia" w:eastAsia="仿宋_GB2312"/>
                <w:szCs w:val="21"/>
              </w:rPr>
            </w:pPr>
            <w:r>
              <w:rPr>
                <w:rFonts w:hint="eastAsia" w:eastAsia="仿宋_GB2312"/>
                <w:szCs w:val="21"/>
              </w:rPr>
              <w:t>1.05</w:t>
            </w:r>
          </w:p>
        </w:tc>
        <w:tc>
          <w:tcPr>
            <w:tcW w:w="106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约束性</w:t>
            </w:r>
          </w:p>
        </w:tc>
        <w:tc>
          <w:tcPr>
            <w:tcW w:w="1555" w:type="dxa"/>
            <w:tcBorders>
              <w:top w:val="single" w:color="auto" w:sz="8" w:space="0"/>
              <w:left w:val="single" w:color="auto" w:sz="8" w:space="0"/>
              <w:bottom w:val="single" w:color="auto" w:sz="8" w:space="0"/>
              <w:right w:val="single" w:color="auto" w:sz="8" w:space="0"/>
            </w:tcBorders>
            <w:noWrap w:val="0"/>
            <w:tcMar>
              <w:left w:w="14" w:type="dxa"/>
              <w:right w:w="14" w:type="dxa"/>
            </w:tcMar>
            <w:vAlign w:val="center"/>
          </w:tcPr>
          <w:p>
            <w:pPr>
              <w:spacing w:line="300" w:lineRule="exact"/>
              <w:jc w:val="center"/>
              <w:rPr>
                <w:rFonts w:hint="eastAsia" w:eastAsia="仿宋_GB2312"/>
                <w:spacing w:val="-12"/>
                <w:szCs w:val="21"/>
              </w:rPr>
            </w:pPr>
            <w:r>
              <w:rPr>
                <w:rFonts w:hint="eastAsia" w:eastAsia="仿宋_GB2312"/>
                <w:spacing w:val="-12"/>
                <w:szCs w:val="21"/>
              </w:rPr>
              <w:t>市发改委</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25" w:hRule="exact"/>
          <w:jc w:val="center"/>
        </w:trPr>
        <w:tc>
          <w:tcPr>
            <w:tcW w:w="683" w:type="dxa"/>
            <w:vMerge w:val="continue"/>
            <w:tcBorders>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534" w:type="dxa"/>
            <w:vMerge w:val="restart"/>
            <w:tcBorders>
              <w:top w:val="single" w:color="auto" w:sz="4" w:space="0"/>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7</w:t>
            </w:r>
          </w:p>
        </w:tc>
        <w:tc>
          <w:tcPr>
            <w:tcW w:w="1444" w:type="dxa"/>
            <w:gridSpan w:val="2"/>
            <w:vMerge w:val="restart"/>
            <w:tcBorders>
              <w:top w:val="single" w:color="auto" w:sz="4" w:space="0"/>
              <w:left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资源集约节约利用水平</w:t>
            </w:r>
          </w:p>
        </w:tc>
        <w:tc>
          <w:tcPr>
            <w:tcW w:w="4433" w:type="dxa"/>
            <w:gridSpan w:val="3"/>
            <w:tcBorders>
              <w:top w:val="single" w:color="auto" w:sz="4" w:space="0"/>
              <w:left w:val="single" w:color="auto" w:sz="4"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pacing w:val="-8"/>
                <w:szCs w:val="21"/>
              </w:rPr>
            </w:pPr>
            <w:r>
              <w:rPr>
                <w:rFonts w:hint="eastAsia" w:eastAsia="仿宋_GB2312"/>
                <w:spacing w:val="-8"/>
                <w:szCs w:val="21"/>
              </w:rPr>
              <w:t>单位</w:t>
            </w:r>
            <w:r>
              <w:rPr>
                <w:rFonts w:hint="eastAsia" w:eastAsia="仿宋_GB2312"/>
                <w:szCs w:val="21"/>
              </w:rPr>
              <w:t>地区生产总值</w:t>
            </w:r>
            <w:r>
              <w:rPr>
                <w:rFonts w:hint="eastAsia" w:eastAsia="仿宋_GB2312"/>
                <w:spacing w:val="-8"/>
                <w:szCs w:val="21"/>
              </w:rPr>
              <w:t>建设用地占用下降率</w:t>
            </w:r>
          </w:p>
        </w:tc>
        <w:tc>
          <w:tcPr>
            <w:tcW w:w="989" w:type="dxa"/>
            <w:tcBorders>
              <w:top w:val="single" w:color="auto" w:sz="8" w:space="0"/>
              <w:left w:val="single" w:color="auto" w:sz="8" w:space="0"/>
              <w:right w:val="single" w:color="auto" w:sz="8" w:space="0"/>
            </w:tcBorders>
            <w:noWrap w:val="0"/>
            <w:tcMar>
              <w:left w:w="57" w:type="dxa"/>
              <w:right w:w="57" w:type="dxa"/>
            </w:tcMar>
            <w:vAlign w:val="center"/>
          </w:tcPr>
          <w:p>
            <w:pPr>
              <w:spacing w:line="300" w:lineRule="exact"/>
              <w:ind w:left="-105" w:leftChars="-50" w:right="-105" w:rightChars="-50"/>
              <w:jc w:val="center"/>
              <w:rPr>
                <w:rFonts w:hint="eastAsia" w:eastAsia="仿宋_GB2312"/>
                <w:szCs w:val="21"/>
              </w:rPr>
            </w:pPr>
            <w:r>
              <w:rPr>
                <w:rFonts w:hint="eastAsia" w:eastAsia="仿宋_GB2312"/>
                <w:szCs w:val="21"/>
              </w:rPr>
              <w:t>%</w:t>
            </w:r>
          </w:p>
        </w:tc>
        <w:tc>
          <w:tcPr>
            <w:tcW w:w="1070" w:type="dxa"/>
            <w:tcBorders>
              <w:top w:val="single" w:color="auto" w:sz="8" w:space="0"/>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6</w:t>
            </w:r>
          </w:p>
        </w:tc>
        <w:tc>
          <w:tcPr>
            <w:tcW w:w="1177" w:type="dxa"/>
            <w:tcBorders>
              <w:top w:val="single" w:color="auto" w:sz="8" w:space="0"/>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6.3</w:t>
            </w:r>
          </w:p>
        </w:tc>
        <w:tc>
          <w:tcPr>
            <w:tcW w:w="983" w:type="dxa"/>
            <w:tcBorders>
              <w:top w:val="single" w:color="auto" w:sz="8" w:space="0"/>
              <w:left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6.4</w:t>
            </w:r>
          </w:p>
        </w:tc>
        <w:tc>
          <w:tcPr>
            <w:tcW w:w="1067" w:type="dxa"/>
            <w:tcBorders>
              <w:top w:val="single" w:color="auto" w:sz="8" w:space="0"/>
              <w:left w:val="single" w:color="auto" w:sz="4" w:space="0"/>
              <w:right w:val="single" w:color="auto" w:sz="8" w:space="0"/>
            </w:tcBorders>
            <w:noWrap w:val="0"/>
            <w:vAlign w:val="center"/>
          </w:tcPr>
          <w:p>
            <w:pPr>
              <w:spacing w:line="300" w:lineRule="exact"/>
              <w:jc w:val="center"/>
              <w:rPr>
                <w:rFonts w:hint="eastAsia" w:eastAsia="仿宋_GB2312"/>
                <w:szCs w:val="21"/>
              </w:rPr>
            </w:pPr>
            <w:r>
              <w:rPr>
                <w:rFonts w:hint="eastAsia" w:eastAsia="仿宋_GB2312"/>
                <w:szCs w:val="21"/>
              </w:rPr>
              <w:t>6.5</w:t>
            </w:r>
          </w:p>
        </w:tc>
        <w:tc>
          <w:tcPr>
            <w:tcW w:w="1067" w:type="dxa"/>
            <w:tcBorders>
              <w:top w:val="single" w:color="auto" w:sz="8" w:space="0"/>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约束性</w:t>
            </w:r>
          </w:p>
        </w:tc>
        <w:tc>
          <w:tcPr>
            <w:tcW w:w="1555" w:type="dxa"/>
            <w:tcBorders>
              <w:top w:val="single" w:color="auto" w:sz="8" w:space="0"/>
              <w:left w:val="single" w:color="auto" w:sz="8" w:space="0"/>
              <w:right w:val="single" w:color="auto" w:sz="8" w:space="0"/>
            </w:tcBorders>
            <w:noWrap w:val="0"/>
            <w:tcMar>
              <w:left w:w="14" w:type="dxa"/>
              <w:right w:w="14" w:type="dxa"/>
            </w:tcMar>
            <w:vAlign w:val="center"/>
          </w:tcPr>
          <w:p>
            <w:pPr>
              <w:spacing w:line="300" w:lineRule="exact"/>
              <w:jc w:val="center"/>
              <w:rPr>
                <w:rFonts w:hint="eastAsia" w:eastAsia="仿宋_GB2312"/>
                <w:spacing w:val="-12"/>
                <w:szCs w:val="21"/>
              </w:rPr>
            </w:pPr>
            <w:r>
              <w:rPr>
                <w:rFonts w:hint="eastAsia" w:eastAsia="仿宋_GB2312"/>
                <w:spacing w:val="-12"/>
                <w:szCs w:val="21"/>
              </w:rPr>
              <w:t>市国土局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25" w:hRule="exact"/>
          <w:jc w:val="center"/>
        </w:trPr>
        <w:tc>
          <w:tcPr>
            <w:tcW w:w="683" w:type="dxa"/>
            <w:vMerge w:val="continue"/>
            <w:tcBorders>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534" w:type="dxa"/>
            <w:vMerge w:val="continue"/>
            <w:tcBorders>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1444" w:type="dxa"/>
            <w:gridSpan w:val="2"/>
            <w:vMerge w:val="continue"/>
            <w:tcBorders>
              <w:left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p>
        </w:tc>
        <w:tc>
          <w:tcPr>
            <w:tcW w:w="4433" w:type="dxa"/>
            <w:gridSpan w:val="3"/>
            <w:tcBorders>
              <w:top w:val="single" w:color="auto" w:sz="8" w:space="0"/>
              <w:left w:val="single" w:color="auto" w:sz="4"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单位地区生产总值水耗</w:t>
            </w:r>
          </w:p>
        </w:tc>
        <w:tc>
          <w:tcPr>
            <w:tcW w:w="989" w:type="dxa"/>
            <w:tcBorders>
              <w:top w:val="single" w:color="auto" w:sz="8" w:space="0"/>
              <w:left w:val="single" w:color="auto" w:sz="8" w:space="0"/>
              <w:right w:val="single" w:color="auto" w:sz="8" w:space="0"/>
            </w:tcBorders>
            <w:noWrap w:val="0"/>
            <w:tcMar>
              <w:left w:w="57" w:type="dxa"/>
              <w:right w:w="57" w:type="dxa"/>
            </w:tcMar>
            <w:vAlign w:val="center"/>
          </w:tcPr>
          <w:p>
            <w:pPr>
              <w:spacing w:line="300" w:lineRule="exact"/>
              <w:ind w:left="-105" w:leftChars="-50" w:right="-105" w:rightChars="-50"/>
              <w:jc w:val="center"/>
              <w:rPr>
                <w:rFonts w:hint="eastAsia" w:eastAsia="仿宋_GB2312"/>
                <w:szCs w:val="21"/>
              </w:rPr>
            </w:pPr>
            <w:r>
              <w:rPr>
                <w:rFonts w:hint="eastAsia" w:eastAsia="仿宋_GB2312"/>
                <w:szCs w:val="21"/>
              </w:rPr>
              <w:t>m</w:t>
            </w:r>
            <w:r>
              <w:rPr>
                <w:rFonts w:hint="eastAsia" w:eastAsia="仿宋_GB2312"/>
                <w:szCs w:val="21"/>
                <w:vertAlign w:val="superscript"/>
              </w:rPr>
              <w:t>3</w:t>
            </w:r>
            <w:r>
              <w:rPr>
                <w:rFonts w:hint="eastAsia" w:eastAsia="仿宋_GB2312"/>
                <w:szCs w:val="21"/>
              </w:rPr>
              <w:t>/万元</w:t>
            </w:r>
          </w:p>
        </w:tc>
        <w:tc>
          <w:tcPr>
            <w:tcW w:w="1070" w:type="dxa"/>
            <w:tcBorders>
              <w:top w:val="single" w:color="auto" w:sz="8" w:space="0"/>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170</w:t>
            </w:r>
          </w:p>
        </w:tc>
        <w:tc>
          <w:tcPr>
            <w:tcW w:w="1177" w:type="dxa"/>
            <w:tcBorders>
              <w:top w:val="single" w:color="auto" w:sz="8" w:space="0"/>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146</w:t>
            </w:r>
          </w:p>
        </w:tc>
        <w:tc>
          <w:tcPr>
            <w:tcW w:w="983" w:type="dxa"/>
            <w:tcBorders>
              <w:top w:val="single" w:color="auto" w:sz="8" w:space="0"/>
              <w:left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137</w:t>
            </w:r>
          </w:p>
        </w:tc>
        <w:tc>
          <w:tcPr>
            <w:tcW w:w="1067" w:type="dxa"/>
            <w:tcBorders>
              <w:top w:val="single" w:color="auto" w:sz="8" w:space="0"/>
              <w:left w:val="single" w:color="auto" w:sz="4" w:space="0"/>
              <w:right w:val="single" w:color="auto" w:sz="8" w:space="0"/>
            </w:tcBorders>
            <w:noWrap w:val="0"/>
            <w:vAlign w:val="center"/>
          </w:tcPr>
          <w:p>
            <w:pPr>
              <w:spacing w:line="300" w:lineRule="exact"/>
              <w:jc w:val="center"/>
              <w:rPr>
                <w:rFonts w:hint="eastAsia" w:eastAsia="仿宋_GB2312"/>
                <w:szCs w:val="21"/>
              </w:rPr>
            </w:pPr>
            <w:r>
              <w:rPr>
                <w:rFonts w:hint="eastAsia" w:eastAsia="仿宋_GB2312"/>
                <w:szCs w:val="21"/>
              </w:rPr>
              <w:t>≤130</w:t>
            </w:r>
          </w:p>
        </w:tc>
        <w:tc>
          <w:tcPr>
            <w:tcW w:w="1067" w:type="dxa"/>
            <w:tcBorders>
              <w:top w:val="single" w:color="auto" w:sz="8" w:space="0"/>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约束性</w:t>
            </w:r>
          </w:p>
        </w:tc>
        <w:tc>
          <w:tcPr>
            <w:tcW w:w="1555" w:type="dxa"/>
            <w:tcBorders>
              <w:top w:val="single" w:color="auto" w:sz="8" w:space="0"/>
              <w:left w:val="single" w:color="auto" w:sz="8" w:space="0"/>
              <w:right w:val="single" w:color="auto" w:sz="8" w:space="0"/>
            </w:tcBorders>
            <w:noWrap w:val="0"/>
            <w:tcMar>
              <w:left w:w="14" w:type="dxa"/>
              <w:right w:w="14" w:type="dxa"/>
            </w:tcMar>
            <w:vAlign w:val="center"/>
          </w:tcPr>
          <w:p>
            <w:pPr>
              <w:spacing w:line="300" w:lineRule="exact"/>
              <w:jc w:val="center"/>
              <w:rPr>
                <w:rFonts w:hint="eastAsia" w:eastAsia="仿宋_GB2312"/>
                <w:spacing w:val="-12"/>
                <w:szCs w:val="21"/>
              </w:rPr>
            </w:pPr>
            <w:r>
              <w:rPr>
                <w:rFonts w:hint="eastAsia" w:eastAsia="仿宋_GB2312"/>
                <w:spacing w:val="-12"/>
                <w:szCs w:val="21"/>
              </w:rPr>
              <w:t>市水利局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25" w:hRule="exact"/>
          <w:jc w:val="center"/>
        </w:trPr>
        <w:tc>
          <w:tcPr>
            <w:tcW w:w="683" w:type="dxa"/>
            <w:vMerge w:val="continue"/>
            <w:tcBorders>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534" w:type="dxa"/>
            <w:vMerge w:val="continue"/>
            <w:tcBorders>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1444" w:type="dxa"/>
            <w:gridSpan w:val="2"/>
            <w:vMerge w:val="continue"/>
            <w:tcBorders>
              <w:left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p>
        </w:tc>
        <w:tc>
          <w:tcPr>
            <w:tcW w:w="4433" w:type="dxa"/>
            <w:gridSpan w:val="3"/>
            <w:tcBorders>
              <w:top w:val="single" w:color="auto" w:sz="8" w:space="0"/>
              <w:left w:val="single" w:color="auto" w:sz="4"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再生资源循环利用率</w:t>
            </w:r>
          </w:p>
        </w:tc>
        <w:tc>
          <w:tcPr>
            <w:tcW w:w="989" w:type="dxa"/>
            <w:tcBorders>
              <w:top w:val="single" w:color="auto" w:sz="8" w:space="0"/>
              <w:left w:val="single" w:color="auto" w:sz="8" w:space="0"/>
              <w:right w:val="single" w:color="auto" w:sz="8" w:space="0"/>
            </w:tcBorders>
            <w:noWrap w:val="0"/>
            <w:tcMar>
              <w:left w:w="57" w:type="dxa"/>
              <w:right w:w="57" w:type="dxa"/>
            </w:tcMar>
            <w:vAlign w:val="center"/>
          </w:tcPr>
          <w:p>
            <w:pPr>
              <w:spacing w:line="300" w:lineRule="exact"/>
              <w:ind w:left="-105" w:leftChars="-50" w:right="-105" w:rightChars="-50"/>
              <w:jc w:val="center"/>
              <w:rPr>
                <w:rFonts w:hint="eastAsia" w:eastAsia="仿宋_GB2312"/>
                <w:szCs w:val="21"/>
              </w:rPr>
            </w:pPr>
            <w:r>
              <w:rPr>
                <w:rFonts w:hint="eastAsia" w:eastAsia="仿宋_GB2312"/>
                <w:szCs w:val="21"/>
              </w:rPr>
              <w:t>%</w:t>
            </w:r>
          </w:p>
        </w:tc>
        <w:tc>
          <w:tcPr>
            <w:tcW w:w="1070" w:type="dxa"/>
            <w:tcBorders>
              <w:top w:val="single" w:color="auto" w:sz="8" w:space="0"/>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20</w:t>
            </w:r>
          </w:p>
        </w:tc>
        <w:tc>
          <w:tcPr>
            <w:tcW w:w="1177" w:type="dxa"/>
            <w:tcBorders>
              <w:top w:val="single" w:color="auto" w:sz="8" w:space="0"/>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45</w:t>
            </w:r>
          </w:p>
        </w:tc>
        <w:tc>
          <w:tcPr>
            <w:tcW w:w="983" w:type="dxa"/>
            <w:tcBorders>
              <w:top w:val="single" w:color="auto" w:sz="8" w:space="0"/>
              <w:left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50</w:t>
            </w:r>
          </w:p>
        </w:tc>
        <w:tc>
          <w:tcPr>
            <w:tcW w:w="1067" w:type="dxa"/>
            <w:tcBorders>
              <w:top w:val="single" w:color="auto" w:sz="8" w:space="0"/>
              <w:left w:val="single" w:color="auto" w:sz="4" w:space="0"/>
              <w:right w:val="single" w:color="auto" w:sz="8" w:space="0"/>
            </w:tcBorders>
            <w:noWrap w:val="0"/>
            <w:vAlign w:val="center"/>
          </w:tcPr>
          <w:p>
            <w:pPr>
              <w:spacing w:line="300" w:lineRule="exact"/>
              <w:jc w:val="center"/>
              <w:rPr>
                <w:rFonts w:hint="eastAsia" w:eastAsia="仿宋_GB2312"/>
                <w:szCs w:val="21"/>
              </w:rPr>
            </w:pPr>
            <w:r>
              <w:rPr>
                <w:rFonts w:hint="eastAsia" w:eastAsia="仿宋_GB2312"/>
                <w:szCs w:val="21"/>
              </w:rPr>
              <w:t>65</w:t>
            </w:r>
          </w:p>
        </w:tc>
        <w:tc>
          <w:tcPr>
            <w:tcW w:w="1067" w:type="dxa"/>
            <w:tcBorders>
              <w:top w:val="single" w:color="auto" w:sz="8" w:space="0"/>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约束性</w:t>
            </w:r>
          </w:p>
        </w:tc>
        <w:tc>
          <w:tcPr>
            <w:tcW w:w="1555" w:type="dxa"/>
            <w:tcBorders>
              <w:top w:val="single" w:color="auto" w:sz="8" w:space="0"/>
              <w:left w:val="single" w:color="auto" w:sz="8" w:space="0"/>
              <w:right w:val="single" w:color="auto" w:sz="8" w:space="0"/>
            </w:tcBorders>
            <w:noWrap w:val="0"/>
            <w:tcMar>
              <w:left w:w="14" w:type="dxa"/>
              <w:right w:w="14" w:type="dxa"/>
            </w:tcMar>
            <w:vAlign w:val="center"/>
          </w:tcPr>
          <w:p>
            <w:pPr>
              <w:spacing w:line="300" w:lineRule="exact"/>
              <w:jc w:val="center"/>
              <w:rPr>
                <w:rFonts w:hint="eastAsia" w:eastAsia="仿宋_GB2312"/>
                <w:spacing w:val="-12"/>
                <w:szCs w:val="21"/>
              </w:rPr>
            </w:pPr>
            <w:r>
              <w:rPr>
                <w:rFonts w:hint="eastAsia" w:eastAsia="仿宋_GB2312"/>
                <w:spacing w:val="-12"/>
                <w:szCs w:val="21"/>
              </w:rPr>
              <w:t>市发改委</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25" w:hRule="exact"/>
          <w:jc w:val="center"/>
        </w:trPr>
        <w:tc>
          <w:tcPr>
            <w:tcW w:w="683" w:type="dxa"/>
            <w:vMerge w:val="continue"/>
            <w:tcBorders>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534" w:type="dxa"/>
            <w:vMerge w:val="continue"/>
            <w:tcBorders>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1444" w:type="dxa"/>
            <w:gridSpan w:val="2"/>
            <w:vMerge w:val="continue"/>
            <w:tcBorders>
              <w:left w:val="single" w:color="auto" w:sz="8"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p>
        </w:tc>
        <w:tc>
          <w:tcPr>
            <w:tcW w:w="4433" w:type="dxa"/>
            <w:gridSpan w:val="3"/>
            <w:tcBorders>
              <w:top w:val="single" w:color="auto" w:sz="8" w:space="0"/>
              <w:left w:val="single" w:color="auto" w:sz="4"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城市（县城）污水处理厂尾水再生利用率*</w:t>
            </w:r>
          </w:p>
        </w:tc>
        <w:tc>
          <w:tcPr>
            <w:tcW w:w="989" w:type="dxa"/>
            <w:tcBorders>
              <w:top w:val="single" w:color="auto" w:sz="8" w:space="0"/>
              <w:left w:val="single" w:color="auto" w:sz="8" w:space="0"/>
              <w:right w:val="single" w:color="auto" w:sz="8" w:space="0"/>
            </w:tcBorders>
            <w:noWrap w:val="0"/>
            <w:tcMar>
              <w:left w:w="57" w:type="dxa"/>
              <w:right w:w="57" w:type="dxa"/>
            </w:tcMar>
            <w:vAlign w:val="center"/>
          </w:tcPr>
          <w:p>
            <w:pPr>
              <w:spacing w:line="300" w:lineRule="exact"/>
              <w:ind w:left="-105" w:leftChars="-50" w:right="-105" w:rightChars="-50"/>
              <w:jc w:val="center"/>
              <w:rPr>
                <w:rFonts w:hint="eastAsia" w:eastAsia="仿宋_GB2312"/>
                <w:szCs w:val="21"/>
              </w:rPr>
            </w:pPr>
            <w:r>
              <w:rPr>
                <w:rFonts w:hint="eastAsia" w:eastAsia="仿宋_GB2312"/>
                <w:szCs w:val="21"/>
              </w:rPr>
              <w:t>%</w:t>
            </w:r>
          </w:p>
        </w:tc>
        <w:tc>
          <w:tcPr>
            <w:tcW w:w="1070" w:type="dxa"/>
            <w:tcBorders>
              <w:top w:val="single" w:color="auto" w:sz="8" w:space="0"/>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5</w:t>
            </w:r>
          </w:p>
        </w:tc>
        <w:tc>
          <w:tcPr>
            <w:tcW w:w="1177" w:type="dxa"/>
            <w:tcBorders>
              <w:top w:val="single" w:color="auto" w:sz="8" w:space="0"/>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20</w:t>
            </w:r>
          </w:p>
        </w:tc>
        <w:tc>
          <w:tcPr>
            <w:tcW w:w="983" w:type="dxa"/>
            <w:tcBorders>
              <w:top w:val="single" w:color="auto" w:sz="8" w:space="0"/>
              <w:left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22</w:t>
            </w:r>
          </w:p>
        </w:tc>
        <w:tc>
          <w:tcPr>
            <w:tcW w:w="1067" w:type="dxa"/>
            <w:tcBorders>
              <w:top w:val="single" w:color="auto" w:sz="8" w:space="0"/>
              <w:left w:val="single" w:color="auto" w:sz="4" w:space="0"/>
              <w:right w:val="single" w:color="auto" w:sz="8" w:space="0"/>
            </w:tcBorders>
            <w:noWrap w:val="0"/>
            <w:vAlign w:val="center"/>
          </w:tcPr>
          <w:p>
            <w:pPr>
              <w:spacing w:line="300" w:lineRule="exact"/>
              <w:jc w:val="center"/>
              <w:rPr>
                <w:rFonts w:hint="eastAsia" w:eastAsia="仿宋_GB2312"/>
                <w:szCs w:val="21"/>
              </w:rPr>
            </w:pPr>
            <w:r>
              <w:rPr>
                <w:rFonts w:hint="eastAsia" w:eastAsia="仿宋_GB2312"/>
                <w:szCs w:val="21"/>
              </w:rPr>
              <w:t>25</w:t>
            </w:r>
          </w:p>
        </w:tc>
        <w:tc>
          <w:tcPr>
            <w:tcW w:w="1067" w:type="dxa"/>
            <w:tcBorders>
              <w:top w:val="single" w:color="auto" w:sz="8" w:space="0"/>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预期性</w:t>
            </w:r>
          </w:p>
        </w:tc>
        <w:tc>
          <w:tcPr>
            <w:tcW w:w="1555" w:type="dxa"/>
            <w:tcBorders>
              <w:top w:val="single" w:color="auto" w:sz="8" w:space="0"/>
              <w:left w:val="single" w:color="auto" w:sz="8" w:space="0"/>
              <w:right w:val="single" w:color="auto" w:sz="8" w:space="0"/>
            </w:tcBorders>
            <w:noWrap w:val="0"/>
            <w:tcMar>
              <w:left w:w="14" w:type="dxa"/>
              <w:right w:w="14" w:type="dxa"/>
            </w:tcMar>
            <w:vAlign w:val="center"/>
          </w:tcPr>
          <w:p>
            <w:pPr>
              <w:spacing w:line="300" w:lineRule="exact"/>
              <w:jc w:val="center"/>
              <w:rPr>
                <w:rFonts w:hint="eastAsia" w:eastAsia="仿宋_GB2312"/>
                <w:spacing w:val="-12"/>
                <w:szCs w:val="21"/>
              </w:rPr>
            </w:pPr>
            <w:r>
              <w:rPr>
                <w:rFonts w:hint="eastAsia" w:eastAsia="仿宋_GB2312"/>
                <w:spacing w:val="-12"/>
                <w:szCs w:val="21"/>
              </w:rPr>
              <w:t>市城乡建设局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25" w:hRule="exact"/>
          <w:jc w:val="center"/>
        </w:trPr>
        <w:tc>
          <w:tcPr>
            <w:tcW w:w="683" w:type="dxa"/>
            <w:vMerge w:val="restart"/>
            <w:tcBorders>
              <w:top w:val="single" w:color="auto" w:sz="8" w:space="0"/>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生态环境</w:t>
            </w:r>
          </w:p>
        </w:tc>
        <w:tc>
          <w:tcPr>
            <w:tcW w:w="534" w:type="dxa"/>
            <w:vMerge w:val="restart"/>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8</w:t>
            </w:r>
          </w:p>
        </w:tc>
        <w:tc>
          <w:tcPr>
            <w:tcW w:w="1444" w:type="dxa"/>
            <w:gridSpan w:val="2"/>
            <w:vMerge w:val="restart"/>
            <w:tcBorders>
              <w:top w:val="single" w:color="auto" w:sz="8" w:space="0"/>
              <w:left w:val="single" w:color="auto" w:sz="8"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主要污染物排放量</w:t>
            </w:r>
          </w:p>
        </w:tc>
        <w:tc>
          <w:tcPr>
            <w:tcW w:w="4433" w:type="dxa"/>
            <w:gridSpan w:val="3"/>
            <w:tcBorders>
              <w:top w:val="single" w:color="auto" w:sz="8" w:space="0"/>
              <w:left w:val="single" w:color="auto" w:sz="4" w:space="0"/>
              <w:bottom w:val="single" w:color="auto" w:sz="4" w:space="0"/>
              <w:right w:val="single" w:color="auto" w:sz="8" w:space="0"/>
            </w:tcBorders>
            <w:noWrap w:val="0"/>
            <w:tcMar>
              <w:left w:w="57" w:type="dxa"/>
              <w:right w:w="57" w:type="dxa"/>
            </w:tcMar>
            <w:vAlign w:val="center"/>
          </w:tcPr>
          <w:p>
            <w:pPr>
              <w:spacing w:line="300" w:lineRule="exact"/>
              <w:jc w:val="center"/>
              <w:rPr>
                <w:rFonts w:hint="eastAsia" w:eastAsia="仿宋_GB2312"/>
                <w:spacing w:val="-10"/>
                <w:szCs w:val="21"/>
              </w:rPr>
            </w:pPr>
            <w:r>
              <w:rPr>
                <w:rFonts w:hint="eastAsia" w:eastAsia="仿宋_GB2312"/>
                <w:spacing w:val="-10"/>
                <w:szCs w:val="21"/>
              </w:rPr>
              <w:t>化学需氧量</w:t>
            </w:r>
          </w:p>
        </w:tc>
        <w:tc>
          <w:tcPr>
            <w:tcW w:w="989"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ind w:left="-105" w:leftChars="-50" w:right="-105" w:rightChars="-50"/>
              <w:jc w:val="center"/>
              <w:rPr>
                <w:rFonts w:hint="eastAsia" w:eastAsia="仿宋_GB2312"/>
                <w:szCs w:val="21"/>
              </w:rPr>
            </w:pPr>
            <w:r>
              <w:rPr>
                <w:rFonts w:hint="eastAsia" w:eastAsia="仿宋_GB2312"/>
                <w:szCs w:val="21"/>
              </w:rPr>
              <w:t>万吨</w:t>
            </w:r>
          </w:p>
        </w:tc>
        <w:tc>
          <w:tcPr>
            <w:tcW w:w="1070"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16.05</w:t>
            </w:r>
          </w:p>
        </w:tc>
        <w:tc>
          <w:tcPr>
            <w:tcW w:w="117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15.39</w:t>
            </w:r>
          </w:p>
        </w:tc>
        <w:tc>
          <w:tcPr>
            <w:tcW w:w="983" w:type="dxa"/>
            <w:tcBorders>
              <w:top w:val="single" w:color="auto" w:sz="8" w:space="0"/>
              <w:left w:val="single" w:color="auto" w:sz="8"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w:t>
            </w:r>
          </w:p>
        </w:tc>
        <w:tc>
          <w:tcPr>
            <w:tcW w:w="1067" w:type="dxa"/>
            <w:tcBorders>
              <w:top w:val="single" w:color="auto" w:sz="8" w:space="0"/>
              <w:left w:val="single" w:color="auto" w:sz="4" w:space="0"/>
              <w:bottom w:val="single" w:color="auto" w:sz="8" w:space="0"/>
              <w:right w:val="single" w:color="auto" w:sz="8" w:space="0"/>
            </w:tcBorders>
            <w:noWrap w:val="0"/>
            <w:vAlign w:val="center"/>
          </w:tcPr>
          <w:p>
            <w:pPr>
              <w:spacing w:line="300" w:lineRule="exact"/>
              <w:jc w:val="center"/>
              <w:rPr>
                <w:rFonts w:hint="eastAsia" w:eastAsia="仿宋_GB2312"/>
                <w:szCs w:val="21"/>
              </w:rPr>
            </w:pPr>
            <w:r>
              <w:rPr>
                <w:rFonts w:hint="eastAsia" w:eastAsia="仿宋_GB2312"/>
                <w:szCs w:val="21"/>
              </w:rPr>
              <w:t>—</w:t>
            </w:r>
          </w:p>
        </w:tc>
        <w:tc>
          <w:tcPr>
            <w:tcW w:w="106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约束性</w:t>
            </w:r>
          </w:p>
        </w:tc>
        <w:tc>
          <w:tcPr>
            <w:tcW w:w="1555" w:type="dxa"/>
            <w:tcBorders>
              <w:top w:val="single" w:color="auto" w:sz="8" w:space="0"/>
              <w:left w:val="single" w:color="auto" w:sz="8" w:space="0"/>
              <w:bottom w:val="single" w:color="auto" w:sz="8" w:space="0"/>
              <w:right w:val="single" w:color="auto" w:sz="8" w:space="0"/>
            </w:tcBorders>
            <w:noWrap w:val="0"/>
            <w:tcMar>
              <w:left w:w="14" w:type="dxa"/>
              <w:right w:w="14" w:type="dxa"/>
            </w:tcMar>
            <w:vAlign w:val="center"/>
          </w:tcPr>
          <w:p>
            <w:pPr>
              <w:spacing w:line="300" w:lineRule="exact"/>
              <w:jc w:val="center"/>
              <w:rPr>
                <w:rFonts w:hint="eastAsia" w:eastAsia="仿宋_GB2312"/>
                <w:spacing w:val="-12"/>
                <w:szCs w:val="21"/>
              </w:rPr>
            </w:pPr>
            <w:r>
              <w:rPr>
                <w:rFonts w:hint="eastAsia" w:eastAsia="仿宋_GB2312"/>
                <w:spacing w:val="-12"/>
                <w:szCs w:val="21"/>
              </w:rPr>
              <w:t>市环保局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25" w:hRule="exact"/>
          <w:jc w:val="center"/>
        </w:trPr>
        <w:tc>
          <w:tcPr>
            <w:tcW w:w="683" w:type="dxa"/>
            <w:vMerge w:val="continue"/>
            <w:tcBorders>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534" w:type="dxa"/>
            <w:vMerge w:val="continue"/>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1444" w:type="dxa"/>
            <w:gridSpan w:val="2"/>
            <w:vMerge w:val="continue"/>
            <w:tcBorders>
              <w:top w:val="single" w:color="auto" w:sz="8" w:space="0"/>
              <w:left w:val="single" w:color="auto" w:sz="8"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p>
        </w:tc>
        <w:tc>
          <w:tcPr>
            <w:tcW w:w="4433" w:type="dxa"/>
            <w:gridSpan w:val="3"/>
            <w:tcBorders>
              <w:top w:val="single" w:color="auto" w:sz="4" w:space="0"/>
              <w:left w:val="single" w:color="auto" w:sz="4" w:space="0"/>
              <w:bottom w:val="single" w:color="auto" w:sz="4"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氨氮</w:t>
            </w:r>
          </w:p>
        </w:tc>
        <w:tc>
          <w:tcPr>
            <w:tcW w:w="989"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jc w:val="center"/>
            </w:pPr>
            <w:r>
              <w:rPr>
                <w:rFonts w:hint="eastAsia" w:eastAsia="仿宋_GB2312"/>
                <w:szCs w:val="21"/>
              </w:rPr>
              <w:t>万吨</w:t>
            </w:r>
          </w:p>
        </w:tc>
        <w:tc>
          <w:tcPr>
            <w:tcW w:w="1070"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1.97</w:t>
            </w:r>
          </w:p>
        </w:tc>
        <w:tc>
          <w:tcPr>
            <w:tcW w:w="117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1.84</w:t>
            </w:r>
          </w:p>
        </w:tc>
        <w:tc>
          <w:tcPr>
            <w:tcW w:w="983" w:type="dxa"/>
            <w:tcBorders>
              <w:top w:val="single" w:color="auto" w:sz="8" w:space="0"/>
              <w:left w:val="single" w:color="auto" w:sz="8"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w:t>
            </w:r>
          </w:p>
        </w:tc>
        <w:tc>
          <w:tcPr>
            <w:tcW w:w="1067" w:type="dxa"/>
            <w:tcBorders>
              <w:top w:val="single" w:color="auto" w:sz="8" w:space="0"/>
              <w:left w:val="single" w:color="auto" w:sz="4" w:space="0"/>
              <w:bottom w:val="single" w:color="auto" w:sz="8" w:space="0"/>
              <w:right w:val="single" w:color="auto" w:sz="8" w:space="0"/>
            </w:tcBorders>
            <w:noWrap w:val="0"/>
            <w:vAlign w:val="center"/>
          </w:tcPr>
          <w:p>
            <w:pPr>
              <w:spacing w:line="300" w:lineRule="exact"/>
              <w:jc w:val="center"/>
              <w:rPr>
                <w:rFonts w:hint="eastAsia" w:eastAsia="仿宋_GB2312"/>
                <w:szCs w:val="21"/>
              </w:rPr>
            </w:pPr>
            <w:r>
              <w:rPr>
                <w:rFonts w:hint="eastAsia" w:eastAsia="仿宋_GB2312"/>
                <w:szCs w:val="21"/>
              </w:rPr>
              <w:t>—</w:t>
            </w:r>
          </w:p>
        </w:tc>
        <w:tc>
          <w:tcPr>
            <w:tcW w:w="106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约束性</w:t>
            </w:r>
          </w:p>
        </w:tc>
        <w:tc>
          <w:tcPr>
            <w:tcW w:w="1555" w:type="dxa"/>
            <w:tcBorders>
              <w:top w:val="single" w:color="auto" w:sz="8" w:space="0"/>
              <w:left w:val="single" w:color="auto" w:sz="8" w:space="0"/>
              <w:bottom w:val="single" w:color="auto" w:sz="8" w:space="0"/>
              <w:right w:val="single" w:color="auto" w:sz="8" w:space="0"/>
            </w:tcBorders>
            <w:noWrap w:val="0"/>
            <w:tcMar>
              <w:left w:w="14" w:type="dxa"/>
              <w:right w:w="14" w:type="dxa"/>
            </w:tcMar>
            <w:vAlign w:val="center"/>
          </w:tcPr>
          <w:p>
            <w:pPr>
              <w:spacing w:line="300" w:lineRule="exact"/>
              <w:jc w:val="center"/>
              <w:rPr>
                <w:rFonts w:hint="eastAsia" w:eastAsia="仿宋_GB2312"/>
                <w:spacing w:val="-12"/>
                <w:szCs w:val="21"/>
              </w:rPr>
            </w:pPr>
            <w:r>
              <w:rPr>
                <w:rFonts w:hint="eastAsia" w:eastAsia="仿宋_GB2312"/>
                <w:spacing w:val="-12"/>
                <w:szCs w:val="21"/>
              </w:rPr>
              <w:t>市环保局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25" w:hRule="exact"/>
          <w:jc w:val="center"/>
        </w:trPr>
        <w:tc>
          <w:tcPr>
            <w:tcW w:w="683" w:type="dxa"/>
            <w:vMerge w:val="continue"/>
            <w:tcBorders>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534" w:type="dxa"/>
            <w:vMerge w:val="continue"/>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1444" w:type="dxa"/>
            <w:gridSpan w:val="2"/>
            <w:vMerge w:val="continue"/>
            <w:tcBorders>
              <w:top w:val="single" w:color="auto" w:sz="8" w:space="0"/>
              <w:left w:val="single" w:color="auto" w:sz="8"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p>
        </w:tc>
        <w:tc>
          <w:tcPr>
            <w:tcW w:w="4433" w:type="dxa"/>
            <w:gridSpan w:val="3"/>
            <w:tcBorders>
              <w:top w:val="single" w:color="auto" w:sz="4" w:space="0"/>
              <w:left w:val="single" w:color="auto" w:sz="4" w:space="0"/>
              <w:bottom w:val="single" w:color="auto" w:sz="4"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二氧化硫</w:t>
            </w:r>
          </w:p>
        </w:tc>
        <w:tc>
          <w:tcPr>
            <w:tcW w:w="989"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jc w:val="center"/>
            </w:pPr>
            <w:r>
              <w:rPr>
                <w:rFonts w:hint="eastAsia" w:eastAsia="仿宋_GB2312"/>
                <w:szCs w:val="21"/>
              </w:rPr>
              <w:t>万吨</w:t>
            </w:r>
          </w:p>
        </w:tc>
        <w:tc>
          <w:tcPr>
            <w:tcW w:w="1070"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4.27</w:t>
            </w:r>
          </w:p>
        </w:tc>
        <w:tc>
          <w:tcPr>
            <w:tcW w:w="117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4.00</w:t>
            </w:r>
          </w:p>
        </w:tc>
        <w:tc>
          <w:tcPr>
            <w:tcW w:w="983" w:type="dxa"/>
            <w:tcBorders>
              <w:top w:val="single" w:color="auto" w:sz="8" w:space="0"/>
              <w:left w:val="single" w:color="auto" w:sz="8"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w:t>
            </w:r>
          </w:p>
        </w:tc>
        <w:tc>
          <w:tcPr>
            <w:tcW w:w="1067" w:type="dxa"/>
            <w:tcBorders>
              <w:top w:val="single" w:color="auto" w:sz="8" w:space="0"/>
              <w:left w:val="single" w:color="auto" w:sz="4" w:space="0"/>
              <w:bottom w:val="single" w:color="auto" w:sz="8" w:space="0"/>
              <w:right w:val="single" w:color="auto" w:sz="8" w:space="0"/>
            </w:tcBorders>
            <w:noWrap w:val="0"/>
            <w:vAlign w:val="center"/>
          </w:tcPr>
          <w:p>
            <w:pPr>
              <w:spacing w:line="300" w:lineRule="exact"/>
              <w:jc w:val="center"/>
              <w:rPr>
                <w:rFonts w:hint="eastAsia" w:eastAsia="仿宋_GB2312"/>
                <w:szCs w:val="21"/>
              </w:rPr>
            </w:pPr>
            <w:r>
              <w:rPr>
                <w:rFonts w:hint="eastAsia" w:eastAsia="仿宋_GB2312"/>
                <w:szCs w:val="21"/>
              </w:rPr>
              <w:t>—</w:t>
            </w:r>
          </w:p>
        </w:tc>
        <w:tc>
          <w:tcPr>
            <w:tcW w:w="106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约束性</w:t>
            </w:r>
          </w:p>
        </w:tc>
        <w:tc>
          <w:tcPr>
            <w:tcW w:w="1555" w:type="dxa"/>
            <w:tcBorders>
              <w:top w:val="single" w:color="auto" w:sz="8" w:space="0"/>
              <w:left w:val="single" w:color="auto" w:sz="8" w:space="0"/>
              <w:bottom w:val="single" w:color="auto" w:sz="8" w:space="0"/>
              <w:right w:val="single" w:color="auto" w:sz="8" w:space="0"/>
            </w:tcBorders>
            <w:noWrap w:val="0"/>
            <w:tcMar>
              <w:left w:w="14" w:type="dxa"/>
              <w:right w:w="14" w:type="dxa"/>
            </w:tcMar>
            <w:vAlign w:val="center"/>
          </w:tcPr>
          <w:p>
            <w:pPr>
              <w:spacing w:line="300" w:lineRule="exact"/>
              <w:jc w:val="center"/>
              <w:rPr>
                <w:rFonts w:hint="eastAsia" w:eastAsia="仿宋_GB2312"/>
                <w:spacing w:val="-12"/>
                <w:szCs w:val="21"/>
              </w:rPr>
            </w:pPr>
            <w:r>
              <w:rPr>
                <w:rFonts w:hint="eastAsia" w:eastAsia="仿宋_GB2312"/>
                <w:spacing w:val="-12"/>
                <w:szCs w:val="21"/>
              </w:rPr>
              <w:t>市环保局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25" w:hRule="exact"/>
          <w:jc w:val="center"/>
        </w:trPr>
        <w:tc>
          <w:tcPr>
            <w:tcW w:w="683" w:type="dxa"/>
            <w:vMerge w:val="continue"/>
            <w:tcBorders>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534" w:type="dxa"/>
            <w:vMerge w:val="continue"/>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1444" w:type="dxa"/>
            <w:gridSpan w:val="2"/>
            <w:vMerge w:val="continue"/>
            <w:tcBorders>
              <w:top w:val="single" w:color="auto" w:sz="8" w:space="0"/>
              <w:left w:val="single" w:color="auto" w:sz="8"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p>
        </w:tc>
        <w:tc>
          <w:tcPr>
            <w:tcW w:w="4433" w:type="dxa"/>
            <w:gridSpan w:val="3"/>
            <w:tcBorders>
              <w:top w:val="single" w:color="auto" w:sz="4" w:space="0"/>
              <w:left w:val="single" w:color="auto" w:sz="4"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氮氧化物</w:t>
            </w:r>
          </w:p>
        </w:tc>
        <w:tc>
          <w:tcPr>
            <w:tcW w:w="989"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jc w:val="center"/>
            </w:pPr>
            <w:r>
              <w:rPr>
                <w:rFonts w:hint="eastAsia" w:eastAsia="仿宋_GB2312"/>
                <w:szCs w:val="21"/>
              </w:rPr>
              <w:t>万吨</w:t>
            </w:r>
          </w:p>
        </w:tc>
        <w:tc>
          <w:tcPr>
            <w:tcW w:w="1070"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4.92</w:t>
            </w:r>
          </w:p>
        </w:tc>
        <w:tc>
          <w:tcPr>
            <w:tcW w:w="117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4.37</w:t>
            </w:r>
          </w:p>
        </w:tc>
        <w:tc>
          <w:tcPr>
            <w:tcW w:w="983" w:type="dxa"/>
            <w:tcBorders>
              <w:top w:val="single" w:color="auto" w:sz="8" w:space="0"/>
              <w:left w:val="single" w:color="auto" w:sz="8"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w:t>
            </w:r>
          </w:p>
        </w:tc>
        <w:tc>
          <w:tcPr>
            <w:tcW w:w="1067" w:type="dxa"/>
            <w:tcBorders>
              <w:top w:val="single" w:color="auto" w:sz="8" w:space="0"/>
              <w:left w:val="single" w:color="auto" w:sz="4" w:space="0"/>
              <w:bottom w:val="single" w:color="auto" w:sz="8" w:space="0"/>
              <w:right w:val="single" w:color="auto" w:sz="8" w:space="0"/>
            </w:tcBorders>
            <w:noWrap w:val="0"/>
            <w:vAlign w:val="center"/>
          </w:tcPr>
          <w:p>
            <w:pPr>
              <w:spacing w:line="300" w:lineRule="exact"/>
              <w:jc w:val="center"/>
              <w:rPr>
                <w:rFonts w:hint="eastAsia" w:eastAsia="仿宋_GB2312"/>
                <w:szCs w:val="21"/>
              </w:rPr>
            </w:pPr>
            <w:r>
              <w:rPr>
                <w:rFonts w:hint="eastAsia" w:eastAsia="仿宋_GB2312"/>
                <w:szCs w:val="21"/>
              </w:rPr>
              <w:t>—</w:t>
            </w:r>
          </w:p>
        </w:tc>
        <w:tc>
          <w:tcPr>
            <w:tcW w:w="106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约束性</w:t>
            </w:r>
          </w:p>
        </w:tc>
        <w:tc>
          <w:tcPr>
            <w:tcW w:w="1555" w:type="dxa"/>
            <w:tcBorders>
              <w:top w:val="single" w:color="auto" w:sz="8" w:space="0"/>
              <w:left w:val="single" w:color="auto" w:sz="8" w:space="0"/>
              <w:bottom w:val="single" w:color="auto" w:sz="8" w:space="0"/>
              <w:right w:val="single" w:color="auto" w:sz="8" w:space="0"/>
            </w:tcBorders>
            <w:noWrap w:val="0"/>
            <w:tcMar>
              <w:left w:w="14" w:type="dxa"/>
              <w:right w:w="14" w:type="dxa"/>
            </w:tcMar>
            <w:vAlign w:val="center"/>
          </w:tcPr>
          <w:p>
            <w:pPr>
              <w:spacing w:line="300" w:lineRule="exact"/>
              <w:jc w:val="center"/>
              <w:rPr>
                <w:rFonts w:hint="eastAsia" w:eastAsia="仿宋_GB2312"/>
                <w:spacing w:val="-12"/>
                <w:szCs w:val="21"/>
              </w:rPr>
            </w:pPr>
            <w:r>
              <w:rPr>
                <w:rFonts w:hint="eastAsia" w:eastAsia="仿宋_GB2312"/>
                <w:spacing w:val="-12"/>
                <w:szCs w:val="21"/>
              </w:rPr>
              <w:t>市环保局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91" w:hRule="atLeast"/>
          <w:jc w:val="center"/>
        </w:trPr>
        <w:tc>
          <w:tcPr>
            <w:tcW w:w="683" w:type="dxa"/>
            <w:vMerge w:val="continue"/>
            <w:tcBorders>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534" w:type="dxa"/>
            <w:vMerge w:val="restart"/>
            <w:tcBorders>
              <w:top w:val="single" w:color="auto" w:sz="8" w:space="0"/>
              <w:left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9</w:t>
            </w:r>
          </w:p>
        </w:tc>
        <w:tc>
          <w:tcPr>
            <w:tcW w:w="1444" w:type="dxa"/>
            <w:gridSpan w:val="2"/>
            <w:vMerge w:val="restart"/>
            <w:tcBorders>
              <w:top w:val="single" w:color="auto" w:sz="8" w:space="0"/>
              <w:left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环境质量达标率</w:t>
            </w:r>
          </w:p>
        </w:tc>
        <w:tc>
          <w:tcPr>
            <w:tcW w:w="4433" w:type="dxa"/>
            <w:gridSpan w:val="3"/>
            <w:tcBorders>
              <w:top w:val="single" w:color="auto" w:sz="8" w:space="0"/>
              <w:left w:val="single" w:color="auto" w:sz="4" w:space="0"/>
              <w:bottom w:val="single" w:color="auto" w:sz="4" w:space="0"/>
              <w:right w:val="single" w:color="auto" w:sz="8" w:space="0"/>
            </w:tcBorders>
            <w:noWrap w:val="0"/>
            <w:tcMar>
              <w:left w:w="57" w:type="dxa"/>
              <w:right w:w="57" w:type="dxa"/>
            </w:tcMar>
            <w:vAlign w:val="center"/>
          </w:tcPr>
          <w:p>
            <w:pPr>
              <w:spacing w:line="240" w:lineRule="exact"/>
              <w:jc w:val="center"/>
              <w:rPr>
                <w:rFonts w:hint="eastAsia" w:eastAsia="仿宋_GB2312"/>
                <w:szCs w:val="21"/>
              </w:rPr>
            </w:pPr>
            <w:r>
              <w:rPr>
                <w:rFonts w:hint="eastAsia" w:eastAsia="仿宋_GB2312"/>
                <w:szCs w:val="21"/>
              </w:rPr>
              <w:t>空气质量达到二级标准以上天数的比例</w:t>
            </w:r>
          </w:p>
          <w:p>
            <w:pPr>
              <w:spacing w:line="240" w:lineRule="exact"/>
              <w:jc w:val="center"/>
              <w:rPr>
                <w:rFonts w:hint="eastAsia" w:eastAsia="仿宋_GB2312"/>
                <w:szCs w:val="21"/>
              </w:rPr>
            </w:pPr>
            <w:r>
              <w:rPr>
                <w:rFonts w:hint="eastAsia" w:eastAsia="仿宋_GB2312"/>
                <w:szCs w:val="21"/>
              </w:rPr>
              <w:t>（GB3095-2012）</w:t>
            </w:r>
          </w:p>
        </w:tc>
        <w:tc>
          <w:tcPr>
            <w:tcW w:w="989" w:type="dxa"/>
            <w:tcBorders>
              <w:top w:val="single" w:color="auto" w:sz="8" w:space="0"/>
              <w:left w:val="single" w:color="auto" w:sz="8" w:space="0"/>
              <w:bottom w:val="single" w:color="auto" w:sz="4" w:space="0"/>
              <w:right w:val="single" w:color="auto" w:sz="8" w:space="0"/>
            </w:tcBorders>
            <w:noWrap w:val="0"/>
            <w:tcMar>
              <w:left w:w="57" w:type="dxa"/>
              <w:right w:w="57" w:type="dxa"/>
            </w:tcMar>
            <w:vAlign w:val="center"/>
          </w:tcPr>
          <w:p>
            <w:pPr>
              <w:spacing w:line="300" w:lineRule="exact"/>
              <w:ind w:left="-105" w:leftChars="-50" w:right="-105" w:rightChars="-50"/>
              <w:jc w:val="center"/>
              <w:rPr>
                <w:rFonts w:hint="eastAsia" w:eastAsia="仿宋_GB2312"/>
                <w:szCs w:val="21"/>
              </w:rPr>
            </w:pPr>
            <w:r>
              <w:rPr>
                <w:rFonts w:hint="eastAsia" w:eastAsia="仿宋_GB2312"/>
                <w:szCs w:val="21"/>
              </w:rPr>
              <w:t>%</w:t>
            </w:r>
          </w:p>
        </w:tc>
        <w:tc>
          <w:tcPr>
            <w:tcW w:w="1070" w:type="dxa"/>
            <w:tcBorders>
              <w:top w:val="single" w:color="auto" w:sz="8" w:space="0"/>
              <w:left w:val="single" w:color="auto" w:sz="8" w:space="0"/>
              <w:bottom w:val="single" w:color="auto" w:sz="4"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57.5</w:t>
            </w:r>
          </w:p>
        </w:tc>
        <w:tc>
          <w:tcPr>
            <w:tcW w:w="1177" w:type="dxa"/>
            <w:tcBorders>
              <w:top w:val="single" w:color="auto" w:sz="8" w:space="0"/>
              <w:left w:val="single" w:color="auto" w:sz="8" w:space="0"/>
              <w:bottom w:val="single" w:color="auto" w:sz="4"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81</w:t>
            </w:r>
          </w:p>
        </w:tc>
        <w:tc>
          <w:tcPr>
            <w:tcW w:w="983" w:type="dxa"/>
            <w:tcBorders>
              <w:top w:val="single" w:color="auto" w:sz="8" w:space="0"/>
              <w:left w:val="single" w:color="auto" w:sz="8" w:space="0"/>
              <w:bottom w:val="single" w:color="auto" w:sz="4"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83</w:t>
            </w:r>
          </w:p>
        </w:tc>
        <w:tc>
          <w:tcPr>
            <w:tcW w:w="1067" w:type="dxa"/>
            <w:tcBorders>
              <w:top w:val="single" w:color="auto" w:sz="8" w:space="0"/>
              <w:left w:val="single" w:color="auto" w:sz="4" w:space="0"/>
              <w:bottom w:val="single" w:color="auto" w:sz="4" w:space="0"/>
              <w:right w:val="single" w:color="auto" w:sz="8" w:space="0"/>
            </w:tcBorders>
            <w:noWrap w:val="0"/>
            <w:vAlign w:val="center"/>
          </w:tcPr>
          <w:p>
            <w:pPr>
              <w:spacing w:line="300" w:lineRule="exact"/>
              <w:jc w:val="center"/>
              <w:rPr>
                <w:rFonts w:hint="eastAsia" w:eastAsia="仿宋_GB2312"/>
                <w:szCs w:val="21"/>
              </w:rPr>
            </w:pPr>
            <w:r>
              <w:rPr>
                <w:rFonts w:hint="eastAsia" w:eastAsia="仿宋_GB2312"/>
                <w:szCs w:val="21"/>
              </w:rPr>
              <w:t>85</w:t>
            </w:r>
          </w:p>
        </w:tc>
        <w:tc>
          <w:tcPr>
            <w:tcW w:w="1067" w:type="dxa"/>
            <w:tcBorders>
              <w:top w:val="single" w:color="auto" w:sz="8" w:space="0"/>
              <w:left w:val="single" w:color="auto" w:sz="8" w:space="0"/>
              <w:bottom w:val="single" w:color="auto" w:sz="4"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预期性</w:t>
            </w:r>
          </w:p>
        </w:tc>
        <w:tc>
          <w:tcPr>
            <w:tcW w:w="1555" w:type="dxa"/>
            <w:tcBorders>
              <w:top w:val="single" w:color="auto" w:sz="8" w:space="0"/>
              <w:left w:val="single" w:color="auto" w:sz="8" w:space="0"/>
              <w:bottom w:val="single" w:color="auto" w:sz="4" w:space="0"/>
              <w:right w:val="single" w:color="auto" w:sz="8" w:space="0"/>
            </w:tcBorders>
            <w:noWrap w:val="0"/>
            <w:tcMar>
              <w:left w:w="14" w:type="dxa"/>
              <w:right w:w="14" w:type="dxa"/>
            </w:tcMar>
            <w:vAlign w:val="center"/>
          </w:tcPr>
          <w:p>
            <w:pPr>
              <w:spacing w:line="300" w:lineRule="exact"/>
              <w:jc w:val="center"/>
              <w:rPr>
                <w:rFonts w:hint="eastAsia" w:eastAsia="仿宋_GB2312"/>
                <w:spacing w:val="-12"/>
                <w:szCs w:val="21"/>
              </w:rPr>
            </w:pPr>
            <w:r>
              <w:rPr>
                <w:rFonts w:hint="eastAsia" w:eastAsia="仿宋_GB2312"/>
                <w:spacing w:val="-12"/>
                <w:szCs w:val="21"/>
              </w:rPr>
              <w:t>市环保局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25" w:hRule="exact"/>
          <w:jc w:val="center"/>
        </w:trPr>
        <w:tc>
          <w:tcPr>
            <w:tcW w:w="683" w:type="dxa"/>
            <w:vMerge w:val="continue"/>
            <w:tcBorders>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534" w:type="dxa"/>
            <w:vMerge w:val="continue"/>
            <w:tcBorders>
              <w:left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p>
        </w:tc>
        <w:tc>
          <w:tcPr>
            <w:tcW w:w="1444" w:type="dxa"/>
            <w:gridSpan w:val="2"/>
            <w:vMerge w:val="continue"/>
            <w:tcBorders>
              <w:left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p>
        </w:tc>
        <w:tc>
          <w:tcPr>
            <w:tcW w:w="4433" w:type="dxa"/>
            <w:gridSpan w:val="3"/>
            <w:tcBorders>
              <w:top w:val="single" w:color="auto" w:sz="8" w:space="0"/>
              <w:left w:val="single" w:color="auto" w:sz="4"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城乡集中式饮用水源地水质达标率</w:t>
            </w:r>
          </w:p>
        </w:tc>
        <w:tc>
          <w:tcPr>
            <w:tcW w:w="989" w:type="dxa"/>
            <w:tcBorders>
              <w:top w:val="single" w:color="auto" w:sz="8" w:space="0"/>
              <w:left w:val="single" w:color="auto" w:sz="8" w:space="0"/>
              <w:right w:val="single" w:color="auto" w:sz="8" w:space="0"/>
            </w:tcBorders>
            <w:noWrap w:val="0"/>
            <w:tcMar>
              <w:left w:w="57" w:type="dxa"/>
              <w:right w:w="57" w:type="dxa"/>
            </w:tcMar>
            <w:vAlign w:val="center"/>
          </w:tcPr>
          <w:p>
            <w:pPr>
              <w:spacing w:line="300" w:lineRule="exact"/>
              <w:ind w:left="-105" w:leftChars="-50" w:right="-105" w:rightChars="-50"/>
              <w:jc w:val="center"/>
              <w:rPr>
                <w:rFonts w:hint="eastAsia" w:eastAsia="仿宋_GB2312"/>
                <w:szCs w:val="21"/>
              </w:rPr>
            </w:pPr>
            <w:r>
              <w:rPr>
                <w:rFonts w:hint="eastAsia" w:eastAsia="仿宋_GB2312"/>
                <w:szCs w:val="21"/>
              </w:rPr>
              <w:t>%</w:t>
            </w:r>
          </w:p>
        </w:tc>
        <w:tc>
          <w:tcPr>
            <w:tcW w:w="1070" w:type="dxa"/>
            <w:tcBorders>
              <w:top w:val="single" w:color="auto" w:sz="8" w:space="0"/>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100</w:t>
            </w:r>
          </w:p>
        </w:tc>
        <w:tc>
          <w:tcPr>
            <w:tcW w:w="1177" w:type="dxa"/>
            <w:tcBorders>
              <w:top w:val="single" w:color="auto" w:sz="8" w:space="0"/>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100</w:t>
            </w:r>
          </w:p>
        </w:tc>
        <w:tc>
          <w:tcPr>
            <w:tcW w:w="983" w:type="dxa"/>
            <w:tcBorders>
              <w:top w:val="single" w:color="auto" w:sz="8" w:space="0"/>
              <w:left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100</w:t>
            </w:r>
          </w:p>
        </w:tc>
        <w:tc>
          <w:tcPr>
            <w:tcW w:w="1067" w:type="dxa"/>
            <w:tcBorders>
              <w:top w:val="single" w:color="auto" w:sz="8" w:space="0"/>
              <w:left w:val="single" w:color="auto" w:sz="4" w:space="0"/>
              <w:right w:val="single" w:color="auto" w:sz="8" w:space="0"/>
            </w:tcBorders>
            <w:noWrap w:val="0"/>
            <w:vAlign w:val="center"/>
          </w:tcPr>
          <w:p>
            <w:pPr>
              <w:spacing w:line="300" w:lineRule="exact"/>
              <w:jc w:val="center"/>
              <w:rPr>
                <w:rFonts w:hint="eastAsia" w:eastAsia="仿宋_GB2312"/>
                <w:szCs w:val="21"/>
              </w:rPr>
            </w:pPr>
            <w:r>
              <w:rPr>
                <w:rFonts w:hint="eastAsia" w:eastAsia="仿宋_GB2312"/>
                <w:szCs w:val="21"/>
              </w:rPr>
              <w:t>100</w:t>
            </w:r>
          </w:p>
        </w:tc>
        <w:tc>
          <w:tcPr>
            <w:tcW w:w="1067" w:type="dxa"/>
            <w:tcBorders>
              <w:top w:val="single" w:color="auto" w:sz="8" w:space="0"/>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约束性</w:t>
            </w:r>
          </w:p>
        </w:tc>
        <w:tc>
          <w:tcPr>
            <w:tcW w:w="1555" w:type="dxa"/>
            <w:tcBorders>
              <w:top w:val="single" w:color="auto" w:sz="8" w:space="0"/>
              <w:left w:val="single" w:color="auto" w:sz="8" w:space="0"/>
              <w:right w:val="single" w:color="auto" w:sz="8" w:space="0"/>
            </w:tcBorders>
            <w:noWrap w:val="0"/>
            <w:tcMar>
              <w:left w:w="14" w:type="dxa"/>
              <w:right w:w="14" w:type="dxa"/>
            </w:tcMar>
            <w:vAlign w:val="center"/>
          </w:tcPr>
          <w:p>
            <w:pPr>
              <w:spacing w:line="300" w:lineRule="exact"/>
              <w:jc w:val="center"/>
              <w:rPr>
                <w:rFonts w:hint="eastAsia" w:eastAsia="仿宋_GB2312"/>
                <w:spacing w:val="-12"/>
                <w:szCs w:val="21"/>
              </w:rPr>
            </w:pPr>
            <w:r>
              <w:rPr>
                <w:rFonts w:hint="eastAsia" w:eastAsia="仿宋_GB2312"/>
                <w:spacing w:val="-12"/>
                <w:szCs w:val="21"/>
              </w:rPr>
              <w:t>市环保局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25" w:hRule="exact"/>
          <w:jc w:val="center"/>
        </w:trPr>
        <w:tc>
          <w:tcPr>
            <w:tcW w:w="683" w:type="dxa"/>
            <w:vMerge w:val="continue"/>
            <w:tcBorders>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534" w:type="dxa"/>
            <w:vMerge w:val="continue"/>
            <w:tcBorders>
              <w:left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p>
        </w:tc>
        <w:tc>
          <w:tcPr>
            <w:tcW w:w="1444" w:type="dxa"/>
            <w:gridSpan w:val="2"/>
            <w:vMerge w:val="continue"/>
            <w:tcBorders>
              <w:left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p>
        </w:tc>
        <w:tc>
          <w:tcPr>
            <w:tcW w:w="4433" w:type="dxa"/>
            <w:gridSpan w:val="3"/>
            <w:tcBorders>
              <w:top w:val="single" w:color="auto" w:sz="8" w:space="0"/>
              <w:left w:val="single" w:color="auto" w:sz="4"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地表水优于</w:t>
            </w:r>
            <w:r>
              <w:rPr>
                <w:rFonts w:hint="eastAsia" w:eastAsia="仿宋_GB2312" w:cs="宋体"/>
                <w:szCs w:val="21"/>
              </w:rPr>
              <w:t>Ⅲ</w:t>
            </w:r>
            <w:r>
              <w:rPr>
                <w:rFonts w:hint="eastAsia" w:eastAsia="仿宋_GB2312"/>
                <w:szCs w:val="21"/>
              </w:rPr>
              <w:t>类水质的比例</w:t>
            </w:r>
          </w:p>
        </w:tc>
        <w:tc>
          <w:tcPr>
            <w:tcW w:w="989"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ind w:left="-105" w:leftChars="-50" w:right="-105" w:rightChars="-50"/>
              <w:jc w:val="center"/>
              <w:rPr>
                <w:rFonts w:hint="eastAsia" w:eastAsia="仿宋_GB2312"/>
                <w:szCs w:val="21"/>
              </w:rPr>
            </w:pPr>
            <w:r>
              <w:rPr>
                <w:rFonts w:hint="eastAsia" w:eastAsia="仿宋_GB2312"/>
                <w:szCs w:val="21"/>
              </w:rPr>
              <w:t>%</w:t>
            </w:r>
          </w:p>
        </w:tc>
        <w:tc>
          <w:tcPr>
            <w:tcW w:w="1070"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56.4</w:t>
            </w:r>
          </w:p>
        </w:tc>
        <w:tc>
          <w:tcPr>
            <w:tcW w:w="117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75</w:t>
            </w:r>
          </w:p>
        </w:tc>
        <w:tc>
          <w:tcPr>
            <w:tcW w:w="983" w:type="dxa"/>
            <w:tcBorders>
              <w:top w:val="single" w:color="auto" w:sz="8" w:space="0"/>
              <w:left w:val="single" w:color="auto" w:sz="8"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77</w:t>
            </w:r>
          </w:p>
        </w:tc>
        <w:tc>
          <w:tcPr>
            <w:tcW w:w="1067" w:type="dxa"/>
            <w:tcBorders>
              <w:top w:val="single" w:color="auto" w:sz="8" w:space="0"/>
              <w:left w:val="single" w:color="auto" w:sz="4" w:space="0"/>
              <w:bottom w:val="single" w:color="auto" w:sz="8" w:space="0"/>
              <w:right w:val="single" w:color="auto" w:sz="8" w:space="0"/>
            </w:tcBorders>
            <w:noWrap w:val="0"/>
            <w:vAlign w:val="center"/>
          </w:tcPr>
          <w:p>
            <w:pPr>
              <w:spacing w:line="300" w:lineRule="exact"/>
              <w:jc w:val="center"/>
              <w:rPr>
                <w:rFonts w:hint="eastAsia" w:eastAsia="仿宋_GB2312"/>
                <w:szCs w:val="21"/>
              </w:rPr>
            </w:pPr>
            <w:r>
              <w:rPr>
                <w:rFonts w:hint="eastAsia" w:eastAsia="仿宋_GB2312"/>
                <w:szCs w:val="21"/>
              </w:rPr>
              <w:t>&gt;80</w:t>
            </w:r>
          </w:p>
        </w:tc>
        <w:tc>
          <w:tcPr>
            <w:tcW w:w="106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约束性</w:t>
            </w:r>
          </w:p>
        </w:tc>
        <w:tc>
          <w:tcPr>
            <w:tcW w:w="1555" w:type="dxa"/>
            <w:tcBorders>
              <w:top w:val="single" w:color="auto" w:sz="8" w:space="0"/>
              <w:left w:val="single" w:color="auto" w:sz="8" w:space="0"/>
              <w:bottom w:val="single" w:color="auto" w:sz="8" w:space="0"/>
              <w:right w:val="single" w:color="auto" w:sz="8" w:space="0"/>
            </w:tcBorders>
            <w:noWrap w:val="0"/>
            <w:tcMar>
              <w:left w:w="14" w:type="dxa"/>
              <w:right w:w="14" w:type="dxa"/>
            </w:tcMar>
            <w:vAlign w:val="center"/>
          </w:tcPr>
          <w:p>
            <w:pPr>
              <w:spacing w:line="300" w:lineRule="exact"/>
              <w:jc w:val="center"/>
              <w:rPr>
                <w:rFonts w:hint="eastAsia" w:eastAsia="仿宋_GB2312"/>
                <w:spacing w:val="-12"/>
                <w:szCs w:val="21"/>
              </w:rPr>
            </w:pPr>
            <w:r>
              <w:rPr>
                <w:rFonts w:hint="eastAsia" w:eastAsia="仿宋_GB2312"/>
                <w:spacing w:val="-12"/>
                <w:szCs w:val="21"/>
              </w:rPr>
              <w:t>市环保局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25" w:hRule="exact"/>
          <w:jc w:val="center"/>
        </w:trPr>
        <w:tc>
          <w:tcPr>
            <w:tcW w:w="683" w:type="dxa"/>
            <w:vMerge w:val="continue"/>
            <w:tcBorders>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534" w:type="dxa"/>
            <w:vMerge w:val="continue"/>
            <w:tcBorders>
              <w:left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p>
        </w:tc>
        <w:tc>
          <w:tcPr>
            <w:tcW w:w="1444" w:type="dxa"/>
            <w:gridSpan w:val="2"/>
            <w:vMerge w:val="continue"/>
            <w:tcBorders>
              <w:left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p>
        </w:tc>
        <w:tc>
          <w:tcPr>
            <w:tcW w:w="4433" w:type="dxa"/>
            <w:gridSpan w:val="3"/>
            <w:tcBorders>
              <w:top w:val="single" w:color="auto" w:sz="8" w:space="0"/>
              <w:left w:val="single" w:color="auto" w:sz="4"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pacing w:val="-14"/>
                <w:szCs w:val="21"/>
              </w:rPr>
            </w:pPr>
            <w:r>
              <w:rPr>
                <w:rFonts w:hint="eastAsia" w:eastAsia="仿宋_GB2312"/>
                <w:spacing w:val="-14"/>
                <w:szCs w:val="21"/>
              </w:rPr>
              <w:t>近岸海域环境功能区水质达标率</w:t>
            </w:r>
          </w:p>
        </w:tc>
        <w:tc>
          <w:tcPr>
            <w:tcW w:w="989"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ind w:left="-105" w:leftChars="-50" w:right="-105" w:rightChars="-50"/>
              <w:jc w:val="center"/>
              <w:rPr>
                <w:rFonts w:hint="eastAsia" w:eastAsia="仿宋_GB2312"/>
                <w:szCs w:val="21"/>
              </w:rPr>
            </w:pPr>
            <w:r>
              <w:rPr>
                <w:rFonts w:hint="eastAsia" w:eastAsia="仿宋_GB2312"/>
                <w:szCs w:val="21"/>
              </w:rPr>
              <w:t>%</w:t>
            </w:r>
          </w:p>
        </w:tc>
        <w:tc>
          <w:tcPr>
            <w:tcW w:w="1070"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80</w:t>
            </w:r>
          </w:p>
        </w:tc>
        <w:tc>
          <w:tcPr>
            <w:tcW w:w="117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90</w:t>
            </w:r>
          </w:p>
        </w:tc>
        <w:tc>
          <w:tcPr>
            <w:tcW w:w="983" w:type="dxa"/>
            <w:tcBorders>
              <w:top w:val="single" w:color="auto" w:sz="8" w:space="0"/>
              <w:left w:val="single" w:color="auto" w:sz="8"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92</w:t>
            </w:r>
          </w:p>
        </w:tc>
        <w:tc>
          <w:tcPr>
            <w:tcW w:w="1067" w:type="dxa"/>
            <w:tcBorders>
              <w:top w:val="single" w:color="auto" w:sz="8" w:space="0"/>
              <w:left w:val="single" w:color="auto" w:sz="4" w:space="0"/>
              <w:bottom w:val="single" w:color="auto" w:sz="8" w:space="0"/>
              <w:right w:val="single" w:color="auto" w:sz="8" w:space="0"/>
            </w:tcBorders>
            <w:noWrap w:val="0"/>
            <w:vAlign w:val="center"/>
          </w:tcPr>
          <w:p>
            <w:pPr>
              <w:spacing w:line="300" w:lineRule="exact"/>
              <w:jc w:val="center"/>
              <w:rPr>
                <w:rFonts w:hint="eastAsia" w:eastAsia="仿宋_GB2312"/>
                <w:szCs w:val="21"/>
              </w:rPr>
            </w:pPr>
            <w:r>
              <w:rPr>
                <w:rFonts w:hint="eastAsia" w:eastAsia="仿宋_GB2312"/>
                <w:szCs w:val="21"/>
              </w:rPr>
              <w:t>95</w:t>
            </w:r>
          </w:p>
        </w:tc>
        <w:tc>
          <w:tcPr>
            <w:tcW w:w="106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预期性</w:t>
            </w:r>
          </w:p>
        </w:tc>
        <w:tc>
          <w:tcPr>
            <w:tcW w:w="1555" w:type="dxa"/>
            <w:tcBorders>
              <w:top w:val="single" w:color="auto" w:sz="8" w:space="0"/>
              <w:left w:val="single" w:color="auto" w:sz="8" w:space="0"/>
              <w:bottom w:val="single" w:color="auto" w:sz="8" w:space="0"/>
              <w:right w:val="single" w:color="auto" w:sz="8" w:space="0"/>
            </w:tcBorders>
            <w:noWrap w:val="0"/>
            <w:tcMar>
              <w:left w:w="14" w:type="dxa"/>
              <w:right w:w="14" w:type="dxa"/>
            </w:tcMar>
            <w:vAlign w:val="center"/>
          </w:tcPr>
          <w:p>
            <w:pPr>
              <w:spacing w:line="300" w:lineRule="exact"/>
              <w:jc w:val="center"/>
              <w:rPr>
                <w:rFonts w:hint="eastAsia" w:eastAsia="仿宋_GB2312"/>
                <w:spacing w:val="-12"/>
                <w:szCs w:val="21"/>
              </w:rPr>
            </w:pPr>
            <w:r>
              <w:rPr>
                <w:rFonts w:hint="eastAsia" w:eastAsia="仿宋_GB2312"/>
                <w:spacing w:val="-12"/>
                <w:szCs w:val="21"/>
              </w:rPr>
              <w:t>市环保局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25" w:hRule="exact"/>
          <w:jc w:val="center"/>
        </w:trPr>
        <w:tc>
          <w:tcPr>
            <w:tcW w:w="683" w:type="dxa"/>
            <w:vMerge w:val="continue"/>
            <w:tcBorders>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534" w:type="dxa"/>
            <w:vMerge w:val="restart"/>
            <w:tcBorders>
              <w:left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10</w:t>
            </w:r>
          </w:p>
        </w:tc>
        <w:tc>
          <w:tcPr>
            <w:tcW w:w="1444" w:type="dxa"/>
            <w:gridSpan w:val="2"/>
            <w:vMerge w:val="restart"/>
            <w:tcBorders>
              <w:left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环境基础设施建设水平</w:t>
            </w:r>
          </w:p>
        </w:tc>
        <w:tc>
          <w:tcPr>
            <w:tcW w:w="778" w:type="dxa"/>
            <w:gridSpan w:val="2"/>
            <w:vMerge w:val="restart"/>
            <w:tcBorders>
              <w:top w:val="single" w:color="auto" w:sz="4" w:space="0"/>
              <w:left w:val="single" w:color="auto" w:sz="4"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污水</w:t>
            </w:r>
          </w:p>
          <w:p>
            <w:pPr>
              <w:spacing w:line="300" w:lineRule="exact"/>
              <w:jc w:val="center"/>
              <w:rPr>
                <w:rFonts w:hint="eastAsia" w:eastAsia="仿宋_GB2312"/>
                <w:szCs w:val="21"/>
              </w:rPr>
            </w:pPr>
            <w:r>
              <w:rPr>
                <w:rFonts w:hint="eastAsia" w:eastAsia="仿宋_GB2312"/>
                <w:szCs w:val="21"/>
              </w:rPr>
              <w:t>处理</w:t>
            </w:r>
          </w:p>
        </w:tc>
        <w:tc>
          <w:tcPr>
            <w:tcW w:w="3655" w:type="dxa"/>
            <w:tcBorders>
              <w:top w:val="single" w:color="auto" w:sz="4" w:space="0"/>
              <w:left w:val="single" w:color="auto" w:sz="4"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城市生活污水处理率</w:t>
            </w:r>
          </w:p>
        </w:tc>
        <w:tc>
          <w:tcPr>
            <w:tcW w:w="989" w:type="dxa"/>
            <w:tcBorders>
              <w:top w:val="single" w:color="auto" w:sz="4"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ind w:left="-105" w:leftChars="-50" w:right="-105" w:rightChars="-50"/>
              <w:jc w:val="center"/>
              <w:rPr>
                <w:rFonts w:hint="eastAsia" w:eastAsia="仿宋_GB2312"/>
                <w:szCs w:val="21"/>
              </w:rPr>
            </w:pPr>
            <w:r>
              <w:rPr>
                <w:rFonts w:hint="eastAsia" w:eastAsia="仿宋_GB2312"/>
                <w:szCs w:val="21"/>
              </w:rPr>
              <w:t>%</w:t>
            </w:r>
          </w:p>
        </w:tc>
        <w:tc>
          <w:tcPr>
            <w:tcW w:w="1070" w:type="dxa"/>
            <w:tcBorders>
              <w:top w:val="single" w:color="auto" w:sz="4"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76</w:t>
            </w:r>
          </w:p>
        </w:tc>
        <w:tc>
          <w:tcPr>
            <w:tcW w:w="1177" w:type="dxa"/>
            <w:tcBorders>
              <w:top w:val="single" w:color="auto" w:sz="4"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85</w:t>
            </w:r>
          </w:p>
        </w:tc>
        <w:tc>
          <w:tcPr>
            <w:tcW w:w="983" w:type="dxa"/>
            <w:tcBorders>
              <w:top w:val="single" w:color="auto" w:sz="4" w:space="0"/>
              <w:left w:val="single" w:color="auto" w:sz="8"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90</w:t>
            </w:r>
          </w:p>
        </w:tc>
        <w:tc>
          <w:tcPr>
            <w:tcW w:w="1067" w:type="dxa"/>
            <w:tcBorders>
              <w:top w:val="single" w:color="auto" w:sz="4" w:space="0"/>
              <w:left w:val="single" w:color="auto" w:sz="4" w:space="0"/>
              <w:bottom w:val="single" w:color="auto" w:sz="8" w:space="0"/>
              <w:right w:val="single" w:color="auto" w:sz="8" w:space="0"/>
            </w:tcBorders>
            <w:noWrap w:val="0"/>
            <w:vAlign w:val="center"/>
          </w:tcPr>
          <w:p>
            <w:pPr>
              <w:spacing w:line="300" w:lineRule="exact"/>
              <w:jc w:val="center"/>
              <w:rPr>
                <w:rFonts w:hint="eastAsia" w:eastAsia="仿宋_GB2312"/>
                <w:szCs w:val="21"/>
              </w:rPr>
            </w:pPr>
            <w:r>
              <w:rPr>
                <w:rFonts w:hint="eastAsia" w:eastAsia="仿宋_GB2312"/>
                <w:szCs w:val="21"/>
              </w:rPr>
              <w:t>95</w:t>
            </w:r>
          </w:p>
        </w:tc>
        <w:tc>
          <w:tcPr>
            <w:tcW w:w="1067" w:type="dxa"/>
            <w:tcBorders>
              <w:top w:val="single" w:color="auto" w:sz="4"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约束性</w:t>
            </w:r>
          </w:p>
        </w:tc>
        <w:tc>
          <w:tcPr>
            <w:tcW w:w="1555" w:type="dxa"/>
            <w:tcBorders>
              <w:top w:val="single" w:color="auto" w:sz="4" w:space="0"/>
              <w:left w:val="single" w:color="auto" w:sz="8" w:space="0"/>
              <w:bottom w:val="single" w:color="auto" w:sz="8" w:space="0"/>
              <w:right w:val="single" w:color="auto" w:sz="8" w:space="0"/>
            </w:tcBorders>
            <w:noWrap w:val="0"/>
            <w:tcMar>
              <w:left w:w="14" w:type="dxa"/>
              <w:right w:w="14" w:type="dxa"/>
            </w:tcMar>
            <w:vAlign w:val="center"/>
          </w:tcPr>
          <w:p>
            <w:pPr>
              <w:spacing w:line="300" w:lineRule="exact"/>
              <w:jc w:val="center"/>
            </w:pPr>
            <w:r>
              <w:rPr>
                <w:rFonts w:hint="eastAsia" w:eastAsia="仿宋_GB2312"/>
                <w:spacing w:val="-12"/>
                <w:szCs w:val="21"/>
              </w:rPr>
              <w:t>市城乡建设局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25" w:hRule="exact"/>
          <w:jc w:val="center"/>
        </w:trPr>
        <w:tc>
          <w:tcPr>
            <w:tcW w:w="683" w:type="dxa"/>
            <w:vMerge w:val="continue"/>
            <w:tcBorders>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534" w:type="dxa"/>
            <w:vMerge w:val="continue"/>
            <w:tcBorders>
              <w:left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p>
        </w:tc>
        <w:tc>
          <w:tcPr>
            <w:tcW w:w="1444" w:type="dxa"/>
            <w:gridSpan w:val="2"/>
            <w:vMerge w:val="continue"/>
            <w:tcBorders>
              <w:left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p>
        </w:tc>
        <w:tc>
          <w:tcPr>
            <w:tcW w:w="778" w:type="dxa"/>
            <w:gridSpan w:val="2"/>
            <w:vMerge w:val="continue"/>
            <w:tcBorders>
              <w:top w:val="single" w:color="auto" w:sz="4" w:space="0"/>
              <w:left w:val="single" w:color="auto" w:sz="4"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p>
        </w:tc>
        <w:tc>
          <w:tcPr>
            <w:tcW w:w="3655" w:type="dxa"/>
            <w:tcBorders>
              <w:top w:val="single" w:color="auto" w:sz="8" w:space="0"/>
              <w:left w:val="single" w:color="auto" w:sz="4"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县城生活污水处理率</w:t>
            </w:r>
          </w:p>
        </w:tc>
        <w:tc>
          <w:tcPr>
            <w:tcW w:w="989"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ind w:left="-105" w:leftChars="-50" w:right="-105" w:rightChars="-50"/>
              <w:jc w:val="center"/>
              <w:rPr>
                <w:rFonts w:hint="eastAsia" w:eastAsia="仿宋_GB2312"/>
                <w:szCs w:val="21"/>
              </w:rPr>
            </w:pPr>
            <w:r>
              <w:rPr>
                <w:rFonts w:hint="eastAsia" w:eastAsia="仿宋_GB2312"/>
                <w:szCs w:val="21"/>
              </w:rPr>
              <w:t>%</w:t>
            </w:r>
          </w:p>
        </w:tc>
        <w:tc>
          <w:tcPr>
            <w:tcW w:w="1070"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45</w:t>
            </w:r>
          </w:p>
        </w:tc>
        <w:tc>
          <w:tcPr>
            <w:tcW w:w="117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80</w:t>
            </w:r>
          </w:p>
        </w:tc>
        <w:tc>
          <w:tcPr>
            <w:tcW w:w="983" w:type="dxa"/>
            <w:tcBorders>
              <w:top w:val="single" w:color="auto" w:sz="8" w:space="0"/>
              <w:left w:val="single" w:color="auto" w:sz="8"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85</w:t>
            </w:r>
          </w:p>
        </w:tc>
        <w:tc>
          <w:tcPr>
            <w:tcW w:w="1067" w:type="dxa"/>
            <w:tcBorders>
              <w:top w:val="single" w:color="auto" w:sz="8" w:space="0"/>
              <w:left w:val="single" w:color="auto" w:sz="4" w:space="0"/>
              <w:bottom w:val="single" w:color="auto" w:sz="8" w:space="0"/>
              <w:right w:val="single" w:color="auto" w:sz="8" w:space="0"/>
            </w:tcBorders>
            <w:noWrap w:val="0"/>
            <w:vAlign w:val="center"/>
          </w:tcPr>
          <w:p>
            <w:pPr>
              <w:spacing w:line="300" w:lineRule="exact"/>
              <w:jc w:val="center"/>
              <w:rPr>
                <w:rFonts w:hint="eastAsia" w:eastAsia="仿宋_GB2312"/>
                <w:szCs w:val="21"/>
              </w:rPr>
            </w:pPr>
            <w:r>
              <w:rPr>
                <w:rFonts w:hint="eastAsia" w:eastAsia="仿宋_GB2312"/>
                <w:szCs w:val="21"/>
              </w:rPr>
              <w:t>90</w:t>
            </w:r>
          </w:p>
        </w:tc>
        <w:tc>
          <w:tcPr>
            <w:tcW w:w="106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约束性</w:t>
            </w:r>
          </w:p>
        </w:tc>
        <w:tc>
          <w:tcPr>
            <w:tcW w:w="1555" w:type="dxa"/>
            <w:tcBorders>
              <w:top w:val="single" w:color="auto" w:sz="8" w:space="0"/>
              <w:left w:val="single" w:color="auto" w:sz="8" w:space="0"/>
              <w:bottom w:val="single" w:color="auto" w:sz="8" w:space="0"/>
              <w:right w:val="single" w:color="auto" w:sz="8" w:space="0"/>
            </w:tcBorders>
            <w:noWrap w:val="0"/>
            <w:tcMar>
              <w:left w:w="14" w:type="dxa"/>
              <w:right w:w="14" w:type="dxa"/>
            </w:tcMar>
            <w:vAlign w:val="center"/>
          </w:tcPr>
          <w:p>
            <w:pPr>
              <w:spacing w:line="300" w:lineRule="exact"/>
              <w:jc w:val="center"/>
            </w:pPr>
            <w:r>
              <w:rPr>
                <w:rFonts w:hint="eastAsia" w:eastAsia="仿宋_GB2312"/>
                <w:spacing w:val="-12"/>
                <w:szCs w:val="21"/>
              </w:rPr>
              <w:t>市城乡建设局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25" w:hRule="exact"/>
          <w:jc w:val="center"/>
        </w:trPr>
        <w:tc>
          <w:tcPr>
            <w:tcW w:w="683" w:type="dxa"/>
            <w:vMerge w:val="continue"/>
            <w:tcBorders>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534" w:type="dxa"/>
            <w:vMerge w:val="continue"/>
            <w:tcBorders>
              <w:left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p>
        </w:tc>
        <w:tc>
          <w:tcPr>
            <w:tcW w:w="1444" w:type="dxa"/>
            <w:gridSpan w:val="2"/>
            <w:vMerge w:val="continue"/>
            <w:tcBorders>
              <w:left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p>
        </w:tc>
        <w:tc>
          <w:tcPr>
            <w:tcW w:w="778" w:type="dxa"/>
            <w:gridSpan w:val="2"/>
            <w:vMerge w:val="continue"/>
            <w:tcBorders>
              <w:top w:val="single" w:color="auto" w:sz="4" w:space="0"/>
              <w:left w:val="single" w:color="auto" w:sz="4"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p>
        </w:tc>
        <w:tc>
          <w:tcPr>
            <w:tcW w:w="3655" w:type="dxa"/>
            <w:tcBorders>
              <w:top w:val="single" w:color="auto" w:sz="8" w:space="0"/>
              <w:left w:val="single" w:color="auto" w:sz="4"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建制镇生活污水处理设施覆盖率</w:t>
            </w:r>
          </w:p>
        </w:tc>
        <w:tc>
          <w:tcPr>
            <w:tcW w:w="989"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ind w:left="-105" w:leftChars="-50" w:right="-105" w:rightChars="-50"/>
              <w:jc w:val="center"/>
              <w:rPr>
                <w:rFonts w:hint="eastAsia" w:eastAsia="仿宋_GB2312"/>
                <w:szCs w:val="21"/>
              </w:rPr>
            </w:pPr>
            <w:r>
              <w:rPr>
                <w:rFonts w:hint="eastAsia" w:eastAsia="仿宋_GB2312"/>
                <w:szCs w:val="21"/>
              </w:rPr>
              <w:t>%</w:t>
            </w:r>
          </w:p>
        </w:tc>
        <w:tc>
          <w:tcPr>
            <w:tcW w:w="1070"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40</w:t>
            </w:r>
          </w:p>
        </w:tc>
        <w:tc>
          <w:tcPr>
            <w:tcW w:w="117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92</w:t>
            </w:r>
          </w:p>
        </w:tc>
        <w:tc>
          <w:tcPr>
            <w:tcW w:w="983" w:type="dxa"/>
            <w:tcBorders>
              <w:top w:val="single" w:color="auto" w:sz="8" w:space="0"/>
              <w:left w:val="single" w:color="auto" w:sz="8"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95</w:t>
            </w:r>
          </w:p>
        </w:tc>
        <w:tc>
          <w:tcPr>
            <w:tcW w:w="1067" w:type="dxa"/>
            <w:tcBorders>
              <w:top w:val="single" w:color="auto" w:sz="8" w:space="0"/>
              <w:left w:val="single" w:color="auto" w:sz="4" w:space="0"/>
              <w:bottom w:val="single" w:color="auto" w:sz="8" w:space="0"/>
              <w:right w:val="single" w:color="auto" w:sz="8" w:space="0"/>
            </w:tcBorders>
            <w:noWrap w:val="0"/>
            <w:vAlign w:val="center"/>
          </w:tcPr>
          <w:p>
            <w:pPr>
              <w:spacing w:line="300" w:lineRule="exact"/>
              <w:jc w:val="center"/>
              <w:rPr>
                <w:rFonts w:hint="eastAsia" w:eastAsia="仿宋_GB2312"/>
                <w:szCs w:val="21"/>
              </w:rPr>
            </w:pPr>
            <w:r>
              <w:rPr>
                <w:rFonts w:hint="eastAsia" w:eastAsia="仿宋_GB2312"/>
                <w:szCs w:val="21"/>
              </w:rPr>
              <w:t>100</w:t>
            </w:r>
          </w:p>
        </w:tc>
        <w:tc>
          <w:tcPr>
            <w:tcW w:w="106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约束性</w:t>
            </w:r>
          </w:p>
        </w:tc>
        <w:tc>
          <w:tcPr>
            <w:tcW w:w="1555" w:type="dxa"/>
            <w:tcBorders>
              <w:top w:val="single" w:color="auto" w:sz="8" w:space="0"/>
              <w:left w:val="single" w:color="auto" w:sz="8" w:space="0"/>
              <w:bottom w:val="single" w:color="auto" w:sz="8" w:space="0"/>
              <w:right w:val="single" w:color="auto" w:sz="8" w:space="0"/>
            </w:tcBorders>
            <w:noWrap w:val="0"/>
            <w:tcMar>
              <w:left w:w="14" w:type="dxa"/>
              <w:right w:w="14" w:type="dxa"/>
            </w:tcMar>
            <w:vAlign w:val="center"/>
          </w:tcPr>
          <w:p>
            <w:pPr>
              <w:spacing w:line="300" w:lineRule="exact"/>
              <w:jc w:val="center"/>
            </w:pPr>
            <w:r>
              <w:rPr>
                <w:rFonts w:hint="eastAsia" w:eastAsia="仿宋_GB2312"/>
                <w:spacing w:val="-12"/>
                <w:szCs w:val="21"/>
              </w:rPr>
              <w:t>市城乡建设局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25" w:hRule="exact"/>
          <w:jc w:val="center"/>
        </w:trPr>
        <w:tc>
          <w:tcPr>
            <w:tcW w:w="683" w:type="dxa"/>
            <w:vMerge w:val="continue"/>
            <w:tcBorders>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534" w:type="dxa"/>
            <w:vMerge w:val="continue"/>
            <w:tcBorders>
              <w:left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p>
        </w:tc>
        <w:tc>
          <w:tcPr>
            <w:tcW w:w="1444" w:type="dxa"/>
            <w:gridSpan w:val="2"/>
            <w:vMerge w:val="continue"/>
            <w:tcBorders>
              <w:left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p>
        </w:tc>
        <w:tc>
          <w:tcPr>
            <w:tcW w:w="778" w:type="dxa"/>
            <w:gridSpan w:val="2"/>
            <w:vMerge w:val="restart"/>
            <w:tcBorders>
              <w:top w:val="single" w:color="auto" w:sz="8" w:space="0"/>
              <w:left w:val="single" w:color="auto" w:sz="4"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垃圾</w:t>
            </w:r>
          </w:p>
          <w:p>
            <w:pPr>
              <w:spacing w:line="300" w:lineRule="exact"/>
              <w:jc w:val="center"/>
              <w:rPr>
                <w:rFonts w:hint="eastAsia" w:eastAsia="仿宋_GB2312"/>
                <w:szCs w:val="21"/>
              </w:rPr>
            </w:pPr>
            <w:r>
              <w:rPr>
                <w:rFonts w:hint="eastAsia" w:eastAsia="仿宋_GB2312"/>
                <w:szCs w:val="21"/>
              </w:rPr>
              <w:t>处置</w:t>
            </w:r>
          </w:p>
        </w:tc>
        <w:tc>
          <w:tcPr>
            <w:tcW w:w="3655" w:type="dxa"/>
            <w:tcBorders>
              <w:top w:val="single" w:color="auto" w:sz="8" w:space="0"/>
              <w:left w:val="single" w:color="auto" w:sz="4"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城市（县城）生活垃圾无害化处理率</w:t>
            </w:r>
          </w:p>
        </w:tc>
        <w:tc>
          <w:tcPr>
            <w:tcW w:w="989"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ind w:left="-105" w:leftChars="-50" w:right="-105" w:rightChars="-50"/>
              <w:jc w:val="center"/>
              <w:rPr>
                <w:rFonts w:hint="eastAsia" w:eastAsia="仿宋_GB2312"/>
                <w:szCs w:val="21"/>
              </w:rPr>
            </w:pPr>
            <w:r>
              <w:rPr>
                <w:rFonts w:hint="eastAsia" w:eastAsia="仿宋_GB2312"/>
                <w:szCs w:val="21"/>
              </w:rPr>
              <w:t>%</w:t>
            </w:r>
          </w:p>
        </w:tc>
        <w:tc>
          <w:tcPr>
            <w:tcW w:w="1070"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61.93</w:t>
            </w:r>
          </w:p>
        </w:tc>
        <w:tc>
          <w:tcPr>
            <w:tcW w:w="117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90</w:t>
            </w:r>
          </w:p>
        </w:tc>
        <w:tc>
          <w:tcPr>
            <w:tcW w:w="983" w:type="dxa"/>
            <w:tcBorders>
              <w:top w:val="single" w:color="auto" w:sz="8" w:space="0"/>
              <w:left w:val="single" w:color="auto" w:sz="8"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92</w:t>
            </w:r>
          </w:p>
        </w:tc>
        <w:tc>
          <w:tcPr>
            <w:tcW w:w="1067" w:type="dxa"/>
            <w:tcBorders>
              <w:top w:val="single" w:color="auto" w:sz="8" w:space="0"/>
              <w:left w:val="single" w:color="auto" w:sz="4" w:space="0"/>
              <w:bottom w:val="single" w:color="auto" w:sz="8" w:space="0"/>
              <w:right w:val="single" w:color="auto" w:sz="8" w:space="0"/>
            </w:tcBorders>
            <w:noWrap w:val="0"/>
            <w:vAlign w:val="center"/>
          </w:tcPr>
          <w:p>
            <w:pPr>
              <w:spacing w:line="300" w:lineRule="exact"/>
              <w:jc w:val="center"/>
              <w:rPr>
                <w:rFonts w:hint="eastAsia" w:eastAsia="仿宋_GB2312"/>
                <w:szCs w:val="21"/>
              </w:rPr>
            </w:pPr>
            <w:r>
              <w:rPr>
                <w:rFonts w:hint="eastAsia" w:eastAsia="仿宋_GB2312"/>
                <w:szCs w:val="21"/>
              </w:rPr>
              <w:t>95</w:t>
            </w:r>
          </w:p>
        </w:tc>
        <w:tc>
          <w:tcPr>
            <w:tcW w:w="106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约束性</w:t>
            </w:r>
          </w:p>
        </w:tc>
        <w:tc>
          <w:tcPr>
            <w:tcW w:w="1555" w:type="dxa"/>
            <w:tcBorders>
              <w:top w:val="single" w:color="auto" w:sz="8" w:space="0"/>
              <w:left w:val="single" w:color="auto" w:sz="8" w:space="0"/>
              <w:bottom w:val="single" w:color="auto" w:sz="8" w:space="0"/>
              <w:right w:val="single" w:color="auto" w:sz="8" w:space="0"/>
            </w:tcBorders>
            <w:noWrap w:val="0"/>
            <w:tcMar>
              <w:left w:w="14" w:type="dxa"/>
              <w:right w:w="14" w:type="dxa"/>
            </w:tcMar>
            <w:vAlign w:val="center"/>
          </w:tcPr>
          <w:p>
            <w:pPr>
              <w:spacing w:line="300" w:lineRule="exact"/>
              <w:jc w:val="center"/>
              <w:rPr>
                <w:rFonts w:hint="eastAsia" w:eastAsia="仿宋_GB2312"/>
                <w:spacing w:val="-12"/>
                <w:szCs w:val="21"/>
              </w:rPr>
            </w:pPr>
            <w:r>
              <w:rPr>
                <w:rFonts w:hint="eastAsia" w:eastAsia="仿宋_GB2312"/>
                <w:spacing w:val="-12"/>
                <w:szCs w:val="21"/>
              </w:rPr>
              <w:t>市城管局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25" w:hRule="exact"/>
          <w:jc w:val="center"/>
        </w:trPr>
        <w:tc>
          <w:tcPr>
            <w:tcW w:w="683" w:type="dxa"/>
            <w:vMerge w:val="continue"/>
            <w:tcBorders>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534" w:type="dxa"/>
            <w:vMerge w:val="continue"/>
            <w:tcBorders>
              <w:left w:val="single" w:color="auto" w:sz="8"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p>
        </w:tc>
        <w:tc>
          <w:tcPr>
            <w:tcW w:w="1444" w:type="dxa"/>
            <w:gridSpan w:val="2"/>
            <w:vMerge w:val="continue"/>
            <w:tcBorders>
              <w:left w:val="single" w:color="auto" w:sz="8"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p>
        </w:tc>
        <w:tc>
          <w:tcPr>
            <w:tcW w:w="778" w:type="dxa"/>
            <w:gridSpan w:val="2"/>
            <w:vMerge w:val="continue"/>
            <w:tcBorders>
              <w:left w:val="single" w:color="auto" w:sz="4"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p>
        </w:tc>
        <w:tc>
          <w:tcPr>
            <w:tcW w:w="3655" w:type="dxa"/>
            <w:tcBorders>
              <w:top w:val="single" w:color="auto" w:sz="8" w:space="0"/>
              <w:left w:val="single" w:color="auto" w:sz="4"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镇村生活垃圾集中收运率</w:t>
            </w:r>
          </w:p>
        </w:tc>
        <w:tc>
          <w:tcPr>
            <w:tcW w:w="989"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ind w:left="-105" w:leftChars="-50" w:right="-105" w:rightChars="-50"/>
              <w:jc w:val="center"/>
              <w:rPr>
                <w:rFonts w:hint="eastAsia" w:eastAsia="仿宋_GB2312"/>
                <w:szCs w:val="21"/>
              </w:rPr>
            </w:pPr>
            <w:r>
              <w:rPr>
                <w:rFonts w:hint="eastAsia" w:eastAsia="仿宋_GB2312"/>
                <w:szCs w:val="21"/>
              </w:rPr>
              <w:t>%</w:t>
            </w:r>
          </w:p>
        </w:tc>
        <w:tc>
          <w:tcPr>
            <w:tcW w:w="1070"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67.03</w:t>
            </w:r>
          </w:p>
        </w:tc>
        <w:tc>
          <w:tcPr>
            <w:tcW w:w="117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80</w:t>
            </w:r>
          </w:p>
        </w:tc>
        <w:tc>
          <w:tcPr>
            <w:tcW w:w="983" w:type="dxa"/>
            <w:tcBorders>
              <w:top w:val="single" w:color="auto" w:sz="8" w:space="0"/>
              <w:left w:val="single" w:color="auto" w:sz="8"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85</w:t>
            </w:r>
          </w:p>
        </w:tc>
        <w:tc>
          <w:tcPr>
            <w:tcW w:w="1067" w:type="dxa"/>
            <w:tcBorders>
              <w:top w:val="single" w:color="auto" w:sz="8" w:space="0"/>
              <w:left w:val="single" w:color="auto" w:sz="4" w:space="0"/>
              <w:bottom w:val="single" w:color="auto" w:sz="8" w:space="0"/>
              <w:right w:val="single" w:color="auto" w:sz="8" w:space="0"/>
            </w:tcBorders>
            <w:noWrap w:val="0"/>
            <w:vAlign w:val="center"/>
          </w:tcPr>
          <w:p>
            <w:pPr>
              <w:spacing w:line="300" w:lineRule="exact"/>
              <w:jc w:val="center"/>
              <w:rPr>
                <w:rFonts w:hint="eastAsia" w:eastAsia="仿宋_GB2312"/>
                <w:szCs w:val="21"/>
              </w:rPr>
            </w:pPr>
            <w:r>
              <w:rPr>
                <w:rFonts w:hint="eastAsia" w:eastAsia="仿宋_GB2312"/>
                <w:szCs w:val="21"/>
              </w:rPr>
              <w:t>90</w:t>
            </w:r>
          </w:p>
        </w:tc>
        <w:tc>
          <w:tcPr>
            <w:tcW w:w="106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约束性</w:t>
            </w:r>
          </w:p>
        </w:tc>
        <w:tc>
          <w:tcPr>
            <w:tcW w:w="1555" w:type="dxa"/>
            <w:tcBorders>
              <w:top w:val="single" w:color="auto" w:sz="8" w:space="0"/>
              <w:left w:val="single" w:color="auto" w:sz="8" w:space="0"/>
              <w:bottom w:val="single" w:color="auto" w:sz="8" w:space="0"/>
              <w:right w:val="single" w:color="auto" w:sz="8" w:space="0"/>
            </w:tcBorders>
            <w:noWrap w:val="0"/>
            <w:tcMar>
              <w:left w:w="14" w:type="dxa"/>
              <w:right w:w="14" w:type="dxa"/>
            </w:tcMar>
            <w:vAlign w:val="center"/>
          </w:tcPr>
          <w:p>
            <w:pPr>
              <w:spacing w:line="300" w:lineRule="exact"/>
              <w:jc w:val="center"/>
              <w:rPr>
                <w:rFonts w:hint="eastAsia" w:eastAsia="仿宋_GB2312"/>
                <w:spacing w:val="-12"/>
                <w:szCs w:val="21"/>
              </w:rPr>
            </w:pPr>
            <w:r>
              <w:rPr>
                <w:rFonts w:hint="eastAsia" w:eastAsia="仿宋_GB2312"/>
                <w:spacing w:val="-12"/>
                <w:szCs w:val="21"/>
              </w:rPr>
              <w:t>市城管局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25" w:hRule="exact"/>
          <w:jc w:val="center"/>
        </w:trPr>
        <w:tc>
          <w:tcPr>
            <w:tcW w:w="683" w:type="dxa"/>
            <w:vMerge w:val="continue"/>
            <w:tcBorders>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534" w:type="dxa"/>
            <w:tcBorders>
              <w:top w:val="single" w:color="auto" w:sz="4" w:space="0"/>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11</w:t>
            </w:r>
          </w:p>
        </w:tc>
        <w:tc>
          <w:tcPr>
            <w:tcW w:w="5877" w:type="dxa"/>
            <w:gridSpan w:val="5"/>
            <w:tcBorders>
              <w:top w:val="single" w:color="auto" w:sz="4" w:space="0"/>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村庄环境整治达标率*</w:t>
            </w:r>
          </w:p>
        </w:tc>
        <w:tc>
          <w:tcPr>
            <w:tcW w:w="989"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ind w:left="-105" w:leftChars="-50" w:right="-105" w:rightChars="-50"/>
              <w:jc w:val="center"/>
              <w:rPr>
                <w:rFonts w:hint="eastAsia" w:eastAsia="仿宋_GB2312"/>
                <w:szCs w:val="21"/>
              </w:rPr>
            </w:pPr>
            <w:r>
              <w:rPr>
                <w:rFonts w:hint="eastAsia" w:eastAsia="仿宋_GB2312"/>
                <w:szCs w:val="21"/>
              </w:rPr>
              <w:t>%</w:t>
            </w:r>
          </w:p>
        </w:tc>
        <w:tc>
          <w:tcPr>
            <w:tcW w:w="1070" w:type="dxa"/>
            <w:tcBorders>
              <w:top w:val="single" w:color="auto" w:sz="8" w:space="0"/>
              <w:left w:val="single" w:color="auto" w:sz="8"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20</w:t>
            </w:r>
          </w:p>
        </w:tc>
        <w:tc>
          <w:tcPr>
            <w:tcW w:w="1177" w:type="dxa"/>
            <w:tcBorders>
              <w:top w:val="single" w:color="auto" w:sz="8" w:space="0"/>
              <w:left w:val="single" w:color="auto" w:sz="4"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100</w:t>
            </w:r>
          </w:p>
        </w:tc>
        <w:tc>
          <w:tcPr>
            <w:tcW w:w="983" w:type="dxa"/>
            <w:tcBorders>
              <w:top w:val="single" w:color="auto" w:sz="8" w:space="0"/>
              <w:left w:val="single" w:color="auto" w:sz="4"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100</w:t>
            </w:r>
          </w:p>
        </w:tc>
        <w:tc>
          <w:tcPr>
            <w:tcW w:w="1067" w:type="dxa"/>
            <w:tcBorders>
              <w:top w:val="single" w:color="auto" w:sz="8" w:space="0"/>
              <w:left w:val="single" w:color="auto" w:sz="4" w:space="0"/>
              <w:bottom w:val="single" w:color="auto" w:sz="8" w:space="0"/>
              <w:right w:val="single" w:color="auto" w:sz="4" w:space="0"/>
            </w:tcBorders>
            <w:noWrap w:val="0"/>
            <w:vAlign w:val="center"/>
          </w:tcPr>
          <w:p>
            <w:pPr>
              <w:spacing w:line="300" w:lineRule="exact"/>
              <w:jc w:val="center"/>
              <w:rPr>
                <w:rFonts w:hint="eastAsia" w:eastAsia="仿宋_GB2312"/>
                <w:szCs w:val="21"/>
              </w:rPr>
            </w:pPr>
            <w:r>
              <w:rPr>
                <w:rFonts w:hint="eastAsia" w:eastAsia="仿宋_GB2312"/>
                <w:szCs w:val="21"/>
              </w:rPr>
              <w:t>100</w:t>
            </w:r>
          </w:p>
        </w:tc>
        <w:tc>
          <w:tcPr>
            <w:tcW w:w="1067" w:type="dxa"/>
            <w:tcBorders>
              <w:top w:val="single" w:color="auto" w:sz="8" w:space="0"/>
              <w:left w:val="single" w:color="auto" w:sz="4"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预期性</w:t>
            </w:r>
          </w:p>
        </w:tc>
        <w:tc>
          <w:tcPr>
            <w:tcW w:w="1555" w:type="dxa"/>
            <w:tcBorders>
              <w:top w:val="single" w:color="auto" w:sz="8" w:space="0"/>
              <w:left w:val="single" w:color="auto" w:sz="4" w:space="0"/>
              <w:bottom w:val="single" w:color="auto" w:sz="8" w:space="0"/>
              <w:right w:val="single" w:color="auto" w:sz="8" w:space="0"/>
            </w:tcBorders>
            <w:noWrap w:val="0"/>
            <w:tcMar>
              <w:left w:w="14" w:type="dxa"/>
              <w:right w:w="14" w:type="dxa"/>
            </w:tcMar>
            <w:vAlign w:val="center"/>
          </w:tcPr>
          <w:p>
            <w:pPr>
              <w:spacing w:line="300" w:lineRule="exact"/>
              <w:jc w:val="center"/>
            </w:pPr>
            <w:r>
              <w:rPr>
                <w:rFonts w:hint="eastAsia" w:eastAsia="仿宋_GB2312"/>
                <w:spacing w:val="-12"/>
                <w:szCs w:val="21"/>
              </w:rPr>
              <w:t>市城乡建设局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25" w:hRule="exact"/>
          <w:jc w:val="center"/>
        </w:trPr>
        <w:tc>
          <w:tcPr>
            <w:tcW w:w="683" w:type="dxa"/>
            <w:vMerge w:val="restart"/>
            <w:tcBorders>
              <w:top w:val="single" w:color="auto" w:sz="8" w:space="0"/>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生态生活</w:t>
            </w:r>
          </w:p>
        </w:tc>
        <w:tc>
          <w:tcPr>
            <w:tcW w:w="534" w:type="dxa"/>
            <w:vMerge w:val="restart"/>
            <w:tcBorders>
              <w:top w:val="single" w:color="auto" w:sz="8" w:space="0"/>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12</w:t>
            </w:r>
          </w:p>
        </w:tc>
        <w:tc>
          <w:tcPr>
            <w:tcW w:w="1244" w:type="dxa"/>
            <w:vMerge w:val="restart"/>
            <w:tcBorders>
              <w:top w:val="single" w:color="auto" w:sz="8" w:space="0"/>
              <w:left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健康生活保障水平</w:t>
            </w:r>
          </w:p>
        </w:tc>
        <w:tc>
          <w:tcPr>
            <w:tcW w:w="4633" w:type="dxa"/>
            <w:gridSpan w:val="4"/>
            <w:tcBorders>
              <w:top w:val="single" w:color="auto" w:sz="8" w:space="0"/>
              <w:left w:val="single" w:color="auto" w:sz="4"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城乡统筹区域供水覆盖率*</w:t>
            </w:r>
          </w:p>
        </w:tc>
        <w:tc>
          <w:tcPr>
            <w:tcW w:w="989"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ind w:left="-105" w:leftChars="-50" w:right="-105" w:rightChars="-50"/>
              <w:jc w:val="center"/>
              <w:rPr>
                <w:rFonts w:hint="eastAsia" w:eastAsia="仿宋_GB2312"/>
                <w:szCs w:val="21"/>
              </w:rPr>
            </w:pPr>
            <w:r>
              <w:rPr>
                <w:rFonts w:hint="eastAsia" w:eastAsia="仿宋_GB2312"/>
                <w:szCs w:val="21"/>
              </w:rPr>
              <w:t>%</w:t>
            </w:r>
          </w:p>
        </w:tc>
        <w:tc>
          <w:tcPr>
            <w:tcW w:w="1070" w:type="dxa"/>
            <w:tcBorders>
              <w:top w:val="single" w:color="auto" w:sz="8" w:space="0"/>
              <w:left w:val="single" w:color="auto" w:sz="8"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50</w:t>
            </w:r>
          </w:p>
        </w:tc>
        <w:tc>
          <w:tcPr>
            <w:tcW w:w="1177" w:type="dxa"/>
            <w:tcBorders>
              <w:top w:val="single" w:color="auto" w:sz="8" w:space="0"/>
              <w:left w:val="single" w:color="auto" w:sz="4" w:space="0"/>
              <w:bottom w:val="single" w:color="auto" w:sz="8" w:space="0"/>
              <w:right w:val="single" w:color="auto" w:sz="4" w:space="0"/>
            </w:tcBorders>
            <w:noWrap w:val="0"/>
            <w:vAlign w:val="center"/>
          </w:tcPr>
          <w:p>
            <w:pPr>
              <w:spacing w:line="300" w:lineRule="exact"/>
              <w:jc w:val="center"/>
              <w:rPr>
                <w:rFonts w:hint="eastAsia" w:eastAsia="仿宋_GB2312"/>
                <w:szCs w:val="21"/>
              </w:rPr>
            </w:pPr>
            <w:r>
              <w:rPr>
                <w:rFonts w:hint="eastAsia" w:eastAsia="仿宋_GB2312"/>
                <w:szCs w:val="21"/>
              </w:rPr>
              <w:t>100</w:t>
            </w:r>
          </w:p>
        </w:tc>
        <w:tc>
          <w:tcPr>
            <w:tcW w:w="983" w:type="dxa"/>
            <w:tcBorders>
              <w:top w:val="single" w:color="auto" w:sz="8" w:space="0"/>
              <w:left w:val="single" w:color="auto" w:sz="4" w:space="0"/>
              <w:bottom w:val="single" w:color="auto" w:sz="8" w:space="0"/>
              <w:right w:val="single" w:color="auto" w:sz="4" w:space="0"/>
            </w:tcBorders>
            <w:noWrap w:val="0"/>
            <w:vAlign w:val="center"/>
          </w:tcPr>
          <w:p>
            <w:pPr>
              <w:spacing w:line="300" w:lineRule="exact"/>
              <w:jc w:val="center"/>
              <w:rPr>
                <w:rFonts w:hint="eastAsia" w:eastAsia="仿宋_GB2312"/>
                <w:szCs w:val="21"/>
              </w:rPr>
            </w:pPr>
            <w:r>
              <w:rPr>
                <w:rFonts w:hint="eastAsia" w:eastAsia="仿宋_GB2312"/>
                <w:szCs w:val="21"/>
              </w:rPr>
              <w:t>100</w:t>
            </w:r>
          </w:p>
        </w:tc>
        <w:tc>
          <w:tcPr>
            <w:tcW w:w="1067" w:type="dxa"/>
            <w:tcBorders>
              <w:top w:val="single" w:color="auto" w:sz="8" w:space="0"/>
              <w:left w:val="single" w:color="auto" w:sz="4" w:space="0"/>
              <w:bottom w:val="single" w:color="auto" w:sz="8" w:space="0"/>
              <w:right w:val="single" w:color="auto" w:sz="4" w:space="0"/>
            </w:tcBorders>
            <w:noWrap w:val="0"/>
            <w:vAlign w:val="center"/>
          </w:tcPr>
          <w:p>
            <w:pPr>
              <w:spacing w:line="300" w:lineRule="exact"/>
              <w:ind w:left="-63" w:leftChars="-30" w:right="-63" w:rightChars="-30"/>
              <w:jc w:val="center"/>
            </w:pPr>
            <w:r>
              <w:rPr>
                <w:rFonts w:hint="eastAsia" w:eastAsia="仿宋_GB2312"/>
                <w:szCs w:val="21"/>
              </w:rPr>
              <w:t>100</w:t>
            </w:r>
          </w:p>
        </w:tc>
        <w:tc>
          <w:tcPr>
            <w:tcW w:w="1067" w:type="dxa"/>
            <w:tcBorders>
              <w:top w:val="single" w:color="auto" w:sz="8" w:space="0"/>
              <w:left w:val="single" w:color="auto" w:sz="4" w:space="0"/>
              <w:bottom w:val="single" w:color="auto" w:sz="8" w:space="0"/>
              <w:right w:val="single" w:color="auto" w:sz="4" w:space="0"/>
            </w:tcBorders>
            <w:noWrap w:val="0"/>
            <w:vAlign w:val="center"/>
          </w:tcPr>
          <w:p>
            <w:pPr>
              <w:spacing w:line="300" w:lineRule="exact"/>
              <w:jc w:val="center"/>
              <w:rPr>
                <w:rFonts w:hint="eastAsia" w:eastAsia="仿宋_GB2312"/>
                <w:spacing w:val="-12"/>
                <w:szCs w:val="21"/>
              </w:rPr>
            </w:pPr>
            <w:r>
              <w:rPr>
                <w:rFonts w:hint="eastAsia" w:eastAsia="仿宋_GB2312"/>
                <w:szCs w:val="21"/>
              </w:rPr>
              <w:t>约束性</w:t>
            </w:r>
          </w:p>
        </w:tc>
        <w:tc>
          <w:tcPr>
            <w:tcW w:w="1555" w:type="dxa"/>
            <w:tcBorders>
              <w:top w:val="single" w:color="auto" w:sz="8" w:space="0"/>
              <w:left w:val="single" w:color="auto" w:sz="4" w:space="0"/>
              <w:bottom w:val="single" w:color="auto" w:sz="8" w:space="0"/>
              <w:right w:val="single" w:color="auto" w:sz="8" w:space="0"/>
            </w:tcBorders>
            <w:noWrap w:val="0"/>
            <w:vAlign w:val="center"/>
          </w:tcPr>
          <w:p>
            <w:pPr>
              <w:spacing w:line="300" w:lineRule="exact"/>
              <w:jc w:val="center"/>
              <w:rPr>
                <w:rFonts w:hint="eastAsia" w:eastAsia="仿宋_GB2312"/>
                <w:spacing w:val="-12"/>
                <w:szCs w:val="21"/>
              </w:rPr>
            </w:pPr>
            <w:r>
              <w:rPr>
                <w:rFonts w:hint="eastAsia" w:eastAsia="仿宋_GB2312"/>
                <w:spacing w:val="-12"/>
                <w:szCs w:val="21"/>
              </w:rPr>
              <w:t>市城乡建设局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504" w:hRule="atLeast"/>
          <w:jc w:val="center"/>
        </w:trPr>
        <w:tc>
          <w:tcPr>
            <w:tcW w:w="683" w:type="dxa"/>
            <w:vMerge w:val="continue"/>
            <w:tcBorders>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534" w:type="dxa"/>
            <w:vMerge w:val="continue"/>
            <w:tcBorders>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1244" w:type="dxa"/>
            <w:vMerge w:val="continue"/>
            <w:tcBorders>
              <w:left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p>
        </w:tc>
        <w:tc>
          <w:tcPr>
            <w:tcW w:w="4633" w:type="dxa"/>
            <w:gridSpan w:val="4"/>
            <w:tcBorders>
              <w:top w:val="single" w:color="auto" w:sz="8" w:space="0"/>
              <w:left w:val="single" w:color="auto" w:sz="4"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新建绿色建筑比例</w:t>
            </w:r>
          </w:p>
        </w:tc>
        <w:tc>
          <w:tcPr>
            <w:tcW w:w="989"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ind w:left="-105" w:leftChars="-50" w:right="-105" w:rightChars="-50"/>
              <w:jc w:val="center"/>
              <w:rPr>
                <w:rFonts w:hint="eastAsia" w:eastAsia="仿宋_GB2312"/>
                <w:szCs w:val="21"/>
              </w:rPr>
            </w:pPr>
            <w:r>
              <w:rPr>
                <w:rFonts w:hint="eastAsia" w:eastAsia="仿宋_GB2312"/>
                <w:szCs w:val="21"/>
              </w:rPr>
              <w:t>%</w:t>
            </w:r>
          </w:p>
        </w:tc>
        <w:tc>
          <w:tcPr>
            <w:tcW w:w="1070" w:type="dxa"/>
            <w:tcBorders>
              <w:top w:val="single" w:color="auto" w:sz="8" w:space="0"/>
              <w:left w:val="single" w:color="auto" w:sz="8"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&lt;5</w:t>
            </w:r>
          </w:p>
        </w:tc>
        <w:tc>
          <w:tcPr>
            <w:tcW w:w="1177" w:type="dxa"/>
            <w:tcBorders>
              <w:top w:val="single" w:color="auto" w:sz="8" w:space="0"/>
              <w:left w:val="single" w:color="auto" w:sz="4" w:space="0"/>
              <w:bottom w:val="single" w:color="auto" w:sz="8" w:space="0"/>
              <w:right w:val="single" w:color="auto" w:sz="4" w:space="0"/>
            </w:tcBorders>
            <w:noWrap w:val="0"/>
            <w:tcMar>
              <w:left w:w="57" w:type="dxa"/>
              <w:right w:w="57" w:type="dxa"/>
            </w:tcMar>
            <w:vAlign w:val="center"/>
          </w:tcPr>
          <w:p>
            <w:pPr>
              <w:spacing w:line="240" w:lineRule="exact"/>
              <w:jc w:val="center"/>
              <w:rPr>
                <w:rFonts w:hint="eastAsia" w:eastAsia="仿宋_GB2312"/>
                <w:szCs w:val="21"/>
              </w:rPr>
            </w:pPr>
            <w:r>
              <w:rPr>
                <w:rFonts w:hint="eastAsia" w:eastAsia="仿宋_GB2312"/>
                <w:szCs w:val="21"/>
              </w:rPr>
              <w:t>90%达一星以上</w:t>
            </w:r>
          </w:p>
        </w:tc>
        <w:tc>
          <w:tcPr>
            <w:tcW w:w="983" w:type="dxa"/>
            <w:tcBorders>
              <w:top w:val="single" w:color="auto" w:sz="8" w:space="0"/>
              <w:left w:val="single" w:color="auto" w:sz="4" w:space="0"/>
              <w:bottom w:val="single" w:color="auto" w:sz="8" w:space="0"/>
              <w:right w:val="single" w:color="auto" w:sz="4" w:space="0"/>
            </w:tcBorders>
            <w:noWrap w:val="0"/>
            <w:tcMar>
              <w:left w:w="57" w:type="dxa"/>
              <w:right w:w="57" w:type="dxa"/>
            </w:tcMar>
            <w:vAlign w:val="center"/>
          </w:tcPr>
          <w:p>
            <w:pPr>
              <w:spacing w:line="240" w:lineRule="exact"/>
              <w:jc w:val="center"/>
              <w:rPr>
                <w:rFonts w:hint="eastAsia" w:eastAsia="仿宋_GB2312"/>
                <w:szCs w:val="21"/>
              </w:rPr>
            </w:pPr>
            <w:r>
              <w:rPr>
                <w:rFonts w:hint="eastAsia" w:eastAsia="仿宋_GB2312"/>
                <w:szCs w:val="21"/>
              </w:rPr>
              <w:t>25%达二星以上</w:t>
            </w:r>
          </w:p>
        </w:tc>
        <w:tc>
          <w:tcPr>
            <w:tcW w:w="1067" w:type="dxa"/>
            <w:tcBorders>
              <w:top w:val="single" w:color="auto" w:sz="8" w:space="0"/>
              <w:left w:val="single" w:color="auto" w:sz="4" w:space="0"/>
              <w:bottom w:val="single" w:color="auto" w:sz="8" w:space="0"/>
              <w:right w:val="single" w:color="auto" w:sz="4" w:space="0"/>
            </w:tcBorders>
            <w:noWrap w:val="0"/>
            <w:vAlign w:val="center"/>
          </w:tcPr>
          <w:p>
            <w:pPr>
              <w:spacing w:line="240" w:lineRule="exact"/>
              <w:jc w:val="center"/>
              <w:rPr>
                <w:rFonts w:hint="eastAsia" w:eastAsia="仿宋_GB2312"/>
                <w:szCs w:val="21"/>
              </w:rPr>
            </w:pPr>
            <w:r>
              <w:rPr>
                <w:rFonts w:hint="eastAsia" w:eastAsia="仿宋_GB2312"/>
                <w:szCs w:val="21"/>
              </w:rPr>
              <w:t>35%达二星以上</w:t>
            </w:r>
          </w:p>
        </w:tc>
        <w:tc>
          <w:tcPr>
            <w:tcW w:w="1067" w:type="dxa"/>
            <w:tcBorders>
              <w:top w:val="single" w:color="auto" w:sz="8" w:space="0"/>
              <w:left w:val="single" w:color="auto" w:sz="4" w:space="0"/>
              <w:bottom w:val="single" w:color="auto" w:sz="8" w:space="0"/>
              <w:right w:val="single" w:color="auto" w:sz="4" w:space="0"/>
            </w:tcBorders>
            <w:noWrap w:val="0"/>
            <w:tcMar>
              <w:left w:w="57" w:type="dxa"/>
              <w:right w:w="57" w:type="dxa"/>
            </w:tcMar>
            <w:vAlign w:val="center"/>
          </w:tcPr>
          <w:p>
            <w:pPr>
              <w:spacing w:line="300" w:lineRule="exact"/>
              <w:ind w:left="-63" w:leftChars="-30" w:right="-63" w:rightChars="-30"/>
              <w:jc w:val="center"/>
            </w:pPr>
            <w:r>
              <w:rPr>
                <w:rFonts w:hint="eastAsia" w:eastAsia="仿宋_GB2312"/>
                <w:szCs w:val="21"/>
              </w:rPr>
              <w:t>约束性</w:t>
            </w:r>
          </w:p>
        </w:tc>
        <w:tc>
          <w:tcPr>
            <w:tcW w:w="1555" w:type="dxa"/>
            <w:tcBorders>
              <w:top w:val="single" w:color="auto" w:sz="8" w:space="0"/>
              <w:left w:val="single" w:color="auto" w:sz="4" w:space="0"/>
              <w:bottom w:val="single" w:color="auto" w:sz="8" w:space="0"/>
              <w:right w:val="single" w:color="auto" w:sz="8" w:space="0"/>
            </w:tcBorders>
            <w:noWrap w:val="0"/>
            <w:tcMar>
              <w:left w:w="14" w:type="dxa"/>
              <w:right w:w="14" w:type="dxa"/>
            </w:tcMar>
            <w:vAlign w:val="center"/>
          </w:tcPr>
          <w:p>
            <w:pPr>
              <w:spacing w:line="300" w:lineRule="exact"/>
              <w:jc w:val="center"/>
              <w:rPr>
                <w:rFonts w:hint="eastAsia" w:eastAsia="仿宋_GB2312"/>
                <w:spacing w:val="-12"/>
                <w:szCs w:val="21"/>
              </w:rPr>
            </w:pPr>
            <w:r>
              <w:rPr>
                <w:rFonts w:hint="eastAsia" w:eastAsia="仿宋_GB2312"/>
                <w:spacing w:val="-12"/>
                <w:szCs w:val="21"/>
              </w:rPr>
              <w:t>市城乡建设局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25" w:hRule="exact"/>
          <w:jc w:val="center"/>
        </w:trPr>
        <w:tc>
          <w:tcPr>
            <w:tcW w:w="683" w:type="dxa"/>
            <w:vMerge w:val="continue"/>
            <w:tcBorders>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534" w:type="dxa"/>
            <w:vMerge w:val="continue"/>
            <w:tcBorders>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1244" w:type="dxa"/>
            <w:vMerge w:val="continue"/>
            <w:tcBorders>
              <w:left w:val="single" w:color="auto" w:sz="8"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p>
        </w:tc>
        <w:tc>
          <w:tcPr>
            <w:tcW w:w="4633" w:type="dxa"/>
            <w:gridSpan w:val="4"/>
            <w:tcBorders>
              <w:top w:val="single" w:color="auto" w:sz="8" w:space="0"/>
              <w:left w:val="single" w:color="auto" w:sz="4"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食品及鲜活农产品抽检质量安全平均合格率*</w:t>
            </w:r>
          </w:p>
        </w:tc>
        <w:tc>
          <w:tcPr>
            <w:tcW w:w="989"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ind w:left="-105" w:leftChars="-50" w:right="-105" w:rightChars="-50"/>
              <w:jc w:val="center"/>
              <w:rPr>
                <w:rFonts w:hint="eastAsia" w:eastAsia="仿宋_GB2312"/>
                <w:szCs w:val="21"/>
              </w:rPr>
            </w:pPr>
            <w:r>
              <w:rPr>
                <w:rFonts w:hint="eastAsia" w:eastAsia="仿宋_GB2312"/>
                <w:szCs w:val="21"/>
              </w:rPr>
              <w:t>%</w:t>
            </w:r>
          </w:p>
        </w:tc>
        <w:tc>
          <w:tcPr>
            <w:tcW w:w="1070"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96.5</w:t>
            </w:r>
          </w:p>
        </w:tc>
        <w:tc>
          <w:tcPr>
            <w:tcW w:w="117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97.8</w:t>
            </w:r>
          </w:p>
        </w:tc>
        <w:tc>
          <w:tcPr>
            <w:tcW w:w="983" w:type="dxa"/>
            <w:tcBorders>
              <w:top w:val="single" w:color="auto" w:sz="8" w:space="0"/>
              <w:left w:val="single" w:color="auto" w:sz="8"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97.9</w:t>
            </w:r>
          </w:p>
        </w:tc>
        <w:tc>
          <w:tcPr>
            <w:tcW w:w="1067" w:type="dxa"/>
            <w:tcBorders>
              <w:top w:val="single" w:color="auto" w:sz="8" w:space="0"/>
              <w:left w:val="single" w:color="auto" w:sz="4" w:space="0"/>
              <w:bottom w:val="single" w:color="auto" w:sz="8" w:space="0"/>
              <w:right w:val="single" w:color="auto" w:sz="8" w:space="0"/>
            </w:tcBorders>
            <w:noWrap w:val="0"/>
            <w:vAlign w:val="center"/>
          </w:tcPr>
          <w:p>
            <w:pPr>
              <w:spacing w:line="300" w:lineRule="exact"/>
              <w:jc w:val="center"/>
              <w:rPr>
                <w:rFonts w:hint="eastAsia" w:eastAsia="仿宋_GB2312"/>
                <w:szCs w:val="21"/>
              </w:rPr>
            </w:pPr>
            <w:r>
              <w:rPr>
                <w:rFonts w:hint="eastAsia" w:eastAsia="仿宋_GB2312"/>
                <w:szCs w:val="21"/>
              </w:rPr>
              <w:t>&gt;98</w:t>
            </w:r>
          </w:p>
        </w:tc>
        <w:tc>
          <w:tcPr>
            <w:tcW w:w="106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约束性</w:t>
            </w:r>
          </w:p>
        </w:tc>
        <w:tc>
          <w:tcPr>
            <w:tcW w:w="1555" w:type="dxa"/>
            <w:tcBorders>
              <w:top w:val="single" w:color="auto" w:sz="8" w:space="0"/>
              <w:left w:val="single" w:color="auto" w:sz="8" w:space="0"/>
              <w:bottom w:val="single" w:color="auto" w:sz="8" w:space="0"/>
              <w:right w:val="single" w:color="auto" w:sz="8" w:space="0"/>
            </w:tcBorders>
            <w:noWrap w:val="0"/>
            <w:tcMar>
              <w:left w:w="14" w:type="dxa"/>
              <w:right w:w="14" w:type="dxa"/>
            </w:tcMar>
            <w:vAlign w:val="center"/>
          </w:tcPr>
          <w:p>
            <w:pPr>
              <w:spacing w:line="300" w:lineRule="exact"/>
              <w:jc w:val="center"/>
              <w:rPr>
                <w:rFonts w:hint="eastAsia" w:eastAsia="仿宋_GB2312"/>
                <w:spacing w:val="-12"/>
                <w:szCs w:val="21"/>
              </w:rPr>
            </w:pPr>
            <w:r>
              <w:rPr>
                <w:rFonts w:hint="eastAsia" w:eastAsia="仿宋_GB2312"/>
                <w:spacing w:val="-12"/>
                <w:szCs w:val="21"/>
              </w:rPr>
              <w:t>市食品药品监管局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25" w:hRule="exact"/>
          <w:jc w:val="center"/>
        </w:trPr>
        <w:tc>
          <w:tcPr>
            <w:tcW w:w="683" w:type="dxa"/>
            <w:vMerge w:val="continue"/>
            <w:tcBorders>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534" w:type="dxa"/>
            <w:vMerge w:val="restart"/>
            <w:tcBorders>
              <w:top w:val="single" w:color="auto" w:sz="8" w:space="0"/>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13</w:t>
            </w:r>
          </w:p>
        </w:tc>
        <w:tc>
          <w:tcPr>
            <w:tcW w:w="1244" w:type="dxa"/>
            <w:vMerge w:val="restart"/>
            <w:tcBorders>
              <w:top w:val="single" w:color="auto" w:sz="8" w:space="0"/>
              <w:left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生活行为绿色化水平</w:t>
            </w:r>
          </w:p>
        </w:tc>
        <w:tc>
          <w:tcPr>
            <w:tcW w:w="4633" w:type="dxa"/>
            <w:gridSpan w:val="4"/>
            <w:tcBorders>
              <w:top w:val="single" w:color="auto" w:sz="8" w:space="0"/>
              <w:left w:val="single" w:color="auto" w:sz="4"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实施垃圾分类收集率（以人口计）</w:t>
            </w:r>
          </w:p>
        </w:tc>
        <w:tc>
          <w:tcPr>
            <w:tcW w:w="989"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ind w:left="-105" w:leftChars="-50" w:right="-105" w:rightChars="-50"/>
              <w:jc w:val="center"/>
              <w:rPr>
                <w:rFonts w:hint="eastAsia" w:eastAsia="仿宋_GB2312"/>
                <w:szCs w:val="21"/>
              </w:rPr>
            </w:pPr>
            <w:r>
              <w:rPr>
                <w:rFonts w:hint="eastAsia" w:eastAsia="仿宋_GB2312"/>
                <w:szCs w:val="21"/>
              </w:rPr>
              <w:t>%</w:t>
            </w:r>
          </w:p>
        </w:tc>
        <w:tc>
          <w:tcPr>
            <w:tcW w:w="1070"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w:t>
            </w:r>
          </w:p>
        </w:tc>
        <w:tc>
          <w:tcPr>
            <w:tcW w:w="117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8</w:t>
            </w:r>
          </w:p>
        </w:tc>
        <w:tc>
          <w:tcPr>
            <w:tcW w:w="983" w:type="dxa"/>
            <w:tcBorders>
              <w:top w:val="single" w:color="auto" w:sz="8" w:space="0"/>
              <w:left w:val="single" w:color="auto" w:sz="8"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20</w:t>
            </w:r>
          </w:p>
        </w:tc>
        <w:tc>
          <w:tcPr>
            <w:tcW w:w="1067" w:type="dxa"/>
            <w:tcBorders>
              <w:top w:val="single" w:color="auto" w:sz="8" w:space="0"/>
              <w:left w:val="single" w:color="auto" w:sz="4" w:space="0"/>
              <w:bottom w:val="single" w:color="auto" w:sz="8" w:space="0"/>
              <w:right w:val="single" w:color="auto" w:sz="8" w:space="0"/>
            </w:tcBorders>
            <w:noWrap w:val="0"/>
            <w:vAlign w:val="center"/>
          </w:tcPr>
          <w:p>
            <w:pPr>
              <w:spacing w:line="300" w:lineRule="exact"/>
              <w:jc w:val="center"/>
              <w:rPr>
                <w:rFonts w:hint="eastAsia" w:eastAsia="仿宋_GB2312"/>
                <w:szCs w:val="21"/>
              </w:rPr>
            </w:pPr>
            <w:r>
              <w:rPr>
                <w:rFonts w:hint="eastAsia" w:eastAsia="仿宋_GB2312"/>
                <w:szCs w:val="21"/>
              </w:rPr>
              <w:t>30</w:t>
            </w:r>
          </w:p>
        </w:tc>
        <w:tc>
          <w:tcPr>
            <w:tcW w:w="106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预期性</w:t>
            </w:r>
          </w:p>
        </w:tc>
        <w:tc>
          <w:tcPr>
            <w:tcW w:w="1555" w:type="dxa"/>
            <w:tcBorders>
              <w:top w:val="single" w:color="auto" w:sz="8" w:space="0"/>
              <w:left w:val="single" w:color="auto" w:sz="8" w:space="0"/>
              <w:bottom w:val="single" w:color="auto" w:sz="8" w:space="0"/>
              <w:right w:val="single" w:color="auto" w:sz="8" w:space="0"/>
            </w:tcBorders>
            <w:noWrap w:val="0"/>
            <w:tcMar>
              <w:left w:w="14" w:type="dxa"/>
              <w:right w:w="14" w:type="dxa"/>
            </w:tcMar>
            <w:vAlign w:val="center"/>
          </w:tcPr>
          <w:p>
            <w:pPr>
              <w:spacing w:line="300" w:lineRule="exact"/>
              <w:jc w:val="center"/>
              <w:rPr>
                <w:rFonts w:hint="eastAsia" w:eastAsia="仿宋_GB2312"/>
                <w:spacing w:val="-12"/>
                <w:szCs w:val="21"/>
              </w:rPr>
            </w:pPr>
            <w:r>
              <w:rPr>
                <w:rFonts w:hint="eastAsia" w:eastAsia="仿宋_GB2312"/>
                <w:spacing w:val="-12"/>
                <w:szCs w:val="21"/>
              </w:rPr>
              <w:t>市城管局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25" w:hRule="exact"/>
          <w:jc w:val="center"/>
        </w:trPr>
        <w:tc>
          <w:tcPr>
            <w:tcW w:w="683" w:type="dxa"/>
            <w:vMerge w:val="continue"/>
            <w:tcBorders>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534" w:type="dxa"/>
            <w:vMerge w:val="continue"/>
            <w:tcBorders>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1244" w:type="dxa"/>
            <w:vMerge w:val="continue"/>
            <w:tcBorders>
              <w:left w:val="single" w:color="auto" w:sz="8"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p>
        </w:tc>
        <w:tc>
          <w:tcPr>
            <w:tcW w:w="4633" w:type="dxa"/>
            <w:gridSpan w:val="4"/>
            <w:tcBorders>
              <w:top w:val="single" w:color="auto" w:sz="8" w:space="0"/>
              <w:left w:val="single" w:color="auto" w:sz="4"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pacing w:val="-12"/>
                <w:szCs w:val="21"/>
              </w:rPr>
            </w:pPr>
            <w:r>
              <w:rPr>
                <w:rFonts w:hint="eastAsia" w:eastAsia="仿宋_GB2312"/>
                <w:spacing w:val="-12"/>
                <w:szCs w:val="21"/>
              </w:rPr>
              <w:t>城市居民公共交通出行分担率*</w:t>
            </w:r>
          </w:p>
        </w:tc>
        <w:tc>
          <w:tcPr>
            <w:tcW w:w="989"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ind w:left="-105" w:leftChars="-50" w:right="-105" w:rightChars="-50"/>
              <w:jc w:val="center"/>
              <w:rPr>
                <w:rFonts w:hint="eastAsia" w:eastAsia="仿宋_GB2312"/>
                <w:szCs w:val="21"/>
              </w:rPr>
            </w:pPr>
            <w:r>
              <w:rPr>
                <w:rFonts w:hint="eastAsia" w:eastAsia="仿宋_GB2312"/>
                <w:szCs w:val="21"/>
              </w:rPr>
              <w:t>%</w:t>
            </w:r>
          </w:p>
        </w:tc>
        <w:tc>
          <w:tcPr>
            <w:tcW w:w="1070"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12.3</w:t>
            </w:r>
          </w:p>
        </w:tc>
        <w:tc>
          <w:tcPr>
            <w:tcW w:w="117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18</w:t>
            </w:r>
          </w:p>
        </w:tc>
        <w:tc>
          <w:tcPr>
            <w:tcW w:w="983" w:type="dxa"/>
            <w:tcBorders>
              <w:top w:val="single" w:color="auto" w:sz="8" w:space="0"/>
              <w:left w:val="single" w:color="auto" w:sz="8"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20</w:t>
            </w:r>
          </w:p>
        </w:tc>
        <w:tc>
          <w:tcPr>
            <w:tcW w:w="1067" w:type="dxa"/>
            <w:tcBorders>
              <w:top w:val="single" w:color="auto" w:sz="8" w:space="0"/>
              <w:left w:val="single" w:color="auto" w:sz="4" w:space="0"/>
              <w:bottom w:val="single" w:color="auto" w:sz="8" w:space="0"/>
              <w:right w:val="single" w:color="auto" w:sz="8" w:space="0"/>
            </w:tcBorders>
            <w:noWrap w:val="0"/>
            <w:vAlign w:val="center"/>
          </w:tcPr>
          <w:p>
            <w:pPr>
              <w:spacing w:line="300" w:lineRule="exact"/>
              <w:jc w:val="center"/>
              <w:rPr>
                <w:rFonts w:hint="eastAsia" w:eastAsia="仿宋_GB2312"/>
                <w:szCs w:val="21"/>
              </w:rPr>
            </w:pPr>
            <w:r>
              <w:rPr>
                <w:rFonts w:hint="eastAsia" w:eastAsia="仿宋_GB2312"/>
                <w:szCs w:val="21"/>
              </w:rPr>
              <w:t>26</w:t>
            </w:r>
          </w:p>
        </w:tc>
        <w:tc>
          <w:tcPr>
            <w:tcW w:w="106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预期性</w:t>
            </w:r>
          </w:p>
        </w:tc>
        <w:tc>
          <w:tcPr>
            <w:tcW w:w="1555" w:type="dxa"/>
            <w:tcBorders>
              <w:top w:val="single" w:color="auto" w:sz="8" w:space="0"/>
              <w:left w:val="single" w:color="auto" w:sz="8" w:space="0"/>
              <w:bottom w:val="single" w:color="auto" w:sz="8" w:space="0"/>
              <w:right w:val="single" w:color="auto" w:sz="8" w:space="0"/>
            </w:tcBorders>
            <w:noWrap w:val="0"/>
            <w:tcMar>
              <w:left w:w="14" w:type="dxa"/>
              <w:right w:w="14" w:type="dxa"/>
            </w:tcMar>
            <w:vAlign w:val="center"/>
          </w:tcPr>
          <w:p>
            <w:pPr>
              <w:spacing w:line="300" w:lineRule="exact"/>
              <w:jc w:val="center"/>
              <w:rPr>
                <w:rFonts w:hint="eastAsia" w:eastAsia="仿宋_GB2312"/>
                <w:spacing w:val="-12"/>
                <w:szCs w:val="21"/>
              </w:rPr>
            </w:pPr>
            <w:r>
              <w:rPr>
                <w:rFonts w:hint="eastAsia" w:eastAsia="仿宋_GB2312"/>
                <w:spacing w:val="-12"/>
                <w:szCs w:val="21"/>
              </w:rPr>
              <w:t>市交通运输局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25" w:hRule="exact"/>
          <w:jc w:val="center"/>
        </w:trPr>
        <w:tc>
          <w:tcPr>
            <w:tcW w:w="683" w:type="dxa"/>
            <w:vMerge w:val="restart"/>
            <w:tcBorders>
              <w:top w:val="single" w:color="auto" w:sz="8" w:space="0"/>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生态文化</w:t>
            </w:r>
          </w:p>
        </w:tc>
        <w:tc>
          <w:tcPr>
            <w:tcW w:w="534" w:type="dxa"/>
            <w:vMerge w:val="restart"/>
            <w:tcBorders>
              <w:top w:val="single" w:color="auto" w:sz="8" w:space="0"/>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14</w:t>
            </w:r>
          </w:p>
        </w:tc>
        <w:tc>
          <w:tcPr>
            <w:tcW w:w="1244" w:type="dxa"/>
            <w:vMerge w:val="restart"/>
            <w:tcBorders>
              <w:top w:val="single" w:color="auto" w:sz="8" w:space="0"/>
              <w:left w:val="single" w:color="auto" w:sz="8" w:space="0"/>
              <w:right w:val="single" w:color="auto" w:sz="4" w:space="0"/>
            </w:tcBorders>
            <w:noWrap w:val="0"/>
            <w:tcMar>
              <w:left w:w="85" w:type="dxa"/>
              <w:right w:w="85" w:type="dxa"/>
            </w:tcMar>
            <w:vAlign w:val="center"/>
          </w:tcPr>
          <w:p>
            <w:pPr>
              <w:spacing w:line="240" w:lineRule="exact"/>
              <w:ind w:right="-174" w:rightChars="-83"/>
              <w:jc w:val="center"/>
              <w:rPr>
                <w:rFonts w:hint="eastAsia" w:eastAsia="仿宋_GB2312"/>
                <w:szCs w:val="21"/>
              </w:rPr>
            </w:pPr>
            <w:r>
              <w:rPr>
                <w:rFonts w:hint="eastAsia" w:eastAsia="仿宋_GB2312"/>
                <w:szCs w:val="21"/>
              </w:rPr>
              <w:t>居民生态</w:t>
            </w:r>
          </w:p>
          <w:p>
            <w:pPr>
              <w:spacing w:line="240" w:lineRule="exact"/>
              <w:ind w:right="-174" w:rightChars="-83"/>
              <w:jc w:val="center"/>
              <w:rPr>
                <w:rFonts w:hint="eastAsia" w:eastAsia="仿宋_GB2312"/>
                <w:szCs w:val="21"/>
              </w:rPr>
            </w:pPr>
            <w:r>
              <w:rPr>
                <w:rFonts w:hint="eastAsia" w:eastAsia="仿宋_GB2312"/>
                <w:szCs w:val="21"/>
              </w:rPr>
              <w:t>文明素质</w:t>
            </w:r>
          </w:p>
          <w:p>
            <w:pPr>
              <w:spacing w:line="240" w:lineRule="exact"/>
              <w:ind w:right="-174" w:rightChars="-83"/>
              <w:jc w:val="center"/>
              <w:rPr>
                <w:rFonts w:hint="eastAsia" w:eastAsia="仿宋_GB2312"/>
                <w:szCs w:val="21"/>
              </w:rPr>
            </w:pPr>
            <w:r>
              <w:rPr>
                <w:rFonts w:hint="eastAsia" w:eastAsia="仿宋_GB2312"/>
                <w:szCs w:val="21"/>
              </w:rPr>
              <w:t>水平</w:t>
            </w:r>
          </w:p>
        </w:tc>
        <w:tc>
          <w:tcPr>
            <w:tcW w:w="4633" w:type="dxa"/>
            <w:gridSpan w:val="4"/>
            <w:tcBorders>
              <w:top w:val="single" w:color="auto" w:sz="8" w:space="0"/>
              <w:left w:val="single" w:color="auto" w:sz="4"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生态文明知识普及率</w:t>
            </w:r>
          </w:p>
        </w:tc>
        <w:tc>
          <w:tcPr>
            <w:tcW w:w="989"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ind w:left="-105" w:leftChars="-50" w:right="-105" w:rightChars="-50"/>
              <w:jc w:val="center"/>
              <w:rPr>
                <w:rFonts w:hint="eastAsia" w:eastAsia="仿宋_GB2312"/>
                <w:szCs w:val="21"/>
              </w:rPr>
            </w:pPr>
            <w:r>
              <w:rPr>
                <w:rFonts w:hint="eastAsia" w:eastAsia="仿宋_GB2312"/>
                <w:szCs w:val="21"/>
              </w:rPr>
              <w:t>%</w:t>
            </w:r>
          </w:p>
        </w:tc>
        <w:tc>
          <w:tcPr>
            <w:tcW w:w="1070"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65</w:t>
            </w:r>
          </w:p>
        </w:tc>
        <w:tc>
          <w:tcPr>
            <w:tcW w:w="117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85</w:t>
            </w:r>
          </w:p>
        </w:tc>
        <w:tc>
          <w:tcPr>
            <w:tcW w:w="983" w:type="dxa"/>
            <w:tcBorders>
              <w:top w:val="single" w:color="auto" w:sz="8" w:space="0"/>
              <w:left w:val="single" w:color="auto" w:sz="8"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95</w:t>
            </w:r>
          </w:p>
        </w:tc>
        <w:tc>
          <w:tcPr>
            <w:tcW w:w="1067" w:type="dxa"/>
            <w:tcBorders>
              <w:top w:val="single" w:color="auto" w:sz="8" w:space="0"/>
              <w:left w:val="single" w:color="auto" w:sz="4" w:space="0"/>
              <w:bottom w:val="single" w:color="auto" w:sz="8" w:space="0"/>
              <w:right w:val="single" w:color="auto" w:sz="8" w:space="0"/>
            </w:tcBorders>
            <w:noWrap w:val="0"/>
            <w:vAlign w:val="center"/>
          </w:tcPr>
          <w:p>
            <w:pPr>
              <w:spacing w:line="300" w:lineRule="exact"/>
              <w:jc w:val="center"/>
              <w:rPr>
                <w:rFonts w:hint="eastAsia" w:eastAsia="仿宋_GB2312"/>
                <w:szCs w:val="21"/>
              </w:rPr>
            </w:pPr>
            <w:r>
              <w:rPr>
                <w:rFonts w:hint="eastAsia" w:eastAsia="仿宋_GB2312"/>
                <w:szCs w:val="21"/>
              </w:rPr>
              <w:t>98</w:t>
            </w:r>
          </w:p>
        </w:tc>
        <w:tc>
          <w:tcPr>
            <w:tcW w:w="106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预期性</w:t>
            </w:r>
          </w:p>
        </w:tc>
        <w:tc>
          <w:tcPr>
            <w:tcW w:w="1555" w:type="dxa"/>
            <w:tcBorders>
              <w:top w:val="single" w:color="auto" w:sz="8" w:space="0"/>
              <w:left w:val="single" w:color="auto" w:sz="8" w:space="0"/>
              <w:bottom w:val="single" w:color="auto" w:sz="8" w:space="0"/>
              <w:right w:val="single" w:color="auto" w:sz="8" w:space="0"/>
            </w:tcBorders>
            <w:noWrap w:val="0"/>
            <w:tcMar>
              <w:left w:w="14" w:type="dxa"/>
              <w:right w:w="14" w:type="dxa"/>
            </w:tcMar>
            <w:vAlign w:val="center"/>
          </w:tcPr>
          <w:p>
            <w:pPr>
              <w:spacing w:line="300" w:lineRule="exact"/>
              <w:jc w:val="center"/>
              <w:rPr>
                <w:rFonts w:hint="eastAsia" w:eastAsia="仿宋_GB2312"/>
                <w:spacing w:val="-12"/>
                <w:szCs w:val="21"/>
              </w:rPr>
            </w:pPr>
            <w:r>
              <w:rPr>
                <w:rFonts w:hint="eastAsia" w:eastAsia="仿宋_GB2312"/>
                <w:spacing w:val="-12"/>
                <w:szCs w:val="21"/>
              </w:rPr>
              <w:t>市环保局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25" w:hRule="exact"/>
          <w:jc w:val="center"/>
        </w:trPr>
        <w:tc>
          <w:tcPr>
            <w:tcW w:w="683" w:type="dxa"/>
            <w:vMerge w:val="continue"/>
            <w:tcBorders>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534" w:type="dxa"/>
            <w:vMerge w:val="continue"/>
            <w:tcBorders>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1244" w:type="dxa"/>
            <w:vMerge w:val="continue"/>
            <w:tcBorders>
              <w:left w:val="single" w:color="auto" w:sz="8" w:space="0"/>
              <w:bottom w:val="single" w:color="auto" w:sz="8" w:space="0"/>
              <w:right w:val="single" w:color="auto" w:sz="4" w:space="0"/>
            </w:tcBorders>
            <w:noWrap w:val="0"/>
            <w:tcMar>
              <w:left w:w="57" w:type="dxa"/>
              <w:right w:w="57" w:type="dxa"/>
            </w:tcMar>
            <w:vAlign w:val="center"/>
          </w:tcPr>
          <w:p>
            <w:pPr>
              <w:spacing w:line="240" w:lineRule="exact"/>
              <w:jc w:val="center"/>
              <w:rPr>
                <w:rFonts w:hint="eastAsia" w:eastAsia="仿宋_GB2312"/>
                <w:szCs w:val="21"/>
              </w:rPr>
            </w:pPr>
          </w:p>
        </w:tc>
        <w:tc>
          <w:tcPr>
            <w:tcW w:w="4633" w:type="dxa"/>
            <w:gridSpan w:val="4"/>
            <w:tcBorders>
              <w:top w:val="single" w:color="auto" w:sz="4" w:space="0"/>
              <w:left w:val="single" w:color="auto" w:sz="4"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pacing w:val="-10"/>
                <w:szCs w:val="21"/>
              </w:rPr>
            </w:pPr>
            <w:r>
              <w:rPr>
                <w:rFonts w:hint="eastAsia" w:eastAsia="仿宋_GB2312"/>
                <w:spacing w:val="-10"/>
                <w:szCs w:val="21"/>
              </w:rPr>
              <w:t>注册环保志愿者人数占城镇人口比例*</w:t>
            </w:r>
          </w:p>
        </w:tc>
        <w:tc>
          <w:tcPr>
            <w:tcW w:w="989" w:type="dxa"/>
            <w:tcBorders>
              <w:top w:val="single" w:color="auto" w:sz="4"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ind w:left="-105" w:leftChars="-50" w:right="-105" w:rightChars="-50"/>
              <w:jc w:val="center"/>
              <w:rPr>
                <w:rFonts w:hint="eastAsia" w:eastAsia="仿宋_GB2312"/>
                <w:szCs w:val="21"/>
              </w:rPr>
            </w:pPr>
            <w:r>
              <w:rPr>
                <w:rFonts w:hint="eastAsia" w:eastAsia="仿宋_GB2312"/>
                <w:szCs w:val="21"/>
              </w:rPr>
              <w:t>%</w:t>
            </w:r>
          </w:p>
        </w:tc>
        <w:tc>
          <w:tcPr>
            <w:tcW w:w="1070" w:type="dxa"/>
            <w:tcBorders>
              <w:top w:val="single" w:color="auto" w:sz="4"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w:t>
            </w:r>
          </w:p>
        </w:tc>
        <w:tc>
          <w:tcPr>
            <w:tcW w:w="1177" w:type="dxa"/>
            <w:tcBorders>
              <w:top w:val="single" w:color="auto" w:sz="4"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3</w:t>
            </w:r>
          </w:p>
        </w:tc>
        <w:tc>
          <w:tcPr>
            <w:tcW w:w="983" w:type="dxa"/>
            <w:tcBorders>
              <w:top w:val="single" w:color="auto" w:sz="4" w:space="0"/>
              <w:left w:val="single" w:color="auto" w:sz="8"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5</w:t>
            </w:r>
          </w:p>
        </w:tc>
        <w:tc>
          <w:tcPr>
            <w:tcW w:w="1067" w:type="dxa"/>
            <w:tcBorders>
              <w:top w:val="single" w:color="auto" w:sz="4" w:space="0"/>
              <w:left w:val="single" w:color="auto" w:sz="4" w:space="0"/>
              <w:bottom w:val="single" w:color="auto" w:sz="8" w:space="0"/>
              <w:right w:val="single" w:color="auto" w:sz="8" w:space="0"/>
            </w:tcBorders>
            <w:noWrap w:val="0"/>
            <w:vAlign w:val="center"/>
          </w:tcPr>
          <w:p>
            <w:pPr>
              <w:spacing w:line="300" w:lineRule="exact"/>
              <w:jc w:val="center"/>
              <w:rPr>
                <w:rFonts w:hint="eastAsia" w:eastAsia="仿宋_GB2312"/>
                <w:szCs w:val="21"/>
              </w:rPr>
            </w:pPr>
            <w:r>
              <w:rPr>
                <w:rFonts w:hint="eastAsia" w:eastAsia="仿宋_GB2312"/>
                <w:szCs w:val="21"/>
              </w:rPr>
              <w:t>8</w:t>
            </w:r>
          </w:p>
        </w:tc>
        <w:tc>
          <w:tcPr>
            <w:tcW w:w="1067" w:type="dxa"/>
            <w:tcBorders>
              <w:top w:val="single" w:color="auto" w:sz="4"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预期性</w:t>
            </w:r>
          </w:p>
        </w:tc>
        <w:tc>
          <w:tcPr>
            <w:tcW w:w="1555" w:type="dxa"/>
            <w:tcBorders>
              <w:top w:val="single" w:color="auto" w:sz="4" w:space="0"/>
              <w:left w:val="single" w:color="auto" w:sz="8" w:space="0"/>
              <w:bottom w:val="single" w:color="auto" w:sz="8" w:space="0"/>
              <w:right w:val="single" w:color="auto" w:sz="8" w:space="0"/>
            </w:tcBorders>
            <w:noWrap w:val="0"/>
            <w:tcMar>
              <w:left w:w="14" w:type="dxa"/>
              <w:right w:w="14" w:type="dxa"/>
            </w:tcMar>
            <w:vAlign w:val="center"/>
          </w:tcPr>
          <w:p>
            <w:pPr>
              <w:spacing w:line="300" w:lineRule="exact"/>
              <w:jc w:val="center"/>
              <w:rPr>
                <w:rFonts w:hint="eastAsia" w:eastAsia="仿宋_GB2312"/>
                <w:spacing w:val="-12"/>
                <w:szCs w:val="21"/>
              </w:rPr>
            </w:pPr>
            <w:r>
              <w:rPr>
                <w:rFonts w:hint="eastAsia" w:eastAsia="仿宋_GB2312"/>
                <w:spacing w:val="-12"/>
                <w:szCs w:val="21"/>
              </w:rPr>
              <w:t>市委宣传部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78" w:hRule="exact"/>
          <w:jc w:val="center"/>
        </w:trPr>
        <w:tc>
          <w:tcPr>
            <w:tcW w:w="683" w:type="dxa"/>
            <w:vMerge w:val="continue"/>
            <w:tcBorders>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534" w:type="dxa"/>
            <w:vMerge w:val="restart"/>
            <w:tcBorders>
              <w:top w:val="single" w:color="auto" w:sz="4" w:space="0"/>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15</w:t>
            </w:r>
          </w:p>
        </w:tc>
        <w:tc>
          <w:tcPr>
            <w:tcW w:w="1244" w:type="dxa"/>
            <w:vMerge w:val="restart"/>
            <w:tcBorders>
              <w:top w:val="single" w:color="auto" w:sz="8" w:space="0"/>
              <w:left w:val="single" w:color="auto" w:sz="8" w:space="0"/>
              <w:right w:val="single" w:color="auto" w:sz="4" w:space="0"/>
            </w:tcBorders>
            <w:noWrap w:val="0"/>
            <w:tcMar>
              <w:left w:w="57" w:type="dxa"/>
              <w:right w:w="57" w:type="dxa"/>
            </w:tcMar>
            <w:vAlign w:val="center"/>
          </w:tcPr>
          <w:p>
            <w:pPr>
              <w:spacing w:line="240" w:lineRule="exact"/>
              <w:jc w:val="center"/>
              <w:rPr>
                <w:rFonts w:hint="eastAsia" w:eastAsia="仿宋_GB2312"/>
                <w:szCs w:val="21"/>
              </w:rPr>
            </w:pPr>
            <w:r>
              <w:rPr>
                <w:rFonts w:hint="eastAsia" w:eastAsia="仿宋_GB2312"/>
                <w:szCs w:val="21"/>
              </w:rPr>
              <w:t>生态文明教育程度</w:t>
            </w:r>
          </w:p>
        </w:tc>
        <w:tc>
          <w:tcPr>
            <w:tcW w:w="4633" w:type="dxa"/>
            <w:gridSpan w:val="4"/>
            <w:tcBorders>
              <w:top w:val="single" w:color="auto" w:sz="8" w:space="0"/>
              <w:left w:val="single" w:color="auto" w:sz="4"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pacing w:val="-8"/>
                <w:szCs w:val="21"/>
              </w:rPr>
            </w:pPr>
            <w:r>
              <w:rPr>
                <w:rFonts w:hint="eastAsia" w:eastAsia="仿宋_GB2312"/>
                <w:spacing w:val="-8"/>
                <w:szCs w:val="21"/>
              </w:rPr>
              <w:t>中小学生接受生态文明教育比例</w:t>
            </w:r>
          </w:p>
        </w:tc>
        <w:tc>
          <w:tcPr>
            <w:tcW w:w="989"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ind w:left="-105" w:leftChars="-50" w:right="-105" w:rightChars="-50"/>
              <w:jc w:val="center"/>
              <w:rPr>
                <w:rFonts w:hint="eastAsia" w:eastAsia="仿宋_GB2312"/>
                <w:szCs w:val="21"/>
              </w:rPr>
            </w:pPr>
            <w:r>
              <w:rPr>
                <w:rFonts w:hint="eastAsia" w:eastAsia="仿宋_GB2312"/>
                <w:szCs w:val="21"/>
              </w:rPr>
              <w:t>%</w:t>
            </w:r>
          </w:p>
        </w:tc>
        <w:tc>
          <w:tcPr>
            <w:tcW w:w="1070"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90</w:t>
            </w:r>
          </w:p>
        </w:tc>
        <w:tc>
          <w:tcPr>
            <w:tcW w:w="117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95</w:t>
            </w:r>
          </w:p>
        </w:tc>
        <w:tc>
          <w:tcPr>
            <w:tcW w:w="983" w:type="dxa"/>
            <w:tcBorders>
              <w:top w:val="single" w:color="auto" w:sz="8" w:space="0"/>
              <w:left w:val="single" w:color="auto" w:sz="8"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98</w:t>
            </w:r>
          </w:p>
        </w:tc>
        <w:tc>
          <w:tcPr>
            <w:tcW w:w="1067" w:type="dxa"/>
            <w:tcBorders>
              <w:top w:val="single" w:color="auto" w:sz="8" w:space="0"/>
              <w:left w:val="single" w:color="auto" w:sz="4" w:space="0"/>
              <w:bottom w:val="single" w:color="auto" w:sz="8" w:space="0"/>
              <w:right w:val="single" w:color="auto" w:sz="8" w:space="0"/>
            </w:tcBorders>
            <w:noWrap w:val="0"/>
            <w:vAlign w:val="center"/>
          </w:tcPr>
          <w:p>
            <w:pPr>
              <w:spacing w:line="300" w:lineRule="exact"/>
              <w:jc w:val="center"/>
              <w:rPr>
                <w:rFonts w:hint="eastAsia" w:eastAsia="仿宋_GB2312"/>
                <w:szCs w:val="21"/>
              </w:rPr>
            </w:pPr>
            <w:r>
              <w:rPr>
                <w:rFonts w:hint="eastAsia" w:eastAsia="仿宋_GB2312"/>
                <w:szCs w:val="21"/>
              </w:rPr>
              <w:t>100</w:t>
            </w:r>
          </w:p>
        </w:tc>
        <w:tc>
          <w:tcPr>
            <w:tcW w:w="106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约束性</w:t>
            </w:r>
          </w:p>
        </w:tc>
        <w:tc>
          <w:tcPr>
            <w:tcW w:w="1555" w:type="dxa"/>
            <w:tcBorders>
              <w:top w:val="single" w:color="auto" w:sz="8" w:space="0"/>
              <w:left w:val="single" w:color="auto" w:sz="8" w:space="0"/>
              <w:bottom w:val="single" w:color="auto" w:sz="8" w:space="0"/>
              <w:right w:val="single" w:color="auto" w:sz="8" w:space="0"/>
            </w:tcBorders>
            <w:noWrap w:val="0"/>
            <w:tcMar>
              <w:left w:w="14" w:type="dxa"/>
              <w:right w:w="14" w:type="dxa"/>
            </w:tcMar>
            <w:vAlign w:val="center"/>
          </w:tcPr>
          <w:p>
            <w:pPr>
              <w:spacing w:line="300" w:lineRule="exact"/>
              <w:jc w:val="center"/>
              <w:rPr>
                <w:rFonts w:hint="eastAsia" w:eastAsia="仿宋_GB2312"/>
                <w:spacing w:val="-12"/>
                <w:szCs w:val="21"/>
              </w:rPr>
            </w:pPr>
            <w:r>
              <w:rPr>
                <w:rFonts w:hint="eastAsia" w:eastAsia="仿宋_GB2312"/>
                <w:spacing w:val="-12"/>
                <w:szCs w:val="21"/>
              </w:rPr>
              <w:t>市教育局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29" w:hRule="exact"/>
          <w:jc w:val="center"/>
        </w:trPr>
        <w:tc>
          <w:tcPr>
            <w:tcW w:w="683" w:type="dxa"/>
            <w:vMerge w:val="continue"/>
            <w:tcBorders>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534" w:type="dxa"/>
            <w:vMerge w:val="continue"/>
            <w:tcBorders>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1244" w:type="dxa"/>
            <w:vMerge w:val="continue"/>
            <w:tcBorders>
              <w:left w:val="single" w:color="auto" w:sz="8" w:space="0"/>
              <w:right w:val="single" w:color="auto" w:sz="4" w:space="0"/>
            </w:tcBorders>
            <w:noWrap w:val="0"/>
            <w:tcMar>
              <w:left w:w="57" w:type="dxa"/>
              <w:right w:w="57" w:type="dxa"/>
            </w:tcMar>
            <w:vAlign w:val="center"/>
          </w:tcPr>
          <w:p>
            <w:pPr>
              <w:spacing w:line="240" w:lineRule="exact"/>
              <w:jc w:val="center"/>
              <w:rPr>
                <w:rFonts w:hint="eastAsia" w:eastAsia="仿宋_GB2312"/>
                <w:szCs w:val="21"/>
              </w:rPr>
            </w:pPr>
          </w:p>
        </w:tc>
        <w:tc>
          <w:tcPr>
            <w:tcW w:w="4633" w:type="dxa"/>
            <w:gridSpan w:val="4"/>
            <w:tcBorders>
              <w:top w:val="single" w:color="auto" w:sz="8" w:space="0"/>
              <w:left w:val="single" w:color="auto" w:sz="4"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pacing w:val="-8"/>
                <w:szCs w:val="21"/>
              </w:rPr>
            </w:pPr>
            <w:r>
              <w:rPr>
                <w:rFonts w:hint="eastAsia" w:eastAsia="仿宋_GB2312"/>
                <w:spacing w:val="-10"/>
                <w:szCs w:val="21"/>
              </w:rPr>
              <w:t>党政干部参加生态文明培训比例</w:t>
            </w:r>
          </w:p>
        </w:tc>
        <w:tc>
          <w:tcPr>
            <w:tcW w:w="989"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ind w:left="-105" w:leftChars="-50" w:right="-105" w:rightChars="-50"/>
              <w:jc w:val="center"/>
              <w:rPr>
                <w:rFonts w:hint="eastAsia" w:eastAsia="仿宋_GB2312"/>
                <w:szCs w:val="21"/>
              </w:rPr>
            </w:pPr>
            <w:r>
              <w:rPr>
                <w:rFonts w:hint="eastAsia" w:eastAsia="仿宋_GB2312"/>
                <w:szCs w:val="21"/>
              </w:rPr>
              <w:t>%</w:t>
            </w:r>
          </w:p>
        </w:tc>
        <w:tc>
          <w:tcPr>
            <w:tcW w:w="1070"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80</w:t>
            </w:r>
          </w:p>
        </w:tc>
        <w:tc>
          <w:tcPr>
            <w:tcW w:w="117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90</w:t>
            </w:r>
          </w:p>
        </w:tc>
        <w:tc>
          <w:tcPr>
            <w:tcW w:w="983" w:type="dxa"/>
            <w:tcBorders>
              <w:top w:val="single" w:color="auto" w:sz="8" w:space="0"/>
              <w:left w:val="single" w:color="auto" w:sz="8"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95</w:t>
            </w:r>
          </w:p>
        </w:tc>
        <w:tc>
          <w:tcPr>
            <w:tcW w:w="1067" w:type="dxa"/>
            <w:tcBorders>
              <w:top w:val="single" w:color="auto" w:sz="8" w:space="0"/>
              <w:left w:val="single" w:color="auto" w:sz="4" w:space="0"/>
              <w:bottom w:val="single" w:color="auto" w:sz="8" w:space="0"/>
              <w:right w:val="single" w:color="auto" w:sz="8" w:space="0"/>
            </w:tcBorders>
            <w:noWrap w:val="0"/>
            <w:vAlign w:val="center"/>
          </w:tcPr>
          <w:p>
            <w:pPr>
              <w:spacing w:line="300" w:lineRule="exact"/>
              <w:jc w:val="center"/>
              <w:rPr>
                <w:rFonts w:hint="eastAsia" w:eastAsia="仿宋_GB2312"/>
                <w:szCs w:val="21"/>
              </w:rPr>
            </w:pPr>
            <w:r>
              <w:rPr>
                <w:rFonts w:hint="eastAsia" w:eastAsia="仿宋_GB2312"/>
                <w:szCs w:val="21"/>
              </w:rPr>
              <w:t>100</w:t>
            </w:r>
          </w:p>
        </w:tc>
        <w:tc>
          <w:tcPr>
            <w:tcW w:w="106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jc w:val="center"/>
            </w:pPr>
            <w:r>
              <w:rPr>
                <w:rFonts w:hint="eastAsia" w:eastAsia="仿宋_GB2312"/>
                <w:szCs w:val="21"/>
              </w:rPr>
              <w:t>约束性</w:t>
            </w:r>
          </w:p>
        </w:tc>
        <w:tc>
          <w:tcPr>
            <w:tcW w:w="1555" w:type="dxa"/>
            <w:tcBorders>
              <w:top w:val="single" w:color="auto" w:sz="8" w:space="0"/>
              <w:left w:val="single" w:color="auto" w:sz="8" w:space="0"/>
              <w:bottom w:val="single" w:color="auto" w:sz="8" w:space="0"/>
              <w:right w:val="single" w:color="auto" w:sz="8" w:space="0"/>
            </w:tcBorders>
            <w:noWrap w:val="0"/>
            <w:tcMar>
              <w:left w:w="14" w:type="dxa"/>
              <w:right w:w="14" w:type="dxa"/>
            </w:tcMar>
            <w:vAlign w:val="center"/>
          </w:tcPr>
          <w:p>
            <w:pPr>
              <w:spacing w:line="300" w:lineRule="exact"/>
              <w:jc w:val="center"/>
              <w:rPr>
                <w:rFonts w:hint="eastAsia" w:eastAsia="仿宋_GB2312"/>
                <w:spacing w:val="-12"/>
                <w:szCs w:val="21"/>
              </w:rPr>
            </w:pPr>
            <w:r>
              <w:rPr>
                <w:rFonts w:hint="eastAsia" w:eastAsia="仿宋_GB2312"/>
                <w:spacing w:val="-12"/>
                <w:szCs w:val="21"/>
              </w:rPr>
              <w:t>市委组织部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jc w:val="center"/>
        </w:trPr>
        <w:tc>
          <w:tcPr>
            <w:tcW w:w="683" w:type="dxa"/>
            <w:vMerge w:val="restart"/>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生态制度</w:t>
            </w:r>
          </w:p>
        </w:tc>
        <w:tc>
          <w:tcPr>
            <w:tcW w:w="534"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16</w:t>
            </w:r>
          </w:p>
        </w:tc>
        <w:tc>
          <w:tcPr>
            <w:tcW w:w="5877" w:type="dxa"/>
            <w:gridSpan w:val="5"/>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dstrike/>
                <w:spacing w:val="-8"/>
                <w:szCs w:val="21"/>
              </w:rPr>
            </w:pPr>
            <w:r>
              <w:rPr>
                <w:rFonts w:hint="eastAsia" w:eastAsia="仿宋_GB2312"/>
                <w:spacing w:val="-10"/>
                <w:szCs w:val="21"/>
              </w:rPr>
              <w:t>公共财政每年用于环境保护和生态建设支出的增幅</w:t>
            </w:r>
          </w:p>
        </w:tc>
        <w:tc>
          <w:tcPr>
            <w:tcW w:w="989"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ind w:left="-105" w:leftChars="-50" w:right="-105" w:rightChars="-50"/>
              <w:jc w:val="center"/>
              <w:rPr>
                <w:rFonts w:hint="eastAsia" w:eastAsia="仿宋_GB2312"/>
                <w:szCs w:val="21"/>
              </w:rPr>
            </w:pPr>
            <w:r>
              <w:rPr>
                <w:rFonts w:hint="eastAsia" w:eastAsia="仿宋_GB2312"/>
                <w:szCs w:val="21"/>
              </w:rPr>
              <w:t>%</w:t>
            </w:r>
          </w:p>
        </w:tc>
        <w:tc>
          <w:tcPr>
            <w:tcW w:w="1070"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pacing w:val="-8"/>
                <w:szCs w:val="21"/>
              </w:rPr>
              <w:t>环境保护投资占GDP的比重</w:t>
            </w:r>
            <w:r>
              <w:rPr>
                <w:rFonts w:hint="eastAsia" w:eastAsia="仿宋_GB2312"/>
                <w:szCs w:val="21"/>
              </w:rPr>
              <w:t>≥3.5</w:t>
            </w:r>
          </w:p>
        </w:tc>
        <w:tc>
          <w:tcPr>
            <w:tcW w:w="1177" w:type="dxa"/>
            <w:tcBorders>
              <w:top w:val="single" w:color="auto" w:sz="8" w:space="0"/>
              <w:left w:val="single" w:color="auto" w:sz="8" w:space="0"/>
              <w:bottom w:val="single" w:color="auto" w:sz="8" w:space="0"/>
              <w:right w:val="single" w:color="auto" w:sz="8" w:space="0"/>
            </w:tcBorders>
            <w:noWrap w:val="0"/>
            <w:tcMar>
              <w:left w:w="28" w:type="dxa"/>
              <w:right w:w="28" w:type="dxa"/>
            </w:tcMar>
            <w:vAlign w:val="center"/>
          </w:tcPr>
          <w:p>
            <w:pPr>
              <w:spacing w:line="300" w:lineRule="exact"/>
              <w:jc w:val="center"/>
              <w:rPr>
                <w:rFonts w:hint="eastAsia" w:eastAsia="仿宋_GB2312"/>
                <w:szCs w:val="21"/>
              </w:rPr>
            </w:pPr>
            <w:r>
              <w:rPr>
                <w:rFonts w:hint="eastAsia" w:eastAsia="仿宋_GB2312"/>
                <w:szCs w:val="21"/>
              </w:rPr>
              <w:t>高于当年经济增长速度；高于财政支出增长幅度</w:t>
            </w:r>
          </w:p>
        </w:tc>
        <w:tc>
          <w:tcPr>
            <w:tcW w:w="983" w:type="dxa"/>
            <w:tcBorders>
              <w:top w:val="single" w:color="auto" w:sz="8" w:space="0"/>
              <w:left w:val="single" w:color="auto" w:sz="8"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pacing w:val="-8"/>
                <w:szCs w:val="21"/>
              </w:rPr>
            </w:pPr>
            <w:r>
              <w:rPr>
                <w:rFonts w:hint="eastAsia" w:eastAsia="仿宋_GB2312"/>
                <w:spacing w:val="-20"/>
                <w:szCs w:val="21"/>
              </w:rPr>
              <w:t>高于当年经济增长速度；高于财政支出增长幅度</w:t>
            </w:r>
          </w:p>
        </w:tc>
        <w:tc>
          <w:tcPr>
            <w:tcW w:w="1067" w:type="dxa"/>
            <w:tcBorders>
              <w:top w:val="single" w:color="auto" w:sz="8" w:space="0"/>
              <w:left w:val="single" w:color="auto" w:sz="4" w:space="0"/>
              <w:bottom w:val="single" w:color="auto" w:sz="8" w:space="0"/>
              <w:right w:val="single" w:color="auto" w:sz="8" w:space="0"/>
            </w:tcBorders>
            <w:noWrap w:val="0"/>
            <w:vAlign w:val="center"/>
          </w:tcPr>
          <w:p>
            <w:pPr>
              <w:spacing w:line="300" w:lineRule="exact"/>
              <w:jc w:val="center"/>
              <w:rPr>
                <w:rFonts w:hint="eastAsia" w:eastAsia="仿宋_GB2312"/>
                <w:spacing w:val="-20"/>
                <w:szCs w:val="21"/>
              </w:rPr>
            </w:pPr>
            <w:r>
              <w:rPr>
                <w:rFonts w:hint="eastAsia" w:eastAsia="仿宋_GB2312"/>
                <w:spacing w:val="-20"/>
                <w:szCs w:val="21"/>
              </w:rPr>
              <w:t>高于当年经济增长速度；高于财政支出增长幅度</w:t>
            </w:r>
          </w:p>
        </w:tc>
        <w:tc>
          <w:tcPr>
            <w:tcW w:w="106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约束性</w:t>
            </w:r>
          </w:p>
        </w:tc>
        <w:tc>
          <w:tcPr>
            <w:tcW w:w="1555" w:type="dxa"/>
            <w:tcBorders>
              <w:top w:val="single" w:color="auto" w:sz="8" w:space="0"/>
              <w:left w:val="single" w:color="auto" w:sz="8" w:space="0"/>
              <w:bottom w:val="single" w:color="auto" w:sz="8" w:space="0"/>
              <w:right w:val="single" w:color="auto" w:sz="8" w:space="0"/>
            </w:tcBorders>
            <w:noWrap w:val="0"/>
            <w:tcMar>
              <w:left w:w="14" w:type="dxa"/>
              <w:right w:w="14" w:type="dxa"/>
            </w:tcMar>
            <w:vAlign w:val="center"/>
          </w:tcPr>
          <w:p>
            <w:pPr>
              <w:spacing w:line="300" w:lineRule="exact"/>
              <w:jc w:val="center"/>
              <w:rPr>
                <w:rFonts w:hint="eastAsia" w:eastAsia="仿宋_GB2312"/>
                <w:spacing w:val="-12"/>
                <w:szCs w:val="21"/>
              </w:rPr>
            </w:pPr>
            <w:r>
              <w:rPr>
                <w:rFonts w:hint="eastAsia" w:eastAsia="仿宋_GB2312"/>
                <w:spacing w:val="-12"/>
                <w:szCs w:val="21"/>
              </w:rPr>
              <w:t>市财政局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25" w:hRule="exact"/>
          <w:jc w:val="center"/>
        </w:trPr>
        <w:tc>
          <w:tcPr>
            <w:tcW w:w="683" w:type="dxa"/>
            <w:vMerge w:val="continue"/>
            <w:tcBorders>
              <w:top w:val="single" w:color="auto" w:sz="8" w:space="0"/>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534"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17</w:t>
            </w:r>
          </w:p>
        </w:tc>
        <w:tc>
          <w:tcPr>
            <w:tcW w:w="5877" w:type="dxa"/>
            <w:gridSpan w:val="5"/>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pacing w:val="-8"/>
                <w:szCs w:val="21"/>
              </w:rPr>
            </w:pPr>
            <w:r>
              <w:rPr>
                <w:rFonts w:hint="eastAsia" w:eastAsia="仿宋_GB2312"/>
                <w:spacing w:val="-8"/>
                <w:szCs w:val="21"/>
              </w:rPr>
              <w:t>生态文明建设工作占党政实绩考核比例</w:t>
            </w:r>
          </w:p>
        </w:tc>
        <w:tc>
          <w:tcPr>
            <w:tcW w:w="989"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ind w:left="-105" w:leftChars="-50" w:right="-105" w:rightChars="-50"/>
              <w:jc w:val="center"/>
              <w:rPr>
                <w:rFonts w:hint="eastAsia" w:eastAsia="仿宋_GB2312"/>
                <w:szCs w:val="21"/>
              </w:rPr>
            </w:pPr>
            <w:r>
              <w:rPr>
                <w:rFonts w:hint="eastAsia" w:eastAsia="仿宋_GB2312"/>
                <w:szCs w:val="21"/>
              </w:rPr>
              <w:t>%</w:t>
            </w:r>
          </w:p>
        </w:tc>
        <w:tc>
          <w:tcPr>
            <w:tcW w:w="1070"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22</w:t>
            </w:r>
          </w:p>
        </w:tc>
        <w:tc>
          <w:tcPr>
            <w:tcW w:w="117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pPr>
            <w:r>
              <w:rPr>
                <w:rFonts w:hint="eastAsia" w:eastAsia="仿宋_GB2312"/>
                <w:szCs w:val="21"/>
              </w:rPr>
              <w:t>22</w:t>
            </w:r>
          </w:p>
        </w:tc>
        <w:tc>
          <w:tcPr>
            <w:tcW w:w="983" w:type="dxa"/>
            <w:tcBorders>
              <w:top w:val="single" w:color="auto" w:sz="8" w:space="0"/>
              <w:left w:val="single" w:color="auto" w:sz="8"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22</w:t>
            </w:r>
          </w:p>
        </w:tc>
        <w:tc>
          <w:tcPr>
            <w:tcW w:w="1067" w:type="dxa"/>
            <w:tcBorders>
              <w:top w:val="single" w:color="auto" w:sz="8" w:space="0"/>
              <w:left w:val="single" w:color="auto" w:sz="4" w:space="0"/>
              <w:bottom w:val="single" w:color="auto" w:sz="8" w:space="0"/>
              <w:right w:val="single" w:color="auto" w:sz="8" w:space="0"/>
            </w:tcBorders>
            <w:noWrap w:val="0"/>
            <w:vAlign w:val="center"/>
          </w:tcPr>
          <w:p>
            <w:pPr>
              <w:spacing w:line="300" w:lineRule="exact"/>
              <w:jc w:val="center"/>
              <w:rPr>
                <w:rFonts w:hint="eastAsia" w:eastAsia="仿宋_GB2312"/>
                <w:szCs w:val="21"/>
              </w:rPr>
            </w:pPr>
            <w:r>
              <w:rPr>
                <w:rFonts w:hint="eastAsia" w:eastAsia="仿宋_GB2312"/>
                <w:szCs w:val="21"/>
              </w:rPr>
              <w:t>22</w:t>
            </w:r>
          </w:p>
        </w:tc>
        <w:tc>
          <w:tcPr>
            <w:tcW w:w="106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约束性</w:t>
            </w:r>
          </w:p>
        </w:tc>
        <w:tc>
          <w:tcPr>
            <w:tcW w:w="1555" w:type="dxa"/>
            <w:tcBorders>
              <w:top w:val="single" w:color="auto" w:sz="8" w:space="0"/>
              <w:left w:val="single" w:color="auto" w:sz="8" w:space="0"/>
              <w:bottom w:val="single" w:color="auto" w:sz="8" w:space="0"/>
              <w:right w:val="single" w:color="auto" w:sz="8" w:space="0"/>
            </w:tcBorders>
            <w:noWrap w:val="0"/>
            <w:tcMar>
              <w:left w:w="14" w:type="dxa"/>
              <w:right w:w="14" w:type="dxa"/>
            </w:tcMar>
            <w:vAlign w:val="center"/>
          </w:tcPr>
          <w:p>
            <w:pPr>
              <w:spacing w:line="300" w:lineRule="exact"/>
              <w:jc w:val="center"/>
              <w:rPr>
                <w:rFonts w:hint="eastAsia" w:eastAsia="仿宋_GB2312"/>
                <w:spacing w:val="-12"/>
                <w:szCs w:val="21"/>
              </w:rPr>
            </w:pPr>
            <w:r>
              <w:rPr>
                <w:rFonts w:hint="eastAsia" w:eastAsia="仿宋_GB2312"/>
                <w:spacing w:val="-12"/>
                <w:szCs w:val="21"/>
              </w:rPr>
              <w:t>市委组织部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25" w:hRule="exact"/>
          <w:jc w:val="center"/>
        </w:trPr>
        <w:tc>
          <w:tcPr>
            <w:tcW w:w="683" w:type="dxa"/>
            <w:vMerge w:val="continue"/>
            <w:tcBorders>
              <w:top w:val="single" w:color="auto" w:sz="8" w:space="0"/>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534"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18</w:t>
            </w:r>
          </w:p>
        </w:tc>
        <w:tc>
          <w:tcPr>
            <w:tcW w:w="5877" w:type="dxa"/>
            <w:gridSpan w:val="5"/>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pacing w:val="-10"/>
                <w:szCs w:val="21"/>
              </w:rPr>
            </w:pPr>
            <w:r>
              <w:rPr>
                <w:rFonts w:hint="eastAsia" w:eastAsia="仿宋_GB2312"/>
                <w:spacing w:val="-10"/>
                <w:szCs w:val="21"/>
              </w:rPr>
              <w:t>政府采购节能环保产品和环境标志产品所占比例</w:t>
            </w:r>
          </w:p>
        </w:tc>
        <w:tc>
          <w:tcPr>
            <w:tcW w:w="989"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ind w:left="-105" w:leftChars="-50" w:right="-105" w:rightChars="-50"/>
              <w:jc w:val="center"/>
              <w:rPr>
                <w:rFonts w:hint="eastAsia" w:eastAsia="仿宋_GB2312"/>
                <w:szCs w:val="21"/>
              </w:rPr>
            </w:pPr>
            <w:r>
              <w:rPr>
                <w:rFonts w:hint="eastAsia" w:eastAsia="仿宋_GB2312"/>
                <w:szCs w:val="21"/>
              </w:rPr>
              <w:t>%</w:t>
            </w:r>
          </w:p>
        </w:tc>
        <w:tc>
          <w:tcPr>
            <w:tcW w:w="1070"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81</w:t>
            </w:r>
          </w:p>
        </w:tc>
        <w:tc>
          <w:tcPr>
            <w:tcW w:w="117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90</w:t>
            </w:r>
          </w:p>
        </w:tc>
        <w:tc>
          <w:tcPr>
            <w:tcW w:w="983" w:type="dxa"/>
            <w:tcBorders>
              <w:top w:val="single" w:color="auto" w:sz="8" w:space="0"/>
              <w:left w:val="single" w:color="auto" w:sz="8"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95</w:t>
            </w:r>
          </w:p>
        </w:tc>
        <w:tc>
          <w:tcPr>
            <w:tcW w:w="1067" w:type="dxa"/>
            <w:tcBorders>
              <w:top w:val="single" w:color="auto" w:sz="8" w:space="0"/>
              <w:left w:val="single" w:color="auto" w:sz="4" w:space="0"/>
              <w:bottom w:val="single" w:color="auto" w:sz="8" w:space="0"/>
              <w:right w:val="single" w:color="auto" w:sz="8" w:space="0"/>
            </w:tcBorders>
            <w:noWrap w:val="0"/>
            <w:vAlign w:val="center"/>
          </w:tcPr>
          <w:p>
            <w:pPr>
              <w:spacing w:line="300" w:lineRule="exact"/>
              <w:jc w:val="center"/>
              <w:rPr>
                <w:rFonts w:hint="eastAsia" w:eastAsia="仿宋_GB2312"/>
                <w:szCs w:val="21"/>
              </w:rPr>
            </w:pPr>
            <w:r>
              <w:rPr>
                <w:rFonts w:hint="eastAsia" w:eastAsia="仿宋_GB2312"/>
                <w:szCs w:val="21"/>
              </w:rPr>
              <w:t>100</w:t>
            </w:r>
          </w:p>
        </w:tc>
        <w:tc>
          <w:tcPr>
            <w:tcW w:w="106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预期性</w:t>
            </w:r>
          </w:p>
        </w:tc>
        <w:tc>
          <w:tcPr>
            <w:tcW w:w="1555" w:type="dxa"/>
            <w:tcBorders>
              <w:top w:val="single" w:color="auto" w:sz="8" w:space="0"/>
              <w:left w:val="single" w:color="auto" w:sz="8" w:space="0"/>
              <w:bottom w:val="single" w:color="auto" w:sz="8" w:space="0"/>
              <w:right w:val="single" w:color="auto" w:sz="8" w:space="0"/>
            </w:tcBorders>
            <w:noWrap w:val="0"/>
            <w:tcMar>
              <w:left w:w="14" w:type="dxa"/>
              <w:right w:w="14" w:type="dxa"/>
            </w:tcMar>
            <w:vAlign w:val="center"/>
          </w:tcPr>
          <w:p>
            <w:pPr>
              <w:spacing w:line="300" w:lineRule="exact"/>
              <w:jc w:val="center"/>
              <w:rPr>
                <w:rFonts w:hint="eastAsia" w:eastAsia="仿宋_GB2312"/>
                <w:spacing w:val="-12"/>
                <w:szCs w:val="21"/>
              </w:rPr>
            </w:pPr>
            <w:r>
              <w:rPr>
                <w:rFonts w:hint="eastAsia" w:eastAsia="仿宋_GB2312"/>
                <w:spacing w:val="-12"/>
                <w:szCs w:val="21"/>
              </w:rPr>
              <w:t>市财政局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25" w:hRule="exact"/>
          <w:jc w:val="center"/>
        </w:trPr>
        <w:tc>
          <w:tcPr>
            <w:tcW w:w="683" w:type="dxa"/>
            <w:vMerge w:val="continue"/>
            <w:tcBorders>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534"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19</w:t>
            </w:r>
          </w:p>
        </w:tc>
        <w:tc>
          <w:tcPr>
            <w:tcW w:w="5877" w:type="dxa"/>
            <w:gridSpan w:val="5"/>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pacing w:val="-10"/>
                <w:szCs w:val="21"/>
              </w:rPr>
            </w:pPr>
            <w:r>
              <w:rPr>
                <w:rFonts w:hint="eastAsia" w:eastAsia="仿宋_GB2312"/>
                <w:spacing w:val="-10"/>
                <w:szCs w:val="21"/>
              </w:rPr>
              <w:t>环境影响评价率及环保竣工验收通过率</w:t>
            </w:r>
          </w:p>
        </w:tc>
        <w:tc>
          <w:tcPr>
            <w:tcW w:w="989"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ind w:left="-105" w:leftChars="-50" w:right="-105" w:rightChars="-50"/>
              <w:jc w:val="center"/>
              <w:rPr>
                <w:rFonts w:hint="eastAsia" w:eastAsia="仿宋_GB2312"/>
                <w:szCs w:val="21"/>
              </w:rPr>
            </w:pPr>
            <w:r>
              <w:rPr>
                <w:rFonts w:hint="eastAsia" w:eastAsia="仿宋_GB2312"/>
                <w:szCs w:val="21"/>
              </w:rPr>
              <w:t>%</w:t>
            </w:r>
          </w:p>
        </w:tc>
        <w:tc>
          <w:tcPr>
            <w:tcW w:w="1070"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100</w:t>
            </w:r>
          </w:p>
        </w:tc>
        <w:tc>
          <w:tcPr>
            <w:tcW w:w="117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100</w:t>
            </w:r>
          </w:p>
        </w:tc>
        <w:tc>
          <w:tcPr>
            <w:tcW w:w="983" w:type="dxa"/>
            <w:tcBorders>
              <w:top w:val="single" w:color="auto" w:sz="8" w:space="0"/>
              <w:left w:val="single" w:color="auto" w:sz="8"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100</w:t>
            </w:r>
          </w:p>
        </w:tc>
        <w:tc>
          <w:tcPr>
            <w:tcW w:w="1067" w:type="dxa"/>
            <w:tcBorders>
              <w:top w:val="single" w:color="auto" w:sz="8" w:space="0"/>
              <w:left w:val="single" w:color="auto" w:sz="4" w:space="0"/>
              <w:bottom w:val="single" w:color="auto" w:sz="8" w:space="0"/>
              <w:right w:val="single" w:color="auto" w:sz="8" w:space="0"/>
            </w:tcBorders>
            <w:noWrap w:val="0"/>
            <w:vAlign w:val="center"/>
          </w:tcPr>
          <w:p>
            <w:pPr>
              <w:spacing w:line="300" w:lineRule="exact"/>
              <w:jc w:val="center"/>
              <w:rPr>
                <w:rFonts w:hint="eastAsia" w:eastAsia="仿宋_GB2312"/>
                <w:szCs w:val="21"/>
              </w:rPr>
            </w:pPr>
            <w:r>
              <w:rPr>
                <w:rFonts w:hint="eastAsia" w:eastAsia="仿宋_GB2312"/>
                <w:szCs w:val="21"/>
              </w:rPr>
              <w:t>100</w:t>
            </w:r>
          </w:p>
        </w:tc>
        <w:tc>
          <w:tcPr>
            <w:tcW w:w="106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约束性</w:t>
            </w:r>
          </w:p>
        </w:tc>
        <w:tc>
          <w:tcPr>
            <w:tcW w:w="1555" w:type="dxa"/>
            <w:tcBorders>
              <w:top w:val="single" w:color="auto" w:sz="8" w:space="0"/>
              <w:left w:val="single" w:color="auto" w:sz="8" w:space="0"/>
              <w:bottom w:val="single" w:color="auto" w:sz="8" w:space="0"/>
              <w:right w:val="single" w:color="auto" w:sz="8" w:space="0"/>
            </w:tcBorders>
            <w:noWrap w:val="0"/>
            <w:tcMar>
              <w:left w:w="14" w:type="dxa"/>
              <w:right w:w="14" w:type="dxa"/>
            </w:tcMar>
            <w:vAlign w:val="center"/>
          </w:tcPr>
          <w:p>
            <w:pPr>
              <w:spacing w:line="300" w:lineRule="exact"/>
              <w:jc w:val="center"/>
              <w:rPr>
                <w:rFonts w:hint="eastAsia" w:eastAsia="仿宋_GB2312"/>
                <w:spacing w:val="-12"/>
                <w:szCs w:val="21"/>
              </w:rPr>
            </w:pPr>
            <w:r>
              <w:rPr>
                <w:rFonts w:hint="eastAsia" w:eastAsia="仿宋_GB2312"/>
                <w:spacing w:val="-12"/>
                <w:szCs w:val="21"/>
              </w:rPr>
              <w:t>市环保局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25" w:hRule="exact"/>
          <w:jc w:val="center"/>
        </w:trPr>
        <w:tc>
          <w:tcPr>
            <w:tcW w:w="683" w:type="dxa"/>
            <w:vMerge w:val="continue"/>
            <w:tcBorders>
              <w:left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534"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20</w:t>
            </w:r>
          </w:p>
        </w:tc>
        <w:tc>
          <w:tcPr>
            <w:tcW w:w="5877" w:type="dxa"/>
            <w:gridSpan w:val="5"/>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pacing w:val="-10"/>
                <w:szCs w:val="21"/>
              </w:rPr>
            </w:pPr>
            <w:r>
              <w:rPr>
                <w:rFonts w:hint="eastAsia" w:eastAsia="仿宋_GB2312"/>
                <w:spacing w:val="-10"/>
                <w:szCs w:val="21"/>
              </w:rPr>
              <w:t>　规模以上企业开展环保公益活动支出占公益活动总支出的比例</w:t>
            </w:r>
          </w:p>
        </w:tc>
        <w:tc>
          <w:tcPr>
            <w:tcW w:w="989"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ind w:left="-105" w:leftChars="-50" w:right="-105" w:rightChars="-50"/>
              <w:jc w:val="center"/>
              <w:rPr>
                <w:rFonts w:hint="eastAsia" w:eastAsia="仿宋_GB2312"/>
                <w:szCs w:val="21"/>
              </w:rPr>
            </w:pPr>
            <w:r>
              <w:rPr>
                <w:rFonts w:hint="eastAsia" w:eastAsia="仿宋_GB2312"/>
                <w:szCs w:val="21"/>
              </w:rPr>
              <w:t>%</w:t>
            </w:r>
          </w:p>
        </w:tc>
        <w:tc>
          <w:tcPr>
            <w:tcW w:w="1070"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5.3</w:t>
            </w:r>
          </w:p>
        </w:tc>
        <w:tc>
          <w:tcPr>
            <w:tcW w:w="117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6.5</w:t>
            </w:r>
          </w:p>
        </w:tc>
        <w:tc>
          <w:tcPr>
            <w:tcW w:w="983" w:type="dxa"/>
            <w:tcBorders>
              <w:top w:val="single" w:color="auto" w:sz="8" w:space="0"/>
              <w:left w:val="single" w:color="auto" w:sz="8"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7.0</w:t>
            </w:r>
          </w:p>
        </w:tc>
        <w:tc>
          <w:tcPr>
            <w:tcW w:w="1067" w:type="dxa"/>
            <w:tcBorders>
              <w:top w:val="single" w:color="auto" w:sz="8" w:space="0"/>
              <w:left w:val="single" w:color="auto" w:sz="4" w:space="0"/>
              <w:bottom w:val="single" w:color="auto" w:sz="8" w:space="0"/>
              <w:right w:val="single" w:color="auto" w:sz="8" w:space="0"/>
            </w:tcBorders>
            <w:noWrap w:val="0"/>
            <w:vAlign w:val="center"/>
          </w:tcPr>
          <w:p>
            <w:pPr>
              <w:spacing w:line="300" w:lineRule="exact"/>
              <w:jc w:val="center"/>
              <w:rPr>
                <w:rFonts w:hint="eastAsia" w:eastAsia="仿宋_GB2312"/>
                <w:szCs w:val="21"/>
              </w:rPr>
            </w:pPr>
            <w:r>
              <w:rPr>
                <w:rFonts w:hint="eastAsia" w:eastAsia="仿宋_GB2312"/>
                <w:szCs w:val="21"/>
              </w:rPr>
              <w:t>7.5</w:t>
            </w:r>
          </w:p>
        </w:tc>
        <w:tc>
          <w:tcPr>
            <w:tcW w:w="106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预期性</w:t>
            </w:r>
          </w:p>
        </w:tc>
        <w:tc>
          <w:tcPr>
            <w:tcW w:w="1555" w:type="dxa"/>
            <w:tcBorders>
              <w:top w:val="single" w:color="auto" w:sz="8" w:space="0"/>
              <w:left w:val="single" w:color="auto" w:sz="8" w:space="0"/>
              <w:bottom w:val="single" w:color="auto" w:sz="8" w:space="0"/>
              <w:right w:val="single" w:color="auto" w:sz="8" w:space="0"/>
            </w:tcBorders>
            <w:noWrap w:val="0"/>
            <w:tcMar>
              <w:left w:w="14" w:type="dxa"/>
              <w:right w:w="14" w:type="dxa"/>
            </w:tcMar>
            <w:vAlign w:val="center"/>
          </w:tcPr>
          <w:p>
            <w:pPr>
              <w:spacing w:line="300" w:lineRule="exact"/>
              <w:jc w:val="center"/>
              <w:rPr>
                <w:rFonts w:hint="eastAsia" w:eastAsia="仿宋_GB2312"/>
                <w:spacing w:val="-12"/>
                <w:szCs w:val="21"/>
              </w:rPr>
            </w:pPr>
            <w:r>
              <w:rPr>
                <w:rFonts w:hint="eastAsia" w:eastAsia="仿宋_GB2312"/>
                <w:spacing w:val="-12"/>
                <w:szCs w:val="21"/>
              </w:rPr>
              <w:t>市发改委</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25" w:hRule="exact"/>
          <w:jc w:val="center"/>
        </w:trPr>
        <w:tc>
          <w:tcPr>
            <w:tcW w:w="683" w:type="dxa"/>
            <w:vMerge w:val="continue"/>
            <w:tcBorders>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p>
        </w:tc>
        <w:tc>
          <w:tcPr>
            <w:tcW w:w="534"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21</w:t>
            </w:r>
          </w:p>
        </w:tc>
        <w:tc>
          <w:tcPr>
            <w:tcW w:w="5877" w:type="dxa"/>
            <w:gridSpan w:val="5"/>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pacing w:val="-10"/>
                <w:szCs w:val="21"/>
              </w:rPr>
            </w:pPr>
            <w:r>
              <w:rPr>
                <w:rFonts w:hint="eastAsia" w:eastAsia="仿宋_GB2312"/>
                <w:spacing w:val="-10"/>
                <w:szCs w:val="21"/>
              </w:rPr>
              <w:t>环境信息公开率</w:t>
            </w:r>
          </w:p>
        </w:tc>
        <w:tc>
          <w:tcPr>
            <w:tcW w:w="989"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ind w:left="-105" w:leftChars="-50" w:right="-105" w:rightChars="-50"/>
              <w:jc w:val="center"/>
              <w:rPr>
                <w:rFonts w:hint="eastAsia" w:eastAsia="仿宋_GB2312"/>
                <w:szCs w:val="21"/>
              </w:rPr>
            </w:pPr>
            <w:r>
              <w:rPr>
                <w:rFonts w:hint="eastAsia" w:eastAsia="仿宋_GB2312"/>
                <w:szCs w:val="21"/>
              </w:rPr>
              <w:t>%</w:t>
            </w:r>
          </w:p>
        </w:tc>
        <w:tc>
          <w:tcPr>
            <w:tcW w:w="1070"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70</w:t>
            </w:r>
          </w:p>
        </w:tc>
        <w:tc>
          <w:tcPr>
            <w:tcW w:w="117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80</w:t>
            </w:r>
          </w:p>
        </w:tc>
        <w:tc>
          <w:tcPr>
            <w:tcW w:w="983" w:type="dxa"/>
            <w:tcBorders>
              <w:top w:val="single" w:color="auto" w:sz="8" w:space="0"/>
              <w:left w:val="single" w:color="auto" w:sz="8"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95</w:t>
            </w:r>
          </w:p>
        </w:tc>
        <w:tc>
          <w:tcPr>
            <w:tcW w:w="1067" w:type="dxa"/>
            <w:tcBorders>
              <w:top w:val="single" w:color="auto" w:sz="8" w:space="0"/>
              <w:left w:val="single" w:color="auto" w:sz="4" w:space="0"/>
              <w:bottom w:val="single" w:color="auto" w:sz="8" w:space="0"/>
              <w:right w:val="single" w:color="auto" w:sz="8" w:space="0"/>
            </w:tcBorders>
            <w:noWrap w:val="0"/>
            <w:vAlign w:val="center"/>
          </w:tcPr>
          <w:p>
            <w:pPr>
              <w:spacing w:line="300" w:lineRule="exact"/>
              <w:jc w:val="center"/>
              <w:rPr>
                <w:rFonts w:hint="eastAsia" w:eastAsia="仿宋_GB2312"/>
                <w:szCs w:val="21"/>
              </w:rPr>
            </w:pPr>
            <w:r>
              <w:rPr>
                <w:rFonts w:hint="eastAsia" w:eastAsia="仿宋_GB2312"/>
                <w:szCs w:val="21"/>
              </w:rPr>
              <w:t>100</w:t>
            </w:r>
          </w:p>
        </w:tc>
        <w:tc>
          <w:tcPr>
            <w:tcW w:w="106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预期性</w:t>
            </w:r>
          </w:p>
        </w:tc>
        <w:tc>
          <w:tcPr>
            <w:tcW w:w="1555" w:type="dxa"/>
            <w:tcBorders>
              <w:top w:val="single" w:color="auto" w:sz="8" w:space="0"/>
              <w:left w:val="single" w:color="auto" w:sz="8" w:space="0"/>
              <w:bottom w:val="single" w:color="auto" w:sz="8" w:space="0"/>
              <w:right w:val="single" w:color="auto" w:sz="8" w:space="0"/>
            </w:tcBorders>
            <w:noWrap w:val="0"/>
            <w:tcMar>
              <w:left w:w="14" w:type="dxa"/>
              <w:right w:w="14" w:type="dxa"/>
            </w:tcMar>
            <w:vAlign w:val="center"/>
          </w:tcPr>
          <w:p>
            <w:pPr>
              <w:spacing w:line="300" w:lineRule="exact"/>
              <w:jc w:val="center"/>
              <w:rPr>
                <w:rFonts w:hint="eastAsia" w:eastAsia="仿宋_GB2312"/>
                <w:spacing w:val="-12"/>
                <w:szCs w:val="21"/>
              </w:rPr>
            </w:pPr>
            <w:r>
              <w:rPr>
                <w:rFonts w:hint="eastAsia" w:eastAsia="仿宋_GB2312"/>
                <w:spacing w:val="-12"/>
                <w:szCs w:val="21"/>
              </w:rPr>
              <w:t>市环保局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jc w:val="center"/>
        </w:trPr>
        <w:tc>
          <w:tcPr>
            <w:tcW w:w="683"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评价指标</w:t>
            </w:r>
          </w:p>
        </w:tc>
        <w:tc>
          <w:tcPr>
            <w:tcW w:w="534"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22</w:t>
            </w:r>
          </w:p>
        </w:tc>
        <w:tc>
          <w:tcPr>
            <w:tcW w:w="5877" w:type="dxa"/>
            <w:gridSpan w:val="5"/>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pacing w:val="-10"/>
                <w:szCs w:val="21"/>
              </w:rPr>
            </w:pPr>
            <w:r>
              <w:rPr>
                <w:rFonts w:hint="eastAsia" w:eastAsia="仿宋_GB2312"/>
                <w:spacing w:val="-10"/>
                <w:szCs w:val="21"/>
              </w:rPr>
              <w:t>人民群众对生态文明建设成果满意度</w:t>
            </w:r>
          </w:p>
        </w:tc>
        <w:tc>
          <w:tcPr>
            <w:tcW w:w="989"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ind w:left="-105" w:leftChars="-50" w:right="-105" w:rightChars="-50"/>
              <w:jc w:val="center"/>
              <w:rPr>
                <w:rFonts w:hint="eastAsia" w:eastAsia="仿宋_GB2312"/>
                <w:szCs w:val="21"/>
              </w:rPr>
            </w:pPr>
            <w:r>
              <w:rPr>
                <w:rFonts w:hint="eastAsia" w:eastAsia="仿宋_GB2312"/>
                <w:szCs w:val="21"/>
              </w:rPr>
              <w:t>%</w:t>
            </w:r>
          </w:p>
        </w:tc>
        <w:tc>
          <w:tcPr>
            <w:tcW w:w="1070"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60</w:t>
            </w:r>
          </w:p>
        </w:tc>
        <w:tc>
          <w:tcPr>
            <w:tcW w:w="117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75</w:t>
            </w:r>
          </w:p>
        </w:tc>
        <w:tc>
          <w:tcPr>
            <w:tcW w:w="983" w:type="dxa"/>
            <w:tcBorders>
              <w:top w:val="single" w:color="auto" w:sz="8" w:space="0"/>
              <w:left w:val="single" w:color="auto" w:sz="8" w:space="0"/>
              <w:bottom w:val="single" w:color="auto" w:sz="8" w:space="0"/>
              <w:right w:val="single" w:color="auto" w:sz="4"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85</w:t>
            </w:r>
          </w:p>
        </w:tc>
        <w:tc>
          <w:tcPr>
            <w:tcW w:w="1067" w:type="dxa"/>
            <w:tcBorders>
              <w:top w:val="single" w:color="auto" w:sz="8" w:space="0"/>
              <w:left w:val="single" w:color="auto" w:sz="4" w:space="0"/>
              <w:bottom w:val="single" w:color="auto" w:sz="8" w:space="0"/>
              <w:right w:val="single" w:color="auto" w:sz="8" w:space="0"/>
            </w:tcBorders>
            <w:noWrap w:val="0"/>
            <w:vAlign w:val="center"/>
          </w:tcPr>
          <w:p>
            <w:pPr>
              <w:spacing w:line="300" w:lineRule="exact"/>
              <w:jc w:val="center"/>
              <w:rPr>
                <w:rFonts w:hint="eastAsia" w:eastAsia="仿宋_GB2312"/>
                <w:szCs w:val="21"/>
              </w:rPr>
            </w:pPr>
            <w:r>
              <w:rPr>
                <w:rFonts w:hint="eastAsia" w:eastAsia="仿宋_GB2312"/>
                <w:szCs w:val="21"/>
              </w:rPr>
              <w:t>88</w:t>
            </w:r>
          </w:p>
        </w:tc>
        <w:tc>
          <w:tcPr>
            <w:tcW w:w="1067" w:type="dxa"/>
            <w:tcBorders>
              <w:top w:val="single" w:color="auto" w:sz="8" w:space="0"/>
              <w:left w:val="single" w:color="auto" w:sz="8" w:space="0"/>
              <w:bottom w:val="single" w:color="auto" w:sz="8" w:space="0"/>
              <w:right w:val="single" w:color="auto" w:sz="8" w:space="0"/>
            </w:tcBorders>
            <w:noWrap w:val="0"/>
            <w:tcMar>
              <w:left w:w="57" w:type="dxa"/>
              <w:right w:w="57" w:type="dxa"/>
            </w:tcMar>
            <w:vAlign w:val="center"/>
          </w:tcPr>
          <w:p>
            <w:pPr>
              <w:spacing w:line="300" w:lineRule="exact"/>
              <w:jc w:val="center"/>
              <w:rPr>
                <w:rFonts w:hint="eastAsia" w:eastAsia="仿宋_GB2312"/>
                <w:szCs w:val="21"/>
              </w:rPr>
            </w:pPr>
            <w:r>
              <w:rPr>
                <w:rFonts w:hint="eastAsia" w:eastAsia="仿宋_GB2312"/>
                <w:szCs w:val="21"/>
              </w:rPr>
              <w:t>预期性</w:t>
            </w:r>
          </w:p>
        </w:tc>
        <w:tc>
          <w:tcPr>
            <w:tcW w:w="1555" w:type="dxa"/>
            <w:tcBorders>
              <w:top w:val="single" w:color="auto" w:sz="8" w:space="0"/>
              <w:left w:val="single" w:color="auto" w:sz="8" w:space="0"/>
              <w:bottom w:val="single" w:color="auto" w:sz="8" w:space="0"/>
              <w:right w:val="single" w:color="auto" w:sz="8" w:space="0"/>
            </w:tcBorders>
            <w:noWrap w:val="0"/>
            <w:tcMar>
              <w:left w:w="14" w:type="dxa"/>
              <w:right w:w="14" w:type="dxa"/>
            </w:tcMar>
            <w:vAlign w:val="center"/>
          </w:tcPr>
          <w:p>
            <w:pPr>
              <w:spacing w:line="300" w:lineRule="exact"/>
              <w:jc w:val="center"/>
              <w:rPr>
                <w:rFonts w:hint="eastAsia" w:eastAsia="仿宋_GB2312"/>
                <w:spacing w:val="-12"/>
                <w:szCs w:val="21"/>
              </w:rPr>
            </w:pPr>
            <w:r>
              <w:rPr>
                <w:rFonts w:hint="eastAsia" w:eastAsia="仿宋_GB2312"/>
                <w:spacing w:val="-12"/>
                <w:szCs w:val="21"/>
              </w:rPr>
              <w:t>市统计局</w:t>
            </w:r>
          </w:p>
        </w:tc>
      </w:tr>
    </w:tbl>
    <w:p>
      <w:pPr>
        <w:spacing w:line="560" w:lineRule="exact"/>
        <w:ind w:firstLine="472" w:firstLineChars="225"/>
        <w:rPr>
          <w:rFonts w:hint="eastAsia"/>
        </w:rPr>
      </w:pPr>
    </w:p>
    <w:p>
      <w:pPr>
        <w:spacing w:line="560" w:lineRule="exact"/>
        <w:ind w:firstLine="472" w:firstLineChars="225"/>
        <w:sectPr>
          <w:pgSz w:w="16838" w:h="11906" w:orient="landscape"/>
          <w:pgMar w:top="1474" w:right="1304" w:bottom="1588" w:left="1871" w:header="851" w:footer="992" w:gutter="0"/>
          <w:cols w:space="720" w:num="1"/>
          <w:docGrid w:linePitch="312" w:charSpace="0"/>
        </w:sectPr>
      </w:pPr>
    </w:p>
    <w:p>
      <w:pPr>
        <w:pStyle w:val="2"/>
        <w:keepNext w:val="0"/>
        <w:keepLines w:val="0"/>
        <w:spacing w:before="156" w:beforeLines="50" w:after="156" w:afterLines="50" w:line="560" w:lineRule="exact"/>
        <w:jc w:val="center"/>
        <w:rPr>
          <w:rFonts w:hint="eastAsia" w:eastAsia="方正小标宋_GBK"/>
          <w:b w:val="0"/>
        </w:rPr>
      </w:pPr>
      <w:bookmarkStart w:id="61" w:name="_Toc369555574"/>
      <w:bookmarkStart w:id="62" w:name="_Toc370234364"/>
      <w:bookmarkStart w:id="63" w:name="_Toc374364906"/>
      <w:r>
        <w:rPr>
          <w:rFonts w:hint="eastAsia" w:eastAsia="方正小标宋_GBK"/>
          <w:b w:val="0"/>
        </w:rPr>
        <w:t>第三章  环境保护</w:t>
      </w:r>
      <w:bookmarkEnd w:id="61"/>
      <w:bookmarkEnd w:id="62"/>
      <w:bookmarkEnd w:id="63"/>
    </w:p>
    <w:p>
      <w:pPr>
        <w:spacing w:line="560" w:lineRule="exact"/>
        <w:ind w:firstLine="640" w:firstLineChars="200"/>
        <w:rPr>
          <w:rFonts w:hint="eastAsia" w:eastAsia="仿宋_GB2312"/>
          <w:sz w:val="32"/>
          <w:szCs w:val="32"/>
        </w:rPr>
      </w:pPr>
      <w:r>
        <w:rPr>
          <w:rFonts w:hint="eastAsia" w:eastAsia="仿宋_GB2312"/>
          <w:sz w:val="32"/>
          <w:szCs w:val="32"/>
        </w:rPr>
        <w:t>全面实施主体功能区战略，科学布局生产空间、生活空间和生态空间，强化空间管制，守住生态红线，保护自然资源，推进节能减排，深入开展清水、蓝天、宁静等治理工程，下大力气解决饮用水安全、细颗粒物（PM</w:t>
      </w:r>
      <w:r>
        <w:rPr>
          <w:rFonts w:hint="eastAsia" w:eastAsia="仿宋_GB2312"/>
          <w:sz w:val="32"/>
          <w:szCs w:val="32"/>
          <w:vertAlign w:val="subscript"/>
        </w:rPr>
        <w:t>2.5</w:t>
      </w:r>
      <w:r>
        <w:rPr>
          <w:rFonts w:hint="eastAsia" w:eastAsia="仿宋_GB2312"/>
          <w:sz w:val="32"/>
          <w:szCs w:val="32"/>
        </w:rPr>
        <w:t>）超标等影响群众生活的突出环境问题。</w:t>
      </w:r>
    </w:p>
    <w:p>
      <w:pPr>
        <w:pStyle w:val="3"/>
        <w:keepNext w:val="0"/>
        <w:keepLines w:val="0"/>
        <w:spacing w:before="156" w:beforeLines="50" w:after="156" w:afterLines="50" w:line="560" w:lineRule="exact"/>
        <w:rPr>
          <w:rFonts w:hint="eastAsia" w:ascii="Times New Roman" w:hAnsi="Times New Roman"/>
          <w:b w:val="0"/>
        </w:rPr>
      </w:pPr>
      <w:bookmarkStart w:id="64" w:name="_Toc368067594"/>
      <w:bookmarkStart w:id="65" w:name="_Toc369555575"/>
      <w:bookmarkStart w:id="66" w:name="_Toc370234365"/>
      <w:bookmarkStart w:id="67" w:name="_Toc374364907"/>
      <w:r>
        <w:rPr>
          <w:rFonts w:hint="eastAsia" w:ascii="Times New Roman" w:hAnsi="Times New Roman"/>
          <w:b w:val="0"/>
        </w:rPr>
        <w:t>3.1  空间管制</w:t>
      </w:r>
      <w:bookmarkEnd w:id="64"/>
      <w:bookmarkEnd w:id="65"/>
      <w:bookmarkEnd w:id="66"/>
      <w:bookmarkEnd w:id="67"/>
    </w:p>
    <w:p>
      <w:pPr>
        <w:spacing w:line="560" w:lineRule="exact"/>
        <w:ind w:firstLine="640" w:firstLineChars="200"/>
        <w:rPr>
          <w:rFonts w:hint="eastAsia" w:eastAsia="仿宋_GB2312"/>
          <w:sz w:val="32"/>
          <w:szCs w:val="32"/>
        </w:rPr>
      </w:pPr>
      <w:r>
        <w:rPr>
          <w:rFonts w:hint="eastAsia" w:eastAsia="仿宋_GB2312"/>
          <w:sz w:val="32"/>
          <w:szCs w:val="32"/>
        </w:rPr>
        <w:t>国土是宝贵的发展资源，也是生态文明建设的空间载体。优化空间布局是加强生态文明建设的首要环节和基本前提。</w:t>
      </w:r>
    </w:p>
    <w:p>
      <w:pPr>
        <w:spacing w:line="560" w:lineRule="exact"/>
        <w:ind w:firstLine="720" w:firstLineChars="225"/>
        <w:rPr>
          <w:rFonts w:hint="eastAsia" w:eastAsia="仿宋_GB2312"/>
          <w:sz w:val="32"/>
          <w:szCs w:val="32"/>
        </w:rPr>
      </w:pPr>
      <w:r>
        <w:rPr>
          <w:rFonts w:hint="eastAsia" w:eastAsia="仿宋_GB2312"/>
          <w:b/>
          <w:sz w:val="32"/>
          <w:szCs w:val="32"/>
        </w:rPr>
        <w:t>严守生态红线。</w:t>
      </w:r>
      <w:r>
        <w:rPr>
          <w:rFonts w:hint="eastAsia" w:eastAsia="仿宋_GB2312"/>
          <w:sz w:val="32"/>
          <w:szCs w:val="32"/>
        </w:rPr>
        <w:t>把生态红线作为维护生态平衡的控制线、保障生态安全的警戒线、推进可持续发展的生命线，按照《江苏省生态红线区域保护规划》，切实加强自然保护区、风景名胜区、森林公园、饮用水源保护区、洪水调蓄区、重要湿地、清水通道等七大类49个生态红线区域的保护，确保划入生态红线区域名录的3686.89平方公里陆域和389.54平方公里海域得到有效保护。加快制定全市生态红线管理办法，针对不同类型的生态红线区域，实行分级分类管理，明确环境准入条件，强化环境监管执法力度，一级管控区严禁一切形式的开发建设活动，二级管控区严禁影响其主导生态功能的开发建设活动。</w:t>
      </w:r>
    </w:p>
    <w:p>
      <w:pPr>
        <w:spacing w:line="560" w:lineRule="exact"/>
        <w:ind w:firstLine="720" w:firstLineChars="225"/>
        <w:rPr>
          <w:rFonts w:hint="eastAsia" w:eastAsia="仿宋_GB2312"/>
          <w:sz w:val="32"/>
          <w:szCs w:val="32"/>
        </w:rPr>
      </w:pPr>
      <w:r>
        <w:rPr>
          <w:rFonts w:hint="eastAsia" w:eastAsia="仿宋_GB2312"/>
          <w:b/>
          <w:sz w:val="32"/>
          <w:szCs w:val="32"/>
        </w:rPr>
        <w:t>优化国土开发格局。</w:t>
      </w:r>
      <w:r>
        <w:rPr>
          <w:rFonts w:hint="eastAsia" w:eastAsia="仿宋_GB2312"/>
          <w:sz w:val="32"/>
          <w:szCs w:val="32"/>
        </w:rPr>
        <w:t>全面推动区域协调发展，实施严格的耕地保护制度和节约集约用地制度，控制建设用地规模，不断提高单位土地投入产出效率；区域空间开发和产业布局符合主体功能区规划、生态功能区划和环境功能区划要求，逐步形成主体功能区定位清晰和人口、经济、资源、环境相协调的城乡建设与国土开发格局。重点加强沿海开发的空间管控，强化规划引领，坚持节点式开发的基本路径，理性开发、科学开发。</w:t>
      </w:r>
    </w:p>
    <w:p>
      <w:pPr>
        <w:widowControl/>
        <w:spacing w:line="560" w:lineRule="exact"/>
        <w:ind w:firstLine="720" w:firstLineChars="225"/>
        <w:rPr>
          <w:rFonts w:hint="eastAsia" w:eastAsia="仿宋_GB2312"/>
          <w:sz w:val="32"/>
          <w:szCs w:val="32"/>
        </w:rPr>
      </w:pPr>
      <w:r>
        <w:rPr>
          <w:rFonts w:hint="eastAsia" w:eastAsia="仿宋_GB2312"/>
          <w:b/>
          <w:sz w:val="32"/>
          <w:szCs w:val="32"/>
        </w:rPr>
        <w:t>强化沿海开发空间布局。</w:t>
      </w:r>
      <w:r>
        <w:rPr>
          <w:rFonts w:hint="eastAsia" w:eastAsia="仿宋_GB2312"/>
          <w:sz w:val="32"/>
          <w:szCs w:val="32"/>
        </w:rPr>
        <w:t>坚持把节约集约利用沿海自然资源、保护生态环境作为沿海开发的高压线，着力提高沿海产业开发的集中度、单位面积的投资强度和产出效益。以建设海洋强市为目标，以港口为龙头，以发展临港工业、港口航运与物流业以及海洋水产为重点，有序开发沿海资源。注重港产和港城、港口联动，优化“三港”布局，以</w:t>
      </w:r>
      <w:r>
        <w:rPr>
          <w:rFonts w:eastAsia="仿宋_GB2312"/>
          <w:sz w:val="32"/>
          <w:szCs w:val="32"/>
        </w:rPr>
        <w:t>规划</w:t>
      </w:r>
      <w:r>
        <w:rPr>
          <w:rFonts w:hint="eastAsia" w:eastAsia="仿宋_GB2312"/>
          <w:sz w:val="32"/>
          <w:szCs w:val="32"/>
        </w:rPr>
        <w:t>环境影响评价为</w:t>
      </w:r>
      <w:r>
        <w:rPr>
          <w:rFonts w:eastAsia="仿宋_GB2312"/>
          <w:sz w:val="32"/>
          <w:szCs w:val="32"/>
        </w:rPr>
        <w:t>指导，将</w:t>
      </w:r>
      <w:r>
        <w:rPr>
          <w:rFonts w:hint="eastAsia" w:eastAsia="仿宋_GB2312"/>
          <w:sz w:val="32"/>
          <w:szCs w:val="32"/>
        </w:rPr>
        <w:t>生态要素</w:t>
      </w:r>
      <w:r>
        <w:rPr>
          <w:rFonts w:eastAsia="仿宋_GB2312"/>
          <w:sz w:val="32"/>
          <w:szCs w:val="32"/>
        </w:rPr>
        <w:t>纳入</w:t>
      </w:r>
      <w:r>
        <w:rPr>
          <w:rFonts w:hint="eastAsia" w:eastAsia="仿宋_GB2312"/>
          <w:sz w:val="32"/>
          <w:szCs w:val="32"/>
        </w:rPr>
        <w:t>沿海发展</w:t>
      </w:r>
      <w:r>
        <w:rPr>
          <w:rFonts w:eastAsia="仿宋_GB2312"/>
          <w:sz w:val="32"/>
          <w:szCs w:val="32"/>
        </w:rPr>
        <w:t>综合决策</w:t>
      </w:r>
      <w:r>
        <w:rPr>
          <w:rFonts w:hint="eastAsia" w:eastAsia="仿宋_GB2312"/>
          <w:sz w:val="32"/>
          <w:szCs w:val="32"/>
        </w:rPr>
        <w:t>之中。强化沿海开发中的污染防治，实现沿海港口开发区域污染集中控制。</w:t>
      </w:r>
    </w:p>
    <w:p>
      <w:pPr>
        <w:pStyle w:val="3"/>
        <w:keepNext w:val="0"/>
        <w:keepLines w:val="0"/>
        <w:spacing w:before="156" w:beforeLines="50" w:after="156" w:afterLines="50" w:line="560" w:lineRule="exact"/>
        <w:rPr>
          <w:rFonts w:hint="eastAsia" w:ascii="Times New Roman" w:hAnsi="Times New Roman"/>
          <w:b w:val="0"/>
        </w:rPr>
      </w:pPr>
      <w:bookmarkStart w:id="68" w:name="_Toc374364908"/>
      <w:bookmarkStart w:id="69" w:name="_Toc370234366"/>
      <w:bookmarkStart w:id="70" w:name="_Toc369555576"/>
      <w:r>
        <w:rPr>
          <w:rFonts w:hint="eastAsia" w:ascii="Times New Roman" w:hAnsi="Times New Roman"/>
          <w:b w:val="0"/>
        </w:rPr>
        <w:t>3.2  自然资源保护</w:t>
      </w:r>
      <w:bookmarkEnd w:id="68"/>
      <w:bookmarkEnd w:id="69"/>
      <w:bookmarkEnd w:id="70"/>
    </w:p>
    <w:p>
      <w:pPr>
        <w:widowControl/>
        <w:spacing w:line="560" w:lineRule="exact"/>
        <w:ind w:firstLine="640" w:firstLineChars="200"/>
        <w:rPr>
          <w:rFonts w:hint="eastAsia" w:eastAsia="仿宋_GB2312"/>
          <w:sz w:val="32"/>
          <w:szCs w:val="32"/>
        </w:rPr>
      </w:pPr>
      <w:r>
        <w:rPr>
          <w:rFonts w:hint="eastAsia" w:eastAsia="仿宋_GB2312"/>
          <w:sz w:val="32"/>
          <w:szCs w:val="32"/>
        </w:rPr>
        <w:t>资源是盐城的家底、发展的本钱。把资源保护与利用作为建设国家可持续发展实验区的重要内容，坚持节约集约使用、依法依规使用，不断提高资源利用效率。</w:t>
      </w:r>
    </w:p>
    <w:p>
      <w:pPr>
        <w:spacing w:line="560" w:lineRule="exact"/>
        <w:outlineLvl w:val="2"/>
        <w:rPr>
          <w:rFonts w:hint="eastAsia" w:eastAsia="楷体"/>
          <w:b/>
          <w:sz w:val="32"/>
          <w:szCs w:val="32"/>
        </w:rPr>
      </w:pPr>
      <w:bookmarkStart w:id="71" w:name="_Toc369555577"/>
      <w:bookmarkStart w:id="72" w:name="_Toc374364909"/>
      <w:bookmarkStart w:id="73" w:name="_Toc370234367"/>
      <w:r>
        <w:rPr>
          <w:rFonts w:hint="eastAsia" w:eastAsia="楷体"/>
          <w:b/>
          <w:sz w:val="32"/>
          <w:szCs w:val="32"/>
        </w:rPr>
        <w:t>3.2.1  土地资源保护</w:t>
      </w:r>
      <w:bookmarkEnd w:id="71"/>
      <w:bookmarkEnd w:id="72"/>
      <w:bookmarkEnd w:id="73"/>
    </w:p>
    <w:p>
      <w:pPr>
        <w:spacing w:line="560" w:lineRule="exact"/>
        <w:ind w:firstLine="640" w:firstLineChars="200"/>
        <w:rPr>
          <w:rFonts w:hint="eastAsia" w:eastAsia="仿宋_GB2312"/>
          <w:b/>
          <w:sz w:val="32"/>
          <w:szCs w:val="32"/>
        </w:rPr>
      </w:pPr>
      <w:r>
        <w:rPr>
          <w:rFonts w:hint="eastAsia" w:eastAsia="仿宋_GB2312"/>
          <w:sz w:val="32"/>
          <w:szCs w:val="32"/>
        </w:rPr>
        <w:t>按照“控制总量、严控增量、盘活存量”的要求，严格土地用途管制，从严控制建设用地规模，严守耕地红线，不断提高土地集约利用水平和单位土地产出效益。</w:t>
      </w:r>
    </w:p>
    <w:p>
      <w:pPr>
        <w:spacing w:line="560" w:lineRule="exact"/>
        <w:ind w:firstLine="640" w:firstLineChars="200"/>
        <w:rPr>
          <w:rFonts w:hint="eastAsia" w:eastAsia="仿宋_GB2312"/>
          <w:sz w:val="32"/>
          <w:szCs w:val="32"/>
        </w:rPr>
      </w:pPr>
      <w:r>
        <w:rPr>
          <w:rFonts w:hint="eastAsia" w:eastAsia="仿宋_GB2312"/>
          <w:b/>
          <w:sz w:val="32"/>
          <w:szCs w:val="32"/>
        </w:rPr>
        <w:t>节约集约利用土地资源。</w:t>
      </w:r>
      <w:r>
        <w:rPr>
          <w:rFonts w:hint="eastAsia" w:eastAsia="仿宋_GB2312"/>
          <w:sz w:val="32"/>
          <w:szCs w:val="32"/>
        </w:rPr>
        <w:t>严格遵循国家供地政策，优化建设用地结构，落实建设用地空间管制要求，完善节约集约用地制度体系，提高土地利用水平。强化耕地和基本农田保护，实行最严格的耕地保护制度和最严格的节约用地制度，推进农村土地综合整治和高标准基本农田建设。到2015年，单位GDP建设用地占用率下降6.3%，耕地保有量不低于1220万亩，基本农田保护面积不少于1145.1万亩。到2017年，单位地区生产总值建设用地占用下降率为6.5%，耕地保有量和基本农田保护面积不减少。</w:t>
      </w:r>
    </w:p>
    <w:p>
      <w:pPr>
        <w:spacing w:line="560" w:lineRule="exact"/>
        <w:ind w:firstLine="640" w:firstLineChars="200"/>
        <w:rPr>
          <w:rFonts w:hint="eastAsia" w:eastAsia="仿宋_GB2312"/>
          <w:sz w:val="32"/>
          <w:szCs w:val="32"/>
        </w:rPr>
      </w:pPr>
      <w:r>
        <w:rPr>
          <w:rFonts w:hint="eastAsia" w:eastAsia="仿宋_GB2312"/>
          <w:b/>
          <w:sz w:val="32"/>
          <w:szCs w:val="32"/>
        </w:rPr>
        <w:t>控制新增土壤污染。</w:t>
      </w:r>
      <w:r>
        <w:rPr>
          <w:rFonts w:hint="eastAsia" w:eastAsia="仿宋_GB2312"/>
          <w:sz w:val="32"/>
          <w:szCs w:val="32"/>
        </w:rPr>
        <w:t>严格执行国家规划环评和项目环评有关政策，强化规划环评和排放重金属、有机污染物工业项目土壤环境影响评价，从严控制耕地和集中式饮用水源地等土壤环境保护优先区域周边新建污染项目。</w:t>
      </w:r>
    </w:p>
    <w:p>
      <w:pPr>
        <w:spacing w:line="560" w:lineRule="exact"/>
        <w:ind w:firstLine="640" w:firstLineChars="200"/>
        <w:rPr>
          <w:rFonts w:hint="eastAsia" w:eastAsia="仿宋_GB2312"/>
          <w:sz w:val="32"/>
          <w:szCs w:val="32"/>
        </w:rPr>
      </w:pPr>
      <w:r>
        <w:rPr>
          <w:rFonts w:hint="eastAsia" w:eastAsia="仿宋_GB2312"/>
          <w:b/>
          <w:sz w:val="32"/>
          <w:szCs w:val="32"/>
        </w:rPr>
        <w:t>开展土壤修复和水土保持。</w:t>
      </w:r>
      <w:r>
        <w:rPr>
          <w:rFonts w:hint="eastAsia" w:eastAsia="仿宋_GB2312"/>
          <w:sz w:val="32"/>
          <w:szCs w:val="32"/>
        </w:rPr>
        <w:t>编制全市土壤污染防治规划，以持久性有机污染物、重金属、危险废物污染场地修复为重点，建立优先修复污染土壤清单，开展污染场地治理和修复试点工作，强化土壤污染防治技术研究和修复技术储备，形成比较规范的土壤修复工作方法和长效机制。加强土壤环境监管能力建设，建立土壤环境监测体系，配备土壤环境监管专职人员。编制全市水土保持规划，实施水土保持工程，开展水环境生态治理。到2015年，形成土壤环境常规监测能力，完成1－2个土壤修复示范工程。到2017年，恢复治理矿区500亩。</w:t>
      </w:r>
    </w:p>
    <w:p>
      <w:pPr>
        <w:spacing w:line="560" w:lineRule="exact"/>
        <w:outlineLvl w:val="2"/>
        <w:rPr>
          <w:rFonts w:hint="eastAsia" w:eastAsia="楷体"/>
          <w:b/>
          <w:sz w:val="32"/>
          <w:szCs w:val="32"/>
        </w:rPr>
      </w:pPr>
      <w:bookmarkStart w:id="74" w:name="_Toc370234368"/>
      <w:bookmarkStart w:id="75" w:name="_Toc374364910"/>
      <w:bookmarkStart w:id="76" w:name="_Toc369555578"/>
      <w:r>
        <w:rPr>
          <w:rFonts w:hint="eastAsia" w:eastAsia="楷体"/>
          <w:b/>
          <w:sz w:val="32"/>
          <w:szCs w:val="32"/>
        </w:rPr>
        <w:t>3.2.2  水资源保护</w:t>
      </w:r>
      <w:bookmarkEnd w:id="74"/>
      <w:bookmarkEnd w:id="75"/>
      <w:bookmarkEnd w:id="76"/>
    </w:p>
    <w:p>
      <w:pPr>
        <w:spacing w:line="560" w:lineRule="exact"/>
        <w:ind w:firstLine="640" w:firstLineChars="200"/>
        <w:rPr>
          <w:rFonts w:hint="eastAsia" w:eastAsia="仿宋_GB2312"/>
          <w:sz w:val="32"/>
          <w:szCs w:val="32"/>
        </w:rPr>
      </w:pPr>
      <w:r>
        <w:rPr>
          <w:rFonts w:hint="eastAsia" w:eastAsia="仿宋_GB2312"/>
          <w:b/>
          <w:sz w:val="32"/>
          <w:szCs w:val="32"/>
        </w:rPr>
        <w:t>实施最严格的管理制度。</w:t>
      </w:r>
      <w:r>
        <w:rPr>
          <w:rFonts w:hint="eastAsia" w:eastAsia="仿宋_GB2312"/>
          <w:sz w:val="32"/>
          <w:szCs w:val="32"/>
        </w:rPr>
        <w:t>全面落实水资源开发利用、用水效率、水功能区限制纳污等水资源红线。强化用水定额管理和总量控制，严格取水许可、水资源有偿使用、水资源论证、入河排污口管理和水（环境）功能区分类管理等制度，建立和完善市、县水资源管理控制指标体系，提升水资源利用效率和效益，优化和完善区域调、供水网络。开展水生态文明建设试点示范工作，实现水安全有效保障、水资源可持续利用、水生态系统健康、水环境优美和谐的建设目标。</w:t>
      </w:r>
    </w:p>
    <w:p>
      <w:pPr>
        <w:spacing w:line="560" w:lineRule="exact"/>
        <w:ind w:firstLine="640" w:firstLineChars="200"/>
        <w:rPr>
          <w:rFonts w:hint="eastAsia" w:eastAsia="仿宋_GB2312"/>
          <w:sz w:val="32"/>
          <w:szCs w:val="32"/>
        </w:rPr>
      </w:pPr>
      <w:r>
        <w:rPr>
          <w:rFonts w:hint="eastAsia" w:eastAsia="仿宋_GB2312"/>
          <w:b/>
          <w:sz w:val="32"/>
          <w:szCs w:val="32"/>
        </w:rPr>
        <w:t>实施河流水系连通工程。</w:t>
      </w:r>
      <w:r>
        <w:rPr>
          <w:rFonts w:hint="eastAsia" w:eastAsia="仿宋_GB2312"/>
          <w:sz w:val="32"/>
          <w:szCs w:val="32"/>
        </w:rPr>
        <w:t>从严控制占用河流水域，严厉打击非法侵占水域、采砂、取土、取水、排污等破坏河流生态健康行为；分级组织开展重点河流健康评估工作，定期公布河流健康状况；实施河流水系连通工程，提高城乡水系连通性，确保全市水域面积不减少，水面率不低于12.5%。</w:t>
      </w:r>
    </w:p>
    <w:p>
      <w:pPr>
        <w:spacing w:line="560" w:lineRule="exact"/>
        <w:ind w:firstLine="640" w:firstLineChars="200"/>
        <w:rPr>
          <w:rFonts w:hint="eastAsia" w:eastAsia="仿宋_GB2312"/>
          <w:sz w:val="32"/>
          <w:szCs w:val="32"/>
        </w:rPr>
      </w:pPr>
      <w:r>
        <w:rPr>
          <w:rFonts w:hint="eastAsia" w:eastAsia="仿宋_GB2312"/>
          <w:b/>
          <w:sz w:val="32"/>
          <w:szCs w:val="32"/>
        </w:rPr>
        <w:t>加强地下水资源保护。</w:t>
      </w:r>
      <w:r>
        <w:rPr>
          <w:rFonts w:hint="eastAsia" w:eastAsia="仿宋_GB2312"/>
          <w:sz w:val="32"/>
          <w:szCs w:val="32"/>
        </w:rPr>
        <w:t>严格执行国家和地方关于地下水管理的法规、规章和制度，严格控制地下水的开采与利用，全面开展地下水资源量普查和污染状况调查，划定地下水禁采与限采范围、取水总量和地下水位控制红线，逐步封填区域供水覆盖范围内的深井。</w:t>
      </w:r>
    </w:p>
    <w:p>
      <w:pPr>
        <w:spacing w:line="560" w:lineRule="exact"/>
        <w:ind w:firstLine="640" w:firstLineChars="200"/>
        <w:rPr>
          <w:rFonts w:hint="eastAsia" w:eastAsia="仿宋_GB2312"/>
          <w:sz w:val="32"/>
          <w:szCs w:val="32"/>
        </w:rPr>
      </w:pPr>
      <w:r>
        <w:rPr>
          <w:rFonts w:hint="eastAsia" w:eastAsia="仿宋_GB2312"/>
          <w:b/>
          <w:sz w:val="32"/>
          <w:szCs w:val="32"/>
        </w:rPr>
        <w:t>推进节水型社会建设。</w:t>
      </w:r>
      <w:r>
        <w:rPr>
          <w:rFonts w:hint="eastAsia" w:eastAsia="仿宋_GB2312"/>
          <w:sz w:val="32"/>
          <w:szCs w:val="32"/>
        </w:rPr>
        <w:t>加强农业节水工作，综合运用节水技术，大力发展设施农业、现代农业、高效农业。推广使用节水新技术、新工艺、新设备，重点抓好机关、宾馆、学校、医院等公共用水单位的节水型器具推广和使用，加快构建节水型社会。到2015年，单位GDP水耗下降到146立方米，万元工业增加值用水量降低到18.9立方米以下,农业灌溉用水有效利用系数达到0.62。到2017年，单位GDP水耗下降到137立方米，万元工业增加值用水量降低到17.9立方米以下,农业灌溉用水有效利用系数达到0.64。</w:t>
      </w:r>
    </w:p>
    <w:p>
      <w:pPr>
        <w:spacing w:line="560" w:lineRule="exact"/>
        <w:outlineLvl w:val="2"/>
        <w:rPr>
          <w:rFonts w:hint="eastAsia" w:eastAsia="楷体"/>
          <w:b/>
          <w:sz w:val="32"/>
          <w:szCs w:val="32"/>
        </w:rPr>
      </w:pPr>
      <w:bookmarkStart w:id="77" w:name="_Toc374364911"/>
      <w:bookmarkStart w:id="78" w:name="_Toc369555579"/>
      <w:bookmarkStart w:id="79" w:name="_Toc370234369"/>
      <w:bookmarkStart w:id="80" w:name="_Toc368067596"/>
      <w:r>
        <w:rPr>
          <w:rFonts w:hint="eastAsia" w:eastAsia="楷体"/>
          <w:b/>
          <w:sz w:val="32"/>
          <w:szCs w:val="32"/>
        </w:rPr>
        <w:t>3.2.3  海洋资源保护</w:t>
      </w:r>
      <w:bookmarkEnd w:id="77"/>
      <w:bookmarkEnd w:id="78"/>
      <w:bookmarkEnd w:id="79"/>
    </w:p>
    <w:p>
      <w:pPr>
        <w:spacing w:line="560" w:lineRule="exact"/>
        <w:ind w:firstLine="640" w:firstLineChars="200"/>
        <w:rPr>
          <w:rFonts w:hint="eastAsia" w:eastAsia="仿宋_GB2312"/>
          <w:sz w:val="32"/>
          <w:szCs w:val="32"/>
        </w:rPr>
      </w:pPr>
      <w:r>
        <w:rPr>
          <w:rFonts w:hint="eastAsia" w:eastAsia="仿宋_GB2312"/>
          <w:sz w:val="32"/>
          <w:szCs w:val="32"/>
        </w:rPr>
        <w:t>严格执行盐城市海洋功能区划，制订实施近岸海域排污总量控制计划，加强入海河流水质监控，严格控制陆源污染。加快沿海工业园区生态化改造，强化尾水排海综合治理。加强王港河、射阳河、新洋港等入海河流水环境综合整治，以及其它入海河口生态湿地建设。建设入海河口及直排口在线监测系统，构筑近岸海域环境监测网络平台，建立入海河流水质预警预报机制和突发污染事故联合查处机制。开展近岸海域水产养殖污染防治，调整水产养殖结构和布局，积极推行生态养殖模式。加快海洋渔业、沿海农业、盐业及盐化工等传统海洋产业的技术改革和科技创新，大力发展海洋生物、海洋石油、海洋信息产业、清洁能源等新型海洋产业群。</w:t>
      </w:r>
    </w:p>
    <w:p>
      <w:pPr>
        <w:spacing w:line="560" w:lineRule="exact"/>
        <w:outlineLvl w:val="2"/>
        <w:rPr>
          <w:rFonts w:hint="eastAsia" w:eastAsia="楷体"/>
          <w:b/>
          <w:sz w:val="32"/>
          <w:szCs w:val="32"/>
        </w:rPr>
      </w:pPr>
      <w:bookmarkStart w:id="81" w:name="_Toc369555580"/>
      <w:bookmarkStart w:id="82" w:name="_Toc370234370"/>
      <w:bookmarkStart w:id="83" w:name="_Toc374364912"/>
      <w:r>
        <w:rPr>
          <w:rFonts w:hint="eastAsia" w:eastAsia="楷体"/>
          <w:b/>
          <w:sz w:val="32"/>
          <w:szCs w:val="32"/>
        </w:rPr>
        <w:t>3.2.4  湿地资源保护</w:t>
      </w:r>
      <w:bookmarkEnd w:id="81"/>
      <w:bookmarkEnd w:id="82"/>
      <w:bookmarkEnd w:id="83"/>
    </w:p>
    <w:p>
      <w:pPr>
        <w:spacing w:line="560" w:lineRule="exact"/>
        <w:ind w:firstLine="567"/>
        <w:rPr>
          <w:rFonts w:hint="eastAsia" w:eastAsia="仿宋_GB2312"/>
          <w:sz w:val="32"/>
          <w:szCs w:val="32"/>
        </w:rPr>
      </w:pPr>
      <w:r>
        <w:rPr>
          <w:rFonts w:hint="eastAsia" w:eastAsia="仿宋_GB2312"/>
          <w:b/>
          <w:sz w:val="32"/>
          <w:szCs w:val="32"/>
        </w:rPr>
        <w:t>合理开发沿海滩涂资源。</w:t>
      </w:r>
      <w:r>
        <w:rPr>
          <w:rFonts w:hint="eastAsia" w:eastAsia="仿宋_GB2312"/>
          <w:sz w:val="32"/>
          <w:szCs w:val="32"/>
        </w:rPr>
        <w:t>按照“统一规划、分步实施，政府推动、市场运作，园区模式、综合开发”的要求，坚持“人与自然和谐、陆地与海洋统筹、产业布局与生态保护协调”的原则，高起点、高标准、高质量推进沿海滩涂围垦综合开发。科学确定滩涂围垦布局、围垦时序、围垦方式，确保60%用于农业、20%用于生态、20%用于垦区建设。切实保护好大丰港、滨海港、射阳港等沿海港口岸线与深水航道资源、自然保护区滩涂湿地资源、海岸及近海海洋环境。</w:t>
      </w:r>
      <w:r>
        <w:rPr>
          <w:rFonts w:eastAsia="仿宋_GB2312"/>
          <w:sz w:val="32"/>
          <w:szCs w:val="32"/>
        </w:rPr>
        <w:t>统筹推进</w:t>
      </w:r>
      <w:r>
        <w:rPr>
          <w:rFonts w:hint="eastAsia" w:eastAsia="仿宋_GB2312"/>
          <w:sz w:val="32"/>
          <w:szCs w:val="32"/>
        </w:rPr>
        <w:t>大丰港、射阳港等港口、临港产业和港城融合</w:t>
      </w:r>
      <w:r>
        <w:rPr>
          <w:rFonts w:eastAsia="仿宋_GB2312"/>
          <w:sz w:val="32"/>
          <w:szCs w:val="32"/>
        </w:rPr>
        <w:t>发展</w:t>
      </w:r>
      <w:r>
        <w:rPr>
          <w:rFonts w:hint="eastAsia" w:eastAsia="仿宋_GB2312"/>
          <w:sz w:val="32"/>
          <w:szCs w:val="32"/>
        </w:rPr>
        <w:t>和联动发展，</w:t>
      </w:r>
      <w:r>
        <w:rPr>
          <w:rFonts w:eastAsia="仿宋_GB2312"/>
          <w:sz w:val="32"/>
          <w:szCs w:val="32"/>
        </w:rPr>
        <w:t>加快</w:t>
      </w:r>
      <w:r>
        <w:rPr>
          <w:rFonts w:hint="eastAsia" w:eastAsia="仿宋_GB2312"/>
          <w:sz w:val="32"/>
          <w:szCs w:val="32"/>
        </w:rPr>
        <w:t>建成国家滩涂综合开发试验区、</w:t>
      </w:r>
      <w:r>
        <w:rPr>
          <w:rFonts w:eastAsia="仿宋_GB2312"/>
          <w:sz w:val="32"/>
          <w:szCs w:val="32"/>
        </w:rPr>
        <w:t>国家</w:t>
      </w:r>
      <w:r>
        <w:rPr>
          <w:rFonts w:hint="eastAsia" w:eastAsia="仿宋_GB2312"/>
          <w:sz w:val="32"/>
          <w:szCs w:val="32"/>
        </w:rPr>
        <w:t>科技兴海产业</w:t>
      </w:r>
      <w:r>
        <w:rPr>
          <w:rFonts w:eastAsia="仿宋_GB2312"/>
          <w:sz w:val="32"/>
          <w:szCs w:val="32"/>
        </w:rPr>
        <w:t>示范</w:t>
      </w:r>
      <w:r>
        <w:rPr>
          <w:rFonts w:hint="eastAsia" w:eastAsia="仿宋_GB2312"/>
          <w:sz w:val="32"/>
          <w:szCs w:val="32"/>
        </w:rPr>
        <w:t>基地</w:t>
      </w:r>
      <w:r>
        <w:rPr>
          <w:rFonts w:eastAsia="仿宋_GB2312"/>
          <w:sz w:val="32"/>
          <w:szCs w:val="32"/>
        </w:rPr>
        <w:t>、长三角特色装备制造与</w:t>
      </w:r>
      <w:r>
        <w:rPr>
          <w:rFonts w:hint="eastAsia" w:eastAsia="仿宋_GB2312"/>
          <w:sz w:val="32"/>
          <w:szCs w:val="32"/>
        </w:rPr>
        <w:t>新</w:t>
      </w:r>
      <w:r>
        <w:rPr>
          <w:rFonts w:eastAsia="仿宋_GB2312"/>
          <w:sz w:val="32"/>
          <w:szCs w:val="32"/>
        </w:rPr>
        <w:t>能源</w:t>
      </w:r>
      <w:r>
        <w:rPr>
          <w:rFonts w:hint="eastAsia" w:eastAsia="仿宋_GB2312"/>
          <w:sz w:val="32"/>
          <w:szCs w:val="32"/>
        </w:rPr>
        <w:t>基地。到2015年，在湿地面积不减少的情况下，完成沿海滩涂围垦30万亩</w:t>
      </w:r>
      <w:r>
        <w:rPr>
          <w:rFonts w:eastAsia="仿宋_GB2312"/>
          <w:sz w:val="32"/>
          <w:szCs w:val="32"/>
        </w:rPr>
        <w:t>。</w:t>
      </w:r>
    </w:p>
    <w:p>
      <w:pPr>
        <w:spacing w:line="560" w:lineRule="exact"/>
        <w:ind w:firstLine="567"/>
        <w:rPr>
          <w:rFonts w:hint="eastAsia" w:eastAsia="仿宋_GB2312"/>
          <w:sz w:val="32"/>
          <w:szCs w:val="32"/>
        </w:rPr>
      </w:pPr>
      <w:r>
        <w:rPr>
          <w:rFonts w:hint="eastAsia" w:eastAsia="仿宋_GB2312"/>
          <w:b/>
          <w:sz w:val="32"/>
          <w:szCs w:val="32"/>
        </w:rPr>
        <w:t>加强湿地资源恢复与管护。</w:t>
      </w:r>
      <w:r>
        <w:rPr>
          <w:rFonts w:hint="eastAsia" w:eastAsia="仿宋_GB2312"/>
          <w:sz w:val="32"/>
          <w:szCs w:val="32"/>
        </w:rPr>
        <w:t>打造盐城湿地之都的靓丽名片，彰显黄海之滨湿地城市独特魅力。加快实施河坡生态养护、滩涂植被恢复和湿地公园建设，实施退耕退渔退养、还林还湖还湿工程，逐步修复退化湿地，增强生态自然修复功能。因地制宜推进湿地公园、湿地保护小区建设，提高自然湿地保护率。各县（市、区）规划建设1-2个符合湿地保护与合理利用要求的湿地公园，建立3—5个湿地保护小区，全市恢复湿地面积14000亩。到2015年，自然湿地保护率达40.2%，到2017年，自然湿地保护率达40.8%。</w:t>
      </w:r>
    </w:p>
    <w:p>
      <w:pPr>
        <w:spacing w:line="560" w:lineRule="exact"/>
        <w:outlineLvl w:val="2"/>
        <w:rPr>
          <w:rFonts w:hint="eastAsia" w:eastAsia="楷体"/>
          <w:b/>
          <w:sz w:val="32"/>
          <w:szCs w:val="32"/>
        </w:rPr>
      </w:pPr>
      <w:bookmarkStart w:id="84" w:name="_Toc370234371"/>
      <w:bookmarkStart w:id="85" w:name="_Toc369555581"/>
      <w:bookmarkStart w:id="86" w:name="_Toc374364913"/>
      <w:r>
        <w:rPr>
          <w:rFonts w:hint="eastAsia" w:eastAsia="楷体"/>
          <w:b/>
          <w:sz w:val="32"/>
          <w:szCs w:val="32"/>
        </w:rPr>
        <w:t>3.2.5  其他战略资源保护</w:t>
      </w:r>
      <w:bookmarkEnd w:id="80"/>
      <w:bookmarkEnd w:id="84"/>
      <w:bookmarkEnd w:id="85"/>
      <w:bookmarkEnd w:id="86"/>
    </w:p>
    <w:p>
      <w:pPr>
        <w:spacing w:line="560" w:lineRule="exact"/>
        <w:ind w:firstLine="640" w:firstLineChars="200"/>
        <w:rPr>
          <w:rFonts w:hint="eastAsia" w:eastAsia="仿宋_GB2312"/>
          <w:sz w:val="32"/>
          <w:szCs w:val="32"/>
        </w:rPr>
      </w:pPr>
      <w:r>
        <w:rPr>
          <w:rFonts w:hint="eastAsia" w:eastAsia="仿宋_GB2312"/>
          <w:b/>
          <w:sz w:val="32"/>
          <w:szCs w:val="32"/>
        </w:rPr>
        <w:t>风能及光伏资源管护。</w:t>
      </w:r>
      <w:r>
        <w:rPr>
          <w:rFonts w:hint="eastAsia" w:eastAsia="仿宋_GB2312"/>
          <w:sz w:val="32"/>
          <w:szCs w:val="32"/>
        </w:rPr>
        <w:t>按照“统筹资源支持市区建设产业发展高地，鼓励沿海地区适度竞争保持产业活力，带动内陆产业配套跟进”的思路，建立健全沿海风能、光能资源的开发、利用和管理制度，加快培植壮大风电和光伏产业。重点建设江苏华锐风电产业园、华锐国家级海上风电装备研发中心、市开发区全球海上风电产业园、金风科技产业园、光伏产业园。推广“风光渔”互补综合开发主体模式，加快建成东台等新能源产业示范基地。</w:t>
      </w:r>
    </w:p>
    <w:p>
      <w:pPr>
        <w:spacing w:line="560" w:lineRule="exact"/>
        <w:ind w:firstLine="640" w:firstLineChars="200"/>
        <w:rPr>
          <w:rFonts w:hint="eastAsia" w:eastAsia="仿宋_GB2312"/>
          <w:sz w:val="32"/>
          <w:szCs w:val="32"/>
        </w:rPr>
      </w:pPr>
      <w:r>
        <w:rPr>
          <w:rFonts w:hint="eastAsia" w:eastAsia="仿宋_GB2312"/>
          <w:b/>
          <w:sz w:val="32"/>
          <w:szCs w:val="32"/>
        </w:rPr>
        <w:t>盐田资源管护。</w:t>
      </w:r>
      <w:bookmarkStart w:id="87" w:name="_Toc368067601"/>
      <w:r>
        <w:rPr>
          <w:rFonts w:hint="eastAsia" w:eastAsia="仿宋_GB2312"/>
          <w:sz w:val="32"/>
          <w:szCs w:val="32"/>
        </w:rPr>
        <w:t>遵循科学发展、跨越发展、持续发展理念，坚持开发与保护并重，充分发挥区位独特、深水港口、盐田资源的优势，以滨海深水大港建设为突破口，以新灌片区建设为主阵地，以临港产业发展为着力点，按照“三港联动、三产融合、三生协调”的发展思路，科学安排功能分区和用地布局，规划大载体、建设大港口、引进大项目、培育大企业、打造大产业、配套大港城，加快推进黄海经济区建设，促进盐城北部区域经济高水平崛起，打造江苏沿海新的增长极，成为国家区域协调发展的重要功能区。</w:t>
      </w:r>
    </w:p>
    <w:p>
      <w:pPr>
        <w:spacing w:line="560" w:lineRule="exact"/>
        <w:ind w:firstLine="640" w:firstLineChars="200"/>
        <w:rPr>
          <w:rFonts w:hint="eastAsia" w:eastAsia="仿宋_GB2312"/>
          <w:sz w:val="32"/>
          <w:szCs w:val="32"/>
        </w:rPr>
      </w:pPr>
      <w:r>
        <w:rPr>
          <w:rFonts w:hint="eastAsia" w:eastAsia="仿宋_GB2312"/>
          <w:sz w:val="32"/>
          <w:szCs w:val="32"/>
        </w:rPr>
        <w:t>新灌片区总体按照“港口带动、轴线延伸、循环组团、生态优先”要求进行空间布局，形成“一核两轴三片区四组团”的空间结构。射阳片区注重生态保护，依托良好的区位条件和自然资源，协调发展相关产业，规划形成“一带三区”的空间结构。到2015年，规划区实现工业开票销售200亿元，射阳盐场完成10.5平方公里的土地复垦。滨海港区完成航道、煤码头、公用码头、火电、LNG等项目建设，港口年货物吞吐能力达到4100万吨，集装箱吞吐能力10万只标箱。滨海港城和陈家港港城配套生产生活基本服务功能。响水港区岸线和港口资源整合发展，吞吐量突破2000万吨。</w:t>
      </w:r>
    </w:p>
    <w:p>
      <w:pPr>
        <w:pStyle w:val="3"/>
        <w:keepNext w:val="0"/>
        <w:keepLines w:val="0"/>
        <w:spacing w:before="156" w:beforeLines="50" w:after="156" w:afterLines="50" w:line="560" w:lineRule="exact"/>
        <w:rPr>
          <w:rFonts w:hint="eastAsia" w:ascii="Times New Roman" w:hAnsi="Times New Roman"/>
          <w:b w:val="0"/>
        </w:rPr>
      </w:pPr>
      <w:bookmarkStart w:id="88" w:name="_Toc374364914"/>
      <w:bookmarkStart w:id="89" w:name="_Toc370234372"/>
      <w:bookmarkStart w:id="90" w:name="_Toc369555582"/>
      <w:r>
        <w:rPr>
          <w:rFonts w:hint="eastAsia" w:ascii="Times New Roman" w:hAnsi="Times New Roman"/>
          <w:b w:val="0"/>
        </w:rPr>
        <w:t>3.3  节能减排</w:t>
      </w:r>
      <w:bookmarkEnd w:id="87"/>
      <w:bookmarkEnd w:id="88"/>
      <w:bookmarkEnd w:id="89"/>
      <w:bookmarkEnd w:id="90"/>
    </w:p>
    <w:p>
      <w:pPr>
        <w:spacing w:line="560" w:lineRule="exact"/>
        <w:ind w:firstLine="640" w:firstLineChars="200"/>
        <w:rPr>
          <w:rFonts w:hint="eastAsia" w:eastAsia="仿宋_GB2312"/>
          <w:sz w:val="32"/>
          <w:szCs w:val="32"/>
        </w:rPr>
      </w:pPr>
      <w:r>
        <w:rPr>
          <w:rFonts w:hint="eastAsia" w:eastAsia="仿宋_GB2312"/>
          <w:sz w:val="32"/>
          <w:szCs w:val="32"/>
        </w:rPr>
        <w:t>优化能源消费结构，开展化工、纺织、冶金等重点传统行业提标改造，严格控制高能耗高排放行业过快增长，形成减排治污倒逼转型升级，倒逼结构调整的体制机制。</w:t>
      </w:r>
    </w:p>
    <w:p>
      <w:pPr>
        <w:spacing w:line="560" w:lineRule="exact"/>
        <w:ind w:firstLine="640" w:firstLineChars="200"/>
        <w:rPr>
          <w:rFonts w:hint="eastAsia" w:eastAsia="仿宋_GB2312"/>
          <w:sz w:val="32"/>
          <w:szCs w:val="32"/>
        </w:rPr>
      </w:pPr>
      <w:r>
        <w:rPr>
          <w:rFonts w:hint="eastAsia" w:eastAsia="仿宋_GB2312"/>
          <w:b/>
          <w:sz w:val="32"/>
          <w:szCs w:val="32"/>
        </w:rPr>
        <w:t>优化能源消费结构。</w:t>
      </w:r>
      <w:r>
        <w:rPr>
          <w:rFonts w:hint="eastAsia" w:eastAsia="仿宋_GB2312"/>
          <w:sz w:val="32"/>
          <w:szCs w:val="32"/>
        </w:rPr>
        <w:t>推进清洁能源区建设，加快发展热电联产，大力推进热电厂燃气—蒸汽联合循环发电供热，提高能源利用效率。严格控制煤炭消费总量，加快建立以低碳排放为特征的工业、能源、交通、建筑等产业体系、生产方式和消费模式。探索和建立能源消耗、碳排放强度与能源消费总量“双控”制度，充分利用本地资源禀赋，积极开发利用天然气、风电、太阳能、生物质能等清洁能源和可再生能源，提高电力行业使用天然气等清洁能源的比重，重点推进射阳、滨海、大丰、东台、响水风电项目建设。到2015年，天然气等非化石能源占一次能源比重达到15.3%左右，全市风电装机规模达到300万千瓦，光伏装机规模达到1000兆瓦。到2017年非化石能源占一次能源消费比例达15.5%。</w:t>
      </w:r>
    </w:p>
    <w:p>
      <w:pPr>
        <w:spacing w:line="560" w:lineRule="exact"/>
        <w:ind w:firstLine="640" w:firstLineChars="200"/>
        <w:rPr>
          <w:rFonts w:hint="eastAsia" w:eastAsia="仿宋_GB2312"/>
          <w:sz w:val="32"/>
          <w:szCs w:val="32"/>
        </w:rPr>
      </w:pPr>
      <w:bookmarkStart w:id="91" w:name="_Toc365544420"/>
      <w:bookmarkStart w:id="92" w:name="_Toc360777563"/>
      <w:bookmarkStart w:id="93" w:name="_Toc367802609"/>
      <w:r>
        <w:rPr>
          <w:rFonts w:hint="eastAsia" w:eastAsia="仿宋_GB2312"/>
          <w:b/>
          <w:sz w:val="32"/>
          <w:szCs w:val="32"/>
        </w:rPr>
        <w:t>推进节能改造</w:t>
      </w:r>
      <w:bookmarkEnd w:id="91"/>
      <w:bookmarkEnd w:id="92"/>
      <w:bookmarkEnd w:id="93"/>
      <w:r>
        <w:rPr>
          <w:rFonts w:hint="eastAsia" w:eastAsia="仿宋_GB2312"/>
          <w:b/>
          <w:sz w:val="32"/>
          <w:szCs w:val="32"/>
        </w:rPr>
        <w:t>。</w:t>
      </w:r>
      <w:r>
        <w:rPr>
          <w:rFonts w:hint="eastAsia" w:eastAsia="仿宋_GB2312"/>
          <w:sz w:val="32"/>
          <w:szCs w:val="32"/>
        </w:rPr>
        <w:t>全面落实《盐城市“十二五”节能规划》，开展化工、造纸、印染等行业提标改造，着重抓好工业、建筑、交通运输、公共机构等重点领域，以及钢铁、水泥、电力等重点行业和年耗能3000吨标准煤以上的重点用能单位节能工作。通过改进工艺、清洁生产、污染治理设施改造等手段，推动重污染行业工艺废水的深度处理与回用，降低染物排放量。积极开展万家企业节能低碳行动，引导企业实施节能技术产业化、节能产品惠民、合同能源管理、节能能力建设等十大节能工程，建立节能项目库，加快实施重点企业节能技改项目，加强重点项目的跟踪服务和重点企业的监督管理，对能效不达标的企业实行强制性节能技术改造。</w:t>
      </w:r>
    </w:p>
    <w:p>
      <w:pPr>
        <w:spacing w:line="560" w:lineRule="exact"/>
        <w:ind w:firstLine="640" w:firstLineChars="200"/>
        <w:rPr>
          <w:rFonts w:hint="eastAsia" w:eastAsia="仿宋_GB2312"/>
          <w:sz w:val="32"/>
          <w:szCs w:val="32"/>
        </w:rPr>
      </w:pPr>
      <w:r>
        <w:rPr>
          <w:rFonts w:hint="eastAsia" w:eastAsia="仿宋_GB2312"/>
          <w:b/>
          <w:sz w:val="32"/>
          <w:szCs w:val="32"/>
        </w:rPr>
        <w:t>淘汰落后产能。</w:t>
      </w:r>
      <w:r>
        <w:rPr>
          <w:rFonts w:hint="eastAsia" w:eastAsia="仿宋_GB2312"/>
          <w:sz w:val="32"/>
          <w:szCs w:val="32"/>
        </w:rPr>
        <w:t>全面关停国家规定淘汰的小火电机组，按期完成国家和省政府下达的淘汰落后产能任务。严格对照国家发改委《产业结构调整指导目录》（2011年本）修正版、《落后高耗能设备淘汰目录》和工信部《落后高耗能机电设备淘汰目录》，依法淘汰化工、建材、冶金等高污染、高耗能产能，逐步淘汰生产工艺落后、排污与耗能较高的企业，加快发展下游污染少、附加值高的产业。加强政策支持和引导，强化标准规范约束，逐步建立激励与约束相结合的实施机制，加快推广高效电机，全面提升全市电机能效水平。到2015年，所有燃煤机组全部完成脱硝改造，累计推广高效电机45.6万千瓦，实现年节电4000万千瓦时。</w:t>
      </w:r>
    </w:p>
    <w:p>
      <w:pPr>
        <w:spacing w:line="560" w:lineRule="exact"/>
        <w:ind w:firstLine="720" w:firstLineChars="225"/>
        <w:rPr>
          <w:rFonts w:hint="eastAsia" w:eastAsia="仿宋_GB2312"/>
          <w:sz w:val="32"/>
          <w:szCs w:val="32"/>
        </w:rPr>
      </w:pPr>
      <w:r>
        <w:rPr>
          <w:rFonts w:hint="eastAsia" w:eastAsia="仿宋_GB2312"/>
          <w:b/>
          <w:sz w:val="32"/>
          <w:szCs w:val="32"/>
        </w:rPr>
        <w:t>实施主要污染物总量减排。</w:t>
      </w:r>
      <w:r>
        <w:rPr>
          <w:rFonts w:hint="eastAsia" w:eastAsia="仿宋_GB2312"/>
          <w:sz w:val="32"/>
          <w:szCs w:val="32"/>
        </w:rPr>
        <w:t>按照科学测算、区别对待、适度从紧的原则，大力推进结构减排、工程减排和管理减排，进一步完善减排统计、监测预警和考核机制，以提高污染源自动监控数据传输有效率、自行监测和监督性监测结果公布率为重点，建设更加规范的减排监测体系，严格控制污染物排放总量，确保全面完成国家和省下达的“十二五”减排目标。到2015年，我市化学需氧量排放总量比2010年削减9.56%，氨氮削减10.78%，二氧化硫削减6.47%，氮氧化物削减6.30%。</w:t>
      </w:r>
    </w:p>
    <w:p>
      <w:pPr>
        <w:pStyle w:val="3"/>
        <w:keepNext w:val="0"/>
        <w:keepLines w:val="0"/>
        <w:spacing w:before="156" w:beforeLines="50" w:after="156" w:afterLines="50" w:line="560" w:lineRule="exact"/>
        <w:rPr>
          <w:rFonts w:hint="eastAsia" w:ascii="Times New Roman" w:hAnsi="Times New Roman"/>
          <w:b w:val="0"/>
        </w:rPr>
      </w:pPr>
      <w:bookmarkStart w:id="94" w:name="_Toc369555583"/>
      <w:bookmarkStart w:id="95" w:name="_Toc370234373"/>
      <w:bookmarkStart w:id="96" w:name="_Toc374364915"/>
      <w:r>
        <w:rPr>
          <w:rFonts w:hint="eastAsia" w:ascii="Times New Roman" w:hAnsi="Times New Roman"/>
          <w:b w:val="0"/>
        </w:rPr>
        <w:t>3.4  生态人居建设</w:t>
      </w:r>
      <w:bookmarkEnd w:id="94"/>
      <w:bookmarkEnd w:id="95"/>
      <w:bookmarkEnd w:id="96"/>
    </w:p>
    <w:p>
      <w:pPr>
        <w:spacing w:line="560" w:lineRule="exact"/>
        <w:ind w:firstLine="640" w:firstLineChars="200"/>
        <w:rPr>
          <w:rFonts w:hint="eastAsia" w:eastAsia="仿宋_GB2312"/>
          <w:sz w:val="32"/>
          <w:szCs w:val="32"/>
        </w:rPr>
      </w:pPr>
      <w:r>
        <w:rPr>
          <w:rFonts w:hint="eastAsia" w:eastAsia="仿宋_GB2312"/>
          <w:sz w:val="32"/>
          <w:szCs w:val="32"/>
        </w:rPr>
        <w:t>居住环境是生活质量的基本构成。家园之美需要大自然馈赠，更在后天保护与创造。把生态文明理念融入城镇化和城乡一体化发展全过程，促进环境基础设施向农村延伸，环保公共服务向农村覆盖，生态产品城乡均衡供给，让全市人民群众共享宜居宜业的美丽家园。</w:t>
      </w:r>
    </w:p>
    <w:p>
      <w:pPr>
        <w:spacing w:line="560" w:lineRule="exact"/>
        <w:outlineLvl w:val="2"/>
        <w:rPr>
          <w:rFonts w:hint="eastAsia" w:eastAsia="楷体"/>
          <w:b/>
          <w:sz w:val="32"/>
          <w:szCs w:val="32"/>
        </w:rPr>
      </w:pPr>
      <w:bookmarkStart w:id="97" w:name="_Toc374364916"/>
      <w:bookmarkStart w:id="98" w:name="_Toc368067605"/>
      <w:bookmarkStart w:id="99" w:name="_Toc369555584"/>
      <w:bookmarkStart w:id="100" w:name="_Toc370234374"/>
      <w:r>
        <w:rPr>
          <w:rFonts w:hint="eastAsia" w:eastAsia="楷体"/>
          <w:b/>
          <w:sz w:val="32"/>
          <w:szCs w:val="32"/>
        </w:rPr>
        <w:t>3.4.1  清水工程</w:t>
      </w:r>
      <w:bookmarkEnd w:id="97"/>
      <w:bookmarkEnd w:id="98"/>
      <w:bookmarkEnd w:id="99"/>
      <w:bookmarkEnd w:id="100"/>
    </w:p>
    <w:p>
      <w:pPr>
        <w:spacing w:line="560" w:lineRule="exact"/>
        <w:ind w:firstLine="640" w:firstLineChars="200"/>
        <w:rPr>
          <w:rFonts w:hint="eastAsia" w:eastAsia="仿宋_GB2312" w:cs="仿宋_GB2312"/>
          <w:bCs/>
          <w:sz w:val="32"/>
          <w:szCs w:val="32"/>
        </w:rPr>
      </w:pPr>
      <w:r>
        <w:rPr>
          <w:rFonts w:hint="eastAsia" w:eastAsia="仿宋_GB2312"/>
          <w:b/>
          <w:sz w:val="32"/>
          <w:szCs w:val="32"/>
        </w:rPr>
        <w:t>保障饮用水源安全。</w:t>
      </w:r>
      <w:r>
        <w:rPr>
          <w:rFonts w:hint="eastAsia" w:eastAsia="仿宋_GB2312" w:cs="仿宋_GB2312"/>
          <w:bCs/>
          <w:sz w:val="32"/>
          <w:szCs w:val="32"/>
        </w:rPr>
        <w:t>组织实施饮用水源安全保障工程，</w:t>
      </w:r>
      <w:r>
        <w:rPr>
          <w:rFonts w:hint="eastAsia" w:eastAsia="仿宋_GB2312"/>
          <w:sz w:val="32"/>
          <w:szCs w:val="32"/>
        </w:rPr>
        <w:t>加快推进“双源供水”、城乡统筹区域供水，建立从“水源地”到“水龙头”的安全屏障。</w:t>
      </w:r>
      <w:r>
        <w:rPr>
          <w:rFonts w:hint="eastAsia" w:eastAsia="仿宋_GB2312" w:cs="仿宋_GB2312"/>
          <w:bCs/>
          <w:sz w:val="32"/>
          <w:szCs w:val="32"/>
        </w:rPr>
        <w:t>加快区域集中式饮用水源地达标建设，对全市16个日供水万吨以上集中式饮用水源地开展水源地达标建设，彻底关闭饮用水源一级保护内与供水设施和保护水源无关的建设项目，全面完成饮用水源二级保护区内生活污水集中处理设施和管网建设。到2015年，日供水万吨以上的集中式饮用水源地全面达标。加快区域集中供水和备用水源建设，抓紧长江管道引水工程建设方案论证，</w:t>
      </w:r>
      <w:r>
        <w:rPr>
          <w:rFonts w:hint="eastAsia" w:eastAsia="仿宋_GB2312"/>
          <w:sz w:val="32"/>
          <w:szCs w:val="32"/>
        </w:rPr>
        <w:t>启动盐龙湖水厂一期工程、</w:t>
      </w:r>
      <w:r>
        <w:rPr>
          <w:rFonts w:hint="eastAsia" w:eastAsia="仿宋_GB2312" w:cs="仿宋_GB2312"/>
          <w:bCs/>
          <w:sz w:val="32"/>
          <w:szCs w:val="32"/>
        </w:rPr>
        <w:t>东台市第二水厂、滨海县东坎水厂、响水县第二水厂等项目建设。到2015年，新建供水能力67万吨/日，配套供水管网，实现城乡供水一体化，区域供水乡镇通达率100%，各县（市）建成备用水源。</w:t>
      </w:r>
    </w:p>
    <w:p>
      <w:pPr>
        <w:spacing w:line="560" w:lineRule="exact"/>
        <w:ind w:firstLine="640" w:firstLineChars="200"/>
        <w:rPr>
          <w:rFonts w:hint="eastAsia" w:eastAsia="仿宋_GB2312"/>
          <w:sz w:val="32"/>
          <w:szCs w:val="32"/>
        </w:rPr>
      </w:pPr>
      <w:r>
        <w:rPr>
          <w:rFonts w:hint="eastAsia" w:eastAsia="仿宋_GB2312"/>
          <w:b/>
          <w:sz w:val="32"/>
          <w:szCs w:val="32"/>
        </w:rPr>
        <w:t>推进清水走廊建设。</w:t>
      </w:r>
      <w:r>
        <w:rPr>
          <w:rFonts w:hint="eastAsia" w:eastAsia="仿宋_GB2312" w:cs="仿宋_GB2312"/>
          <w:bCs/>
          <w:sz w:val="32"/>
          <w:szCs w:val="32"/>
        </w:rPr>
        <w:t>深入实施盐城清水走廊建设三年行动方案，进一步完善以“河长制”为基础的分级管理责任体系。重点抓好蟒蛇河、通榆河（含泰东河）、射阳河（含嘎粮河）三条主要供水河道的水污染防治工作，确保全市集中式饮用水源地水质稳定达到地表水Ⅲ类标准，所有控制断面水质达到水环境功能区划要求。</w:t>
      </w:r>
    </w:p>
    <w:p>
      <w:pPr>
        <w:spacing w:line="560" w:lineRule="exact"/>
        <w:ind w:firstLine="640" w:firstLineChars="200"/>
        <w:rPr>
          <w:rFonts w:hint="eastAsia" w:eastAsia="仿宋_GB2312" w:cs="仿宋_GB2312"/>
          <w:bCs/>
          <w:sz w:val="32"/>
          <w:szCs w:val="32"/>
        </w:rPr>
      </w:pPr>
      <w:r>
        <w:rPr>
          <w:rFonts w:hint="eastAsia" w:eastAsia="仿宋_GB2312"/>
          <w:b/>
          <w:sz w:val="32"/>
          <w:szCs w:val="32"/>
        </w:rPr>
        <w:t>加强饮用水源联防联控。</w:t>
      </w:r>
      <w:r>
        <w:rPr>
          <w:rFonts w:hint="eastAsia" w:eastAsia="仿宋_GB2312"/>
          <w:sz w:val="32"/>
          <w:szCs w:val="32"/>
        </w:rPr>
        <w:t>参照省关于印发通榆河水环境质量区域补偿试点工作要求，探索建立我市主要供水河道水环境质量区域补偿机制，实行分段监控、分段管理、分段考核、逐段移交，共同保障水质安全。整合省、市通榆河水环境质量区域补偿资金和市水污染防治专项资金，设立“清水走廊建设基金”。建立定期会商、信息共享、联合监测、水质预警、协同处置等联动协调机制，有效防范、及时处置上游来水对我市的影响。</w:t>
      </w:r>
    </w:p>
    <w:p>
      <w:pPr>
        <w:spacing w:line="560" w:lineRule="exact"/>
        <w:ind w:firstLine="640" w:firstLineChars="200"/>
        <w:rPr>
          <w:rFonts w:hint="eastAsia" w:eastAsia="仿宋_GB2312"/>
          <w:sz w:val="32"/>
          <w:szCs w:val="32"/>
        </w:rPr>
      </w:pPr>
      <w:r>
        <w:rPr>
          <w:rFonts w:hint="eastAsia" w:eastAsia="仿宋_GB2312"/>
          <w:b/>
          <w:sz w:val="32"/>
          <w:szCs w:val="32"/>
        </w:rPr>
        <w:t>提高污水处理能力。</w:t>
      </w:r>
      <w:r>
        <w:rPr>
          <w:rFonts w:hint="eastAsia" w:eastAsia="仿宋_GB2312"/>
          <w:sz w:val="32"/>
          <w:szCs w:val="32"/>
        </w:rPr>
        <w:t>坚持建管并重，按照“成熟一片、收集一片、完善一片”的原则，加快推进城乡污水处理厂及配套管网建设。建成城南污水处理厂三期工程，完善现有污水处理厂配套截污管网和脱磷脱氮工艺，实施城东、城南污水处理厂一期提标改造工程；新建市区污水管网150公里；对市中心区范围内的40条河流进行截污，取消126处DN400以上排污口，对尚未接入城市污水管网的90个小区进行截污。加快农村生活污水处理设施建设，新（扩）建城镇污水处理厂26座，建成150个规划布点村庄生活污水处理设施。到2015年，市区污水管网覆盖率达85%以上，雨污水管网分流覆盖率达60%以上，城市生活污水处理率达85%以上，城市（县城）污水处理厂尾水再生利用率达20%；全市所有建制镇污水处理设施覆盖率不低于92%，县城污水集中处理率提高到80%，污水处理厂污泥规范化处理率达80%；规划布点村庄生活污水处理设施覆盖率达到15%。到2017年，市区污水管网覆盖率达90%以上，雨污水管网分流覆盖率达70%以上，城市生活污水处理率达90%以上，城市（县城）污水处理厂尾水再生利用率达22%；全市所有建制镇污水处理设施覆盖率不低于95%，县城污水集中处理率提高到85%，污水处理厂污泥规范化处理率达100%；规划布点村庄生活污水处理设施覆盖率达到18%”。</w:t>
      </w:r>
    </w:p>
    <w:p>
      <w:pPr>
        <w:spacing w:line="560" w:lineRule="exact"/>
        <w:ind w:firstLine="640" w:firstLineChars="200"/>
        <w:rPr>
          <w:rFonts w:hint="eastAsia" w:eastAsia="仿宋_GB2312"/>
          <w:sz w:val="32"/>
          <w:szCs w:val="32"/>
        </w:rPr>
      </w:pPr>
      <w:r>
        <w:rPr>
          <w:rFonts w:hint="eastAsia" w:eastAsia="仿宋_GB2312"/>
          <w:b/>
          <w:sz w:val="32"/>
          <w:szCs w:val="32"/>
        </w:rPr>
        <w:t>推进工业水污染治理。</w:t>
      </w:r>
      <w:r>
        <w:rPr>
          <w:rFonts w:hint="eastAsia" w:eastAsia="仿宋_GB2312"/>
          <w:sz w:val="32"/>
          <w:szCs w:val="32"/>
        </w:rPr>
        <w:t>加强源头控制，严格执行通榆河清水通道和饮用水源保护区项目准入管理规定，严格控制在开发区和工业集中区外新建工业企业，禁止在开发区和工业集中区外新建、扩建化工类项目，关闭区域内污染严重的企业和项目。到2015年，主要供水河道沿线开发区、工业集中区各类污水全部实现集中收集处理，各类工业园区全面建成集中式污水处理厂及配套管网，入区企业接管率达100%，污水处理厂污水处理达标率100%。</w:t>
      </w:r>
    </w:p>
    <w:p>
      <w:pPr>
        <w:spacing w:line="560" w:lineRule="exact"/>
        <w:ind w:firstLine="640" w:firstLineChars="200"/>
        <w:rPr>
          <w:rFonts w:hint="eastAsia" w:eastAsia="仿宋_GB2312"/>
          <w:sz w:val="32"/>
          <w:szCs w:val="32"/>
        </w:rPr>
      </w:pPr>
      <w:r>
        <w:rPr>
          <w:rFonts w:hint="eastAsia" w:eastAsia="仿宋_GB2312"/>
          <w:b/>
          <w:sz w:val="32"/>
          <w:szCs w:val="32"/>
        </w:rPr>
        <w:t>开展河道环境综合整治。</w:t>
      </w:r>
      <w:r>
        <w:rPr>
          <w:rFonts w:hint="eastAsia" w:eastAsia="仿宋_GB2312"/>
          <w:sz w:val="32"/>
          <w:szCs w:val="32"/>
        </w:rPr>
        <w:t>按照城市河道环境综合整治实施方案和盐城市区水环境整治实施方案，围绕“路通岸绿、截污水清”的要求和“三年基本改观、五年彻底根治”的目标，对城市和县城河流进行综合整治，通过源头控制、截污入管，拆违清杂、清淤疏浚，保水活水等整治措施，重点实施通榆河以西、新洋港以南、大马沟以东、小新河以北第三防洪区54条（其中跨区13条）220.95公里城市内河整治工程，提高河道防洪标准，提升河道水环境质量。按照属地负责与部门协同相结合、综合整治与点源工程保障相结合、过程督查与阶段考核相结合的原则，全面落实《通榆河水污染防治规划》和王港河、射阳河、新洋港、斗龙港、淮河入海水道等5条入海河流水环境综合整治规划。大力实施农村河道疏浚整治工程，加大生态河道建设和农村河道保洁工作力度。到2015年，城市内河消除“黑臭”，无劣Ⅴ类水体，监测断面水质好于Ⅲ类水比例达75%以上；农村河道全部疏浚一遍，农村县乡级河道管护率达100%，重点农村骨干河道实现生态治理，主要供水河道鱼罾、鱼簖、围网养殖取缔率100%。</w:t>
      </w:r>
    </w:p>
    <w:p>
      <w:pPr>
        <w:spacing w:line="560" w:lineRule="exact"/>
        <w:outlineLvl w:val="2"/>
        <w:rPr>
          <w:rFonts w:hint="eastAsia" w:eastAsia="楷体"/>
          <w:b/>
          <w:sz w:val="32"/>
          <w:szCs w:val="32"/>
        </w:rPr>
      </w:pPr>
      <w:bookmarkStart w:id="101" w:name="_Toc369555585"/>
      <w:bookmarkStart w:id="102" w:name="_Toc368067606"/>
      <w:bookmarkStart w:id="103" w:name="_Toc374364917"/>
      <w:bookmarkStart w:id="104" w:name="_Toc370234375"/>
      <w:r>
        <w:rPr>
          <w:rFonts w:hint="eastAsia" w:eastAsia="楷体"/>
          <w:b/>
          <w:sz w:val="32"/>
          <w:szCs w:val="32"/>
        </w:rPr>
        <w:t>3.4.2  蓝天工程</w:t>
      </w:r>
      <w:bookmarkEnd w:id="101"/>
      <w:bookmarkEnd w:id="102"/>
      <w:bookmarkEnd w:id="103"/>
      <w:bookmarkEnd w:id="104"/>
    </w:p>
    <w:p>
      <w:pPr>
        <w:spacing w:line="560" w:lineRule="exact"/>
        <w:ind w:firstLine="640" w:firstLineChars="200"/>
        <w:rPr>
          <w:rFonts w:hint="eastAsia" w:eastAsia="仿宋_GB2312"/>
          <w:sz w:val="32"/>
          <w:szCs w:val="32"/>
        </w:rPr>
      </w:pPr>
      <w:r>
        <w:rPr>
          <w:rFonts w:hint="eastAsia" w:eastAsia="仿宋_GB2312"/>
          <w:b/>
          <w:sz w:val="32"/>
          <w:szCs w:val="32"/>
        </w:rPr>
        <w:t>强化工业废气治理。</w:t>
      </w:r>
      <w:r>
        <w:rPr>
          <w:rFonts w:hint="eastAsia" w:eastAsia="仿宋_GB2312"/>
          <w:sz w:val="32"/>
          <w:szCs w:val="32"/>
        </w:rPr>
        <w:t>严格控制化工、医药、电子、电镀等重点行业有毒有害废气、挥发性有机气体、恶臭气体的排放，继续开展大丰、响水、滨海、阜宁四个化工园区以及石化、炼油、电子、制药、涂装等重点行业挥发性有机物污染专项治理工作，建立重点行业污染源排放清单。全面加强工业废气、烟尘、粉尘的排放控制，大力实施钢铁、水泥等重点非电行业脱硫和脱硝工程建设，推进重点排污企业中控系统和在线监控系统建设。全面开展电力行业脱硝工程建设，提高非统调电厂和自备电厂脱硫能力，拆除搬迁盐城发电厂、城南热电厂、江苏大吉发电有限责任公司，关闭规划集中供热范围内的燃煤锅炉。到2015年，钢铁、水泥等主要非电行业完成烟气脱硫，135MW以上燃煤机组完成烟气脱硝。</w:t>
      </w:r>
    </w:p>
    <w:p>
      <w:pPr>
        <w:spacing w:line="560" w:lineRule="exact"/>
        <w:ind w:firstLine="640" w:firstLineChars="200"/>
        <w:rPr>
          <w:rFonts w:hint="eastAsia" w:eastAsia="仿宋_GB2312"/>
          <w:sz w:val="32"/>
          <w:szCs w:val="32"/>
        </w:rPr>
      </w:pPr>
      <w:r>
        <w:rPr>
          <w:rFonts w:hint="eastAsia" w:eastAsia="仿宋_GB2312"/>
          <w:b/>
          <w:sz w:val="32"/>
          <w:szCs w:val="32"/>
        </w:rPr>
        <w:t>深化扬尘污染防治。</w:t>
      </w:r>
      <w:r>
        <w:rPr>
          <w:rFonts w:hint="eastAsia" w:eastAsia="仿宋_GB2312"/>
          <w:sz w:val="32"/>
          <w:szCs w:val="32"/>
        </w:rPr>
        <w:t>全面推行“绿色施工”，建立扬尘控制责任制度，加强建筑渣土运输处置管理，实行渣土运输企业公司化运营、渣土运输车辆密闭化改造，渣土运输车辆全部安装GPS系统。大力整治工地、道路、堆场、裸地扬尘，严格落实施工工地封闭围挡、施工道路硬化、裸露场地和散体材料覆盖等扬尘控制措施。加强城市道路清扫保洁和洒水抑尘，控制道路交通扬尘污染。</w:t>
      </w:r>
    </w:p>
    <w:p>
      <w:pPr>
        <w:spacing w:line="560" w:lineRule="exact"/>
        <w:ind w:firstLine="640" w:firstLineChars="200"/>
        <w:rPr>
          <w:rFonts w:hint="eastAsia" w:eastAsia="仿宋_GB2312"/>
          <w:sz w:val="32"/>
          <w:szCs w:val="32"/>
        </w:rPr>
      </w:pPr>
      <w:r>
        <w:rPr>
          <w:rFonts w:hint="eastAsia" w:eastAsia="仿宋_GB2312"/>
          <w:b/>
          <w:sz w:val="32"/>
          <w:szCs w:val="32"/>
        </w:rPr>
        <w:t>推进机动车污染控制。</w:t>
      </w:r>
      <w:r>
        <w:rPr>
          <w:rFonts w:hint="eastAsia" w:eastAsia="仿宋_GB2312"/>
          <w:sz w:val="32"/>
          <w:szCs w:val="32"/>
        </w:rPr>
        <w:t>建立机动车排气污染监管平台，实现市、县、站三级联网。加强对机动车尾气检测和标志发放的监督检查，进一步完善全市联网的机动车排气污染防治监控体系。加快实施I/M制度，加大淘汰高污染车辆的力度，提高机动车尾气排放标准。坚持公交优先，大力发展绿色公共交通，做好BRT建设管理工作，改变人民群众出行观念。加快推进油气回收，加油站、储油库、油罐车全部建成油气回收装置，加油站油气回收治理率达100%。</w:t>
      </w:r>
    </w:p>
    <w:p>
      <w:pPr>
        <w:spacing w:line="560" w:lineRule="exact"/>
        <w:ind w:firstLine="640" w:firstLineChars="200"/>
        <w:rPr>
          <w:rFonts w:hint="eastAsia" w:eastAsia="仿宋_GB2312"/>
          <w:sz w:val="32"/>
          <w:szCs w:val="32"/>
        </w:rPr>
      </w:pPr>
      <w:r>
        <w:rPr>
          <w:rFonts w:hint="eastAsia" w:eastAsia="仿宋_GB2312"/>
          <w:b/>
          <w:sz w:val="32"/>
          <w:szCs w:val="32"/>
        </w:rPr>
        <w:t>加强餐饮行业污染治理。</w:t>
      </w:r>
      <w:r>
        <w:rPr>
          <w:rFonts w:hint="eastAsia" w:eastAsia="仿宋_GB2312"/>
          <w:sz w:val="32"/>
          <w:szCs w:val="32"/>
        </w:rPr>
        <w:t>全面推广油烟净化装置，集中开展学校、繁华街道、居民住宅集中区和旅游风景区等环境敏感区的餐饮企业污染专项整治，严禁居民住宅或以居住为主的商住楼新建产生油烟污染的餐饮服务经营场所。到2015年，基本解决油烟污染扰民等突出问题。</w:t>
      </w:r>
    </w:p>
    <w:p>
      <w:pPr>
        <w:spacing w:line="560" w:lineRule="exact"/>
        <w:outlineLvl w:val="2"/>
        <w:rPr>
          <w:rFonts w:hint="eastAsia" w:eastAsia="楷体"/>
          <w:b/>
          <w:sz w:val="32"/>
          <w:szCs w:val="32"/>
        </w:rPr>
      </w:pPr>
      <w:bookmarkStart w:id="105" w:name="_Toc369555586"/>
      <w:bookmarkStart w:id="106" w:name="_Toc374364918"/>
      <w:bookmarkStart w:id="107" w:name="_Toc368067607"/>
      <w:bookmarkStart w:id="108" w:name="_Toc370234376"/>
      <w:bookmarkStart w:id="109" w:name="_Toc367802615"/>
      <w:bookmarkStart w:id="110" w:name="_Toc365544426"/>
      <w:r>
        <w:rPr>
          <w:rFonts w:hint="eastAsia" w:eastAsia="楷体"/>
          <w:b/>
          <w:sz w:val="32"/>
          <w:szCs w:val="32"/>
        </w:rPr>
        <w:t>3.4.3  宁静工程</w:t>
      </w:r>
      <w:bookmarkEnd w:id="105"/>
      <w:bookmarkEnd w:id="106"/>
      <w:bookmarkEnd w:id="107"/>
      <w:bookmarkEnd w:id="108"/>
    </w:p>
    <w:p>
      <w:pPr>
        <w:spacing w:line="560" w:lineRule="exact"/>
        <w:ind w:firstLine="640" w:firstLineChars="200"/>
        <w:rPr>
          <w:rFonts w:hint="eastAsia" w:eastAsia="仿宋_GB2312"/>
          <w:sz w:val="32"/>
          <w:szCs w:val="32"/>
        </w:rPr>
      </w:pPr>
      <w:r>
        <w:rPr>
          <w:rFonts w:hint="eastAsia" w:eastAsia="仿宋_GB2312"/>
          <w:sz w:val="32"/>
          <w:szCs w:val="32"/>
        </w:rPr>
        <w:t>根据城市总体规划，划定和调整城市区域声环境功能区。合理规划工业布局，充分考虑工业生产噪声对周围环境的影响，积极推广低噪声设备，力争把污染影响降到最小。积极开展“宁静城市”、“宁静社区”等示范建设，加强社会生活、交通运输、建筑施工和工业企业等各类噪声源监管，努力降低夜间噪声，限期治理噪声超标企业，大力推进高速公路、高架桥、铁路等两侧噪声敏感点的隔声设施建设。到2015年，城市声环境功能区达标率达到95%以上。到2017年，城市声环境功能区达标率达100%。</w:t>
      </w:r>
    </w:p>
    <w:p>
      <w:pPr>
        <w:spacing w:line="560" w:lineRule="exact"/>
        <w:outlineLvl w:val="2"/>
        <w:rPr>
          <w:rFonts w:hint="eastAsia" w:eastAsia="楷体"/>
          <w:b/>
          <w:sz w:val="32"/>
          <w:szCs w:val="32"/>
        </w:rPr>
      </w:pPr>
      <w:bookmarkStart w:id="111" w:name="_Toc368067608"/>
      <w:bookmarkStart w:id="112" w:name="_Toc369555587"/>
      <w:bookmarkStart w:id="113" w:name="_Toc370234377"/>
      <w:bookmarkStart w:id="114" w:name="_Toc374364919"/>
      <w:r>
        <w:rPr>
          <w:rFonts w:hint="eastAsia" w:eastAsia="楷体"/>
          <w:b/>
          <w:sz w:val="32"/>
          <w:szCs w:val="32"/>
        </w:rPr>
        <w:t>3.4.4  固废防治</w:t>
      </w:r>
      <w:bookmarkEnd w:id="109"/>
      <w:bookmarkEnd w:id="110"/>
      <w:bookmarkEnd w:id="111"/>
      <w:r>
        <w:rPr>
          <w:rFonts w:hint="eastAsia" w:eastAsia="楷体"/>
          <w:b/>
          <w:sz w:val="32"/>
          <w:szCs w:val="32"/>
        </w:rPr>
        <w:t>工程</w:t>
      </w:r>
      <w:bookmarkEnd w:id="112"/>
      <w:bookmarkEnd w:id="113"/>
      <w:bookmarkEnd w:id="114"/>
    </w:p>
    <w:p>
      <w:pPr>
        <w:spacing w:line="560" w:lineRule="exact"/>
        <w:ind w:firstLine="640" w:firstLineChars="200"/>
        <w:rPr>
          <w:rFonts w:hint="eastAsia" w:eastAsia="仿宋_GB2312"/>
          <w:sz w:val="32"/>
          <w:szCs w:val="32"/>
        </w:rPr>
      </w:pPr>
      <w:r>
        <w:rPr>
          <w:rFonts w:hint="eastAsia" w:eastAsia="仿宋_GB2312"/>
          <w:sz w:val="32"/>
          <w:szCs w:val="32"/>
        </w:rPr>
        <w:t>按照“减量化、资源化、无害化”的原则，处理各类固体废物。围绕重点防控区域，以铅、汞、镉、铬、砷等为重点，开展重金属污染治理与修复示范，综合解决历史遗留问题。加强危险废物全过程的监控和管理，严格执行危险废物产生、交换和转移联单的各项管理制度，严禁危险废物擅自排放和处理，危险废物安全处置率达100%。推进危废利用、处置行业产业化、规模化发展，培育一批达到国际先进水平的、具有龙头带动作用的危废处置企业。加强对建筑垃圾的倾倒、运输、中转、回填、消纳、利用等处置活动的管理，支持和鼓励建筑垃圾综合利用，鼓励建设单位、施工单位优先采用建筑垃圾综合利用产品。</w:t>
      </w:r>
    </w:p>
    <w:p>
      <w:pPr>
        <w:spacing w:line="560" w:lineRule="exact"/>
        <w:outlineLvl w:val="2"/>
        <w:rPr>
          <w:rFonts w:hint="eastAsia" w:eastAsia="楷体"/>
          <w:b/>
          <w:sz w:val="32"/>
          <w:szCs w:val="32"/>
        </w:rPr>
      </w:pPr>
      <w:bookmarkStart w:id="115" w:name="_Toc370234378"/>
      <w:bookmarkStart w:id="116" w:name="_Toc374364920"/>
      <w:bookmarkStart w:id="117" w:name="_Toc369555588"/>
      <w:r>
        <w:rPr>
          <w:rFonts w:hint="eastAsia" w:eastAsia="楷体"/>
          <w:b/>
          <w:sz w:val="32"/>
          <w:szCs w:val="32"/>
        </w:rPr>
        <w:t>3.4.5  城乡环境综合整治工程</w:t>
      </w:r>
      <w:bookmarkEnd w:id="115"/>
      <w:bookmarkEnd w:id="116"/>
      <w:bookmarkEnd w:id="117"/>
    </w:p>
    <w:p>
      <w:pPr>
        <w:spacing w:line="560" w:lineRule="exact"/>
        <w:ind w:firstLine="640" w:firstLineChars="200"/>
        <w:rPr>
          <w:rFonts w:hint="eastAsia" w:eastAsia="仿宋_GB2312"/>
          <w:sz w:val="32"/>
          <w:szCs w:val="32"/>
        </w:rPr>
      </w:pPr>
      <w:r>
        <w:rPr>
          <w:rFonts w:hint="eastAsia" w:eastAsia="仿宋_GB2312"/>
          <w:b/>
          <w:sz w:val="32"/>
          <w:szCs w:val="32"/>
        </w:rPr>
        <w:t>城市环境综合整治。</w:t>
      </w:r>
      <w:r>
        <w:rPr>
          <w:rFonts w:hint="eastAsia" w:eastAsia="仿宋_GB2312"/>
          <w:sz w:val="32"/>
          <w:szCs w:val="32"/>
        </w:rPr>
        <w:t>深入实施以“九整治三规范一提升”行动为主的城市环境综合整治工作，重点强化城郊结合部、城中村、棚户区、老旧小区、背街小巷、城市河道、低洼易淹易涝片区、建设工地、农贸市场等综合整治，规范占道经营、交通秩序、户外广告等行为。</w:t>
      </w:r>
      <w:r>
        <w:rPr>
          <w:rFonts w:hint="eastAsia" w:eastAsia="仿宋_GB2312"/>
          <w:kern w:val="0"/>
          <w:sz w:val="32"/>
          <w:szCs w:val="32"/>
        </w:rPr>
        <w:t>完善城市公共服务配套设施，加大市容环境保洁力度，全面提高城市环境卫生标准，</w:t>
      </w:r>
      <w:r>
        <w:rPr>
          <w:rFonts w:hint="eastAsia" w:eastAsia="仿宋_GB2312"/>
          <w:sz w:val="32"/>
          <w:szCs w:val="32"/>
        </w:rPr>
        <w:t>基本消除城市环境薄弱地段脏乱差现象，市容面貌明显改善，城市管理体制机制逐步健全，市区达到江苏省优秀管理城市标准。</w:t>
      </w:r>
    </w:p>
    <w:p>
      <w:pPr>
        <w:spacing w:line="560" w:lineRule="exact"/>
        <w:ind w:firstLine="640" w:firstLineChars="200"/>
        <w:rPr>
          <w:rFonts w:hint="eastAsia" w:eastAsia="仿宋_GB2312"/>
          <w:sz w:val="32"/>
          <w:szCs w:val="32"/>
        </w:rPr>
      </w:pPr>
      <w:r>
        <w:rPr>
          <w:rFonts w:hint="eastAsia" w:eastAsia="仿宋_GB2312"/>
          <w:b/>
          <w:sz w:val="32"/>
          <w:szCs w:val="32"/>
        </w:rPr>
        <w:t>农村环境综合整治。</w:t>
      </w:r>
      <w:r>
        <w:rPr>
          <w:rFonts w:hint="eastAsia" w:eastAsia="仿宋_GB2312"/>
          <w:sz w:val="32"/>
          <w:szCs w:val="32"/>
        </w:rPr>
        <w:t>根据新型城镇化和社会主义新农村建设的总体要求，以村庄环境整治等工作为抓手，抓住我省被列为国家农村环境连片整治全覆盖示范省的有利契机，以保障农村居民住房安全、饮水安全、出行安全为基本目标，以垃圾、污水治理为重点，突出抓好农村环境“六整治”、“六提升”，加快农村基础设施建设，全面改善农村生产生活条件。建成一批彰显乡村特点、展现田园风光的康居乡村、环境整洁村。到2015年，全面完成3457个自然村庄整治任务，规划布点村庄达到“康居乡村”标准，非规划布点乡村达到“环境整洁村”标准，打造最美乡村。到2017年，25%的村庄建成二星级以上康居乡村。</w:t>
      </w:r>
    </w:p>
    <w:p>
      <w:pPr>
        <w:spacing w:line="560" w:lineRule="exact"/>
        <w:ind w:firstLine="640" w:firstLineChars="200"/>
        <w:rPr>
          <w:rFonts w:hint="eastAsia" w:eastAsia="仿宋_GB2312" w:cs="仿宋_GB2312"/>
          <w:sz w:val="32"/>
          <w:szCs w:val="32"/>
        </w:rPr>
      </w:pPr>
      <w:r>
        <w:rPr>
          <w:rFonts w:hint="eastAsia" w:eastAsia="仿宋_GB2312"/>
          <w:b/>
          <w:sz w:val="32"/>
          <w:szCs w:val="32"/>
        </w:rPr>
        <w:t>加强生活垃圾无害化处置。</w:t>
      </w:r>
      <w:r>
        <w:rPr>
          <w:rFonts w:hint="eastAsia" w:eastAsia="仿宋_GB2312"/>
          <w:sz w:val="32"/>
          <w:szCs w:val="32"/>
        </w:rPr>
        <w:t>生活垃圾收集、分类、处理是当前垃圾处理的关键工程，是生态文明建设的重点工作之一。</w:t>
      </w:r>
      <w:r>
        <w:rPr>
          <w:rFonts w:hint="eastAsia" w:eastAsia="仿宋_GB2312"/>
          <w:b/>
          <w:sz w:val="32"/>
          <w:szCs w:val="32"/>
        </w:rPr>
        <w:t>加快推进农村生活垃圾收集转运体系建设。</w:t>
      </w:r>
      <w:r>
        <w:rPr>
          <w:rFonts w:hint="eastAsia" w:eastAsia="仿宋_GB2312"/>
          <w:sz w:val="32"/>
          <w:szCs w:val="32"/>
        </w:rPr>
        <w:t>按照“组</w:t>
      </w:r>
      <w:r>
        <w:rPr>
          <w:rFonts w:hint="eastAsia" w:eastAsia="仿宋_GB2312" w:cs="仿宋_GB2312"/>
          <w:sz w:val="32"/>
          <w:szCs w:val="32"/>
        </w:rPr>
        <w:t>保洁、村收集、镇转运、县（市）处理”的模式，加大农村生活垃圾收运体系建设和环卫基础设施建设，完善城乡生活垃圾收集转运系统，提高收集率和转运率。到2015年，大丰、滨海各建成一座生活垃圾焚烧发电厂，全市农村生活垃圾收集转运体系基本实现全覆盖，镇村生活垃圾集中收运率达到80%以上。到2017年，镇村生活垃圾集中收运率达到85%以上。</w:t>
      </w:r>
      <w:r>
        <w:rPr>
          <w:rFonts w:hint="eastAsia" w:eastAsia="仿宋_GB2312"/>
          <w:b/>
          <w:sz w:val="32"/>
          <w:szCs w:val="32"/>
        </w:rPr>
        <w:t>积极开展城市垃圾分类试点工作。</w:t>
      </w:r>
      <w:r>
        <w:rPr>
          <w:rFonts w:hint="eastAsia" w:eastAsia="仿宋_GB2312" w:cs="仿宋_GB2312"/>
          <w:sz w:val="32"/>
          <w:szCs w:val="32"/>
        </w:rPr>
        <w:t>在完善城市生活垃圾收集体系的同时，在盐都区、市开发区各选择两个高档居民住宅小区进行生活垃圾分类投放试点，逐步推广垃圾分类收集运输和处置模式。到2015年，城市（县城）生活垃圾无害化处理率提高到90%以上。2017年，城市（县城）生活垃圾无害化处理率提高到92%以上。</w:t>
      </w:r>
      <w:r>
        <w:rPr>
          <w:rFonts w:hint="eastAsia" w:eastAsia="仿宋_GB2312"/>
          <w:b/>
          <w:sz w:val="32"/>
          <w:szCs w:val="32"/>
        </w:rPr>
        <w:t>推进静脉产业园建设。</w:t>
      </w:r>
      <w:r>
        <w:rPr>
          <w:rFonts w:hint="eastAsia" w:eastAsia="仿宋_GB2312" w:cs="仿宋_GB2312"/>
          <w:sz w:val="32"/>
          <w:szCs w:val="32"/>
        </w:rPr>
        <w:t>在亭湖区建立生活废品交易市场、建筑垃圾资源化利用场、餐厨垃圾处置厂、生活垃圾分拣分类处置场、生活垃圾焚烧发电厂、卫生填埋场，形成集收集、处置、回收、资源化利用为一体的静脉产业园，率先在全省建成生活垃圾分类收集处置示范市。</w:t>
      </w:r>
    </w:p>
    <w:p>
      <w:pPr>
        <w:pStyle w:val="2"/>
        <w:keepNext w:val="0"/>
        <w:keepLines w:val="0"/>
        <w:spacing w:before="156" w:beforeLines="50" w:after="156" w:afterLines="50" w:line="560" w:lineRule="exact"/>
        <w:jc w:val="center"/>
        <w:rPr>
          <w:rFonts w:hint="eastAsia" w:eastAsia="方正小标宋_GBK"/>
          <w:b w:val="0"/>
        </w:rPr>
      </w:pPr>
      <w:bookmarkStart w:id="118" w:name="_Toc369555589"/>
      <w:r>
        <w:rPr>
          <w:rFonts w:eastAsia="方正小标宋_GBK"/>
          <w:b w:val="0"/>
        </w:rPr>
        <w:br w:type="page"/>
      </w:r>
      <w:bookmarkStart w:id="119" w:name="_Toc374364921"/>
      <w:bookmarkStart w:id="120" w:name="_Toc370234379"/>
      <w:r>
        <w:rPr>
          <w:rFonts w:hint="eastAsia" w:eastAsia="方正小标宋_GBK"/>
          <w:b w:val="0"/>
        </w:rPr>
        <w:t>第四章  生态建设</w:t>
      </w:r>
      <w:bookmarkEnd w:id="118"/>
      <w:bookmarkEnd w:id="119"/>
      <w:bookmarkEnd w:id="120"/>
    </w:p>
    <w:p>
      <w:pPr>
        <w:spacing w:line="560" w:lineRule="exact"/>
        <w:ind w:firstLine="640" w:firstLineChars="200"/>
        <w:rPr>
          <w:rFonts w:hint="eastAsia" w:eastAsia="仿宋_GB2312" w:cs="宋体"/>
          <w:kern w:val="0"/>
          <w:sz w:val="32"/>
          <w:szCs w:val="32"/>
        </w:rPr>
      </w:pPr>
      <w:r>
        <w:rPr>
          <w:rFonts w:hint="eastAsia" w:eastAsia="仿宋_GB2312" w:cs="宋体"/>
          <w:kern w:val="0"/>
          <w:sz w:val="32"/>
          <w:szCs w:val="32"/>
        </w:rPr>
        <w:t>强化自然保护区建设，实施自然生态系统休养生息和珍稀野生动植物拯救工程，提高生物物种多样性水平。大力推进绿化造林，开展森林公园、风景名胜区、郊野公园等建设，深入推进各类良好生态创建，努力将绿色生态打造成为盐城独特的城市名片，使盐城成为中心城市绿树成荫、田园村庄林秀水美、生活空间舒适宜居的美丽城市和富有魅力的生态家园。</w:t>
      </w:r>
    </w:p>
    <w:p>
      <w:pPr>
        <w:pStyle w:val="3"/>
        <w:keepNext w:val="0"/>
        <w:keepLines w:val="0"/>
        <w:spacing w:before="156" w:beforeLines="50" w:after="156" w:afterLines="50" w:line="560" w:lineRule="exact"/>
        <w:rPr>
          <w:rFonts w:hint="eastAsia" w:ascii="Times New Roman" w:hAnsi="Times New Roman"/>
          <w:b w:val="0"/>
        </w:rPr>
      </w:pPr>
      <w:bookmarkStart w:id="121" w:name="_Toc368067595"/>
      <w:bookmarkStart w:id="122" w:name="_Toc369555590"/>
      <w:bookmarkStart w:id="123" w:name="_Toc370234380"/>
      <w:bookmarkStart w:id="124" w:name="_Toc374364922"/>
      <w:r>
        <w:rPr>
          <w:rFonts w:hint="eastAsia" w:ascii="Times New Roman" w:hAnsi="Times New Roman"/>
          <w:b w:val="0"/>
        </w:rPr>
        <w:t>4.1  自然保护区</w:t>
      </w:r>
      <w:bookmarkEnd w:id="121"/>
      <w:r>
        <w:rPr>
          <w:rFonts w:hint="eastAsia" w:ascii="Times New Roman" w:hAnsi="Times New Roman"/>
          <w:b w:val="0"/>
        </w:rPr>
        <w:t>建设</w:t>
      </w:r>
      <w:bookmarkEnd w:id="122"/>
      <w:bookmarkEnd w:id="123"/>
      <w:bookmarkEnd w:id="124"/>
    </w:p>
    <w:p>
      <w:pPr>
        <w:spacing w:line="560" w:lineRule="exact"/>
        <w:outlineLvl w:val="2"/>
        <w:rPr>
          <w:rFonts w:hint="eastAsia" w:eastAsia="楷体"/>
          <w:b/>
          <w:sz w:val="32"/>
          <w:szCs w:val="32"/>
        </w:rPr>
      </w:pPr>
      <w:bookmarkStart w:id="125" w:name="_Toc369555591"/>
      <w:bookmarkStart w:id="126" w:name="_Toc374364923"/>
      <w:bookmarkStart w:id="127" w:name="_Toc370234381"/>
      <w:r>
        <w:rPr>
          <w:rFonts w:hint="eastAsia" w:eastAsia="楷体"/>
          <w:b/>
          <w:sz w:val="32"/>
          <w:szCs w:val="32"/>
        </w:rPr>
        <w:t>4.1.1  盐城珍禽国家级自然保护区</w:t>
      </w:r>
      <w:bookmarkEnd w:id="125"/>
      <w:bookmarkEnd w:id="126"/>
      <w:bookmarkEnd w:id="127"/>
    </w:p>
    <w:p>
      <w:pPr>
        <w:spacing w:line="560" w:lineRule="exact"/>
        <w:ind w:firstLine="640" w:firstLineChars="200"/>
        <w:rPr>
          <w:rFonts w:hint="eastAsia" w:eastAsia="仿宋_GB2312"/>
          <w:sz w:val="32"/>
          <w:szCs w:val="32"/>
        </w:rPr>
      </w:pPr>
      <w:r>
        <w:rPr>
          <w:rFonts w:hint="eastAsia" w:eastAsia="仿宋_GB2312"/>
          <w:sz w:val="32"/>
          <w:szCs w:val="32"/>
        </w:rPr>
        <w:t>坚持科学保护为前提，以保护湿地生态系统和生物多样性为根本任务，全力维护和保持滨海湿地生态的自然演替规律。全面推进管护能力和标准化建设，坚决管住一切违法猎捕与违规开发行为。实施退渔还湿和湿地修复工程。以建立生态科研监测合作基地为目标，强化科研合作，通过与重点大专院校和科研院所的积极合作，搭建平台，全面推进调查、监测、研究等各项基础工作。认真开展丹顶鹤饲养管理、疾病防治、人工繁育以及湿地监测等课题研究，努力在丹顶鹤人工种群扩大和恢复并建立最适宜鸟类栖息的湿地生态环境方面取得突破。积极探索社区共建，认真组织社区发展状况调查，制订可行性工作规划，寻求生态保护与社区社会经济发展的结合点和平衡点，与社区成为生态保护利益共同体，着力建成国家级示范保护区。</w:t>
      </w:r>
    </w:p>
    <w:p>
      <w:pPr>
        <w:spacing w:line="560" w:lineRule="exact"/>
        <w:outlineLvl w:val="2"/>
        <w:rPr>
          <w:rFonts w:hint="eastAsia" w:eastAsia="楷体"/>
          <w:b/>
          <w:sz w:val="32"/>
          <w:szCs w:val="32"/>
        </w:rPr>
      </w:pPr>
      <w:bookmarkStart w:id="128" w:name="_Toc370234382"/>
      <w:bookmarkStart w:id="129" w:name="_Toc374364924"/>
      <w:bookmarkStart w:id="130" w:name="_Toc369555592"/>
      <w:r>
        <w:rPr>
          <w:rFonts w:hint="eastAsia" w:eastAsia="楷体"/>
          <w:b/>
          <w:sz w:val="32"/>
          <w:szCs w:val="32"/>
        </w:rPr>
        <w:t>4.1.2  大丰麋鹿国家级自然保护区</w:t>
      </w:r>
      <w:bookmarkEnd w:id="128"/>
      <w:bookmarkEnd w:id="129"/>
      <w:bookmarkEnd w:id="130"/>
    </w:p>
    <w:p>
      <w:pPr>
        <w:spacing w:line="560" w:lineRule="exact"/>
        <w:ind w:firstLine="640" w:firstLineChars="200"/>
        <w:rPr>
          <w:rFonts w:hint="eastAsia" w:eastAsia="仿宋_GB2312"/>
          <w:sz w:val="32"/>
          <w:szCs w:val="32"/>
        </w:rPr>
      </w:pPr>
      <w:r>
        <w:rPr>
          <w:rFonts w:hint="eastAsia" w:eastAsia="仿宋_GB2312"/>
          <w:sz w:val="32"/>
          <w:szCs w:val="32"/>
        </w:rPr>
        <w:t>加大麋鹿种群扩繁和人工驯养力度，积极探索物种混养模式，加强</w:t>
      </w:r>
      <w:r>
        <w:rPr>
          <w:rFonts w:hint="eastAsia" w:eastAsia="仿宋_GB2312" w:cs="宋体"/>
          <w:sz w:val="32"/>
          <w:szCs w:val="32"/>
        </w:rPr>
        <w:t>对</w:t>
      </w:r>
      <w:r>
        <w:rPr>
          <w:rFonts w:hint="eastAsia" w:eastAsia="仿宋_GB2312" w:cs="Batang"/>
          <w:sz w:val="32"/>
          <w:szCs w:val="32"/>
        </w:rPr>
        <w:t>麋鹿在多</w:t>
      </w:r>
      <w:r>
        <w:rPr>
          <w:rFonts w:hint="eastAsia" w:eastAsia="仿宋_GB2312" w:cs="宋体"/>
          <w:sz w:val="32"/>
          <w:szCs w:val="32"/>
        </w:rPr>
        <w:t>样</w:t>
      </w:r>
      <w:r>
        <w:rPr>
          <w:rFonts w:hint="eastAsia" w:eastAsia="仿宋_GB2312" w:cs="Batang"/>
          <w:sz w:val="32"/>
          <w:szCs w:val="32"/>
        </w:rPr>
        <w:t>生</w:t>
      </w:r>
      <w:r>
        <w:rPr>
          <w:rFonts w:hint="eastAsia" w:eastAsia="仿宋_GB2312" w:cs="宋体"/>
          <w:sz w:val="32"/>
          <w:szCs w:val="32"/>
        </w:rPr>
        <w:t>态环</w:t>
      </w:r>
      <w:r>
        <w:rPr>
          <w:rFonts w:hint="eastAsia" w:eastAsia="仿宋_GB2312" w:cs="Batang"/>
          <w:sz w:val="32"/>
          <w:szCs w:val="32"/>
        </w:rPr>
        <w:t>境下生活</w:t>
      </w:r>
      <w:r>
        <w:rPr>
          <w:rFonts w:hint="eastAsia" w:eastAsia="仿宋_GB2312" w:cs="宋体"/>
          <w:sz w:val="32"/>
          <w:szCs w:val="32"/>
        </w:rPr>
        <w:t>习</w:t>
      </w:r>
      <w:r>
        <w:rPr>
          <w:rFonts w:hint="eastAsia" w:eastAsia="仿宋_GB2312" w:cs="Batang"/>
          <w:sz w:val="32"/>
          <w:szCs w:val="32"/>
        </w:rPr>
        <w:t>性的</w:t>
      </w:r>
      <w:r>
        <w:rPr>
          <w:rFonts w:hint="eastAsia" w:eastAsia="仿宋_GB2312" w:cs="宋体"/>
          <w:sz w:val="32"/>
          <w:szCs w:val="32"/>
        </w:rPr>
        <w:t>研</w:t>
      </w:r>
      <w:r>
        <w:rPr>
          <w:rFonts w:hint="eastAsia" w:eastAsia="仿宋_GB2312" w:cs="Batang"/>
          <w:sz w:val="32"/>
          <w:szCs w:val="32"/>
        </w:rPr>
        <w:t>究。</w:t>
      </w:r>
      <w:r>
        <w:rPr>
          <w:rFonts w:hint="eastAsia" w:eastAsia="仿宋_GB2312"/>
          <w:sz w:val="32"/>
          <w:szCs w:val="32"/>
        </w:rPr>
        <w:t>制定应对气候变化的大丰麋鹿种群保护措施、合理解决麋鹿种群数量不断增长与栖息地容纳量不断下降的突出矛盾。合理开展麋鹿人工驯养繁殖，开启麋鹿保护及科学研究工作新方向。改善麋鹿“冬粮“，逐步实现收割、粉碎、运输、仓储全程机械化青贮饲料的新模式。开展麋鹿物种交换，提升大丰麋鹿种群遗传力。加强国际、国内科研合作项目，争取麋鹿科研领域有新突破，推动保护区科学研究水平向更高层次迈进。到2015年，麋鹿种群数量力争达到2800头。</w:t>
      </w:r>
    </w:p>
    <w:p>
      <w:pPr>
        <w:spacing w:line="560" w:lineRule="exact"/>
        <w:outlineLvl w:val="2"/>
        <w:rPr>
          <w:rFonts w:hint="eastAsia" w:eastAsia="楷体"/>
          <w:b/>
          <w:sz w:val="32"/>
          <w:szCs w:val="32"/>
        </w:rPr>
      </w:pPr>
      <w:bookmarkStart w:id="131" w:name="_Toc370234383"/>
      <w:bookmarkStart w:id="132" w:name="_Toc369555593"/>
      <w:bookmarkStart w:id="133" w:name="_Toc374364925"/>
      <w:r>
        <w:rPr>
          <w:rFonts w:hint="eastAsia" w:eastAsia="楷体"/>
          <w:b/>
          <w:sz w:val="32"/>
          <w:szCs w:val="32"/>
        </w:rPr>
        <w:t xml:space="preserve">4.1.3  </w:t>
      </w:r>
      <w:bookmarkEnd w:id="131"/>
      <w:bookmarkEnd w:id="132"/>
      <w:r>
        <w:rPr>
          <w:rFonts w:hint="eastAsia" w:eastAsia="楷体"/>
          <w:b/>
          <w:sz w:val="32"/>
          <w:szCs w:val="32"/>
        </w:rPr>
        <w:t>打造自然保护区品牌</w:t>
      </w:r>
      <w:bookmarkEnd w:id="133"/>
    </w:p>
    <w:p>
      <w:pPr>
        <w:spacing w:line="560" w:lineRule="exact"/>
        <w:ind w:firstLine="640" w:firstLineChars="200"/>
        <w:rPr>
          <w:rFonts w:hint="eastAsia" w:eastAsia="仿宋_GB2312"/>
          <w:sz w:val="32"/>
          <w:szCs w:val="32"/>
        </w:rPr>
      </w:pPr>
      <w:r>
        <w:rPr>
          <w:rFonts w:hint="eastAsia" w:eastAsia="仿宋_GB2312"/>
          <w:sz w:val="32"/>
          <w:szCs w:val="32"/>
        </w:rPr>
        <w:t>遵循“在保护中开发，在开发中保护”的理念，坚持科研开发、项目开发、产业开发、联动开发，以亚行贷款盐城湿地保护项目为依托，以政府为主体，深入推进市场化运作模式，强化属地管理责任，合力推进保护区加快发展。以中国丹顶鹤博物馆及丹顶鹤文化研究会为平台，强化重大宣传日专题活动的组织与开展，不断扩大保护区的影响力以及社会公众对生态环境保护的认知程度。依照精品化设计思路，制定完成《江苏省大丰麋鹿国家级自然保护区湿地生态景观设计方案》，设计出具有震撼性和观赏性的核心项目。加快推进麋鹿大看台等项目建设，做到情景互动，文化、科普交融。到2015年，全面完成亚行贷款盐城湿地保护项目任务，努力将两个国家级自然保护区建成生态保护和可持续发展的典范。</w:t>
      </w:r>
    </w:p>
    <w:p>
      <w:pPr>
        <w:pStyle w:val="3"/>
        <w:keepNext w:val="0"/>
        <w:keepLines w:val="0"/>
        <w:spacing w:before="156" w:beforeLines="50" w:after="156" w:afterLines="50" w:line="560" w:lineRule="exact"/>
        <w:rPr>
          <w:rFonts w:hint="eastAsia" w:ascii="Times New Roman" w:hAnsi="Times New Roman"/>
          <w:b w:val="0"/>
        </w:rPr>
      </w:pPr>
      <w:bookmarkStart w:id="134" w:name="_Toc370234384"/>
      <w:bookmarkStart w:id="135" w:name="_Toc369555594"/>
      <w:bookmarkStart w:id="136" w:name="_Toc374364926"/>
      <w:r>
        <w:rPr>
          <w:rFonts w:hint="eastAsia" w:ascii="Times New Roman" w:hAnsi="Times New Roman"/>
          <w:b w:val="0"/>
        </w:rPr>
        <w:t>4.2  绿化造林</w:t>
      </w:r>
      <w:bookmarkEnd w:id="134"/>
      <w:bookmarkEnd w:id="135"/>
      <w:bookmarkEnd w:id="136"/>
    </w:p>
    <w:p>
      <w:pPr>
        <w:spacing w:line="560" w:lineRule="exact"/>
        <w:outlineLvl w:val="2"/>
        <w:rPr>
          <w:rFonts w:hint="eastAsia" w:eastAsia="楷体"/>
          <w:b/>
          <w:sz w:val="32"/>
          <w:szCs w:val="32"/>
        </w:rPr>
      </w:pPr>
      <w:bookmarkStart w:id="137" w:name="_Toc368036854"/>
      <w:bookmarkStart w:id="138" w:name="_Toc370234385"/>
      <w:bookmarkStart w:id="139" w:name="_Toc368067618"/>
      <w:bookmarkStart w:id="140" w:name="_Toc369555595"/>
      <w:bookmarkStart w:id="141" w:name="_Toc374364927"/>
      <w:bookmarkStart w:id="142" w:name="_Toc367802601"/>
      <w:bookmarkStart w:id="143" w:name="_Toc365544413"/>
      <w:r>
        <w:rPr>
          <w:rFonts w:hint="eastAsia" w:eastAsia="楷体"/>
          <w:b/>
          <w:sz w:val="32"/>
          <w:szCs w:val="32"/>
        </w:rPr>
        <w:t xml:space="preserve">4.2.1  </w:t>
      </w:r>
      <w:bookmarkEnd w:id="137"/>
      <w:bookmarkEnd w:id="138"/>
      <w:bookmarkEnd w:id="139"/>
      <w:bookmarkEnd w:id="140"/>
      <w:r>
        <w:rPr>
          <w:rFonts w:hint="eastAsia" w:eastAsia="楷体"/>
          <w:b/>
          <w:sz w:val="32"/>
          <w:szCs w:val="32"/>
        </w:rPr>
        <w:t>绿道网绿化</w:t>
      </w:r>
      <w:bookmarkEnd w:id="141"/>
    </w:p>
    <w:p>
      <w:pPr>
        <w:spacing w:line="560" w:lineRule="exact"/>
        <w:ind w:firstLine="640" w:firstLineChars="200"/>
        <w:rPr>
          <w:rFonts w:hint="eastAsia" w:eastAsia="仿宋_GB2312"/>
          <w:sz w:val="32"/>
          <w:szCs w:val="32"/>
        </w:rPr>
      </w:pPr>
      <w:bookmarkStart w:id="144" w:name="_Toc368067619"/>
      <w:bookmarkStart w:id="145" w:name="_Toc368036855"/>
      <w:r>
        <w:rPr>
          <w:rFonts w:hint="eastAsia" w:eastAsia="仿宋_GB2312"/>
          <w:sz w:val="32"/>
          <w:szCs w:val="32"/>
        </w:rPr>
        <w:t>以高速公路、国省干线公路、城市主要道路和节点为重点，坚持增量与提质并举、植绿与添景并行，按照“宽林带、大通道、多树种、高标准”的建设要求，以铁路、高速公路、干线公路和节点为重点，高起点规划、高标准建设、高层次提升，联段成线、联线成网，提升公路用地内绿化标准，扩大公路用地外的绿量，增强生态景观效果，所有城市主干道、城乡快车道、县（市、区）出入道口都要加强绿化，提升绿量。形成层次分明、纵横交错、四季见绿、季季有景的交通绿色通道。到2015年，全市境内高速公路和以盐城大市区为中心通往7个县（市）、五个沿海节点的干线公路全部建成高标准的绿色通道，打造“一纵一横一联”高速公路和“三纵八横”干线公路绿道网络；重点实施临海高等级公路、S125、S610等绿色通道新建工程，实施沈海高速公路、盐淮高速公路、盐靖高速公路、G204、S326、S327、S329、S331、S332、S333、S352等绿色通道完善和景观提升工程，新建省级公路同步建成高标准绿色通道，建成高速公路绿色通道320公里、干线公路绿色通道1000公里。到2017年，全市境内高速公路和以盐城大市区为中心通往7个县（市）、五个沿海节点的干线公路全部建成高标准的绿色通道，打造“二纵一横一联”高速公路和“四纵十横”干线公路绿道网络；重点实施阜建高速、盐淮高速东延至大丰港高速、临海高等级公路、S125、S610、S351、S233等绿色通道新建工程，实施沈海高速公路、盐淮高速公路、盐靖高速公路、G204、S326、S327、S329、S331、S332、S333、S352等绿色通道，完善和景观提升工程，新建省级公路同步建成高标准绿色通道，建成高速公路绿色通道393公里、干线公路绿色通道1200公里。</w:t>
      </w:r>
    </w:p>
    <w:p>
      <w:pPr>
        <w:spacing w:line="560" w:lineRule="exact"/>
        <w:outlineLvl w:val="2"/>
        <w:rPr>
          <w:rFonts w:hint="eastAsia" w:eastAsia="楷体"/>
          <w:b/>
          <w:sz w:val="32"/>
          <w:szCs w:val="32"/>
        </w:rPr>
      </w:pPr>
      <w:bookmarkStart w:id="146" w:name="_Toc370234386"/>
      <w:bookmarkStart w:id="147" w:name="_Toc374364928"/>
      <w:bookmarkStart w:id="148" w:name="_Toc369555596"/>
      <w:r>
        <w:rPr>
          <w:rFonts w:hint="eastAsia" w:eastAsia="楷体"/>
          <w:b/>
          <w:sz w:val="32"/>
          <w:szCs w:val="32"/>
        </w:rPr>
        <w:t>4.2.2  城乡绿化</w:t>
      </w:r>
      <w:bookmarkEnd w:id="146"/>
      <w:bookmarkEnd w:id="147"/>
      <w:bookmarkEnd w:id="148"/>
    </w:p>
    <w:p>
      <w:pPr>
        <w:spacing w:line="560" w:lineRule="exact"/>
        <w:ind w:firstLine="640" w:firstLineChars="200"/>
        <w:rPr>
          <w:rFonts w:hint="eastAsia" w:eastAsia="仿宋_GB2312"/>
          <w:sz w:val="32"/>
          <w:szCs w:val="32"/>
        </w:rPr>
      </w:pPr>
      <w:r>
        <w:rPr>
          <w:rFonts w:hint="eastAsia" w:eastAsia="仿宋_GB2312"/>
          <w:b/>
          <w:sz w:val="32"/>
          <w:szCs w:val="32"/>
        </w:rPr>
        <w:t>提升城镇绿化品质。</w:t>
      </w:r>
      <w:r>
        <w:rPr>
          <w:rFonts w:hint="eastAsia" w:eastAsia="仿宋_GB2312"/>
          <w:sz w:val="32"/>
          <w:szCs w:val="32"/>
        </w:rPr>
        <w:t>以市（县）美化绿化、城市主干道、县城和重点镇绿化为主体，以创建园林式城镇为目标，大力推进市区、县城和重点集镇林荫系统建设，加快公园绿地建设步伐，对重要街道、重要节点、市民广场进行全面增绿、增景，不断提升城镇绿化品位，加快美丽城镇建设。突出城镇重要节点绿化和城市骨干街道绿化和城乡重要河堤绿化，对全市境内的沈海高速、204国道和通榆河等进行提档升级，大市区环城高速两侧建成生态景观廊道，提升县市区出入道口、盐靖、沈海等高速出入口绿化，加快推进世纪大道、青年路等重要道路节点绿化和希望大道、新都路等城市骨干道路绿化两大重点，不断提高建设水平，增强景观效果。继续实施“五个一”工程，不断加大城镇公园的建设步伐，进一步提升单位庭院、社区、企业、居住小区的绿化水平，全面进行增绿增景。到2015年，全市新增城镇绿地总面积2900公顷；市区新增绿地400公顷，绿地率达38%，绿化覆盖率达40%以上，人均公共绿地12平方米以上，单位绿化达标率95%以上，小区绿化达标率100%。到2017年，城市绿地率达38.5%，小区绿化达标率100%。</w:t>
      </w:r>
    </w:p>
    <w:p>
      <w:pPr>
        <w:spacing w:line="560" w:lineRule="exact"/>
        <w:ind w:firstLine="640" w:firstLineChars="200"/>
        <w:rPr>
          <w:rFonts w:hint="eastAsia" w:eastAsia="仿宋_GB2312"/>
          <w:sz w:val="32"/>
          <w:szCs w:val="32"/>
        </w:rPr>
      </w:pPr>
      <w:r>
        <w:rPr>
          <w:rFonts w:hint="eastAsia" w:eastAsia="仿宋_GB2312"/>
          <w:b/>
          <w:sz w:val="32"/>
          <w:szCs w:val="32"/>
        </w:rPr>
        <w:t>加强农村造林绿化。</w:t>
      </w:r>
      <w:r>
        <w:rPr>
          <w:rFonts w:hint="eastAsia" w:eastAsia="仿宋_GB2312"/>
          <w:sz w:val="32"/>
          <w:szCs w:val="32"/>
        </w:rPr>
        <w:t>进一步加大农村沿河、沿路、沿庄、沿田“四沿”植树造林力度。进一步拓展林网建设的内容和范围，提升林网建设的标准和水平。坚持与农业资源开发、农田基本建设、重点水利工程、农业结构调整相结合，按照网络化、良种化、立体化和高效化的要求，因地制宜，合理确定林带的配置和结构，科学选择造林树种和混交模式，逐步向农村森林生态网络建设目标迈进。结合全市村庄环境综合整治、统筹城乡示范村、康居村和生态村建设工作，全面组织开展绿色村庄达标创建活动，全市每年建成省级绿化示范村90个以上。到2015年，全市农田林网控制率保持在90%以上，其中高标准林网控制率达70%以上。</w:t>
      </w:r>
    </w:p>
    <w:p>
      <w:pPr>
        <w:spacing w:line="560" w:lineRule="exact"/>
        <w:outlineLvl w:val="2"/>
        <w:rPr>
          <w:rFonts w:hint="eastAsia" w:eastAsia="楷体"/>
          <w:b/>
          <w:sz w:val="32"/>
          <w:szCs w:val="32"/>
        </w:rPr>
      </w:pPr>
      <w:bookmarkStart w:id="149" w:name="_Toc370234387"/>
      <w:bookmarkStart w:id="150" w:name="_Toc374364929"/>
      <w:bookmarkStart w:id="151" w:name="_Toc369555597"/>
      <w:r>
        <w:rPr>
          <w:rFonts w:hint="eastAsia" w:eastAsia="楷体"/>
          <w:b/>
          <w:sz w:val="32"/>
          <w:szCs w:val="32"/>
        </w:rPr>
        <w:t>4.2.3  园区绿化</w:t>
      </w:r>
      <w:bookmarkEnd w:id="149"/>
      <w:bookmarkEnd w:id="150"/>
      <w:bookmarkEnd w:id="151"/>
    </w:p>
    <w:p>
      <w:pPr>
        <w:spacing w:line="560" w:lineRule="exact"/>
        <w:ind w:firstLine="640" w:firstLineChars="200"/>
        <w:rPr>
          <w:rFonts w:hint="eastAsia" w:eastAsia="仿宋_GB2312"/>
          <w:sz w:val="32"/>
          <w:szCs w:val="32"/>
        </w:rPr>
      </w:pPr>
      <w:r>
        <w:rPr>
          <w:rFonts w:hint="eastAsia" w:eastAsia="仿宋_GB2312"/>
          <w:sz w:val="32"/>
          <w:szCs w:val="32"/>
        </w:rPr>
        <w:t>以建设生态园区为目标，对全市各类开发区、园区的环区防护景观林带、重要道路、重要节点及其周边重要区域进行绿化提升，增加厂区绿化体量。重点加强化工园区100米、其他工业园区30米的生态防户绿化隔离带和生态防护景观林带建设。进一步提升盐城环保科技城、东台港区、大丰港区、盐城高新区等工业集中区绿化标准。到2015年，全市园区的绿化覆盖率达35%，盐城环保科技城、大丰城东新区建成生态园区。园区内的工业企业绿地率不低于20%，有大气、噪音等污染的厂矿企业绿地率不小于30%。</w:t>
      </w:r>
    </w:p>
    <w:p>
      <w:pPr>
        <w:spacing w:line="560" w:lineRule="exact"/>
        <w:outlineLvl w:val="2"/>
        <w:rPr>
          <w:rFonts w:hint="eastAsia" w:eastAsia="楷体"/>
          <w:b/>
          <w:sz w:val="32"/>
          <w:szCs w:val="32"/>
        </w:rPr>
      </w:pPr>
      <w:bookmarkStart w:id="152" w:name="_Toc369555598"/>
      <w:bookmarkStart w:id="153" w:name="_Toc370234388"/>
      <w:bookmarkStart w:id="154" w:name="_Toc374364930"/>
      <w:r>
        <w:rPr>
          <w:rFonts w:hint="eastAsia" w:eastAsia="楷体"/>
          <w:b/>
          <w:sz w:val="32"/>
          <w:szCs w:val="32"/>
        </w:rPr>
        <w:t>4.2.4  沿海</w:t>
      </w:r>
      <w:bookmarkEnd w:id="144"/>
      <w:bookmarkEnd w:id="145"/>
      <w:bookmarkEnd w:id="152"/>
      <w:bookmarkEnd w:id="153"/>
      <w:r>
        <w:rPr>
          <w:rFonts w:hint="eastAsia" w:eastAsia="楷体"/>
          <w:b/>
          <w:sz w:val="32"/>
          <w:szCs w:val="32"/>
        </w:rPr>
        <w:t>防护林</w:t>
      </w:r>
      <w:bookmarkEnd w:id="154"/>
    </w:p>
    <w:bookmarkEnd w:id="142"/>
    <w:bookmarkEnd w:id="143"/>
    <w:p>
      <w:pPr>
        <w:widowControl/>
        <w:spacing w:line="560" w:lineRule="exact"/>
        <w:ind w:firstLine="640" w:firstLineChars="200"/>
        <w:rPr>
          <w:rFonts w:hint="eastAsia" w:eastAsia="仿宋_GB2312"/>
          <w:sz w:val="32"/>
          <w:szCs w:val="32"/>
        </w:rPr>
      </w:pPr>
      <w:bookmarkStart w:id="155" w:name="_Toc368067620"/>
      <w:bookmarkStart w:id="156" w:name="_Toc368036856"/>
      <w:r>
        <w:rPr>
          <w:rFonts w:hint="eastAsia" w:eastAsia="仿宋_GB2312"/>
          <w:sz w:val="32"/>
          <w:szCs w:val="32"/>
        </w:rPr>
        <w:t>加强沿海滩涂宜林荒地荒滩的开发，以推进海堤等级公路、临海高等级公路二条南北向高标准绿网建设为主线，以推进沿海5个万亩新林场建设为重点，以完善提升东西向骨干河流两侧绿化、通海公路绿网建设为补充，充分挖掘造林潜力空间，大力推进沿海生态防护林建设，建成功能完备的沿海生态防护林体系。建立盐城市科林苗木试验示范基地，引进和培育沿海耐盐树种，在沿海地区开展造林试验和示范，为沿海地区造林绿化和生态建设提供优质耐盐造林苗木，大力推进沿海生态防护林建设。在全市5大国有林场现有12.5万亩成片林的基础上，全面推进沿海5个万亩新林场建设，打造全省滩涂生态林业示范区。其中：东台、大丰、射阳三县（市）要加大林场建设与提升力度，在已经建成3.5万亩的基础上，全面完成三个万亩新林场共5万亩的建设任务；滨海、响水要高起点规划，尽快启动二个沿海万亩新林场建设，增强沿海防护功能，优化沿海生态环境。到2015年，全面完成三个万亩新林场建设，全市新建生态防护林20万亩（其中实施国债防护林工程11.7万亩），林木覆盖率提高0.7个百分点以上，全面提升沿海地区的生态防护水平。至2017年，</w:t>
      </w:r>
      <w:r>
        <w:rPr>
          <w:rFonts w:hint="eastAsia" w:ascii="仿宋_GB2312" w:eastAsia="仿宋_GB2312"/>
          <w:sz w:val="32"/>
          <w:szCs w:val="32"/>
        </w:rPr>
        <w:t>力争完成五个万亩新林场建设，全市</w:t>
      </w:r>
      <w:r>
        <w:rPr>
          <w:rFonts w:hint="eastAsia" w:eastAsia="仿宋_GB2312"/>
          <w:sz w:val="32"/>
          <w:szCs w:val="32"/>
        </w:rPr>
        <w:t>新建生态防护林28万亩（其中实施国债防护林工程11.7万亩），林木覆盖率提高1.1个百分点以上，全面提升沿海地区的生态防护水平。</w:t>
      </w:r>
    </w:p>
    <w:p>
      <w:pPr>
        <w:spacing w:line="560" w:lineRule="exact"/>
        <w:outlineLvl w:val="2"/>
        <w:rPr>
          <w:rFonts w:hint="eastAsia" w:eastAsia="楷体"/>
          <w:b/>
          <w:sz w:val="32"/>
          <w:szCs w:val="32"/>
        </w:rPr>
      </w:pPr>
      <w:bookmarkStart w:id="157" w:name="_Toc370234389"/>
      <w:bookmarkStart w:id="158" w:name="_Toc369555599"/>
      <w:bookmarkStart w:id="159" w:name="_Toc374364931"/>
      <w:r>
        <w:rPr>
          <w:rFonts w:hint="eastAsia" w:eastAsia="楷体"/>
          <w:b/>
          <w:sz w:val="32"/>
          <w:szCs w:val="32"/>
        </w:rPr>
        <w:t>4.2.5  高效林业</w:t>
      </w:r>
      <w:bookmarkEnd w:id="157"/>
      <w:bookmarkEnd w:id="158"/>
      <w:r>
        <w:rPr>
          <w:rFonts w:hint="eastAsia" w:eastAsia="楷体"/>
          <w:b/>
          <w:sz w:val="32"/>
          <w:szCs w:val="32"/>
        </w:rPr>
        <w:t>产业</w:t>
      </w:r>
      <w:bookmarkEnd w:id="159"/>
    </w:p>
    <w:bookmarkEnd w:id="155"/>
    <w:bookmarkEnd w:id="156"/>
    <w:p>
      <w:pPr>
        <w:spacing w:line="560" w:lineRule="exact"/>
        <w:ind w:firstLine="640" w:firstLineChars="200"/>
        <w:rPr>
          <w:rFonts w:hint="eastAsia" w:eastAsia="仿宋_GB2312"/>
          <w:sz w:val="32"/>
          <w:szCs w:val="32"/>
        </w:rPr>
      </w:pPr>
      <w:r>
        <w:rPr>
          <w:rFonts w:hint="eastAsia" w:eastAsia="仿宋_GB2312"/>
          <w:sz w:val="32"/>
          <w:szCs w:val="32"/>
        </w:rPr>
        <w:t>大力发展高效林业产业，促进生态效益、经济效益和社会效益有机统一，让群众热心造林，“拥林生财”。充分发挥现有林场、经济林果、花卉苗木基地的资源优势，加强新品种、新技术和资金、人才、设备的引进，推进高效规模发展，提高产品档次质量，拉长林业产业链条，提高生态林业的综合效益。全市突出抓好经济林果、花卉苗木、林下经济三个产业带建设。其中，滨海、阜宁、响水废黄河故道沿线和亭湖、盐都、射阳3县（区）要分别抓好新增1500亩经济林果和3000亩优质水果产业带建设；沿海六县（市、区）在临海高等级公路、S327等国省道沿线和盐淮、盐靖、沈海等高速沿线新建7000亩花卉苗木产业带建设；滨海、阜宁、响水在沿废黄河故道、S326、淮河入海水道等道路及河流建设5万亩林药、林禽、林经等林下经济产业带。到2015年，全市林业总产值突破200亿元。到2017年，全市林业总产值达250亿元。</w:t>
      </w:r>
    </w:p>
    <w:p>
      <w:pPr>
        <w:pStyle w:val="3"/>
        <w:keepNext w:val="0"/>
        <w:keepLines w:val="0"/>
        <w:spacing w:before="156" w:beforeLines="50" w:after="156" w:afterLines="50" w:line="560" w:lineRule="exact"/>
        <w:rPr>
          <w:rFonts w:hint="eastAsia" w:ascii="Times New Roman" w:hAnsi="Times New Roman"/>
          <w:b w:val="0"/>
        </w:rPr>
      </w:pPr>
      <w:bookmarkStart w:id="160" w:name="_Toc370234390"/>
      <w:bookmarkStart w:id="161" w:name="_Toc369555600"/>
      <w:bookmarkStart w:id="162" w:name="_Toc374364932"/>
      <w:r>
        <w:rPr>
          <w:rFonts w:hint="eastAsia" w:ascii="Times New Roman" w:hAnsi="Times New Roman"/>
          <w:b w:val="0"/>
        </w:rPr>
        <w:t>4.3  生态示范</w:t>
      </w:r>
      <w:bookmarkEnd w:id="160"/>
      <w:bookmarkEnd w:id="161"/>
      <w:r>
        <w:rPr>
          <w:rFonts w:hint="eastAsia" w:ascii="Times New Roman" w:hAnsi="Times New Roman"/>
          <w:b w:val="0"/>
        </w:rPr>
        <w:t>创建</w:t>
      </w:r>
      <w:bookmarkEnd w:id="162"/>
    </w:p>
    <w:p>
      <w:pPr>
        <w:spacing w:line="560" w:lineRule="exact"/>
        <w:outlineLvl w:val="2"/>
        <w:rPr>
          <w:rFonts w:hint="eastAsia" w:eastAsia="楷体"/>
          <w:b/>
          <w:sz w:val="32"/>
          <w:szCs w:val="32"/>
        </w:rPr>
      </w:pPr>
      <w:bookmarkStart w:id="163" w:name="_Toc369555603"/>
      <w:bookmarkStart w:id="164" w:name="_Toc370234391"/>
      <w:bookmarkStart w:id="165" w:name="_Toc374364933"/>
      <w:bookmarkStart w:id="166" w:name="_Toc369555601"/>
      <w:r>
        <w:rPr>
          <w:rFonts w:hint="eastAsia" w:eastAsia="楷体"/>
          <w:b/>
          <w:sz w:val="32"/>
          <w:szCs w:val="32"/>
        </w:rPr>
        <w:t>4.3.1  可持续发展实验区</w:t>
      </w:r>
      <w:bookmarkEnd w:id="163"/>
      <w:r>
        <w:rPr>
          <w:rFonts w:hint="eastAsia" w:eastAsia="楷体"/>
          <w:b/>
          <w:sz w:val="32"/>
          <w:szCs w:val="32"/>
        </w:rPr>
        <w:t>建设</w:t>
      </w:r>
      <w:bookmarkEnd w:id="164"/>
      <w:bookmarkEnd w:id="165"/>
    </w:p>
    <w:p>
      <w:pPr>
        <w:spacing w:line="560" w:lineRule="exact"/>
        <w:ind w:firstLine="640" w:firstLineChars="200"/>
        <w:rPr>
          <w:rFonts w:hint="eastAsia" w:ascii="仿宋_GB2312" w:eastAsia="仿宋_GB2312"/>
          <w:sz w:val="32"/>
          <w:szCs w:val="32"/>
        </w:rPr>
      </w:pPr>
      <w:r>
        <w:rPr>
          <w:rFonts w:hint="eastAsia" w:ascii="仿宋_GB2312" w:eastAsia="仿宋_GB2312"/>
          <w:sz w:val="32"/>
          <w:szCs w:val="32"/>
        </w:rPr>
        <w:t>以科技为支撑，以创新为动力，积极开展国家可持续发展实验区建设，全面提升盐城可持续发展的能力水平。2013年，围绕实验区创建组织机构的完善、重点项目的推进、环境氛围的营造开展工作，保证创建工作按规定的时序进度稳步推进。细化实验区发展规划，加强发展布局，组织实施一批国家可持续发展实验区专项。2014年，重点围绕中期目标开展督查，加强建设统计监测。围绕将盐城市国家可持续发展实验区建成先行先试的试验区的目标，积极争取建立部省联席会议制度，通过会商支持盐城可持续发展项目全面推进。继续强化项目支撑，重点推进国家可持续发展实验区七大类36个优先项目建设。2015年，继续加大对可持续发展技术的研发及推广力度，开展对重点项目、重点工作的经验总结，组织对实验区建设统计数据的监测评价，完成实验区验收。</w:t>
      </w:r>
    </w:p>
    <w:p>
      <w:pPr>
        <w:spacing w:line="560" w:lineRule="exact"/>
        <w:outlineLvl w:val="2"/>
        <w:rPr>
          <w:rFonts w:hint="eastAsia" w:eastAsia="楷体"/>
          <w:b/>
          <w:sz w:val="32"/>
          <w:szCs w:val="32"/>
        </w:rPr>
      </w:pPr>
      <w:bookmarkStart w:id="167" w:name="_Toc374364934"/>
      <w:bookmarkStart w:id="168" w:name="_Toc370234392"/>
      <w:r>
        <w:rPr>
          <w:rFonts w:hint="eastAsia" w:eastAsia="楷体"/>
          <w:b/>
          <w:sz w:val="32"/>
          <w:szCs w:val="32"/>
        </w:rPr>
        <w:t>4.3.2  良好生态创建</w:t>
      </w:r>
      <w:bookmarkEnd w:id="166"/>
      <w:bookmarkEnd w:id="167"/>
      <w:bookmarkEnd w:id="168"/>
    </w:p>
    <w:p>
      <w:pPr>
        <w:spacing w:line="540" w:lineRule="exact"/>
        <w:ind w:firstLine="640" w:firstLineChars="200"/>
        <w:rPr>
          <w:rFonts w:hint="eastAsia" w:eastAsia="仿宋_GB2312"/>
          <w:sz w:val="32"/>
          <w:szCs w:val="32"/>
        </w:rPr>
      </w:pPr>
      <w:r>
        <w:rPr>
          <w:rFonts w:hint="eastAsia" w:eastAsia="仿宋_GB2312"/>
          <w:sz w:val="32"/>
          <w:szCs w:val="32"/>
        </w:rPr>
        <w:t>以生态示范创建为抓手，全力争创国家卫生城市、国家环保模范城市、国家生态市，扎实开展生态镇、生态村、生态农场、绿色学校、绿色社区、绿色家庭等基础性创建工作，在全社会形成“个个参与创建，人人享受成果”的良好社会氛围。2013年，盐城市建成国家园林城市。大丰市、东台市建成国家环保模范城市，大丰市、东台市、建湖县、盐都区等建成省级生态县（市、区）。2014年，盐城力争建成国家卫生城市，大丰市、东台市、建湖县、盐都区等建成国家生态县（市、区），射阳县、阜宁县、滨海县、响水县、亭湖区建成省级生态县（区）。到2015年，盐城市建成国家环保模范城市和省级生态市，射阳县、阜宁县、滨海县、响水县、亭湖区建成国家生态县（区）。到2016年，盐城市基本建成国家生态市。到2017年，盐城市及各县（市、区）全面巩固、提升国家生态县（市、区）建设成效，为生态文明示范区奠定坚实的基础。2022年前，盐城市及各县（市、区）全面建成国家生态文明建设试点示范区。</w:t>
      </w:r>
    </w:p>
    <w:p>
      <w:pPr>
        <w:spacing w:line="560" w:lineRule="exact"/>
        <w:outlineLvl w:val="2"/>
        <w:rPr>
          <w:rFonts w:hint="eastAsia" w:eastAsia="楷体"/>
          <w:b/>
          <w:sz w:val="32"/>
          <w:szCs w:val="32"/>
        </w:rPr>
      </w:pPr>
      <w:bookmarkStart w:id="169" w:name="_Toc369555602"/>
      <w:bookmarkStart w:id="170" w:name="_Toc370234393"/>
      <w:bookmarkStart w:id="171" w:name="_Toc374364935"/>
      <w:r>
        <w:rPr>
          <w:rFonts w:hint="eastAsia" w:eastAsia="楷体"/>
          <w:b/>
          <w:sz w:val="32"/>
          <w:szCs w:val="32"/>
        </w:rPr>
        <w:t>4.3.3  绿化模范城市</w:t>
      </w:r>
      <w:bookmarkEnd w:id="169"/>
      <w:bookmarkEnd w:id="170"/>
      <w:r>
        <w:rPr>
          <w:rFonts w:hint="eastAsia" w:eastAsia="楷体"/>
          <w:b/>
          <w:sz w:val="32"/>
          <w:szCs w:val="32"/>
        </w:rPr>
        <w:t>建设</w:t>
      </w:r>
      <w:bookmarkEnd w:id="171"/>
    </w:p>
    <w:p>
      <w:pPr>
        <w:spacing w:line="560" w:lineRule="exact"/>
        <w:ind w:firstLine="640" w:firstLineChars="200"/>
        <w:rPr>
          <w:rFonts w:hint="eastAsia" w:eastAsia="仿宋_GB2312"/>
          <w:sz w:val="32"/>
          <w:szCs w:val="32"/>
        </w:rPr>
      </w:pPr>
      <w:r>
        <w:rPr>
          <w:rFonts w:hint="eastAsia" w:eastAsia="仿宋_GB2312"/>
          <w:sz w:val="32"/>
          <w:szCs w:val="32"/>
        </w:rPr>
        <w:t>以创建全国绿化模范城市为抓手，坚持市、区两级联动，以水体、公园、交通走廊、开敞空间等为依托，强势推进“露水增绿”会战工程，深入实施农村森林覆盖率提升工程、建成区绿化景观提升工程、绿色通道提升工程、环城绿色屏障工程、绿色庭院创建工程五大工程，进一步彰显地域特色。大力推进串场河景观带、通榆河生态走廊、城南小新河景观带以及龙湖公园、天山公园、青年公园、大马沟生态公园、润都公园、丽都公园等“十大公园”建设，扩大绿量，提升品质。到2015年，建成“全国绿化模范城市”。</w:t>
      </w:r>
    </w:p>
    <w:p>
      <w:pPr>
        <w:pStyle w:val="2"/>
        <w:keepNext w:val="0"/>
        <w:keepLines w:val="0"/>
        <w:spacing w:before="156" w:beforeLines="50" w:after="156" w:afterLines="50" w:line="560" w:lineRule="exact"/>
        <w:jc w:val="center"/>
        <w:rPr>
          <w:rFonts w:hint="eastAsia" w:eastAsia="方正小标宋_GBK"/>
          <w:b w:val="0"/>
        </w:rPr>
      </w:pPr>
      <w:bookmarkStart w:id="172" w:name="_Toc369250078"/>
      <w:bookmarkStart w:id="173" w:name="_Toc369460858"/>
      <w:bookmarkStart w:id="174" w:name="_Toc369303699"/>
      <w:bookmarkStart w:id="175" w:name="_Toc369273415"/>
      <w:bookmarkStart w:id="176" w:name="_Toc369555604"/>
      <w:bookmarkStart w:id="177" w:name="_Toc369179355"/>
      <w:r>
        <w:rPr>
          <w:rFonts w:eastAsia="方正小标宋_GBK"/>
          <w:b w:val="0"/>
        </w:rPr>
        <w:br w:type="page"/>
      </w:r>
      <w:bookmarkStart w:id="178" w:name="_Toc374364936"/>
      <w:bookmarkStart w:id="179" w:name="_Toc370234394"/>
      <w:r>
        <w:rPr>
          <w:rFonts w:hint="eastAsia" w:eastAsia="方正小标宋_GBK"/>
          <w:b w:val="0"/>
        </w:rPr>
        <w:t>第五章  绿色发展</w:t>
      </w:r>
      <w:bookmarkEnd w:id="172"/>
      <w:bookmarkEnd w:id="173"/>
      <w:bookmarkEnd w:id="174"/>
      <w:bookmarkEnd w:id="175"/>
      <w:bookmarkEnd w:id="176"/>
      <w:bookmarkEnd w:id="177"/>
      <w:bookmarkEnd w:id="178"/>
      <w:bookmarkEnd w:id="179"/>
    </w:p>
    <w:p>
      <w:pPr>
        <w:spacing w:line="560" w:lineRule="exact"/>
        <w:ind w:firstLine="640" w:firstLineChars="200"/>
        <w:rPr>
          <w:rFonts w:eastAsia="仿宋_GB2312"/>
          <w:sz w:val="32"/>
          <w:szCs w:val="32"/>
        </w:rPr>
      </w:pPr>
      <w:r>
        <w:rPr>
          <w:rFonts w:eastAsia="仿宋_GB2312"/>
          <w:sz w:val="32"/>
          <w:szCs w:val="32"/>
        </w:rPr>
        <w:t>以产业生态转型和结构</w:t>
      </w:r>
      <w:r>
        <w:rPr>
          <w:rFonts w:hint="eastAsia" w:eastAsia="仿宋_GB2312"/>
          <w:sz w:val="32"/>
          <w:szCs w:val="32"/>
        </w:rPr>
        <w:t>调整</w:t>
      </w:r>
      <w:r>
        <w:rPr>
          <w:rFonts w:eastAsia="仿宋_GB2312"/>
          <w:sz w:val="32"/>
          <w:szCs w:val="32"/>
        </w:rPr>
        <w:t>为主线，以</w:t>
      </w:r>
      <w:r>
        <w:rPr>
          <w:rFonts w:hint="eastAsia" w:eastAsia="仿宋_GB2312"/>
          <w:sz w:val="32"/>
          <w:szCs w:val="32"/>
        </w:rPr>
        <w:t>构建</w:t>
      </w:r>
      <w:r>
        <w:rPr>
          <w:rFonts w:eastAsia="仿宋_GB2312"/>
          <w:sz w:val="32"/>
          <w:szCs w:val="32"/>
        </w:rPr>
        <w:t>生态工业</w:t>
      </w:r>
      <w:r>
        <w:rPr>
          <w:rFonts w:hint="eastAsia" w:eastAsia="仿宋_GB2312"/>
          <w:sz w:val="32"/>
          <w:szCs w:val="32"/>
        </w:rPr>
        <w:t>、生态农业、生态旅游业</w:t>
      </w:r>
      <w:r>
        <w:rPr>
          <w:rFonts w:eastAsia="仿宋_GB2312"/>
          <w:sz w:val="32"/>
          <w:szCs w:val="32"/>
        </w:rPr>
        <w:t>为</w:t>
      </w:r>
      <w:r>
        <w:rPr>
          <w:rFonts w:hint="eastAsia" w:eastAsia="仿宋_GB2312"/>
          <w:sz w:val="32"/>
          <w:szCs w:val="32"/>
        </w:rPr>
        <w:t>抓手</w:t>
      </w:r>
      <w:r>
        <w:rPr>
          <w:rFonts w:eastAsia="仿宋_GB2312"/>
          <w:sz w:val="32"/>
          <w:szCs w:val="32"/>
        </w:rPr>
        <w:t>，通过科技进步、</w:t>
      </w:r>
      <w:r>
        <w:rPr>
          <w:rFonts w:hint="eastAsia" w:eastAsia="仿宋_GB2312"/>
          <w:sz w:val="32"/>
          <w:szCs w:val="32"/>
        </w:rPr>
        <w:t>体制机</w:t>
      </w:r>
      <w:r>
        <w:rPr>
          <w:rFonts w:eastAsia="仿宋_GB2312"/>
          <w:sz w:val="32"/>
          <w:szCs w:val="32"/>
        </w:rPr>
        <w:t>制创新</w:t>
      </w:r>
      <w:r>
        <w:rPr>
          <w:rFonts w:hint="eastAsia" w:eastAsia="仿宋_GB2312"/>
          <w:sz w:val="32"/>
          <w:szCs w:val="32"/>
        </w:rPr>
        <w:t>和技术工艺革新，推进</w:t>
      </w:r>
      <w:r>
        <w:rPr>
          <w:rFonts w:eastAsia="仿宋_GB2312"/>
          <w:sz w:val="32"/>
          <w:szCs w:val="32"/>
        </w:rPr>
        <w:t>传统产业</w:t>
      </w:r>
      <w:r>
        <w:rPr>
          <w:rFonts w:hint="eastAsia" w:eastAsia="仿宋_GB2312"/>
          <w:sz w:val="32"/>
          <w:szCs w:val="32"/>
        </w:rPr>
        <w:t>升级改造</w:t>
      </w:r>
      <w:r>
        <w:rPr>
          <w:rFonts w:eastAsia="仿宋_GB2312"/>
          <w:sz w:val="32"/>
          <w:szCs w:val="32"/>
        </w:rPr>
        <w:t>，</w:t>
      </w:r>
      <w:r>
        <w:rPr>
          <w:rFonts w:hint="eastAsia" w:eastAsia="仿宋_GB2312"/>
          <w:sz w:val="32"/>
          <w:szCs w:val="32"/>
        </w:rPr>
        <w:t>加快高技术</w:t>
      </w:r>
      <w:r>
        <w:rPr>
          <w:rFonts w:eastAsia="仿宋_GB2312"/>
          <w:sz w:val="32"/>
          <w:szCs w:val="32"/>
        </w:rPr>
        <w:t>产业</w:t>
      </w:r>
      <w:r>
        <w:rPr>
          <w:rFonts w:hint="eastAsia" w:eastAsia="仿宋_GB2312"/>
          <w:sz w:val="32"/>
          <w:szCs w:val="32"/>
        </w:rPr>
        <w:t>发展，大力发展现代服务业，着力构建</w:t>
      </w:r>
      <w:r>
        <w:rPr>
          <w:rFonts w:eastAsia="仿宋_GB2312"/>
          <w:sz w:val="32"/>
          <w:szCs w:val="32"/>
        </w:rPr>
        <w:t>经济、社会和资源环境协调发展</w:t>
      </w:r>
      <w:r>
        <w:rPr>
          <w:rFonts w:hint="eastAsia" w:eastAsia="仿宋_GB2312"/>
          <w:sz w:val="32"/>
          <w:szCs w:val="32"/>
        </w:rPr>
        <w:t>的</w:t>
      </w:r>
      <w:r>
        <w:rPr>
          <w:rFonts w:eastAsia="仿宋_GB2312"/>
          <w:sz w:val="32"/>
          <w:szCs w:val="32"/>
        </w:rPr>
        <w:t>生态</w:t>
      </w:r>
      <w:r>
        <w:rPr>
          <w:rFonts w:hint="eastAsia" w:eastAsia="仿宋_GB2312"/>
          <w:sz w:val="32"/>
          <w:szCs w:val="32"/>
        </w:rPr>
        <w:t>经济体系，努力</w:t>
      </w:r>
      <w:r>
        <w:rPr>
          <w:rFonts w:eastAsia="仿宋_GB2312"/>
          <w:sz w:val="32"/>
          <w:szCs w:val="32"/>
        </w:rPr>
        <w:t>把</w:t>
      </w:r>
      <w:r>
        <w:rPr>
          <w:rFonts w:hint="eastAsia" w:eastAsia="仿宋_GB2312"/>
          <w:sz w:val="32"/>
          <w:szCs w:val="32"/>
        </w:rPr>
        <w:t>盐城</w:t>
      </w:r>
      <w:r>
        <w:rPr>
          <w:rFonts w:eastAsia="仿宋_GB2312"/>
          <w:sz w:val="32"/>
          <w:szCs w:val="32"/>
        </w:rPr>
        <w:t>建成有影响</w:t>
      </w:r>
      <w:r>
        <w:rPr>
          <w:rFonts w:hint="eastAsia" w:eastAsia="仿宋_GB2312"/>
          <w:sz w:val="32"/>
          <w:szCs w:val="32"/>
        </w:rPr>
        <w:t>力</w:t>
      </w:r>
      <w:r>
        <w:rPr>
          <w:rFonts w:eastAsia="仿宋_GB2312"/>
          <w:sz w:val="32"/>
          <w:szCs w:val="32"/>
        </w:rPr>
        <w:t>的</w:t>
      </w:r>
      <w:r>
        <w:rPr>
          <w:rFonts w:hint="eastAsia" w:eastAsia="仿宋_GB2312"/>
          <w:sz w:val="32"/>
          <w:szCs w:val="32"/>
        </w:rPr>
        <w:t>可持续发展</w:t>
      </w:r>
      <w:r>
        <w:rPr>
          <w:rFonts w:eastAsia="仿宋_GB2312"/>
          <w:sz w:val="32"/>
          <w:szCs w:val="32"/>
        </w:rPr>
        <w:t>示范区。</w:t>
      </w:r>
    </w:p>
    <w:p>
      <w:pPr>
        <w:pStyle w:val="3"/>
        <w:keepNext w:val="0"/>
        <w:keepLines w:val="0"/>
        <w:spacing w:before="156" w:beforeLines="50" w:after="156" w:afterLines="50" w:line="540" w:lineRule="exact"/>
        <w:rPr>
          <w:rFonts w:ascii="Times New Roman" w:hAnsi="Times New Roman"/>
          <w:b w:val="0"/>
        </w:rPr>
      </w:pPr>
      <w:bookmarkStart w:id="180" w:name="_Toc369187237"/>
      <w:bookmarkStart w:id="181" w:name="_Toc369179356"/>
      <w:bookmarkStart w:id="182" w:name="_Toc369303700"/>
      <w:bookmarkStart w:id="183" w:name="_Toc369555605"/>
      <w:bookmarkStart w:id="184" w:name="_Toc370234395"/>
      <w:bookmarkStart w:id="185" w:name="_Toc369460859"/>
      <w:bookmarkStart w:id="186" w:name="_Toc369250079"/>
      <w:bookmarkStart w:id="187" w:name="_Toc369273416"/>
      <w:bookmarkStart w:id="188" w:name="_Toc374364937"/>
      <w:bookmarkStart w:id="189" w:name="_Toc369179362"/>
      <w:bookmarkStart w:id="190" w:name="_Toc369209870"/>
      <w:bookmarkStart w:id="191" w:name="_Toc369179366"/>
      <w:r>
        <w:rPr>
          <w:rFonts w:ascii="Times New Roman" w:hAnsi="Times New Roman"/>
          <w:b w:val="0"/>
        </w:rPr>
        <w:t xml:space="preserve">5.1  </w:t>
      </w:r>
      <w:r>
        <w:rPr>
          <w:rFonts w:hint="eastAsia" w:ascii="Times New Roman" w:hAnsi="Times New Roman"/>
          <w:b w:val="0"/>
        </w:rPr>
        <w:t>生态工业</w:t>
      </w:r>
      <w:bookmarkEnd w:id="180"/>
      <w:bookmarkEnd w:id="181"/>
      <w:bookmarkEnd w:id="182"/>
      <w:bookmarkEnd w:id="183"/>
      <w:bookmarkEnd w:id="184"/>
      <w:bookmarkEnd w:id="185"/>
      <w:bookmarkEnd w:id="186"/>
      <w:bookmarkEnd w:id="187"/>
      <w:bookmarkEnd w:id="188"/>
    </w:p>
    <w:p>
      <w:pPr>
        <w:spacing w:line="560" w:lineRule="exact"/>
        <w:outlineLvl w:val="2"/>
        <w:rPr>
          <w:rFonts w:eastAsia="楷体"/>
          <w:b/>
          <w:sz w:val="32"/>
          <w:szCs w:val="32"/>
        </w:rPr>
      </w:pPr>
      <w:bookmarkStart w:id="192" w:name="_Toc369460860"/>
      <w:bookmarkStart w:id="193" w:name="_Toc369209867"/>
      <w:bookmarkStart w:id="194" w:name="_Toc369273417"/>
      <w:bookmarkStart w:id="195" w:name="_Toc369555606"/>
      <w:bookmarkStart w:id="196" w:name="_Toc370234396"/>
      <w:bookmarkStart w:id="197" w:name="_Toc369250080"/>
      <w:bookmarkStart w:id="198" w:name="_Toc369303701"/>
      <w:bookmarkStart w:id="199" w:name="_Toc374364938"/>
      <w:bookmarkStart w:id="200" w:name="_Toc369187238"/>
      <w:r>
        <w:rPr>
          <w:rFonts w:eastAsia="楷体"/>
          <w:b/>
          <w:sz w:val="32"/>
          <w:szCs w:val="32"/>
        </w:rPr>
        <w:t xml:space="preserve">5.1.1  </w:t>
      </w:r>
      <w:bookmarkEnd w:id="192"/>
      <w:bookmarkEnd w:id="193"/>
      <w:bookmarkEnd w:id="194"/>
      <w:bookmarkEnd w:id="195"/>
      <w:bookmarkEnd w:id="196"/>
      <w:bookmarkEnd w:id="197"/>
      <w:bookmarkEnd w:id="198"/>
      <w:r>
        <w:rPr>
          <w:rFonts w:hint="eastAsia" w:eastAsia="楷体"/>
          <w:b/>
          <w:sz w:val="32"/>
          <w:szCs w:val="32"/>
        </w:rPr>
        <w:t>实施转型升级</w:t>
      </w:r>
      <w:bookmarkEnd w:id="199"/>
    </w:p>
    <w:p>
      <w:pPr>
        <w:spacing w:line="560" w:lineRule="exact"/>
        <w:ind w:firstLine="640" w:firstLineChars="200"/>
        <w:rPr>
          <w:rFonts w:hint="eastAsia"/>
          <w:sz w:val="32"/>
          <w:szCs w:val="32"/>
        </w:rPr>
      </w:pPr>
      <w:r>
        <w:rPr>
          <w:rFonts w:hint="eastAsia" w:eastAsia="仿宋_GB2312"/>
          <w:sz w:val="32"/>
          <w:szCs w:val="32"/>
        </w:rPr>
        <w:t>以大产业、大项目、大企业、大载体为重要抓手，以创新驱动、开放融合为主要动力，通过“调高调轻”实现“调优调强”，到2015年，产业转型发展取得新突破，初步形成以新引领、以优取胜、沿海崛起的新型产业格局。</w:t>
      </w:r>
    </w:p>
    <w:p>
      <w:pPr>
        <w:spacing w:line="560" w:lineRule="exact"/>
        <w:ind w:firstLine="640" w:firstLineChars="200"/>
        <w:rPr>
          <w:rFonts w:hint="eastAsia" w:eastAsia="仿宋_GB2312"/>
          <w:sz w:val="32"/>
          <w:szCs w:val="32"/>
        </w:rPr>
      </w:pPr>
      <w:r>
        <w:rPr>
          <w:rFonts w:hint="eastAsia" w:eastAsia="仿宋_GB2312"/>
          <w:b/>
          <w:sz w:val="32"/>
          <w:szCs w:val="32"/>
        </w:rPr>
        <w:t>加快高科技产业发展。</w:t>
      </w:r>
      <w:r>
        <w:rPr>
          <w:rFonts w:hint="eastAsia" w:eastAsia="仿宋_GB2312"/>
          <w:sz w:val="32"/>
          <w:szCs w:val="32"/>
        </w:rPr>
        <w:t>坚持市场导向和创新驱动相结合，集中优势资源，着力做大新能源、节能环保、电子信息、高端装备等四个主导产业，加快培育新能源汽车、海洋产业、航空装备等三个先导产业，形成“4+3”新兴产业总体布局。集中打造“两区两城”的标志性产业创新高地，引领带动全市新兴产业加速崛起。到2015年，力争全市战略性新兴产业销售收入突破3000亿元，年均增长率保持在30%以上，增加值占地区生产总值比重达到14%，对产业结构升级的引领带动作用显著增强。</w:t>
      </w:r>
      <w:r>
        <w:rPr>
          <w:rFonts w:hint="eastAsia" w:eastAsia="仿宋_GB2312"/>
          <w:b/>
          <w:sz w:val="32"/>
          <w:szCs w:val="32"/>
        </w:rPr>
        <w:t>培育高新技术企业。</w:t>
      </w:r>
      <w:r>
        <w:rPr>
          <w:rFonts w:hint="eastAsia" w:eastAsia="仿宋_GB2312"/>
          <w:sz w:val="32"/>
          <w:szCs w:val="32"/>
        </w:rPr>
        <w:t>把大力发展高新技术产业作为加快工业结构调整和经济增长方式转变的重要抓手，加大对成长型、科技型企业的培育力度，对在技术、品牌、体制机制创新上，在能力建设、投入力度、人才队伍、创新战略上做出成效和示范的企业群体，按照高新技术企业的标准进行重点培育，推动企业的技术进步与创新。</w:t>
      </w:r>
      <w:r>
        <w:rPr>
          <w:rFonts w:hint="eastAsia" w:eastAsia="仿宋_GB2312"/>
          <w:b/>
          <w:sz w:val="32"/>
          <w:szCs w:val="32"/>
        </w:rPr>
        <w:t>推进高新技术产品研发。</w:t>
      </w:r>
      <w:r>
        <w:rPr>
          <w:rFonts w:hint="eastAsia" w:eastAsia="仿宋_GB2312"/>
          <w:sz w:val="32"/>
          <w:szCs w:val="32"/>
        </w:rPr>
        <w:t>引导企业新产品开发与产业化，促进企业依靠科技进步改变经济增长方式，提升企业产品市场竞争力。积极组织企业承担国家、省级新产品试制计划，增强企业品牌发展意识，支持企业创建品牌，推动一批重点企业和产品创建国家级、省级品牌。以省级高新技术产品为引领，带动全市高新技术产品开发的积极性，使高新技术产品生产不断增大，成为我市工业重要增长极。</w:t>
      </w:r>
      <w:r>
        <w:rPr>
          <w:rFonts w:hint="eastAsia" w:eastAsia="仿宋_GB2312"/>
          <w:b/>
          <w:sz w:val="32"/>
          <w:szCs w:val="32"/>
        </w:rPr>
        <w:t>发展创新载体。</w:t>
      </w:r>
      <w:r>
        <w:rPr>
          <w:rFonts w:hint="eastAsia" w:eastAsia="仿宋_GB2312"/>
          <w:sz w:val="32"/>
          <w:szCs w:val="32"/>
        </w:rPr>
        <w:t>突出企业科技创新的主体地位，鼓励企业技术创新，加快企业技术中心、工程技术研究中心、院士工作站等创新平台建设。强化科技创业园（孵化器）建设，鼓励各县（市、区）建立科技产业园或科技企业孵化器。到2015年，全社会研发经费支出占地区生产总值的比重提升到2%，科技进步贡献率提升到60%以上，高新技术产业产值占规模以上工业产值的比重提升到35％，战略性新兴产业企业专利授权量占全市企业专利授权量的比重达40%以上。组织实施100个以上关键技术研发及产业化项目，培植50个国家级重点新产品。</w:t>
      </w:r>
    </w:p>
    <w:p>
      <w:pPr>
        <w:spacing w:line="560" w:lineRule="exact"/>
        <w:ind w:firstLine="640" w:firstLineChars="200"/>
        <w:rPr>
          <w:rFonts w:hint="eastAsia" w:eastAsia="仿宋_GB2312"/>
          <w:sz w:val="32"/>
          <w:szCs w:val="32"/>
        </w:rPr>
      </w:pPr>
      <w:r>
        <w:rPr>
          <w:rFonts w:hint="eastAsia" w:eastAsia="仿宋_GB2312"/>
          <w:b/>
          <w:sz w:val="32"/>
          <w:szCs w:val="32"/>
        </w:rPr>
        <w:t>提升传统产业发展。</w:t>
      </w:r>
      <w:r>
        <w:rPr>
          <w:rFonts w:hint="eastAsia" w:eastAsia="仿宋_GB2312"/>
          <w:sz w:val="32"/>
          <w:szCs w:val="32"/>
        </w:rPr>
        <w:t>按照高端化、信息化、品牌化要求，加速汽车、机械装备、纺织、化工等支柱产业向高端环节升级、向高附加值方向发展。汽车产业要以整车为带动，形成研发、零部件、汽车服务业一体化的全产业链，加快实现“三个千亿”目标。到2015年，形成乘用车100万辆、新能源汽车1万辆、客车5000辆、专用车1000辆的生产能力，建成省内最大的轿车生产基地、东部沿海新能源汽车产业基地和国内汽车产业链最完整的产业基地，主营业务收入突破1500亿元。机械装备产业要大力提升数控化水平，推进农机、石油机械、风电设备、环保机械等重点产业链建设，培植特色产业集群，建设高端化、精密化机械装备制造基地。到2015年，主营业务收入突破2500亿元。纺织产业要加快发展新型纤维、高档面料、产业用布、高档家纺和品牌服装，着力构建现代纺织及服装设计制造中心。到2015年，主营业务收入突破1500亿元。化工产业要进一步优化产业空间布局，加快推进兼并重组，淘汰落后产能，提高清洁生产和污染治理能力，着力提升园区产业层次和安全环保控制水平，做到能自净、可循环，打造生态化工园区。</w:t>
      </w:r>
    </w:p>
    <w:p>
      <w:pPr>
        <w:spacing w:line="560" w:lineRule="exact"/>
        <w:ind w:firstLine="640" w:firstLineChars="200"/>
        <w:rPr>
          <w:rFonts w:hint="eastAsia" w:eastAsia="仿宋_GB2312"/>
          <w:sz w:val="32"/>
          <w:szCs w:val="32"/>
        </w:rPr>
      </w:pPr>
      <w:r>
        <w:rPr>
          <w:rFonts w:hint="eastAsia" w:eastAsia="仿宋_GB2312"/>
          <w:b/>
          <w:sz w:val="32"/>
          <w:szCs w:val="32"/>
        </w:rPr>
        <w:t>推进现代服务业发展。</w:t>
      </w:r>
      <w:bookmarkStart w:id="201" w:name="_Toc369303703"/>
      <w:bookmarkStart w:id="202" w:name="_Toc369250082"/>
      <w:r>
        <w:rPr>
          <w:rFonts w:hint="eastAsia" w:eastAsia="仿宋_GB2312"/>
          <w:sz w:val="32"/>
          <w:szCs w:val="32"/>
        </w:rPr>
        <w:t>重点突出发展生产性服务业，提升生活性服务业，培育新兴服务业，不断提升现代服务业发展水平。大力发展现代物流、科技服务、现代金融、现代商贸、软件和服务外包、节能和环境服务等生产性服务业，推动先进制造业与现代服务业互动并进。放大盐城南洋机场和大丰港两个一类开放口岸优势，推进电子口岸和大通关建设，加快建设城西南现代物流园区、市现代物流园区、大丰港物流中心、滨海港港口物流园区等现代物流园区，实现物流业的率先突破。大力提升现代商贸业，推进一批较大体量的城市综合体建设。加快金融城建设，集聚一批金融业务中心、研发中心、区域性总部等功能性机构。到2015年，服务业增加值占GDP比重达到40%以上，生产性服务业增加值占服务业增加值比重提高到40%以上。培育形成市级以上服务业集聚区40个，服务业集聚区营业收入突破1000亿元。</w:t>
      </w:r>
    </w:p>
    <w:p>
      <w:pPr>
        <w:spacing w:line="560" w:lineRule="exact"/>
        <w:outlineLvl w:val="2"/>
        <w:rPr>
          <w:rFonts w:hint="eastAsia" w:eastAsia="楷体"/>
          <w:b/>
          <w:sz w:val="32"/>
          <w:szCs w:val="32"/>
        </w:rPr>
      </w:pPr>
      <w:bookmarkStart w:id="203" w:name="_Toc370234398"/>
      <w:bookmarkStart w:id="204" w:name="_Toc369460862"/>
      <w:bookmarkStart w:id="205" w:name="_Toc369555608"/>
      <w:bookmarkStart w:id="206" w:name="_Toc374364939"/>
      <w:r>
        <w:rPr>
          <w:rFonts w:hint="eastAsia" w:eastAsia="楷体"/>
          <w:b/>
          <w:sz w:val="32"/>
          <w:szCs w:val="32"/>
        </w:rPr>
        <w:t xml:space="preserve">5.1.2 </w:t>
      </w:r>
      <w:r>
        <w:rPr>
          <w:rFonts w:eastAsia="楷体"/>
          <w:b/>
          <w:sz w:val="32"/>
          <w:szCs w:val="32"/>
        </w:rPr>
        <w:t xml:space="preserve"> </w:t>
      </w:r>
      <w:bookmarkEnd w:id="201"/>
      <w:bookmarkEnd w:id="202"/>
      <w:bookmarkEnd w:id="203"/>
      <w:bookmarkEnd w:id="204"/>
      <w:bookmarkEnd w:id="205"/>
      <w:r>
        <w:rPr>
          <w:rFonts w:hint="eastAsia" w:eastAsia="楷体"/>
          <w:b/>
          <w:sz w:val="32"/>
          <w:szCs w:val="32"/>
        </w:rPr>
        <w:t>严格环境准入</w:t>
      </w:r>
      <w:bookmarkEnd w:id="206"/>
    </w:p>
    <w:bookmarkEnd w:id="200"/>
    <w:p>
      <w:pPr>
        <w:spacing w:line="560" w:lineRule="exact"/>
        <w:ind w:firstLine="640" w:firstLineChars="200"/>
        <w:rPr>
          <w:rFonts w:eastAsia="仿宋_GB2312"/>
          <w:sz w:val="32"/>
          <w:szCs w:val="32"/>
        </w:rPr>
      </w:pPr>
      <w:bookmarkStart w:id="207" w:name="_Toc369273420"/>
      <w:bookmarkStart w:id="208" w:name="_Toc369303704"/>
      <w:bookmarkStart w:id="209" w:name="_Toc369250083"/>
      <w:r>
        <w:rPr>
          <w:rFonts w:hint="eastAsia" w:eastAsia="仿宋_GB2312"/>
          <w:sz w:val="32"/>
          <w:szCs w:val="32"/>
        </w:rPr>
        <w:t>制定并实施高耗能较重污染行业准入标准及工业产品能耗限额标准，达不到准入标准的高耗能较重污染项目一律不得建设，从源头控制高耗能较重污染产业过快增长，杜绝重污染项目建设。全市各类产业园区重点支持发展《产业结构调整指导目录（2011年本）》、《江苏省工业结构调整指导目录（2012年本）》中鼓励类项目、园区产业链的重大项目和环境污染较轻项目；限制发展造船项目、造纸项目、镍合金项目等污染项目；禁止发展平板玻璃、多晶硅、小化工项目、电解铝、废旧电器、废船拆解及规模较小的钢铁等高耗能重污染项目。</w:t>
      </w:r>
    </w:p>
    <w:p>
      <w:pPr>
        <w:spacing w:line="560" w:lineRule="exact"/>
        <w:outlineLvl w:val="2"/>
        <w:rPr>
          <w:rFonts w:hint="eastAsia" w:eastAsia="楷体"/>
          <w:b/>
          <w:sz w:val="32"/>
          <w:szCs w:val="32"/>
        </w:rPr>
      </w:pPr>
      <w:bookmarkStart w:id="210" w:name="_Toc374364940"/>
      <w:bookmarkStart w:id="211" w:name="_Toc369555609"/>
      <w:bookmarkStart w:id="212" w:name="_Toc369460863"/>
      <w:bookmarkStart w:id="213" w:name="_Toc370234399"/>
      <w:r>
        <w:rPr>
          <w:rFonts w:hint="eastAsia" w:eastAsia="楷体"/>
          <w:b/>
          <w:sz w:val="32"/>
          <w:szCs w:val="32"/>
        </w:rPr>
        <w:t>5.1.3  发展循环经济</w:t>
      </w:r>
      <w:bookmarkEnd w:id="189"/>
      <w:bookmarkEnd w:id="190"/>
      <w:bookmarkEnd w:id="207"/>
      <w:bookmarkEnd w:id="208"/>
      <w:bookmarkEnd w:id="209"/>
      <w:bookmarkEnd w:id="210"/>
      <w:bookmarkEnd w:id="211"/>
      <w:bookmarkEnd w:id="212"/>
      <w:bookmarkEnd w:id="213"/>
    </w:p>
    <w:p>
      <w:pPr>
        <w:spacing w:line="560" w:lineRule="exact"/>
        <w:ind w:firstLine="640" w:firstLineChars="200"/>
        <w:rPr>
          <w:rFonts w:hint="eastAsia" w:eastAsia="仿宋_GB2312"/>
          <w:sz w:val="32"/>
          <w:szCs w:val="32"/>
        </w:rPr>
      </w:pPr>
      <w:bookmarkStart w:id="214" w:name="_Toc369209871"/>
      <w:bookmarkStart w:id="215" w:name="_Toc369303705"/>
      <w:bookmarkStart w:id="216" w:name="_Toc369250084"/>
      <w:bookmarkStart w:id="217" w:name="_Toc369273421"/>
      <w:bookmarkStart w:id="218" w:name="_Toc369179363"/>
      <w:r>
        <w:rPr>
          <w:rFonts w:hint="eastAsia" w:eastAsia="仿宋_GB2312"/>
          <w:sz w:val="32"/>
          <w:szCs w:val="32"/>
        </w:rPr>
        <w:t>紧紧围绕构建资源节约型、环境友好型“两型”社会的总体目标，全面实施《盐城市“十二五”循环经济发展规划》，以提高资源利用效率、减少废弃物排放和循环利用为核心，着力推进生产、流通、消费各环节循环经济发展，加快构建覆盖全社会的资源循环利用体系，促进全市经济社会和资源环境的协调发展，初步构建较为完善的循环经济运行体系、政策体系、科技支撑体系和评价指标体系，不断提高盐城经济社会可持续发展能力。到2015年，有效缓解能源、资源、环境与经济发展的矛盾，努力实现经济、社会与环境协调发展。</w:t>
      </w:r>
    </w:p>
    <w:bookmarkEnd w:id="214"/>
    <w:bookmarkEnd w:id="215"/>
    <w:bookmarkEnd w:id="216"/>
    <w:bookmarkEnd w:id="217"/>
    <w:bookmarkEnd w:id="218"/>
    <w:p>
      <w:pPr>
        <w:spacing w:line="560" w:lineRule="exact"/>
        <w:ind w:firstLine="640" w:firstLineChars="200"/>
        <w:rPr>
          <w:rFonts w:hint="eastAsia" w:eastAsia="仿宋_GB2312"/>
          <w:sz w:val="32"/>
          <w:szCs w:val="32"/>
        </w:rPr>
      </w:pPr>
      <w:bookmarkStart w:id="219" w:name="_Toc370234400"/>
      <w:bookmarkStart w:id="220" w:name="_Toc369555610"/>
      <w:bookmarkStart w:id="221" w:name="_Toc369460864"/>
      <w:r>
        <w:rPr>
          <w:rFonts w:hint="eastAsia" w:eastAsia="仿宋_GB2312"/>
          <w:b/>
          <w:sz w:val="32"/>
          <w:szCs w:val="32"/>
        </w:rPr>
        <w:t>推动循环产业发展</w:t>
      </w:r>
      <w:bookmarkEnd w:id="219"/>
      <w:bookmarkEnd w:id="220"/>
      <w:bookmarkEnd w:id="221"/>
      <w:r>
        <w:rPr>
          <w:rFonts w:hint="eastAsia" w:eastAsia="仿宋_GB2312"/>
          <w:b/>
          <w:sz w:val="32"/>
          <w:szCs w:val="32"/>
        </w:rPr>
        <w:t>。</w:t>
      </w:r>
      <w:r>
        <w:rPr>
          <w:rFonts w:hint="eastAsia" w:eastAsia="仿宋_GB2312"/>
          <w:sz w:val="32"/>
          <w:szCs w:val="32"/>
        </w:rPr>
        <w:t>以提高资源产出率为目标，推进生产、流通、消费各环节循环经济发展，加快构建覆盖全社会的资源循环利用体系。</w:t>
      </w:r>
      <w:r>
        <w:rPr>
          <w:rFonts w:eastAsia="仿宋_GB2312"/>
          <w:sz w:val="32"/>
          <w:szCs w:val="32"/>
        </w:rPr>
        <w:t>农业</w:t>
      </w:r>
      <w:r>
        <w:rPr>
          <w:rFonts w:hint="eastAsia" w:eastAsia="仿宋_GB2312"/>
          <w:sz w:val="32"/>
          <w:szCs w:val="32"/>
        </w:rPr>
        <w:t>领域，以</w:t>
      </w:r>
      <w:r>
        <w:rPr>
          <w:rFonts w:eastAsia="仿宋_GB2312"/>
          <w:sz w:val="32"/>
          <w:szCs w:val="32"/>
        </w:rPr>
        <w:t>投入品减量化使用、畜禽粪便综合利用、秸秆资源综合利用等领域</w:t>
      </w:r>
      <w:r>
        <w:rPr>
          <w:rFonts w:hint="eastAsia" w:eastAsia="仿宋_GB2312"/>
          <w:sz w:val="32"/>
          <w:szCs w:val="32"/>
        </w:rPr>
        <w:t>为重点</w:t>
      </w:r>
      <w:r>
        <w:rPr>
          <w:rFonts w:eastAsia="仿宋_GB2312"/>
          <w:sz w:val="32"/>
          <w:szCs w:val="32"/>
        </w:rPr>
        <w:t>，积极推进农业清洁生产和农业废弃物资源化循环利用。</w:t>
      </w:r>
      <w:r>
        <w:rPr>
          <w:rFonts w:hint="eastAsia" w:eastAsia="仿宋_GB2312"/>
          <w:sz w:val="32"/>
          <w:szCs w:val="32"/>
        </w:rPr>
        <w:t>工业领域，以构建完善纺织、化工、建材、造纸、装备制造、汽车制造产业链为重点，积极推进汽车、拖拉机、机床及工程机械零部件再制造，通过“以旧换再”的方式促进再制造旧件回收，实现产业规模化、规范化发展。</w:t>
      </w:r>
      <w:r>
        <w:rPr>
          <w:rFonts w:eastAsia="仿宋_GB2312"/>
          <w:sz w:val="32"/>
          <w:szCs w:val="32"/>
        </w:rPr>
        <w:t>加大节能减排力度，全面推进企业清洁生产，实现能源资源消耗的减量化，提高资源效率，减少废弃物产生</w:t>
      </w:r>
      <w:r>
        <w:rPr>
          <w:rFonts w:hint="eastAsia" w:eastAsia="仿宋_GB2312"/>
          <w:sz w:val="32"/>
          <w:szCs w:val="32"/>
        </w:rPr>
        <w:t>。服务业领域，</w:t>
      </w:r>
      <w:r>
        <w:rPr>
          <w:rFonts w:eastAsia="仿宋_GB2312"/>
          <w:sz w:val="32"/>
          <w:szCs w:val="32"/>
        </w:rPr>
        <w:t>以商贸业、物流业、旅游业为重点，大力推进资源节约、绿色消费和绿色服务</w:t>
      </w:r>
      <w:r>
        <w:rPr>
          <w:rFonts w:hint="eastAsia" w:eastAsia="仿宋_GB2312"/>
          <w:sz w:val="32"/>
          <w:szCs w:val="32"/>
        </w:rPr>
        <w:t>。</w:t>
      </w:r>
    </w:p>
    <w:p>
      <w:pPr>
        <w:spacing w:line="560" w:lineRule="exact"/>
        <w:ind w:firstLine="640" w:firstLineChars="200"/>
        <w:rPr>
          <w:rFonts w:hint="eastAsia" w:eastAsia="仿宋_GB2312"/>
          <w:sz w:val="32"/>
          <w:szCs w:val="32"/>
        </w:rPr>
      </w:pPr>
      <w:bookmarkStart w:id="222" w:name="_Toc369555611"/>
      <w:bookmarkStart w:id="223" w:name="_Toc369303706"/>
      <w:bookmarkStart w:id="224" w:name="_Toc370234401"/>
      <w:bookmarkStart w:id="225" w:name="_Toc369273422"/>
      <w:bookmarkStart w:id="226" w:name="_Toc369209872"/>
      <w:bookmarkStart w:id="227" w:name="_Toc369250085"/>
      <w:bookmarkStart w:id="228" w:name="_Toc369460865"/>
      <w:bookmarkStart w:id="229" w:name="_Toc369179364"/>
      <w:r>
        <w:rPr>
          <w:rFonts w:hint="eastAsia" w:eastAsia="仿宋_GB2312"/>
          <w:b/>
          <w:sz w:val="32"/>
          <w:szCs w:val="32"/>
        </w:rPr>
        <w:t>实施工业园区循环化改造</w:t>
      </w:r>
      <w:bookmarkEnd w:id="222"/>
      <w:bookmarkEnd w:id="223"/>
      <w:bookmarkEnd w:id="224"/>
      <w:bookmarkEnd w:id="225"/>
      <w:bookmarkEnd w:id="226"/>
      <w:bookmarkEnd w:id="227"/>
      <w:bookmarkEnd w:id="228"/>
      <w:bookmarkEnd w:id="229"/>
      <w:r>
        <w:rPr>
          <w:rFonts w:hint="eastAsia" w:eastAsia="仿宋_GB2312"/>
          <w:b/>
          <w:sz w:val="32"/>
          <w:szCs w:val="32"/>
        </w:rPr>
        <w:t>。</w:t>
      </w:r>
      <w:r>
        <w:rPr>
          <w:rFonts w:hint="eastAsia" w:eastAsia="仿宋_GB2312"/>
          <w:sz w:val="32"/>
          <w:szCs w:val="32"/>
        </w:rPr>
        <w:t>加大对循环经济发展的组织推进和政策支持力度，以园区循环化改造为重点，突出抓好重点领域省级和市级循环经济试点示范，加快循环经济规划重点项目实施步伐，初步构建较为完善的循环经济发展运行机制。提高各类工业企业内部、企业间以及园区内资源、能源上下游间的再利用，不断拉长产业链，努力实现资源化、减量化、再循环利用。积极开展工业集中区（园区）生态化改造，编制生态工业集中区（园区）建设规划。到2015年，省级以上开发区全部建成省级生态工业园区，循环化改造率达50%以上，再生资源循环利用率达45%。</w:t>
      </w:r>
    </w:p>
    <w:p>
      <w:pPr>
        <w:spacing w:line="560" w:lineRule="exact"/>
        <w:ind w:firstLine="640" w:firstLineChars="200"/>
        <w:rPr>
          <w:rFonts w:hint="eastAsia" w:eastAsia="仿宋_GB2312"/>
          <w:sz w:val="32"/>
          <w:szCs w:val="32"/>
        </w:rPr>
      </w:pPr>
      <w:bookmarkStart w:id="230" w:name="_Toc369179365"/>
      <w:bookmarkStart w:id="231" w:name="_Toc369209873"/>
      <w:bookmarkStart w:id="232" w:name="_Toc369555612"/>
      <w:bookmarkStart w:id="233" w:name="_Toc369303707"/>
      <w:bookmarkStart w:id="234" w:name="_Toc370234402"/>
      <w:bookmarkStart w:id="235" w:name="_Toc369460866"/>
      <w:bookmarkStart w:id="236" w:name="_Toc369273423"/>
      <w:bookmarkStart w:id="237" w:name="_Toc369250086"/>
      <w:r>
        <w:rPr>
          <w:rFonts w:hint="eastAsia" w:eastAsia="仿宋_GB2312"/>
          <w:b/>
          <w:sz w:val="32"/>
          <w:szCs w:val="32"/>
        </w:rPr>
        <w:t>持续推进企业清洁生产</w:t>
      </w:r>
      <w:bookmarkEnd w:id="230"/>
      <w:bookmarkEnd w:id="231"/>
      <w:bookmarkEnd w:id="232"/>
      <w:bookmarkEnd w:id="233"/>
      <w:bookmarkEnd w:id="234"/>
      <w:bookmarkEnd w:id="235"/>
      <w:bookmarkEnd w:id="236"/>
      <w:bookmarkEnd w:id="237"/>
      <w:r>
        <w:rPr>
          <w:rFonts w:hint="eastAsia" w:eastAsia="仿宋_GB2312"/>
          <w:b/>
          <w:sz w:val="32"/>
          <w:szCs w:val="32"/>
        </w:rPr>
        <w:t>。</w:t>
      </w:r>
      <w:r>
        <w:rPr>
          <w:rFonts w:hint="eastAsia" w:eastAsia="仿宋_GB2312"/>
          <w:sz w:val="32"/>
          <w:szCs w:val="32"/>
        </w:rPr>
        <w:t>建立健全企业自愿和政府支持相结合的清洁生产机制，重点组织冶金、化工、纺织、造纸等行业开展清洁生产审核，扩大自愿性清洁生产审核范围，对超标、超总量排污和使用、排放有毒有害物质的企业实施强制性清洁生产审核,推进低费、无费方案的实施，加大对中高费方案的政策支持力度，促进企业提高实施率。持续开展ISO14000环境管理体系、环境标志产品和其他绿色认证。到2015年，大中型企业基本实现清洁生产,应当实施清洁生产审核的企业100%通过审核验收。</w:t>
      </w:r>
    </w:p>
    <w:bookmarkEnd w:id="191"/>
    <w:p>
      <w:pPr>
        <w:pStyle w:val="3"/>
        <w:keepNext w:val="0"/>
        <w:keepLines w:val="0"/>
        <w:spacing w:before="156" w:beforeLines="50" w:after="156" w:afterLines="50" w:line="540" w:lineRule="exact"/>
        <w:rPr>
          <w:rFonts w:hint="eastAsia" w:ascii="Times New Roman" w:hAnsi="Times New Roman"/>
          <w:b w:val="0"/>
        </w:rPr>
      </w:pPr>
      <w:bookmarkStart w:id="238" w:name="_Toc369303708"/>
      <w:bookmarkStart w:id="239" w:name="_Toc369460867"/>
      <w:bookmarkStart w:id="240" w:name="_Toc369250087"/>
      <w:bookmarkStart w:id="241" w:name="_Toc370234403"/>
      <w:bookmarkStart w:id="242" w:name="_Toc369209874"/>
      <w:bookmarkStart w:id="243" w:name="_Toc374364941"/>
      <w:bookmarkStart w:id="244" w:name="_Toc369555613"/>
      <w:bookmarkStart w:id="245" w:name="_Toc369273424"/>
      <w:bookmarkStart w:id="246" w:name="_Toc369179372"/>
      <w:r>
        <w:rPr>
          <w:rFonts w:hint="eastAsia" w:ascii="Times New Roman" w:hAnsi="Times New Roman"/>
          <w:b w:val="0"/>
        </w:rPr>
        <w:t>5.2  生态农业</w:t>
      </w:r>
      <w:bookmarkEnd w:id="238"/>
      <w:bookmarkEnd w:id="239"/>
      <w:bookmarkEnd w:id="240"/>
      <w:bookmarkEnd w:id="241"/>
      <w:bookmarkEnd w:id="242"/>
      <w:bookmarkEnd w:id="243"/>
      <w:bookmarkEnd w:id="244"/>
      <w:bookmarkEnd w:id="245"/>
    </w:p>
    <w:p>
      <w:pPr>
        <w:widowControl/>
        <w:spacing w:line="560" w:lineRule="exact"/>
        <w:ind w:firstLine="640" w:firstLineChars="200"/>
        <w:rPr>
          <w:rFonts w:hint="eastAsia" w:eastAsia="仿宋_GB2312" w:cs="宋体"/>
          <w:kern w:val="0"/>
          <w:sz w:val="32"/>
          <w:szCs w:val="32"/>
        </w:rPr>
      </w:pPr>
      <w:r>
        <w:rPr>
          <w:rFonts w:hint="eastAsia" w:eastAsia="仿宋_GB2312"/>
          <w:sz w:val="32"/>
          <w:szCs w:val="32"/>
        </w:rPr>
        <w:t>盐城现有耕地83万公顷，居江苏首位。充分利用盐城的地域特色和资源禀赋，按照资源节约、环境友好的生态循环理念，转变农业发展方式，加快建设规模农业，大力发展特色农业，全面加强农业面源污染综合治理，对建设生态盐城、全面提升生态文明建设水平具有十分重要的意义。</w:t>
      </w:r>
    </w:p>
    <w:p>
      <w:pPr>
        <w:spacing w:line="560" w:lineRule="exact"/>
        <w:outlineLvl w:val="2"/>
        <w:rPr>
          <w:rFonts w:hint="eastAsia" w:eastAsia="楷体"/>
          <w:b/>
          <w:sz w:val="32"/>
          <w:szCs w:val="32"/>
        </w:rPr>
      </w:pPr>
      <w:bookmarkStart w:id="247" w:name="_Toc369209875"/>
      <w:bookmarkStart w:id="248" w:name="_Toc369250088"/>
      <w:bookmarkStart w:id="249" w:name="_Toc369303709"/>
      <w:bookmarkStart w:id="250" w:name="_Toc369555614"/>
      <w:bookmarkStart w:id="251" w:name="_Toc374364942"/>
      <w:bookmarkStart w:id="252" w:name="_Toc369460868"/>
      <w:bookmarkStart w:id="253" w:name="_Toc370234404"/>
      <w:bookmarkStart w:id="254" w:name="_Toc369273425"/>
      <w:r>
        <w:rPr>
          <w:rFonts w:hint="eastAsia" w:eastAsia="楷体"/>
          <w:b/>
          <w:sz w:val="32"/>
          <w:szCs w:val="32"/>
        </w:rPr>
        <w:t>5.2.1  发展规模</w:t>
      </w:r>
      <w:bookmarkEnd w:id="247"/>
      <w:bookmarkEnd w:id="248"/>
      <w:r>
        <w:rPr>
          <w:rFonts w:hint="eastAsia" w:eastAsia="楷体"/>
          <w:b/>
          <w:sz w:val="32"/>
          <w:szCs w:val="32"/>
        </w:rPr>
        <w:t>农业</w:t>
      </w:r>
      <w:bookmarkEnd w:id="249"/>
      <w:bookmarkEnd w:id="250"/>
      <w:bookmarkEnd w:id="251"/>
      <w:bookmarkEnd w:id="252"/>
      <w:bookmarkEnd w:id="253"/>
      <w:bookmarkEnd w:id="254"/>
    </w:p>
    <w:p>
      <w:pPr>
        <w:spacing w:line="560" w:lineRule="exact"/>
        <w:ind w:firstLine="640" w:firstLineChars="200"/>
        <w:rPr>
          <w:rFonts w:eastAsia="仿宋_GB2312"/>
          <w:sz w:val="32"/>
          <w:szCs w:val="32"/>
        </w:rPr>
      </w:pPr>
      <w:r>
        <w:rPr>
          <w:rFonts w:hint="eastAsia" w:eastAsia="仿宋_GB2312"/>
          <w:sz w:val="32"/>
          <w:szCs w:val="32"/>
        </w:rPr>
        <w:t>坚持区域化、规模化、专业化发展方向，积极培植种养大户、家庭农场、合作社等新型生产经营主体，加快发展土地集中型、专业合作型、统一服务型、联耕联种型等各种类型的适度规模经营，大力推进农业结构调整优化，着力建设优质规模产业基地。建设国家沿海现代生态农业示范基地、优质农产品出口基地和长三角地区优质农产品供应基地。在巩固提高粮、棉、油、蔬菜、生猪、家禽、水产等优势主导产业的基础上，以建设</w:t>
      </w:r>
      <w:r>
        <w:rPr>
          <w:rFonts w:eastAsia="仿宋_GB2312"/>
          <w:sz w:val="32"/>
          <w:szCs w:val="32"/>
        </w:rPr>
        <w:t>10</w:t>
      </w:r>
      <w:r>
        <w:rPr>
          <w:rFonts w:hint="eastAsia" w:eastAsia="仿宋_GB2312"/>
          <w:sz w:val="32"/>
          <w:szCs w:val="32"/>
        </w:rPr>
        <w:t>亿斤、</w:t>
      </w:r>
      <w:r>
        <w:rPr>
          <w:rFonts w:eastAsia="仿宋_GB2312"/>
          <w:sz w:val="32"/>
          <w:szCs w:val="32"/>
        </w:rPr>
        <w:t>20</w:t>
      </w:r>
      <w:r>
        <w:rPr>
          <w:rFonts w:hint="eastAsia" w:eastAsia="仿宋_GB2312"/>
          <w:sz w:val="32"/>
          <w:szCs w:val="32"/>
        </w:rPr>
        <w:t>亿斤产粮大县、优质棉花和双低油菜基地县为抓手，着力建设</w:t>
      </w:r>
      <w:r>
        <w:rPr>
          <w:rFonts w:eastAsia="仿宋_GB2312"/>
          <w:sz w:val="32"/>
          <w:szCs w:val="32"/>
        </w:rPr>
        <w:t>1500</w:t>
      </w:r>
      <w:r>
        <w:rPr>
          <w:rFonts w:hint="eastAsia" w:eastAsia="仿宋_GB2312"/>
          <w:sz w:val="32"/>
          <w:szCs w:val="32"/>
        </w:rPr>
        <w:t>万亩商品粮生产基地、</w:t>
      </w:r>
      <w:r>
        <w:rPr>
          <w:rFonts w:eastAsia="仿宋_GB2312"/>
          <w:sz w:val="32"/>
          <w:szCs w:val="32"/>
        </w:rPr>
        <w:t>100</w:t>
      </w:r>
      <w:r>
        <w:rPr>
          <w:rFonts w:hint="eastAsia" w:eastAsia="仿宋_GB2312"/>
          <w:sz w:val="32"/>
          <w:szCs w:val="32"/>
        </w:rPr>
        <w:t>万亩高品质棉基地、</w:t>
      </w:r>
      <w:r>
        <w:rPr>
          <w:rFonts w:eastAsia="仿宋_GB2312"/>
          <w:sz w:val="32"/>
          <w:szCs w:val="32"/>
        </w:rPr>
        <w:t>120</w:t>
      </w:r>
      <w:r>
        <w:rPr>
          <w:rFonts w:hint="eastAsia" w:eastAsia="仿宋_GB2312"/>
          <w:sz w:val="32"/>
          <w:szCs w:val="32"/>
        </w:rPr>
        <w:t>万亩标准化双低油菜基地；着力打造长三角农副产品供应基地，建成</w:t>
      </w:r>
      <w:r>
        <w:rPr>
          <w:rFonts w:eastAsia="仿宋_GB2312"/>
          <w:sz w:val="32"/>
          <w:szCs w:val="32"/>
        </w:rPr>
        <w:t>170</w:t>
      </w:r>
      <w:r>
        <w:rPr>
          <w:rFonts w:hint="eastAsia" w:eastAsia="仿宋_GB2312"/>
          <w:sz w:val="32"/>
          <w:szCs w:val="32"/>
        </w:rPr>
        <w:t>万亩设施蔬菜、</w:t>
      </w:r>
      <w:r>
        <w:rPr>
          <w:rFonts w:eastAsia="仿宋_GB2312"/>
          <w:sz w:val="32"/>
          <w:szCs w:val="32"/>
        </w:rPr>
        <w:t>1000</w:t>
      </w:r>
      <w:r>
        <w:rPr>
          <w:rFonts w:hint="eastAsia" w:eastAsia="仿宋_GB2312"/>
          <w:sz w:val="32"/>
          <w:szCs w:val="32"/>
        </w:rPr>
        <w:t>万头生猪、</w:t>
      </w:r>
      <w:r>
        <w:rPr>
          <w:rFonts w:eastAsia="仿宋_GB2312"/>
          <w:sz w:val="32"/>
          <w:szCs w:val="32"/>
        </w:rPr>
        <w:t>3</w:t>
      </w:r>
      <w:r>
        <w:rPr>
          <w:rFonts w:hint="eastAsia" w:eastAsia="仿宋_GB2312"/>
          <w:sz w:val="32"/>
          <w:szCs w:val="32"/>
        </w:rPr>
        <w:t>亿只家禽、</w:t>
      </w:r>
      <w:r>
        <w:rPr>
          <w:rFonts w:eastAsia="仿宋_GB2312"/>
          <w:sz w:val="32"/>
          <w:szCs w:val="32"/>
        </w:rPr>
        <w:t>800</w:t>
      </w:r>
      <w:r>
        <w:rPr>
          <w:rFonts w:hint="eastAsia" w:eastAsia="仿宋_GB2312"/>
          <w:sz w:val="32"/>
          <w:szCs w:val="32"/>
        </w:rPr>
        <w:t>万只肉羊生产基地。</w:t>
      </w:r>
    </w:p>
    <w:p>
      <w:pPr>
        <w:spacing w:line="560" w:lineRule="exact"/>
        <w:outlineLvl w:val="2"/>
        <w:rPr>
          <w:rFonts w:hint="eastAsia" w:eastAsia="楷体"/>
          <w:b/>
          <w:sz w:val="32"/>
          <w:szCs w:val="32"/>
        </w:rPr>
      </w:pPr>
      <w:bookmarkStart w:id="255" w:name="_Toc369555615"/>
      <w:bookmarkStart w:id="256" w:name="_Toc374364943"/>
      <w:bookmarkStart w:id="257" w:name="_Toc369303710"/>
      <w:bookmarkStart w:id="258" w:name="_Toc370234405"/>
      <w:bookmarkStart w:id="259" w:name="_Toc369460869"/>
      <w:r>
        <w:rPr>
          <w:rFonts w:hint="eastAsia" w:eastAsia="楷体"/>
          <w:b/>
          <w:sz w:val="32"/>
          <w:szCs w:val="32"/>
        </w:rPr>
        <w:t>5.2.2  做大特色农业</w:t>
      </w:r>
      <w:bookmarkEnd w:id="255"/>
      <w:bookmarkEnd w:id="256"/>
      <w:bookmarkEnd w:id="257"/>
      <w:bookmarkEnd w:id="258"/>
      <w:bookmarkEnd w:id="259"/>
    </w:p>
    <w:p>
      <w:pPr>
        <w:spacing w:line="560" w:lineRule="exact"/>
        <w:ind w:firstLine="640" w:firstLineChars="200"/>
        <w:rPr>
          <w:rFonts w:eastAsia="楷体_GB2312"/>
          <w:b/>
          <w:sz w:val="32"/>
          <w:szCs w:val="32"/>
        </w:rPr>
      </w:pPr>
      <w:bookmarkStart w:id="260" w:name="_Toc369303711"/>
      <w:bookmarkStart w:id="261" w:name="_Toc369209876"/>
      <w:bookmarkStart w:id="262" w:name="_Toc369250089"/>
      <w:bookmarkStart w:id="263" w:name="_Toc369273426"/>
      <w:bookmarkStart w:id="264" w:name="_Toc369460870"/>
      <w:r>
        <w:rPr>
          <w:rFonts w:hint="eastAsia" w:eastAsia="仿宋_GB2312"/>
          <w:sz w:val="32"/>
          <w:szCs w:val="32"/>
        </w:rPr>
        <w:t>按照“以特取胜、打造优势”的发展方向，建设产业优、规模大、龙头强、品牌响、效益高的沿海特色农业。到</w:t>
      </w:r>
      <w:r>
        <w:rPr>
          <w:rFonts w:eastAsia="仿宋_GB2312"/>
          <w:sz w:val="32"/>
          <w:szCs w:val="32"/>
        </w:rPr>
        <w:t>2015</w:t>
      </w:r>
      <w:r>
        <w:rPr>
          <w:rFonts w:hint="eastAsia" w:eastAsia="仿宋_GB2312"/>
          <w:sz w:val="32"/>
          <w:szCs w:val="32"/>
        </w:rPr>
        <w:t>年，建成百亿斤粳稻基地、双千万吨蔬菜基地、百万吨肉类基地和百万吨禽蛋基地。加快做大培强粳稻、蔬菜、生猪、家禽、林桑果、水产等“双百亿”优势主导产业；重点打造东台蚕丝绸、大丰乳业、射阳菊花、阜宁生态猪等县域国家级特色产业基地，培植壮大</w:t>
      </w:r>
      <w:r>
        <w:rPr>
          <w:rFonts w:eastAsia="仿宋_GB2312"/>
          <w:sz w:val="32"/>
          <w:szCs w:val="32"/>
        </w:rPr>
        <w:t>30</w:t>
      </w:r>
      <w:r>
        <w:rPr>
          <w:rFonts w:hint="eastAsia" w:eastAsia="仿宋_GB2312"/>
          <w:sz w:val="32"/>
          <w:szCs w:val="32"/>
        </w:rPr>
        <w:t>个超</w:t>
      </w:r>
      <w:r>
        <w:rPr>
          <w:rFonts w:eastAsia="仿宋_GB2312"/>
          <w:sz w:val="32"/>
          <w:szCs w:val="32"/>
        </w:rPr>
        <w:t>10</w:t>
      </w:r>
      <w:r>
        <w:rPr>
          <w:rFonts w:hint="eastAsia" w:eastAsia="仿宋_GB2312"/>
          <w:sz w:val="32"/>
          <w:szCs w:val="32"/>
        </w:rPr>
        <w:t>亿元县域特色产业；加快培育东台西瓜、甜叶菊、大丰大蒜、盐都葡萄、亭湖花卉苗木、射阳辣椒、滨海生猪等特色产业。充分发挥沿海资源丰富，生态良好的优势。积极培植功能性农业、现代种业、科技创意农业和休闲观光农业等新兴产业，形成集聚效应和品牌效应。加快发展中药材、生物药业、保健食品、甜料香料等科技含量和附加值高的功能性产业；提升沿海国家超级稻杂交制种基地和加快发展商品化育供秧和蔬菜园艺种苗产业；重点打造沿海滩涂、国道沿线和湖荡湿地等三条休闲观光农业带，建成农业休闲观光点</w:t>
      </w:r>
      <w:r>
        <w:rPr>
          <w:rFonts w:eastAsia="仿宋_GB2312"/>
          <w:sz w:val="32"/>
          <w:szCs w:val="32"/>
        </w:rPr>
        <w:t>80</w:t>
      </w:r>
      <w:r>
        <w:rPr>
          <w:rFonts w:hint="eastAsia" w:eastAsia="仿宋_GB2312"/>
          <w:sz w:val="32"/>
          <w:szCs w:val="32"/>
        </w:rPr>
        <w:t>个。加强富有盐城农业特色的绿色品牌建设，提升绿色生态品牌在市场的占有率。到</w:t>
      </w:r>
      <w:r>
        <w:rPr>
          <w:rFonts w:eastAsia="仿宋_GB2312"/>
          <w:sz w:val="32"/>
          <w:szCs w:val="32"/>
        </w:rPr>
        <w:t>2015</w:t>
      </w:r>
      <w:r>
        <w:rPr>
          <w:rFonts w:hint="eastAsia" w:eastAsia="仿宋_GB2312"/>
          <w:sz w:val="32"/>
          <w:szCs w:val="32"/>
        </w:rPr>
        <w:t>年，在盐城市区高速圈外</w:t>
      </w:r>
      <w:r>
        <w:rPr>
          <w:rFonts w:eastAsia="仿宋_GB2312"/>
          <w:sz w:val="32"/>
          <w:szCs w:val="32"/>
        </w:rPr>
        <w:t>10</w:t>
      </w:r>
      <w:r>
        <w:rPr>
          <w:rFonts w:hint="eastAsia" w:eastAsia="仿宋_GB2312"/>
          <w:sz w:val="32"/>
          <w:szCs w:val="32"/>
        </w:rPr>
        <w:t>公里范围内，全面改造传统种养业，全部建成高效农业、设施农业基地。</w:t>
      </w:r>
    </w:p>
    <w:p>
      <w:pPr>
        <w:spacing w:line="560" w:lineRule="exact"/>
        <w:outlineLvl w:val="2"/>
        <w:rPr>
          <w:rFonts w:hint="eastAsia" w:eastAsia="楷体"/>
          <w:b/>
          <w:sz w:val="32"/>
          <w:szCs w:val="32"/>
        </w:rPr>
      </w:pPr>
      <w:bookmarkStart w:id="265" w:name="_Toc370234406"/>
      <w:bookmarkStart w:id="266" w:name="_Toc374364944"/>
      <w:bookmarkStart w:id="267" w:name="_Toc369555616"/>
      <w:r>
        <w:rPr>
          <w:rFonts w:hint="eastAsia" w:eastAsia="楷体"/>
          <w:b/>
          <w:sz w:val="32"/>
          <w:szCs w:val="32"/>
        </w:rPr>
        <w:t xml:space="preserve">5.2.3  </w:t>
      </w:r>
      <w:bookmarkEnd w:id="260"/>
      <w:bookmarkEnd w:id="261"/>
      <w:bookmarkEnd w:id="262"/>
      <w:bookmarkEnd w:id="263"/>
      <w:r>
        <w:rPr>
          <w:rFonts w:hint="eastAsia" w:eastAsia="楷体"/>
          <w:b/>
          <w:sz w:val="32"/>
          <w:szCs w:val="32"/>
        </w:rPr>
        <w:t>防治农业面源污染</w:t>
      </w:r>
      <w:bookmarkEnd w:id="264"/>
      <w:bookmarkEnd w:id="265"/>
      <w:bookmarkEnd w:id="266"/>
      <w:bookmarkEnd w:id="267"/>
    </w:p>
    <w:bookmarkEnd w:id="246"/>
    <w:p>
      <w:pPr>
        <w:spacing w:line="560" w:lineRule="exact"/>
        <w:ind w:firstLine="640" w:firstLineChars="200"/>
        <w:rPr>
          <w:rFonts w:hint="eastAsia" w:eastAsia="仿宋_GB2312"/>
          <w:sz w:val="32"/>
          <w:szCs w:val="32"/>
        </w:rPr>
      </w:pPr>
      <w:bookmarkStart w:id="268" w:name="_Toc369303712"/>
      <w:bookmarkStart w:id="269" w:name="_Toc369273427"/>
      <w:bookmarkStart w:id="270" w:name="_Toc369250090"/>
      <w:bookmarkStart w:id="271" w:name="_Toc369209877"/>
      <w:bookmarkStart w:id="272" w:name="_Toc369273428"/>
      <w:bookmarkStart w:id="273" w:name="_Toc369460871"/>
      <w:bookmarkStart w:id="274" w:name="_Toc369303713"/>
      <w:bookmarkStart w:id="275" w:name="_Toc369209878"/>
      <w:bookmarkStart w:id="276" w:name="_Toc369250091"/>
      <w:bookmarkStart w:id="277" w:name="_Toc369179374"/>
      <w:bookmarkStart w:id="278" w:name="_Toc368067632"/>
      <w:r>
        <w:rPr>
          <w:rFonts w:hint="eastAsia" w:eastAsia="仿宋_GB2312"/>
          <w:b/>
          <w:sz w:val="32"/>
          <w:szCs w:val="32"/>
        </w:rPr>
        <w:t>实施秸秆资源化综合利用工程。</w:t>
      </w:r>
      <w:r>
        <w:rPr>
          <w:rFonts w:hint="eastAsia" w:eastAsia="仿宋_GB2312"/>
          <w:sz w:val="32"/>
          <w:szCs w:val="32"/>
        </w:rPr>
        <w:t>积极推广秸秆综合利用技术，按照秸秆“肥料化、饲料化、基料化、原料化、燃料化”的思路，开拓秸秆综合利用途径，提高秸秆综合利用率。到</w:t>
      </w:r>
      <w:r>
        <w:rPr>
          <w:rFonts w:eastAsia="仿宋_GB2312"/>
          <w:sz w:val="32"/>
          <w:szCs w:val="32"/>
        </w:rPr>
        <w:t>2015</w:t>
      </w:r>
      <w:r>
        <w:rPr>
          <w:rFonts w:hint="eastAsia" w:eastAsia="仿宋_GB2312"/>
          <w:sz w:val="32"/>
          <w:szCs w:val="32"/>
        </w:rPr>
        <w:t>年，全市秸秆综合利用率达到</w:t>
      </w:r>
      <w:r>
        <w:rPr>
          <w:rFonts w:eastAsia="仿宋_GB2312"/>
          <w:sz w:val="32"/>
          <w:szCs w:val="32"/>
        </w:rPr>
        <w:t>95%</w:t>
      </w:r>
      <w:r>
        <w:rPr>
          <w:rFonts w:hint="eastAsia" w:eastAsia="仿宋_GB2312"/>
          <w:sz w:val="32"/>
          <w:szCs w:val="32"/>
        </w:rPr>
        <w:t>，全面实现秸秆禁烧。</w:t>
      </w:r>
    </w:p>
    <w:p>
      <w:pPr>
        <w:spacing w:line="560" w:lineRule="exact"/>
        <w:ind w:firstLine="640" w:firstLineChars="200"/>
        <w:rPr>
          <w:rFonts w:hint="eastAsia" w:eastAsia="仿宋_GB2312"/>
          <w:sz w:val="32"/>
          <w:szCs w:val="32"/>
        </w:rPr>
      </w:pPr>
      <w:r>
        <w:rPr>
          <w:rFonts w:hint="eastAsia" w:eastAsia="仿宋_GB2312"/>
          <w:b/>
          <w:sz w:val="32"/>
          <w:szCs w:val="32"/>
        </w:rPr>
        <w:t>实施以秸秆还田为主的机械化工程。</w:t>
      </w:r>
      <w:r>
        <w:rPr>
          <w:rFonts w:hint="eastAsia" w:eastAsia="仿宋_GB2312"/>
          <w:sz w:val="32"/>
          <w:szCs w:val="32"/>
        </w:rPr>
        <w:t>每年新增大中型拖拉机1000台以上，强制推行收割机配套切碎装置，按1:1配套秸秆还田机。到2015年，全市大中型拖拉机及配套还田机械力争达到2万台套，稻麦秸秆机械化还田率稳定在45%以上。到2017年，稻麦秸秆机械化还田率稳定在48%以上。</w:t>
      </w:r>
    </w:p>
    <w:p>
      <w:pPr>
        <w:spacing w:line="560" w:lineRule="exact"/>
        <w:ind w:firstLine="640" w:firstLineChars="200"/>
        <w:rPr>
          <w:rFonts w:hint="eastAsia" w:eastAsia="仿宋_GB2312"/>
          <w:sz w:val="32"/>
          <w:szCs w:val="32"/>
        </w:rPr>
      </w:pPr>
      <w:r>
        <w:rPr>
          <w:rFonts w:hint="eastAsia" w:eastAsia="仿宋_GB2312"/>
          <w:b/>
          <w:sz w:val="32"/>
          <w:szCs w:val="32"/>
        </w:rPr>
        <w:t>加快建设秸秆收贮加工体系。</w:t>
      </w:r>
      <w:r>
        <w:rPr>
          <w:rFonts w:hint="eastAsia" w:eastAsia="仿宋_GB2312"/>
          <w:sz w:val="32"/>
          <w:szCs w:val="32"/>
        </w:rPr>
        <w:t>积极推广秸秆固化、气化、发电等技术，以秸秆综合利用示范县、推进县为抓手，加快建设秸秆收贮转运网络。</w:t>
      </w:r>
      <w:r>
        <w:rPr>
          <w:rFonts w:eastAsia="仿宋_GB2312"/>
          <w:sz w:val="32"/>
          <w:szCs w:val="32"/>
        </w:rPr>
        <w:t>建立以市场需求为引导，企业为龙头，专业合作经济组织为骨干，农户参与，政府推动，市场化运作，多种模式互为补充的秸秆收集储运管理体系。</w:t>
      </w:r>
      <w:r>
        <w:rPr>
          <w:rFonts w:hint="eastAsia" w:eastAsia="仿宋_GB2312"/>
          <w:sz w:val="32"/>
          <w:szCs w:val="32"/>
        </w:rPr>
        <w:t>到2015年，全市发展草业合作社和秸秆加工实体120个，建设秸秆固化成型点20个以上，建设万吨以上秸秆收贮点50个。</w:t>
      </w:r>
    </w:p>
    <w:p>
      <w:pPr>
        <w:spacing w:line="560" w:lineRule="exact"/>
        <w:ind w:firstLine="640" w:firstLineChars="200"/>
        <w:rPr>
          <w:rFonts w:eastAsia="仿宋_GB2312"/>
          <w:sz w:val="32"/>
          <w:szCs w:val="32"/>
        </w:rPr>
      </w:pPr>
      <w:r>
        <w:rPr>
          <w:rFonts w:hint="eastAsia" w:eastAsia="仿宋_GB2312"/>
          <w:b/>
          <w:sz w:val="32"/>
          <w:szCs w:val="32"/>
        </w:rPr>
        <w:t>大力发展秸秆循环农业。</w:t>
      </w:r>
      <w:r>
        <w:rPr>
          <w:rFonts w:eastAsia="仿宋_GB2312"/>
          <w:sz w:val="32"/>
          <w:szCs w:val="32"/>
        </w:rPr>
        <w:t>按照循环经济理念，重点推广秸秆-家畜养殖-沼气-农户生活用能，沼渣-高效肥料-种植等循环利用模式，充分利用好秸秆资源</w:t>
      </w:r>
      <w:r>
        <w:rPr>
          <w:rFonts w:hint="eastAsia" w:eastAsia="仿宋_GB2312"/>
          <w:sz w:val="32"/>
          <w:szCs w:val="32"/>
        </w:rPr>
        <w:t>，</w:t>
      </w:r>
      <w:r>
        <w:rPr>
          <w:rFonts w:eastAsia="仿宋_GB2312"/>
          <w:sz w:val="32"/>
          <w:szCs w:val="32"/>
        </w:rPr>
        <w:t>力争秸秆生态循环农业工程秸秆综合利用量占秸秆总量的10%以上。</w:t>
      </w:r>
    </w:p>
    <w:p>
      <w:pPr>
        <w:spacing w:line="560" w:lineRule="exact"/>
        <w:ind w:firstLine="640" w:firstLineChars="200"/>
        <w:rPr>
          <w:rFonts w:eastAsia="仿宋_GB2312"/>
          <w:sz w:val="32"/>
          <w:szCs w:val="32"/>
        </w:rPr>
      </w:pPr>
      <w:r>
        <w:rPr>
          <w:rFonts w:hint="eastAsia" w:eastAsia="仿宋_GB2312"/>
          <w:b/>
          <w:sz w:val="32"/>
          <w:szCs w:val="32"/>
        </w:rPr>
        <w:t>实施畜禽粪便资源化利用工程。</w:t>
      </w:r>
      <w:r>
        <w:rPr>
          <w:rFonts w:hint="eastAsia" w:eastAsia="仿宋_GB2312"/>
          <w:sz w:val="32"/>
          <w:szCs w:val="32"/>
        </w:rPr>
        <w:t>推进养殖业达标排放，加大户用沼气池、规模化畜禽场沼气工程建设力度，推进畜禽养殖粪便污水集中收集处理体系建设。到</w:t>
      </w:r>
      <w:r>
        <w:rPr>
          <w:rFonts w:eastAsia="仿宋_GB2312"/>
          <w:sz w:val="32"/>
          <w:szCs w:val="32"/>
        </w:rPr>
        <w:t>2015</w:t>
      </w:r>
      <w:r>
        <w:rPr>
          <w:rFonts w:hint="eastAsia" w:eastAsia="仿宋_GB2312"/>
          <w:sz w:val="32"/>
          <w:szCs w:val="32"/>
        </w:rPr>
        <w:t>年，全市拥有户用沼气池</w:t>
      </w:r>
      <w:r>
        <w:rPr>
          <w:rFonts w:eastAsia="仿宋_GB2312"/>
          <w:sz w:val="32"/>
          <w:szCs w:val="32"/>
        </w:rPr>
        <w:t>12</w:t>
      </w:r>
      <w:r>
        <w:rPr>
          <w:rFonts w:hint="eastAsia" w:eastAsia="仿宋_GB2312"/>
          <w:sz w:val="32"/>
          <w:szCs w:val="32"/>
        </w:rPr>
        <w:t>万座，沼气工程</w:t>
      </w:r>
      <w:r>
        <w:rPr>
          <w:rFonts w:eastAsia="仿宋_GB2312"/>
          <w:sz w:val="32"/>
          <w:szCs w:val="32"/>
        </w:rPr>
        <w:t>500</w:t>
      </w:r>
      <w:r>
        <w:rPr>
          <w:rFonts w:hint="eastAsia" w:eastAsia="仿宋_GB2312"/>
          <w:sz w:val="32"/>
          <w:szCs w:val="32"/>
        </w:rPr>
        <w:t>处，规模化畜禽场粪便无害化处理与资源化利用率达到</w:t>
      </w:r>
      <w:r>
        <w:rPr>
          <w:rFonts w:eastAsia="仿宋_GB2312"/>
          <w:sz w:val="32"/>
          <w:szCs w:val="32"/>
        </w:rPr>
        <w:t>95</w:t>
      </w:r>
      <w:r>
        <w:rPr>
          <w:rFonts w:hint="eastAsia" w:eastAsia="仿宋_GB2312"/>
          <w:sz w:val="32"/>
          <w:szCs w:val="32"/>
        </w:rPr>
        <w:t>％以上。</w:t>
      </w:r>
    </w:p>
    <w:bookmarkEnd w:id="268"/>
    <w:bookmarkEnd w:id="269"/>
    <w:bookmarkEnd w:id="270"/>
    <w:bookmarkEnd w:id="271"/>
    <w:p>
      <w:pPr>
        <w:spacing w:line="560" w:lineRule="exact"/>
        <w:ind w:firstLine="640" w:firstLineChars="200"/>
        <w:rPr>
          <w:rFonts w:hint="eastAsia" w:eastAsia="仿宋_GB2312"/>
          <w:sz w:val="32"/>
          <w:szCs w:val="32"/>
        </w:rPr>
      </w:pPr>
      <w:bookmarkStart w:id="279" w:name="_Toc369555617"/>
      <w:r>
        <w:rPr>
          <w:rFonts w:hint="eastAsia" w:eastAsia="仿宋_GB2312"/>
          <w:b/>
          <w:sz w:val="32"/>
          <w:szCs w:val="32"/>
        </w:rPr>
        <w:t>实施农药化肥减量化工程。</w:t>
      </w:r>
      <w:r>
        <w:rPr>
          <w:rFonts w:hint="eastAsia" w:eastAsia="仿宋_GB2312"/>
          <w:sz w:val="32"/>
          <w:szCs w:val="32"/>
        </w:rPr>
        <w:t>抓好化肥农药减量增效，大力推广测土配方施肥技术，改善投肥结构，放缓化肥投入量增速，提高化肥使用效率。开展植保综合防治和绿色防控，大力推广高效、低毒、低残留的新农药，科学合理用药，减少农药使用数量和次数，推广新型施药机械，减少农药的流失。大力推进无公害、绿色、有机食品（以下简称“三品”）示范基地建设，全面推行农产品标准化生产和科学化管理。到</w:t>
      </w:r>
      <w:r>
        <w:rPr>
          <w:rFonts w:eastAsia="仿宋_GB2312"/>
          <w:sz w:val="32"/>
          <w:szCs w:val="32"/>
        </w:rPr>
        <w:t>2015</w:t>
      </w:r>
      <w:r>
        <w:rPr>
          <w:rFonts w:hint="eastAsia" w:eastAsia="仿宋_GB2312"/>
          <w:sz w:val="32"/>
          <w:szCs w:val="32"/>
        </w:rPr>
        <w:t>年，测土配方施肥面积占主要农作物播种面积达</w:t>
      </w:r>
      <w:r>
        <w:rPr>
          <w:rFonts w:eastAsia="仿宋_GB2312"/>
          <w:sz w:val="32"/>
          <w:szCs w:val="32"/>
        </w:rPr>
        <w:t>70%</w:t>
      </w:r>
      <w:r>
        <w:rPr>
          <w:rFonts w:hint="eastAsia" w:eastAsia="仿宋_GB2312"/>
          <w:sz w:val="32"/>
          <w:szCs w:val="32"/>
        </w:rPr>
        <w:t>以上，农产品中“三品”种植面积占总种植面积比重达</w:t>
      </w:r>
      <w:r>
        <w:rPr>
          <w:rFonts w:eastAsia="仿宋_GB2312"/>
          <w:sz w:val="32"/>
          <w:szCs w:val="32"/>
        </w:rPr>
        <w:t>8</w:t>
      </w:r>
      <w:r>
        <w:rPr>
          <w:rFonts w:hint="eastAsia" w:eastAsia="仿宋_GB2312"/>
          <w:sz w:val="32"/>
          <w:szCs w:val="32"/>
        </w:rPr>
        <w:t>3</w:t>
      </w:r>
      <w:r>
        <w:rPr>
          <w:rFonts w:eastAsia="仿宋_GB2312"/>
          <w:sz w:val="32"/>
          <w:szCs w:val="32"/>
        </w:rPr>
        <w:t>%</w:t>
      </w:r>
      <w:r>
        <w:rPr>
          <w:rFonts w:hint="eastAsia" w:eastAsia="仿宋_GB2312"/>
          <w:sz w:val="32"/>
          <w:szCs w:val="32"/>
        </w:rPr>
        <w:t>。到2017年，“三品”种植面积的比重达到85%以上。</w:t>
      </w:r>
    </w:p>
    <w:p>
      <w:pPr>
        <w:pStyle w:val="3"/>
        <w:keepNext w:val="0"/>
        <w:keepLines w:val="0"/>
        <w:spacing w:before="156" w:beforeLines="50" w:after="156" w:afterLines="50" w:line="540" w:lineRule="exact"/>
        <w:rPr>
          <w:rFonts w:hint="eastAsia" w:ascii="Times New Roman" w:hAnsi="Times New Roman"/>
          <w:b w:val="0"/>
        </w:rPr>
      </w:pPr>
      <w:bookmarkStart w:id="280" w:name="_Toc374364945"/>
      <w:bookmarkStart w:id="281" w:name="_Toc370234407"/>
      <w:r>
        <w:rPr>
          <w:rFonts w:hint="eastAsia" w:ascii="Times New Roman" w:hAnsi="Times New Roman"/>
          <w:b w:val="0"/>
        </w:rPr>
        <w:t>5.3  生态旅游业</w:t>
      </w:r>
      <w:bookmarkEnd w:id="272"/>
      <w:bookmarkEnd w:id="273"/>
      <w:bookmarkEnd w:id="274"/>
      <w:bookmarkEnd w:id="275"/>
      <w:bookmarkEnd w:id="276"/>
      <w:bookmarkEnd w:id="279"/>
      <w:bookmarkEnd w:id="280"/>
      <w:bookmarkEnd w:id="281"/>
    </w:p>
    <w:p>
      <w:pPr>
        <w:spacing w:line="560" w:lineRule="exact"/>
        <w:ind w:firstLine="640" w:firstLineChars="200"/>
        <w:rPr>
          <w:rFonts w:hint="eastAsia" w:eastAsia="仿宋_GB2312"/>
          <w:sz w:val="32"/>
          <w:szCs w:val="32"/>
        </w:rPr>
      </w:pPr>
      <w:bookmarkStart w:id="282" w:name="_Toc368067631"/>
      <w:bookmarkStart w:id="283" w:name="_Toc368845977"/>
      <w:r>
        <w:rPr>
          <w:rFonts w:hint="eastAsia" w:eastAsia="仿宋_GB2312"/>
          <w:kern w:val="0"/>
          <w:sz w:val="32"/>
          <w:szCs w:val="32"/>
        </w:rPr>
        <w:t>生态旅游产业是体现生态文明成果的朝阳产业。生态旅游业要</w:t>
      </w:r>
      <w:r>
        <w:rPr>
          <w:rFonts w:hint="eastAsia" w:eastAsia="仿宋_GB2312"/>
          <w:sz w:val="32"/>
          <w:szCs w:val="32"/>
        </w:rPr>
        <w:t>依托独具特色的绿色湿地资源优势，以建设生态文明为契机，以“有力保护、有效利用、有序开发”为原则，以创新突破和跨越发展为目标，以项目建设为重点，抢抓江苏沿海开发和长三角一体化发展两大国家战略机遇，充分利用生态旅游大资源，开发特色旅游大产品，形成生态旅游大产业，</w:t>
      </w:r>
      <w:r>
        <w:rPr>
          <w:rFonts w:hint="eastAsia" w:eastAsia="仿宋_GB2312" w:cs="仿宋_GB2312"/>
          <w:kern w:val="0"/>
          <w:sz w:val="32"/>
          <w:szCs w:val="32"/>
        </w:rPr>
        <w:t>努力将珍禽保护区和麋鹿保护区建设成为具有国际影响力的旅游休闲目的地，</w:t>
      </w:r>
      <w:r>
        <w:rPr>
          <w:rFonts w:hint="eastAsia" w:eastAsia="仿宋_GB2312"/>
          <w:sz w:val="32"/>
          <w:szCs w:val="32"/>
        </w:rPr>
        <w:t>将盐城建设成为中国东部沿海重要的旅游城市和国际湿地生态旅游胜地。到2015年，以生态旅游为重点的旅游业接待海内外旅游者达2200万人次，实现旅游业总收入250亿元，旅游业增加值112亿元。到2017年，以生态旅游为重点的全市旅游业接待海内外旅游者达2650万人次，实现旅游业总收入270亿元，旅游增加值122亿元，占服务业比率达到5.5%。</w:t>
      </w:r>
    </w:p>
    <w:p>
      <w:pPr>
        <w:spacing w:line="560" w:lineRule="exact"/>
        <w:outlineLvl w:val="2"/>
        <w:rPr>
          <w:rFonts w:hint="eastAsia" w:eastAsia="楷体"/>
          <w:b/>
          <w:sz w:val="32"/>
          <w:szCs w:val="32"/>
        </w:rPr>
      </w:pPr>
      <w:bookmarkStart w:id="284" w:name="_Toc369209879"/>
      <w:bookmarkStart w:id="285" w:name="_Toc369250092"/>
      <w:bookmarkStart w:id="286" w:name="_Toc369179373"/>
      <w:bookmarkStart w:id="287" w:name="_Toc369555618"/>
      <w:bookmarkStart w:id="288" w:name="_Toc370234408"/>
      <w:bookmarkStart w:id="289" w:name="_Toc369460872"/>
      <w:bookmarkStart w:id="290" w:name="_Toc369303714"/>
      <w:bookmarkStart w:id="291" w:name="_Toc369273429"/>
      <w:bookmarkStart w:id="292" w:name="_Toc374364946"/>
      <w:r>
        <w:rPr>
          <w:rFonts w:hint="eastAsia" w:eastAsia="楷体"/>
          <w:b/>
          <w:sz w:val="32"/>
          <w:szCs w:val="32"/>
        </w:rPr>
        <w:t>5.3.1  产品开发</w:t>
      </w:r>
      <w:bookmarkEnd w:id="282"/>
      <w:bookmarkEnd w:id="283"/>
      <w:bookmarkEnd w:id="284"/>
      <w:bookmarkEnd w:id="285"/>
      <w:bookmarkEnd w:id="286"/>
      <w:bookmarkEnd w:id="287"/>
      <w:bookmarkEnd w:id="288"/>
      <w:bookmarkEnd w:id="289"/>
      <w:bookmarkEnd w:id="290"/>
      <w:bookmarkEnd w:id="291"/>
      <w:bookmarkEnd w:id="292"/>
    </w:p>
    <w:p>
      <w:pPr>
        <w:spacing w:line="560" w:lineRule="exact"/>
        <w:ind w:firstLine="640" w:firstLineChars="200"/>
        <w:rPr>
          <w:rFonts w:hint="eastAsia" w:eastAsia="仿宋_GB2312"/>
          <w:sz w:val="32"/>
          <w:szCs w:val="32"/>
        </w:rPr>
      </w:pPr>
      <w:r>
        <w:rPr>
          <w:rFonts w:hint="eastAsia" w:eastAsia="仿宋_GB2312"/>
          <w:b/>
          <w:sz w:val="32"/>
          <w:szCs w:val="32"/>
        </w:rPr>
        <w:t>打造标志性旅游产品。</w:t>
      </w:r>
      <w:r>
        <w:rPr>
          <w:rFonts w:hint="eastAsia" w:eastAsia="仿宋_GB2312"/>
          <w:sz w:val="32"/>
          <w:szCs w:val="32"/>
        </w:rPr>
        <w:t>以生态保护为前提，以湿地生态旅游产品为龙头，以丹顶鹤海滨湿地旅游区、中华麋鹿园和大纵湖等湿地旅游景区为核心，整合资源，完善功能，提升品牌，促进沿海湿地生态旅游资源、环境和社会经济的协调、可持续发展，把我市打造成国内知名、国际有影响的休闲度假目的地。</w:t>
      </w:r>
    </w:p>
    <w:p>
      <w:pPr>
        <w:spacing w:line="560" w:lineRule="exact"/>
        <w:ind w:firstLine="640" w:firstLineChars="200"/>
        <w:rPr>
          <w:rFonts w:hint="eastAsia" w:eastAsia="仿宋_GB2312"/>
          <w:sz w:val="32"/>
          <w:szCs w:val="32"/>
        </w:rPr>
      </w:pPr>
      <w:r>
        <w:rPr>
          <w:rFonts w:hint="eastAsia" w:eastAsia="仿宋_GB2312"/>
          <w:b/>
          <w:sz w:val="32"/>
          <w:szCs w:val="32"/>
        </w:rPr>
        <w:t>推进旅游度假区建设。</w:t>
      </w:r>
      <w:r>
        <w:rPr>
          <w:rFonts w:hint="eastAsia" w:eastAsia="仿宋_GB2312"/>
          <w:sz w:val="32"/>
          <w:szCs w:val="32"/>
        </w:rPr>
        <w:t>创新旅游资源开发模式，整合生态旅游资源和产业要素，组建具有地域化集聚、专业化分工、社会化协作特征的旅游产业集聚区，重点抓好盐城沿海湿地、大丰麋鹿湿地旅游经济区和东台沿海、大纵湖湿地旅游度假经济区的建设。构建以满足市民日常休闲为基础，满足外来游客休闲需求为主导，以生态休闲、娱乐休闲、文化休闲、美食休闲、商务休闲、购物休闲、康体休闲、教育休闲、养生休闲等为主要功能，各类专项休闲度假有机补充的休闲度假旅游产品体系。</w:t>
      </w:r>
    </w:p>
    <w:p>
      <w:pPr>
        <w:spacing w:line="560" w:lineRule="exact"/>
        <w:ind w:firstLine="640" w:firstLineChars="200"/>
        <w:rPr>
          <w:rFonts w:hint="eastAsia" w:eastAsia="仿宋_GB2312"/>
          <w:sz w:val="32"/>
          <w:szCs w:val="32"/>
        </w:rPr>
      </w:pPr>
      <w:r>
        <w:rPr>
          <w:rFonts w:hint="eastAsia" w:eastAsia="仿宋_GB2312"/>
          <w:b/>
          <w:sz w:val="32"/>
          <w:szCs w:val="32"/>
        </w:rPr>
        <w:t>发展乡村旅游。</w:t>
      </w:r>
      <w:r>
        <w:rPr>
          <w:rFonts w:hint="eastAsia" w:eastAsia="仿宋_GB2312"/>
          <w:sz w:val="32"/>
          <w:szCs w:val="32"/>
        </w:rPr>
        <w:t>重点培育大丰恒北村、东台甘港村、盐都杨侍村、亭湖东南村等“十大精品旅游乡村”，加快建设亭湖现代农业示范园区、盐城台湾农民创业园、东台仙湖现代农业示范园、大丰新丰荷兰花海生态园、建湖弘宇生态园、射阳耦耕现代农业休闲园、阜宁桃花源生态农园、滨海何首乌生态园、响水东林生态园等“二十个特色生态观光农园”。每个县（市、区）都有一条特色鲜明、规模较大、吸引力较强的生态休闲农业与乡村旅游精品线路。</w:t>
      </w:r>
    </w:p>
    <w:bookmarkEnd w:id="277"/>
    <w:p>
      <w:pPr>
        <w:spacing w:line="560" w:lineRule="exact"/>
        <w:outlineLvl w:val="2"/>
        <w:rPr>
          <w:rFonts w:hint="eastAsia" w:eastAsia="楷体"/>
          <w:b/>
          <w:sz w:val="32"/>
          <w:szCs w:val="32"/>
        </w:rPr>
      </w:pPr>
      <w:bookmarkStart w:id="293" w:name="_Toc369460873"/>
      <w:bookmarkStart w:id="294" w:name="_Toc369250093"/>
      <w:bookmarkStart w:id="295" w:name="_Toc369209880"/>
      <w:bookmarkStart w:id="296" w:name="_Toc369273430"/>
      <w:bookmarkStart w:id="297" w:name="_Toc369303715"/>
      <w:bookmarkStart w:id="298" w:name="_Toc370234409"/>
      <w:bookmarkStart w:id="299" w:name="_Toc369555619"/>
      <w:bookmarkStart w:id="300" w:name="_Toc374364947"/>
      <w:r>
        <w:rPr>
          <w:rFonts w:hint="eastAsia" w:eastAsia="楷体"/>
          <w:b/>
          <w:sz w:val="32"/>
          <w:szCs w:val="32"/>
        </w:rPr>
        <w:t>5.3.2  景区建设</w:t>
      </w:r>
      <w:bookmarkEnd w:id="293"/>
      <w:bookmarkEnd w:id="294"/>
      <w:bookmarkEnd w:id="295"/>
      <w:bookmarkEnd w:id="296"/>
      <w:bookmarkEnd w:id="297"/>
      <w:bookmarkEnd w:id="298"/>
      <w:bookmarkEnd w:id="299"/>
      <w:bookmarkEnd w:id="300"/>
    </w:p>
    <w:p>
      <w:pPr>
        <w:spacing w:line="560" w:lineRule="exact"/>
        <w:ind w:firstLine="640" w:firstLineChars="200"/>
        <w:rPr>
          <w:rFonts w:hint="eastAsia" w:eastAsia="仿宋_GB2312"/>
          <w:sz w:val="32"/>
          <w:szCs w:val="32"/>
        </w:rPr>
      </w:pPr>
      <w:r>
        <w:rPr>
          <w:rFonts w:hint="eastAsia" w:eastAsia="仿宋_GB2312"/>
          <w:b/>
          <w:sz w:val="32"/>
          <w:szCs w:val="32"/>
        </w:rPr>
        <w:t>加强核心景区建设。</w:t>
      </w:r>
      <w:r>
        <w:rPr>
          <w:rFonts w:hint="eastAsia" w:eastAsia="仿宋_GB2312"/>
          <w:sz w:val="32"/>
          <w:szCs w:val="32"/>
        </w:rPr>
        <w:t>围绕生态湿地旅游资源，重点建设和提升一批以珍禽与麋鹿两个国家级自然保护区、大纵湖旅游区、奥威斯乐园、大丰幸福公社、金沙湖旅游度假区等为代表的精品旅游项目，努力将奥威斯乐园建成具有世界级水准的旅游休闲度假胜地，大丰幸福公社建成长三角地区综合性的旅游度假目的地，金沙湖旅游度假区建成全国最具特色的生态淡水海滩休闲度假胜地，成为盐城生态旅游新亮点和生态旅游的新品牌。</w:t>
      </w:r>
    </w:p>
    <w:p>
      <w:pPr>
        <w:spacing w:line="560" w:lineRule="exact"/>
        <w:ind w:firstLine="640" w:firstLineChars="200"/>
        <w:rPr>
          <w:rFonts w:hint="eastAsia" w:eastAsia="仿宋_GB2312"/>
          <w:sz w:val="32"/>
          <w:szCs w:val="32"/>
        </w:rPr>
      </w:pPr>
      <w:r>
        <w:rPr>
          <w:rFonts w:hint="eastAsia" w:eastAsia="仿宋_GB2312"/>
          <w:b/>
          <w:sz w:val="32"/>
          <w:szCs w:val="32"/>
        </w:rPr>
        <w:t>突出精品项目建设。</w:t>
      </w:r>
      <w:r>
        <w:rPr>
          <w:rFonts w:hint="eastAsia" w:eastAsia="仿宋_GB2312"/>
          <w:sz w:val="32"/>
          <w:szCs w:val="32"/>
        </w:rPr>
        <w:t>着力打造盐城沿海湿地旅游经济区、麋鹿湿地旅游经济区、东台沿海湿地旅游度假经济区、大纵湖湿地旅游度假经济区和金沙湖旅游度假区等5个重大景区；加快建设东台西溪旅游景区、大丰港蓝色旅游度假区、九龙口旅游度假区、马家荡水乡风情旅游区、射阳河口-明湖生态文化休闲旅游区、滨海月亮湾旅游度假区、古云梯关黄河故道生态旅游集聚区和灌河口生态文化休闲区等8个重点生态景区。</w:t>
      </w:r>
    </w:p>
    <w:p>
      <w:pPr>
        <w:spacing w:line="560" w:lineRule="exact"/>
        <w:ind w:firstLine="640" w:firstLineChars="200"/>
        <w:rPr>
          <w:rFonts w:hint="eastAsia" w:eastAsia="仿宋_GB2312"/>
          <w:sz w:val="32"/>
          <w:szCs w:val="32"/>
        </w:rPr>
      </w:pPr>
      <w:r>
        <w:rPr>
          <w:rFonts w:hint="eastAsia" w:eastAsia="仿宋_GB2312"/>
          <w:b/>
          <w:sz w:val="32"/>
          <w:szCs w:val="32"/>
        </w:rPr>
        <w:t>推进旅游景区提档升级。</w:t>
      </w:r>
      <w:r>
        <w:rPr>
          <w:rFonts w:hint="eastAsia" w:eastAsia="仿宋_GB2312"/>
          <w:sz w:val="32"/>
          <w:szCs w:val="32"/>
        </w:rPr>
        <w:t>以项目建设为抓手，利用丰富的湿地风光和人文资源，通过充实项目、完善配套，强化参与、提升品质和串点成线，提升盐城传统旅游产品魅力，促进旅游景区提档升级，带动全市生态旅游产业新发展。丹顶鹤海滨湿地旅游区以建设国际生态休闲旅游目的地为定位，以亚行项目快速建设引领景区基础设施建设，在2014年建成4A级景区的基础上，争取2015年建成5A级景区和国家级生态旅游示范区。中华麋鹿园注重产业链的前延后伸，加快建设农家乐、休闲旅馆等项目，联合大丰幸福公社，形成完整的旅游产业链。到2015年，力争建成国家5A级旅游景区、国家湿地生态旅游示范区。同时，推进大纵湖旅游区创建国家5A级景区，提升盐城传统旅游产品魅力。到2017年，全市力争再建成一个5A级景区。</w:t>
      </w:r>
    </w:p>
    <w:bookmarkEnd w:id="278"/>
    <w:p>
      <w:pPr>
        <w:spacing w:line="560" w:lineRule="exact"/>
        <w:outlineLvl w:val="2"/>
        <w:rPr>
          <w:rFonts w:hint="eastAsia" w:eastAsia="楷体"/>
          <w:b/>
          <w:sz w:val="32"/>
          <w:szCs w:val="32"/>
        </w:rPr>
      </w:pPr>
      <w:bookmarkStart w:id="301" w:name="_Toc370234410"/>
      <w:bookmarkStart w:id="302" w:name="_Toc369303716"/>
      <w:bookmarkStart w:id="303" w:name="_Toc369460874"/>
      <w:bookmarkStart w:id="304" w:name="_Toc369179375"/>
      <w:bookmarkStart w:id="305" w:name="_Toc369555620"/>
      <w:bookmarkStart w:id="306" w:name="_Toc369250094"/>
      <w:bookmarkStart w:id="307" w:name="_Toc369273431"/>
      <w:bookmarkStart w:id="308" w:name="_Toc374364948"/>
      <w:bookmarkStart w:id="309" w:name="_Toc369209881"/>
      <w:r>
        <w:rPr>
          <w:rFonts w:hint="eastAsia" w:eastAsia="楷体"/>
          <w:b/>
          <w:sz w:val="32"/>
          <w:szCs w:val="32"/>
        </w:rPr>
        <w:t>5.3.3  配套服务</w:t>
      </w:r>
      <w:bookmarkEnd w:id="301"/>
      <w:bookmarkEnd w:id="302"/>
      <w:bookmarkEnd w:id="303"/>
      <w:bookmarkEnd w:id="304"/>
      <w:bookmarkEnd w:id="305"/>
      <w:bookmarkEnd w:id="306"/>
      <w:bookmarkEnd w:id="307"/>
      <w:bookmarkEnd w:id="308"/>
      <w:bookmarkEnd w:id="309"/>
    </w:p>
    <w:p>
      <w:pPr>
        <w:spacing w:line="560" w:lineRule="exact"/>
        <w:ind w:firstLine="640" w:firstLineChars="200"/>
        <w:rPr>
          <w:rFonts w:hint="eastAsia" w:eastAsia="仿宋_GB2312"/>
          <w:sz w:val="32"/>
          <w:szCs w:val="32"/>
        </w:rPr>
      </w:pPr>
      <w:r>
        <w:rPr>
          <w:rFonts w:hint="eastAsia" w:eastAsia="仿宋_GB2312"/>
          <w:b/>
          <w:sz w:val="32"/>
          <w:szCs w:val="32"/>
        </w:rPr>
        <w:t>加强市场开发。</w:t>
      </w:r>
      <w:r>
        <w:rPr>
          <w:rFonts w:hint="eastAsia" w:eastAsia="仿宋_GB2312"/>
          <w:sz w:val="32"/>
          <w:szCs w:val="32"/>
        </w:rPr>
        <w:t>围绕打造“东方湿地、鹤鹿故乡、银滩海韵、绿色盐城”城市生态旅游形象，不断拓宽营销渠道，创新促销方式和促销手段，开展丰富多样的旅游宣传促销活动，提高盐城生态旅游的知名度，扩大盐城“东方湿地之都、仙鹤神鹿故乡”旅游品牌影响力。加强客源地建设，深化江苏旅游新干线、江海旅游金三角区域合作，落实旅行社地接奖励制度。强化网络营销，提高生态旅游市场的促销效果。培育和打造多条交通便捷、主题突出、特色鲜明、内涵丰富、要素配套、服务完善和独具吸引力的生态旅游精品线路。继续举办中国丹顶鹤国际湿地生态旅游节、中国海盐文化节、大丰国际麋鹿生态旅游节等节庆，打造一批国内知名的生态旅游节庆品牌。</w:t>
      </w:r>
    </w:p>
    <w:p>
      <w:pPr>
        <w:spacing w:line="560" w:lineRule="exact"/>
        <w:ind w:firstLine="640" w:firstLineChars="200"/>
        <w:rPr>
          <w:rFonts w:hint="eastAsia" w:eastAsia="仿宋_GB2312"/>
          <w:sz w:val="32"/>
          <w:szCs w:val="32"/>
        </w:rPr>
      </w:pPr>
      <w:r>
        <w:rPr>
          <w:rFonts w:hint="eastAsia" w:eastAsia="仿宋_GB2312"/>
          <w:b/>
          <w:sz w:val="32"/>
          <w:szCs w:val="32"/>
        </w:rPr>
        <w:t>培育市场主体。</w:t>
      </w:r>
      <w:r>
        <w:rPr>
          <w:rFonts w:hint="eastAsia" w:eastAsia="仿宋_GB2312"/>
          <w:sz w:val="32"/>
          <w:szCs w:val="32"/>
        </w:rPr>
        <w:t>积极培育生态旅游产业主体，大力培育盐城生态旅游骨干企业，引导大型企业投资兴办生态旅游产业，努力培育一批跨产业投资的生态旅游企业集团。到2015年，力争拥有1-2家国家5A级旅游景区、5-6家国家4A级旅游景区、1-2家省级生态旅游示范区；1-2家生态旅游企业集团、5-6家五星级旅游饭店、7-8家经营出境业务的旅行社，全面提升盐城生态旅游的核心竞争力。</w:t>
      </w:r>
    </w:p>
    <w:p>
      <w:pPr>
        <w:spacing w:line="560" w:lineRule="exact"/>
        <w:ind w:firstLine="640" w:firstLineChars="200"/>
        <w:rPr>
          <w:rFonts w:hint="eastAsia" w:eastAsia="仿宋_GB2312"/>
          <w:sz w:val="32"/>
          <w:szCs w:val="32"/>
        </w:rPr>
      </w:pPr>
      <w:r>
        <w:rPr>
          <w:rFonts w:hint="eastAsia" w:eastAsia="仿宋_GB2312"/>
          <w:b/>
          <w:sz w:val="32"/>
          <w:szCs w:val="32"/>
        </w:rPr>
        <w:t>加快要素发展。</w:t>
      </w:r>
      <w:r>
        <w:rPr>
          <w:rFonts w:hint="eastAsia" w:eastAsia="仿宋_GB2312"/>
          <w:sz w:val="32"/>
          <w:szCs w:val="32"/>
        </w:rPr>
        <w:t>按照构建生态旅游全产业链的要求，通过结构优化、产业渗透、产业融合与业态创新，在壮大旅游核心产业的同时，不断延伸产业链，提升生态旅游产业综合效益，推动生态旅游业转变发展方式，促进盐城一般性观光旅游地向生态湿地与休闲度假旅游目的地转变，由单一性旅游产业向复合型综合产业转变，由粗放型增长向集约化发展转变。打造独具魅力的盐城生态特色餐饮品牌，培育一批适应市场需求、体现地方特色的生态旅游餐馆。积极发展高星级饭店，提升发展三星级饭店，创新发展一批生态主题酒店、度假饭店、乡村旅馆、休闲农庄、自驾车营地等多种住宿设施。完善城市道路旅游交通指引体系，积极发展城市生态旅游专线交通，健全自助游、自驾游服务体系。提升旅行社服务品质，鼓励发展旅游地接业务。加快建设市区旅游商品展销中心，积极培育旅游商品研发生产基地，强化生态旅游商品研发销售。突出民俗风情和地方文化特色，发展生态旅游演艺娱乐业。</w:t>
      </w:r>
    </w:p>
    <w:p>
      <w:pPr>
        <w:spacing w:line="560" w:lineRule="exact"/>
        <w:ind w:firstLine="640" w:firstLineChars="200"/>
        <w:rPr>
          <w:rFonts w:hint="eastAsia" w:eastAsia="仿宋_GB2312"/>
          <w:sz w:val="32"/>
          <w:szCs w:val="32"/>
        </w:rPr>
      </w:pPr>
      <w:r>
        <w:rPr>
          <w:rFonts w:hint="eastAsia" w:eastAsia="仿宋_GB2312"/>
          <w:b/>
          <w:sz w:val="32"/>
          <w:szCs w:val="32"/>
        </w:rPr>
        <w:t>健全公共服务。</w:t>
      </w:r>
      <w:r>
        <w:rPr>
          <w:rFonts w:hint="eastAsia" w:eastAsia="仿宋_GB2312"/>
          <w:sz w:val="32"/>
          <w:szCs w:val="32"/>
        </w:rPr>
        <w:t>加快盐城市旅游咨询服务中心、旅游集散中心和信息中心的建设，健全生态旅游咨询服务体系、集散网络体系，强化生态旅游引导标识系统建设。加快旅游公共信息平台和智慧旅游建设，推进生态旅游业数字化、智能化管理。加强旅游消费权益保护，强化生态旅游市场监管，建立一支与生态旅游业发展相适应的市场监管队伍。建立和完善全市生态旅游安全监测、预警以及旅游安全救援系统，增强应急处置能力。</w:t>
      </w:r>
    </w:p>
    <w:p>
      <w:pPr>
        <w:spacing w:line="560" w:lineRule="exact"/>
        <w:outlineLvl w:val="2"/>
        <w:rPr>
          <w:rFonts w:hint="eastAsia" w:eastAsia="楷体"/>
          <w:b/>
          <w:sz w:val="32"/>
          <w:szCs w:val="32"/>
        </w:rPr>
      </w:pPr>
      <w:bookmarkStart w:id="310" w:name="_Toc374364949"/>
      <w:bookmarkStart w:id="311" w:name="_Toc370234411"/>
      <w:r>
        <w:rPr>
          <w:rFonts w:hint="eastAsia" w:eastAsia="楷体"/>
          <w:b/>
          <w:sz w:val="32"/>
          <w:szCs w:val="32"/>
        </w:rPr>
        <w:t>5.3.4  旅游区环境保护</w:t>
      </w:r>
      <w:bookmarkEnd w:id="310"/>
      <w:bookmarkEnd w:id="311"/>
    </w:p>
    <w:p>
      <w:pPr>
        <w:spacing w:line="560" w:lineRule="exact"/>
        <w:ind w:firstLine="640" w:firstLineChars="200"/>
        <w:rPr>
          <w:rFonts w:eastAsia="仿宋_GB2312"/>
          <w:sz w:val="32"/>
          <w:szCs w:val="32"/>
        </w:rPr>
      </w:pPr>
      <w:r>
        <w:rPr>
          <w:rFonts w:hint="eastAsia" w:eastAsia="仿宋_GB2312"/>
          <w:sz w:val="32"/>
          <w:szCs w:val="32"/>
        </w:rPr>
        <w:t>遵循合理开发、有序开发的理念，加大资源科学开发力度，切实做好旅游业发展的环境保护问题。严格按照环境功能区划，</w:t>
      </w:r>
      <w:r>
        <w:rPr>
          <w:rFonts w:eastAsia="仿宋_GB2312"/>
          <w:sz w:val="32"/>
          <w:szCs w:val="32"/>
        </w:rPr>
        <w:t>在充分</w:t>
      </w:r>
      <w:r>
        <w:rPr>
          <w:rFonts w:eastAsia="仿宋_GB2312"/>
          <w:sz w:val="32"/>
          <w:szCs w:val="32"/>
        </w:rPr>
        <w:fldChar w:fldCharType="begin"/>
      </w:r>
      <w:r>
        <w:rPr>
          <w:rFonts w:eastAsia="仿宋_GB2312"/>
          <w:sz w:val="32"/>
          <w:szCs w:val="32"/>
        </w:rPr>
        <w:instrText xml:space="preserve"> HYPERLINK "http://zhidao.baidu.com/search?word=%E8%B0%83%E6%9F%A5%E7%A0%94%E7%A9%B6&amp;fr=qb_search_exp&amp;ie=utf8" \t "_blank" </w:instrText>
      </w:r>
      <w:r>
        <w:rPr>
          <w:rFonts w:eastAsia="仿宋_GB2312"/>
          <w:sz w:val="32"/>
          <w:szCs w:val="32"/>
        </w:rPr>
        <w:fldChar w:fldCharType="separate"/>
      </w:r>
      <w:r>
        <w:rPr>
          <w:rFonts w:eastAsia="仿宋_GB2312"/>
          <w:sz w:val="32"/>
          <w:szCs w:val="32"/>
        </w:rPr>
        <w:t>调查研究</w:t>
      </w:r>
      <w:r>
        <w:rPr>
          <w:rFonts w:eastAsia="仿宋_GB2312"/>
          <w:sz w:val="32"/>
          <w:szCs w:val="32"/>
        </w:rPr>
        <w:fldChar w:fldCharType="end"/>
      </w:r>
      <w:r>
        <w:rPr>
          <w:rFonts w:eastAsia="仿宋_GB2312"/>
          <w:sz w:val="32"/>
          <w:szCs w:val="32"/>
        </w:rPr>
        <w:t>的基础上进行综合规划</w:t>
      </w:r>
      <w:r>
        <w:rPr>
          <w:rFonts w:hint="eastAsia" w:eastAsia="仿宋_GB2312"/>
          <w:sz w:val="32"/>
          <w:szCs w:val="32"/>
        </w:rPr>
        <w:t>，重点做好自然保护区等重点生态区域的旅游资源保护工作，</w:t>
      </w:r>
      <w:r>
        <w:rPr>
          <w:rFonts w:eastAsia="仿宋_GB2312"/>
          <w:sz w:val="32"/>
          <w:szCs w:val="32"/>
        </w:rPr>
        <w:t>走保护</w:t>
      </w:r>
      <w:r>
        <w:rPr>
          <w:rFonts w:hint="eastAsia" w:eastAsia="仿宋_GB2312"/>
          <w:sz w:val="32"/>
          <w:szCs w:val="32"/>
        </w:rPr>
        <w:t>—</w:t>
      </w:r>
      <w:r>
        <w:rPr>
          <w:rFonts w:eastAsia="仿宋_GB2312"/>
          <w:sz w:val="32"/>
          <w:szCs w:val="32"/>
        </w:rPr>
        <w:t>开发</w:t>
      </w:r>
      <w:r>
        <w:rPr>
          <w:rFonts w:hint="eastAsia" w:eastAsia="仿宋_GB2312"/>
          <w:sz w:val="32"/>
          <w:szCs w:val="32"/>
        </w:rPr>
        <w:t>—</w:t>
      </w:r>
      <w:r>
        <w:rPr>
          <w:rFonts w:eastAsia="仿宋_GB2312"/>
          <w:sz w:val="32"/>
          <w:szCs w:val="32"/>
        </w:rPr>
        <w:t>增值</w:t>
      </w:r>
      <w:r>
        <w:rPr>
          <w:rFonts w:hint="eastAsia" w:eastAsia="仿宋_GB2312"/>
          <w:sz w:val="32"/>
          <w:szCs w:val="32"/>
        </w:rPr>
        <w:t>—</w:t>
      </w:r>
      <w:r>
        <w:rPr>
          <w:rFonts w:eastAsia="仿宋_GB2312"/>
          <w:sz w:val="32"/>
          <w:szCs w:val="32"/>
        </w:rPr>
        <w:t>保护的良性循环之路</w:t>
      </w:r>
      <w:r>
        <w:rPr>
          <w:rFonts w:hint="eastAsia" w:eastAsia="仿宋_GB2312"/>
          <w:sz w:val="32"/>
          <w:szCs w:val="32"/>
        </w:rPr>
        <w:t>。</w:t>
      </w:r>
      <w:r>
        <w:rPr>
          <w:rFonts w:eastAsia="仿宋_GB2312"/>
          <w:sz w:val="32"/>
          <w:szCs w:val="32"/>
        </w:rPr>
        <w:t>坚持依法行政，严厉查处</w:t>
      </w:r>
      <w:r>
        <w:rPr>
          <w:rFonts w:hint="eastAsia" w:eastAsia="仿宋_GB2312"/>
          <w:sz w:val="32"/>
          <w:szCs w:val="32"/>
        </w:rPr>
        <w:t>旅游景区</w:t>
      </w:r>
      <w:r>
        <w:rPr>
          <w:rFonts w:eastAsia="仿宋_GB2312"/>
          <w:sz w:val="32"/>
          <w:szCs w:val="32"/>
        </w:rPr>
        <w:t>环境违法行为</w:t>
      </w:r>
      <w:r>
        <w:rPr>
          <w:rFonts w:hint="eastAsia" w:eastAsia="仿宋_GB2312"/>
          <w:sz w:val="32"/>
          <w:szCs w:val="32"/>
        </w:rPr>
        <w:t>，重点加强自然保护区、风景名胜区等重点区域环境保护机制建设，建立完善的景区环境保护工作网络。</w:t>
      </w:r>
      <w:r>
        <w:rPr>
          <w:rFonts w:eastAsia="仿宋_GB2312"/>
          <w:sz w:val="32"/>
          <w:szCs w:val="32"/>
        </w:rPr>
        <w:t>采用先进的技术设备，</w:t>
      </w:r>
      <w:r>
        <w:rPr>
          <w:rFonts w:hint="eastAsia" w:eastAsia="仿宋_GB2312"/>
          <w:sz w:val="32"/>
          <w:szCs w:val="32"/>
        </w:rPr>
        <w:t>推进</w:t>
      </w:r>
      <w:r>
        <w:rPr>
          <w:rFonts w:eastAsia="仿宋_GB2312"/>
          <w:sz w:val="32"/>
          <w:szCs w:val="32"/>
        </w:rPr>
        <w:t>景区景点酒店</w:t>
      </w:r>
      <w:r>
        <w:rPr>
          <w:rFonts w:hint="eastAsia" w:eastAsia="仿宋_GB2312"/>
          <w:sz w:val="32"/>
          <w:szCs w:val="32"/>
        </w:rPr>
        <w:t>、餐饮服务等行业节能节水工作，大力倡导节能环保意识，降低</w:t>
      </w:r>
      <w:r>
        <w:rPr>
          <w:rFonts w:eastAsia="仿宋_GB2312"/>
          <w:sz w:val="32"/>
          <w:szCs w:val="32"/>
        </w:rPr>
        <w:t>一次性服务用品</w:t>
      </w:r>
      <w:r>
        <w:rPr>
          <w:rFonts w:hint="eastAsia" w:eastAsia="仿宋_GB2312"/>
          <w:sz w:val="32"/>
          <w:szCs w:val="32"/>
        </w:rPr>
        <w:t>使用量</w:t>
      </w:r>
      <w:r>
        <w:rPr>
          <w:rFonts w:eastAsia="仿宋_GB2312"/>
          <w:sz w:val="32"/>
          <w:szCs w:val="32"/>
        </w:rPr>
        <w:t>。通过各种渠道和途径广泛宣传旅游</w:t>
      </w:r>
      <w:r>
        <w:rPr>
          <w:rFonts w:hint="eastAsia" w:eastAsia="仿宋_GB2312"/>
          <w:sz w:val="32"/>
          <w:szCs w:val="32"/>
        </w:rPr>
        <w:t>环境保护工作</w:t>
      </w:r>
      <w:r>
        <w:rPr>
          <w:rFonts w:eastAsia="仿宋_GB2312"/>
          <w:sz w:val="32"/>
          <w:szCs w:val="32"/>
        </w:rPr>
        <w:t>，提高管理人员及广大群众的认识水平。</w:t>
      </w:r>
      <w:r>
        <w:rPr>
          <w:rFonts w:hint="eastAsia" w:eastAsia="仿宋_GB2312"/>
          <w:sz w:val="32"/>
          <w:szCs w:val="32"/>
        </w:rPr>
        <w:t>到2015年，</w:t>
      </w:r>
      <w:r>
        <w:rPr>
          <w:rFonts w:eastAsia="仿宋_GB2312"/>
          <w:sz w:val="32"/>
          <w:szCs w:val="32"/>
        </w:rPr>
        <w:t>实现旅游景</w:t>
      </w:r>
      <w:r>
        <w:rPr>
          <w:rFonts w:hint="eastAsia" w:eastAsia="仿宋_GB2312"/>
          <w:sz w:val="32"/>
          <w:szCs w:val="32"/>
        </w:rPr>
        <w:t>区</w:t>
      </w:r>
      <w:r>
        <w:rPr>
          <w:rFonts w:eastAsia="仿宋_GB2312"/>
          <w:sz w:val="32"/>
          <w:szCs w:val="32"/>
        </w:rPr>
        <w:t>环境</w:t>
      </w:r>
      <w:r>
        <w:rPr>
          <w:rFonts w:hint="eastAsia" w:eastAsia="仿宋_GB2312"/>
          <w:sz w:val="32"/>
          <w:szCs w:val="32"/>
        </w:rPr>
        <w:t>质量全面</w:t>
      </w:r>
      <w:r>
        <w:rPr>
          <w:rFonts w:eastAsia="仿宋_GB2312"/>
          <w:sz w:val="32"/>
          <w:szCs w:val="32"/>
        </w:rPr>
        <w:t>达标，垃圾收集率达100%。</w:t>
      </w:r>
    </w:p>
    <w:p>
      <w:pPr>
        <w:spacing w:line="540" w:lineRule="exact"/>
        <w:ind w:firstLine="640" w:firstLineChars="200"/>
        <w:rPr>
          <w:rFonts w:hint="eastAsia" w:eastAsia="仿宋_GB2312"/>
          <w:sz w:val="32"/>
          <w:szCs w:val="32"/>
        </w:rPr>
        <w:sectPr>
          <w:pgSz w:w="11906" w:h="16838"/>
          <w:pgMar w:top="1985" w:right="1701" w:bottom="1701" w:left="1701" w:header="851" w:footer="1361" w:gutter="0"/>
          <w:cols w:space="720" w:num="1"/>
          <w:docGrid w:type="linesAndChars" w:linePitch="312" w:charSpace="0"/>
        </w:sectPr>
      </w:pPr>
    </w:p>
    <w:p>
      <w:pPr>
        <w:pStyle w:val="2"/>
        <w:keepNext w:val="0"/>
        <w:keepLines w:val="0"/>
        <w:spacing w:before="120" w:beforeLines="50" w:after="120" w:afterLines="50" w:line="560" w:lineRule="exact"/>
        <w:jc w:val="center"/>
        <w:rPr>
          <w:rFonts w:hint="eastAsia" w:eastAsia="方正小标宋_GBK"/>
          <w:b w:val="0"/>
        </w:rPr>
      </w:pPr>
      <w:bookmarkStart w:id="312" w:name="_Toc369555621"/>
      <w:bookmarkStart w:id="313" w:name="_Toc374364950"/>
      <w:bookmarkStart w:id="314" w:name="_Toc369250095"/>
      <w:bookmarkStart w:id="315" w:name="_Toc370234412"/>
      <w:bookmarkStart w:id="316" w:name="_Toc369303717"/>
      <w:bookmarkStart w:id="317" w:name="_Toc369273432"/>
      <w:bookmarkStart w:id="318" w:name="_Toc369209882"/>
      <w:bookmarkStart w:id="319" w:name="_Toc369460875"/>
      <w:bookmarkStart w:id="320" w:name="_Toc369179376"/>
      <w:r>
        <w:rPr>
          <w:rFonts w:hint="eastAsia" w:eastAsia="方正小标宋_GBK"/>
          <w:b w:val="0"/>
        </w:rPr>
        <w:t>第六章  节能环保产业</w:t>
      </w:r>
      <w:bookmarkEnd w:id="312"/>
      <w:bookmarkEnd w:id="313"/>
      <w:bookmarkEnd w:id="314"/>
      <w:bookmarkEnd w:id="315"/>
      <w:bookmarkEnd w:id="316"/>
      <w:bookmarkEnd w:id="317"/>
      <w:bookmarkEnd w:id="318"/>
      <w:bookmarkEnd w:id="319"/>
      <w:bookmarkEnd w:id="320"/>
    </w:p>
    <w:p>
      <w:pPr>
        <w:spacing w:line="560" w:lineRule="exact"/>
        <w:ind w:firstLine="640" w:firstLineChars="200"/>
        <w:rPr>
          <w:rFonts w:hint="eastAsia" w:eastAsia="仿宋_GB2312"/>
          <w:sz w:val="32"/>
          <w:szCs w:val="32"/>
        </w:rPr>
      </w:pPr>
      <w:r>
        <w:rPr>
          <w:rFonts w:hint="eastAsia" w:eastAsia="仿宋_GB2312"/>
          <w:sz w:val="32"/>
          <w:szCs w:val="32"/>
        </w:rPr>
        <w:t>节能环保产业是有着巨大发展空间和广阔市场前景的战略性新兴产业，也是生态文明建设的重要支撑和保障。盐城节能环保产业要以实现盐城市节能环保产业跨越发展、后来居上为总目标，以环保科技城、建湖节能电光源产业园、阜宁滤料产业园“一城两园”为依托，做大做强烟气治理、节能电光源、环保滤料三大产业。到2015年，全市节能环保产业主营业务收入力争突破750亿元，建成5个国家级、10个省级以上科技创新平台，“一城两园”实现主营业务收入超400亿元。</w:t>
      </w:r>
    </w:p>
    <w:p>
      <w:pPr>
        <w:pStyle w:val="3"/>
        <w:keepNext w:val="0"/>
        <w:keepLines w:val="0"/>
        <w:spacing w:before="120" w:beforeLines="50" w:after="120" w:afterLines="50" w:line="560" w:lineRule="exact"/>
        <w:rPr>
          <w:rFonts w:ascii="Times New Roman" w:hAnsi="Times New Roman"/>
          <w:b w:val="0"/>
        </w:rPr>
      </w:pPr>
      <w:bookmarkStart w:id="321" w:name="_Toc369250096"/>
      <w:bookmarkStart w:id="322" w:name="_Toc369209883"/>
      <w:bookmarkStart w:id="323" w:name="_Toc374364951"/>
      <w:bookmarkStart w:id="324" w:name="_Toc369460876"/>
      <w:bookmarkStart w:id="325" w:name="_Toc370234413"/>
      <w:bookmarkStart w:id="326" w:name="_Toc369273433"/>
      <w:bookmarkStart w:id="327" w:name="_Toc369303718"/>
      <w:bookmarkStart w:id="328" w:name="_Toc369555622"/>
      <w:r>
        <w:rPr>
          <w:rFonts w:hint="eastAsia" w:ascii="Times New Roman" w:hAnsi="Times New Roman"/>
          <w:b w:val="0"/>
        </w:rPr>
        <w:t>6.1  重点发展领域</w:t>
      </w:r>
      <w:bookmarkEnd w:id="321"/>
      <w:bookmarkEnd w:id="322"/>
      <w:bookmarkEnd w:id="323"/>
      <w:bookmarkEnd w:id="324"/>
      <w:bookmarkEnd w:id="325"/>
      <w:bookmarkEnd w:id="326"/>
      <w:bookmarkEnd w:id="327"/>
      <w:bookmarkEnd w:id="328"/>
    </w:p>
    <w:p>
      <w:pPr>
        <w:spacing w:line="560" w:lineRule="exact"/>
        <w:outlineLvl w:val="2"/>
        <w:rPr>
          <w:rFonts w:hint="eastAsia" w:eastAsia="楷体"/>
          <w:b/>
          <w:sz w:val="32"/>
          <w:szCs w:val="32"/>
        </w:rPr>
      </w:pPr>
      <w:bookmarkStart w:id="329" w:name="_Toc374364952"/>
      <w:bookmarkStart w:id="330" w:name="_Toc369555623"/>
      <w:bookmarkStart w:id="331" w:name="_Toc369273434"/>
      <w:bookmarkStart w:id="332" w:name="_Toc369209884"/>
      <w:bookmarkStart w:id="333" w:name="_Toc369303719"/>
      <w:bookmarkStart w:id="334" w:name="_Toc370234414"/>
      <w:bookmarkStart w:id="335" w:name="_Toc369250097"/>
      <w:bookmarkStart w:id="336" w:name="_Toc369460877"/>
      <w:r>
        <w:rPr>
          <w:rFonts w:hint="eastAsia" w:eastAsia="楷体"/>
          <w:b/>
          <w:sz w:val="32"/>
          <w:szCs w:val="32"/>
        </w:rPr>
        <w:t>6.1.1  节能产业</w:t>
      </w:r>
      <w:bookmarkEnd w:id="329"/>
      <w:bookmarkEnd w:id="330"/>
      <w:bookmarkEnd w:id="331"/>
      <w:bookmarkEnd w:id="332"/>
      <w:bookmarkEnd w:id="333"/>
      <w:bookmarkEnd w:id="334"/>
      <w:bookmarkEnd w:id="335"/>
      <w:bookmarkEnd w:id="336"/>
    </w:p>
    <w:p>
      <w:pPr>
        <w:spacing w:line="560" w:lineRule="exact"/>
        <w:ind w:firstLine="643" w:firstLineChars="200"/>
        <w:rPr>
          <w:rFonts w:hint="eastAsia" w:eastAsia="仿宋_GB2312"/>
          <w:sz w:val="32"/>
          <w:szCs w:val="32"/>
        </w:rPr>
      </w:pPr>
      <w:r>
        <w:rPr>
          <w:rFonts w:hint="eastAsia" w:eastAsia="仿宋_GB2312"/>
          <w:b/>
          <w:sz w:val="32"/>
          <w:szCs w:val="32"/>
        </w:rPr>
        <w:t>节能电光源。</w:t>
      </w:r>
      <w:r>
        <w:rPr>
          <w:rFonts w:hint="eastAsia" w:eastAsia="仿宋_GB2312"/>
          <w:sz w:val="32"/>
          <w:szCs w:val="32"/>
        </w:rPr>
        <w:t>重点发展LED光源、管型基元LED、HID陶瓷金卤灯等前沿产品和节能荧光灯高端产品，积极开拓平面光源、背光源、OLED等新领域，扩大生产汽车照明、医疗、农业等特殊用途的半导体照明产品。加快向灯饰灯具、照明工程等应用领域拓展。推动节能电光源产业与风能、太阳能等新能源产业有机结合。</w:t>
      </w:r>
    </w:p>
    <w:p>
      <w:pPr>
        <w:spacing w:line="560" w:lineRule="exact"/>
        <w:ind w:firstLine="643" w:firstLineChars="200"/>
        <w:rPr>
          <w:rFonts w:hint="eastAsia" w:eastAsia="仿宋_GB2312"/>
          <w:sz w:val="32"/>
          <w:szCs w:val="32"/>
        </w:rPr>
      </w:pPr>
      <w:r>
        <w:rPr>
          <w:rFonts w:hint="eastAsia" w:eastAsia="仿宋_GB2312"/>
          <w:b/>
          <w:sz w:val="32"/>
          <w:szCs w:val="32"/>
        </w:rPr>
        <w:t>节能装备。</w:t>
      </w:r>
      <w:r>
        <w:rPr>
          <w:rFonts w:hint="eastAsia" w:eastAsia="仿宋_GB2312"/>
          <w:sz w:val="32"/>
          <w:szCs w:val="32"/>
        </w:rPr>
        <w:t>推进工业锅炉和工业窑炉节能改造，重点发展新型高效锅炉系统设备、燃气窑炉和节能型窑炉装备。研发纯氧助燃、全氧燃烧和减压澄清技术。推广高效燃烧器、高效熟料冷却机、保温耐用新型炉衬材料等设备和材料。</w:t>
      </w:r>
    </w:p>
    <w:p>
      <w:pPr>
        <w:spacing w:line="560" w:lineRule="exact"/>
        <w:ind w:firstLine="643" w:firstLineChars="200"/>
        <w:rPr>
          <w:rFonts w:hint="eastAsia" w:eastAsia="仿宋_GB2312"/>
          <w:sz w:val="32"/>
          <w:szCs w:val="32"/>
        </w:rPr>
      </w:pPr>
      <w:r>
        <w:rPr>
          <w:rFonts w:hint="eastAsia" w:eastAsia="仿宋_GB2312"/>
          <w:b/>
          <w:sz w:val="32"/>
          <w:szCs w:val="32"/>
        </w:rPr>
        <w:t>节能家电。</w:t>
      </w:r>
      <w:r>
        <w:rPr>
          <w:rFonts w:hint="eastAsia" w:eastAsia="仿宋_GB2312"/>
          <w:sz w:val="32"/>
          <w:szCs w:val="32"/>
        </w:rPr>
        <w:t>重点发展空调、冰箱等高效压缩机及驱动控制器、高效换热及相变储能装置，各类家电智能控制节能技术和待机能耗技术。重点攻克空调制冷剂替代技术、二氧化碳热泵技术。推广能效等级为一级和二级的中小型三相异步电动机、通风机、水泵以及节能家用电器、办公和商用设备。</w:t>
      </w:r>
    </w:p>
    <w:p>
      <w:pPr>
        <w:spacing w:line="560" w:lineRule="exact"/>
        <w:ind w:firstLine="643" w:firstLineChars="200"/>
        <w:rPr>
          <w:rFonts w:hint="eastAsia" w:eastAsia="仿宋_GB2312"/>
          <w:sz w:val="32"/>
          <w:szCs w:val="32"/>
        </w:rPr>
      </w:pPr>
      <w:r>
        <w:rPr>
          <w:rFonts w:hint="eastAsia" w:eastAsia="仿宋_GB2312"/>
          <w:b/>
          <w:sz w:val="32"/>
          <w:szCs w:val="32"/>
        </w:rPr>
        <w:t>节能汽车。</w:t>
      </w:r>
      <w:r>
        <w:rPr>
          <w:rFonts w:hint="eastAsia" w:eastAsia="仿宋_GB2312"/>
          <w:sz w:val="32"/>
          <w:szCs w:val="32"/>
        </w:rPr>
        <w:t>重点发展具有自主知识产权的汽油直喷、涡轮增压等先进发动机节能技术，以及多档化高效自动变速器等节能减排技术，新型车辆动力蓄电池和新型混合动力汽车机电耦合动力系统、车用动力系统和发电设备等技术装备。推广采用各类节能技术实现的节能汽车，以及节能型牵引车、挂车。</w:t>
      </w:r>
    </w:p>
    <w:p>
      <w:pPr>
        <w:spacing w:line="560" w:lineRule="exact"/>
        <w:ind w:firstLine="643" w:firstLineChars="200"/>
        <w:rPr>
          <w:rFonts w:hint="eastAsia" w:eastAsia="仿宋_GB2312"/>
          <w:sz w:val="32"/>
          <w:szCs w:val="32"/>
        </w:rPr>
      </w:pPr>
      <w:r>
        <w:rPr>
          <w:rFonts w:hint="eastAsia" w:eastAsia="仿宋_GB2312"/>
          <w:b/>
          <w:sz w:val="32"/>
          <w:szCs w:val="32"/>
        </w:rPr>
        <w:t>新型节能建材。</w:t>
      </w:r>
      <w:r>
        <w:rPr>
          <w:rFonts w:hint="eastAsia" w:eastAsia="仿宋_GB2312"/>
          <w:sz w:val="32"/>
          <w:szCs w:val="32"/>
        </w:rPr>
        <w:t>重点发展新型高效节能墙体材料以及保温隔热防火材料、高性能建筑玻璃、低辐射玻璃、泡沫玻璃、加气混凝土砌块、复合保温砌块、轻质复合保温板材、光伏一体化建筑用玻璃幕墙等新型节能建材。大力推广节能建筑门窗、智能门窗、隔热和安全性能高的节能膜和节能一体化集成屋面系统。</w:t>
      </w:r>
    </w:p>
    <w:p>
      <w:pPr>
        <w:spacing w:line="560" w:lineRule="exact"/>
        <w:outlineLvl w:val="2"/>
        <w:rPr>
          <w:rFonts w:hint="eastAsia" w:eastAsia="楷体"/>
          <w:b/>
          <w:sz w:val="32"/>
          <w:szCs w:val="32"/>
        </w:rPr>
      </w:pPr>
      <w:bookmarkStart w:id="337" w:name="_Toc369250098"/>
      <w:bookmarkStart w:id="338" w:name="_Toc369209885"/>
      <w:bookmarkStart w:id="339" w:name="_Toc369555624"/>
      <w:bookmarkStart w:id="340" w:name="_Toc369303720"/>
      <w:bookmarkStart w:id="341" w:name="_Toc369460878"/>
      <w:bookmarkStart w:id="342" w:name="_Toc374364953"/>
      <w:bookmarkStart w:id="343" w:name="_Toc369273435"/>
      <w:bookmarkStart w:id="344" w:name="_Toc370234415"/>
      <w:r>
        <w:rPr>
          <w:rFonts w:hint="eastAsia" w:eastAsia="楷体"/>
          <w:b/>
          <w:sz w:val="32"/>
          <w:szCs w:val="32"/>
        </w:rPr>
        <w:t>6.1.2  环保产业</w:t>
      </w:r>
      <w:bookmarkEnd w:id="337"/>
      <w:bookmarkEnd w:id="338"/>
      <w:bookmarkEnd w:id="339"/>
      <w:bookmarkEnd w:id="340"/>
      <w:bookmarkEnd w:id="341"/>
      <w:bookmarkEnd w:id="342"/>
      <w:bookmarkEnd w:id="343"/>
      <w:bookmarkEnd w:id="344"/>
    </w:p>
    <w:p>
      <w:pPr>
        <w:spacing w:line="560" w:lineRule="exact"/>
        <w:ind w:firstLine="635" w:firstLineChars="200"/>
        <w:rPr>
          <w:rFonts w:hint="eastAsia" w:eastAsia="仿宋_GB2312"/>
          <w:b/>
          <w:spacing w:val="-2"/>
          <w:sz w:val="32"/>
          <w:szCs w:val="32"/>
        </w:rPr>
      </w:pPr>
      <w:r>
        <w:rPr>
          <w:rFonts w:hint="eastAsia" w:eastAsia="仿宋_GB2312"/>
          <w:b/>
          <w:spacing w:val="-2"/>
          <w:sz w:val="32"/>
          <w:szCs w:val="32"/>
        </w:rPr>
        <w:t>大气污染控制技术和装备。</w:t>
      </w:r>
      <w:r>
        <w:rPr>
          <w:rFonts w:hint="eastAsia" w:eastAsia="仿宋_GB2312"/>
          <w:sz w:val="32"/>
          <w:szCs w:val="32"/>
        </w:rPr>
        <w:t>大力研发水泥窑尾烟气污染物协同控制技术、水泥窑炉氮氧化物减排技术，脱硫、脱硝设施分散控制系统（DCS）。重点发展大型高浓度、高温度、高比电阻烟尘和含有腐蚀性气体电袋复合除尘器、烟气脱硫除雾器等技术装备，以及脱硫、脱硝、除尘设备和关键零部件。积极推广燃煤电厂、钢铁和建材等行业装置脱硫、脱硝、除尘高效处理工艺和设备。研发国Ⅴ以上排放标准汽车、国Ⅳ以上机动车尾气催化转化和工业有机废气治理等技术和装备。</w:t>
      </w:r>
    </w:p>
    <w:p>
      <w:pPr>
        <w:spacing w:line="560" w:lineRule="exact"/>
        <w:ind w:firstLine="635" w:firstLineChars="200"/>
        <w:rPr>
          <w:rFonts w:hint="eastAsia" w:eastAsia="仿宋_GB2312"/>
          <w:b/>
          <w:spacing w:val="-2"/>
          <w:sz w:val="32"/>
          <w:szCs w:val="32"/>
        </w:rPr>
      </w:pPr>
      <w:r>
        <w:rPr>
          <w:rFonts w:hint="eastAsia" w:eastAsia="仿宋_GB2312"/>
          <w:b/>
          <w:spacing w:val="-2"/>
          <w:sz w:val="32"/>
          <w:szCs w:val="32"/>
        </w:rPr>
        <w:t>污水处理技术和装备。</w:t>
      </w:r>
      <w:r>
        <w:rPr>
          <w:rFonts w:hint="eastAsia" w:eastAsia="仿宋_GB2312"/>
          <w:sz w:val="32"/>
          <w:szCs w:val="32"/>
        </w:rPr>
        <w:t>重点发展工业水污染物治理和城镇污水处理技术与装备，重点研发膜生物反应器，城镇生活污水脱氮除磷深度处理设备，农村分散型生活污水、饮用水微污染去除设备，高浓度难降解有机废水处理设备，垃圾渗滤液处理设备，中水回用、尾水利用装备。积极研发海洋环境保护治理技术与装备。</w:t>
      </w:r>
    </w:p>
    <w:p>
      <w:pPr>
        <w:spacing w:line="560" w:lineRule="exact"/>
        <w:ind w:firstLine="635" w:firstLineChars="200"/>
        <w:rPr>
          <w:rFonts w:hint="eastAsia" w:eastAsia="仿宋_GB2312"/>
          <w:b/>
          <w:spacing w:val="-2"/>
          <w:sz w:val="32"/>
          <w:szCs w:val="32"/>
        </w:rPr>
      </w:pPr>
      <w:r>
        <w:rPr>
          <w:rFonts w:hint="eastAsia" w:eastAsia="仿宋_GB2312"/>
          <w:b/>
          <w:spacing w:val="-2"/>
          <w:sz w:val="32"/>
          <w:szCs w:val="32"/>
        </w:rPr>
        <w:t>固废处理技术和装备。</w:t>
      </w:r>
      <w:r>
        <w:rPr>
          <w:rFonts w:hint="eastAsia" w:eastAsia="仿宋_GB2312"/>
          <w:sz w:val="32"/>
          <w:szCs w:val="32"/>
        </w:rPr>
        <w:t>重点发展大型焚烧发电及烟气净化设备、高效中小型焚烧炉，大型填埋场沼气回收及发电技术和装备，有毒有害废弃物焚烧及二恶英控制成套设备，垃圾分选设备。分类开发和推广细分行业固废处理装备，包括餐厨垃圾处理设备、建筑垃圾生活垃圾处理设备、电子废弃物无害化与资源化处理成套设备，污泥处理处置及资源化设备。研发和推广重金属、持久性有机污染物，以及医疗废物、危险化学品、放射源污染等危险废物处置治理的技术与装备。</w:t>
      </w:r>
    </w:p>
    <w:p>
      <w:pPr>
        <w:spacing w:line="560" w:lineRule="exact"/>
        <w:ind w:firstLine="635" w:firstLineChars="200"/>
        <w:rPr>
          <w:rFonts w:hint="eastAsia" w:eastAsia="仿宋_GB2312"/>
          <w:b/>
          <w:spacing w:val="-2"/>
          <w:sz w:val="32"/>
          <w:szCs w:val="32"/>
        </w:rPr>
      </w:pPr>
      <w:r>
        <w:rPr>
          <w:rFonts w:hint="eastAsia" w:eastAsia="仿宋_GB2312"/>
          <w:b/>
          <w:spacing w:val="-2"/>
          <w:sz w:val="32"/>
          <w:szCs w:val="32"/>
        </w:rPr>
        <w:t>环保产品和材料。</w:t>
      </w:r>
      <w:r>
        <w:rPr>
          <w:rFonts w:hint="eastAsia" w:eastAsia="仿宋_GB2312"/>
          <w:sz w:val="32"/>
          <w:szCs w:val="32"/>
        </w:rPr>
        <w:t>重点发展布袋除尘器高端纤维滤料、高性能滤料，研发复合型耐高温过滤材料和纤维原料及其膨体纱过滤布等。重点研发膜材料和膜组件、高性能防渗材料等，推广离子交换树脂、生物滤料及填料、高效活性炭等。加快研发高效水处理药剂、脱硫促进剂、固废处理固化剂和稳定剂，以及选择性催化还原法烟气脱硝催化剂与再生技术。</w:t>
      </w:r>
    </w:p>
    <w:p>
      <w:pPr>
        <w:spacing w:line="560" w:lineRule="exact"/>
        <w:outlineLvl w:val="2"/>
        <w:rPr>
          <w:rFonts w:hint="eastAsia" w:eastAsia="楷体"/>
          <w:b/>
          <w:sz w:val="32"/>
          <w:szCs w:val="32"/>
        </w:rPr>
      </w:pPr>
      <w:bookmarkStart w:id="345" w:name="_Toc369273436"/>
      <w:bookmarkStart w:id="346" w:name="_Toc369250099"/>
      <w:bookmarkStart w:id="347" w:name="_Toc369209886"/>
      <w:bookmarkStart w:id="348" w:name="_Toc369460879"/>
      <w:bookmarkStart w:id="349" w:name="_Toc369303721"/>
      <w:bookmarkStart w:id="350" w:name="_Toc370234416"/>
      <w:bookmarkStart w:id="351" w:name="_Toc374364954"/>
      <w:bookmarkStart w:id="352" w:name="_Toc369555625"/>
      <w:r>
        <w:rPr>
          <w:rFonts w:hint="eastAsia" w:eastAsia="楷体"/>
          <w:b/>
          <w:sz w:val="32"/>
          <w:szCs w:val="32"/>
        </w:rPr>
        <w:t xml:space="preserve">6.1.3  </w:t>
      </w:r>
      <w:bookmarkEnd w:id="345"/>
      <w:bookmarkEnd w:id="346"/>
      <w:bookmarkEnd w:id="347"/>
      <w:r>
        <w:rPr>
          <w:rFonts w:hint="eastAsia" w:eastAsia="楷体"/>
          <w:b/>
          <w:sz w:val="32"/>
          <w:szCs w:val="32"/>
        </w:rPr>
        <w:t>节能环保服务业</w:t>
      </w:r>
      <w:bookmarkEnd w:id="348"/>
      <w:bookmarkEnd w:id="349"/>
      <w:bookmarkEnd w:id="350"/>
      <w:bookmarkEnd w:id="351"/>
      <w:bookmarkEnd w:id="352"/>
    </w:p>
    <w:p>
      <w:pPr>
        <w:spacing w:line="560" w:lineRule="exact"/>
        <w:ind w:firstLine="643" w:firstLineChars="200"/>
        <w:rPr>
          <w:rFonts w:hint="eastAsia" w:eastAsia="仿宋_GB2312"/>
          <w:sz w:val="32"/>
          <w:szCs w:val="32"/>
        </w:rPr>
      </w:pPr>
      <w:r>
        <w:rPr>
          <w:rFonts w:hint="eastAsia" w:eastAsia="仿宋_GB2312"/>
          <w:b/>
          <w:sz w:val="32"/>
          <w:szCs w:val="32"/>
        </w:rPr>
        <w:t>完善产业链。</w:t>
      </w:r>
      <w:r>
        <w:rPr>
          <w:rFonts w:hint="eastAsia" w:eastAsia="仿宋_GB2312"/>
          <w:sz w:val="32"/>
          <w:szCs w:val="32"/>
        </w:rPr>
        <w:t>以推动节能环保产业向价值链高端攀升为目标，大力发展工程承包、设施运营、技术咨询和信息服务、合同能源管理、成果转化、物流配送和人才培训，加快公共服务平台建设，促进节能环保制造业与服务业互动发展。优先发展节能环保设施建设和运营的专业化、市场化、社会化服务，加快发展合同能源管理等节能环保综合技术服务，加快实现从制造业为主向服务业引领的产业发展模式转型。到2015年，培育2-3家年主营业务收入过5亿元的大型综合节能环保服务企业。</w:t>
      </w:r>
    </w:p>
    <w:p>
      <w:pPr>
        <w:spacing w:line="560" w:lineRule="exact"/>
        <w:ind w:firstLine="643" w:firstLineChars="200"/>
        <w:rPr>
          <w:rFonts w:hint="eastAsia" w:eastAsia="仿宋_GB2312"/>
          <w:sz w:val="32"/>
          <w:szCs w:val="32"/>
        </w:rPr>
      </w:pPr>
      <w:r>
        <w:rPr>
          <w:rFonts w:hint="eastAsia" w:eastAsia="仿宋_GB2312"/>
          <w:b/>
          <w:sz w:val="32"/>
          <w:szCs w:val="32"/>
        </w:rPr>
        <w:t>培育和发展服务机构。</w:t>
      </w:r>
      <w:r>
        <w:rPr>
          <w:rFonts w:hint="eastAsia" w:eastAsia="仿宋_GB2312"/>
          <w:sz w:val="32"/>
          <w:szCs w:val="32"/>
        </w:rPr>
        <w:t>打造公益性节能服务平台，配合政府开展节能技术推广，为中小用能单位进行节能诊断，提供公益性节能咨询服务；支持具有一定规模和实力的节能服务公司联合重组，拓展服务领域，增强竞争力；鼓励节能技术和管理水平高的大型重点用能单位，充分发挥技术优势和管理经验，组建专业化节能服务公司，为本行业其他用能单位提供节能服务；按照做精、做专、做强的目标，培育一批有特色、高水平的专业服务机构，为工矿企业、建筑用户、商业机构、党政机关等提供专业能源审计、节能项目设计、节能设备和材料采购、人员培训、节能量监测、信息咨询等服务。</w:t>
      </w:r>
    </w:p>
    <w:p>
      <w:pPr>
        <w:spacing w:line="560" w:lineRule="exact"/>
        <w:ind w:firstLine="643" w:firstLineChars="200"/>
        <w:rPr>
          <w:rFonts w:hint="eastAsia" w:eastAsia="仿宋_GB2312"/>
          <w:sz w:val="32"/>
          <w:szCs w:val="32"/>
        </w:rPr>
      </w:pPr>
      <w:r>
        <w:rPr>
          <w:rFonts w:hint="eastAsia" w:eastAsia="仿宋_GB2312"/>
          <w:b/>
          <w:sz w:val="32"/>
          <w:szCs w:val="32"/>
        </w:rPr>
        <w:t>推行合同能源管理。</w:t>
      </w:r>
      <w:r>
        <w:rPr>
          <w:rFonts w:hint="eastAsia" w:eastAsia="仿宋_GB2312"/>
          <w:sz w:val="32"/>
          <w:szCs w:val="32"/>
        </w:rPr>
        <w:t>引导技术研发、设备生产和投融资机构，利用合同能源管理机制开展节能服务，推行金融租赁等多层次、有特色、满足不同市场需求的合同能源管理机制；支持节能服务机构在学习、借鉴国外先进经验基础上，按照市场规律和服务对象需求，创新发展合同能源管理机制；鼓励金融机构创造条件，开发项目融资等业务新品种，支持节能服务机构实施合同能源管理项目。</w:t>
      </w:r>
    </w:p>
    <w:p>
      <w:pPr>
        <w:spacing w:line="560" w:lineRule="exact"/>
        <w:ind w:firstLine="630" w:firstLineChars="196"/>
        <w:rPr>
          <w:rFonts w:hint="eastAsia" w:eastAsia="仿宋_GB2312"/>
        </w:rPr>
      </w:pPr>
      <w:r>
        <w:rPr>
          <w:rFonts w:hint="eastAsia" w:eastAsia="仿宋_GB2312"/>
          <w:b/>
          <w:sz w:val="32"/>
          <w:szCs w:val="32"/>
        </w:rPr>
        <w:t>做大做强环保服务业。</w:t>
      </w:r>
      <w:r>
        <w:rPr>
          <w:rFonts w:hint="eastAsia" w:eastAsia="仿宋_GB2312"/>
          <w:sz w:val="32"/>
          <w:szCs w:val="32"/>
        </w:rPr>
        <w:t>积极推进污染治理市场化，以污水处理、大型燃煤电厂脱硫脱硝、城市垃圾、危险废弃物处理及资源化、环境污染治理和专业化环保设施运营服务为重点，形成一批具有专业化运营资质的企业。进一步规范和发展环保技术、管理和信息服务，大力发展生态效益评价、清洁生产审核、绿色产品认证评估、环境影响评价、环境监测、环境投资及风险评估、环境保险理赔等方面的咨询服务。</w:t>
      </w:r>
    </w:p>
    <w:p>
      <w:pPr>
        <w:pStyle w:val="3"/>
        <w:keepNext w:val="0"/>
        <w:keepLines w:val="0"/>
        <w:spacing w:before="120" w:beforeLines="50" w:after="120" w:afterLines="50" w:line="560" w:lineRule="exact"/>
        <w:rPr>
          <w:rFonts w:hint="eastAsia" w:ascii="Times New Roman" w:hAnsi="Times New Roman"/>
          <w:b w:val="0"/>
        </w:rPr>
      </w:pPr>
      <w:bookmarkStart w:id="353" w:name="_Toc369555626"/>
      <w:bookmarkStart w:id="354" w:name="_Toc369209887"/>
      <w:bookmarkStart w:id="355" w:name="_Toc369250100"/>
      <w:bookmarkStart w:id="356" w:name="_Toc369303722"/>
      <w:bookmarkStart w:id="357" w:name="_Toc374364955"/>
      <w:bookmarkStart w:id="358" w:name="_Toc370234417"/>
      <w:bookmarkStart w:id="359" w:name="_Toc369273437"/>
      <w:bookmarkStart w:id="360" w:name="_Toc369460880"/>
      <w:r>
        <w:rPr>
          <w:rFonts w:hint="eastAsia" w:ascii="Times New Roman" w:hAnsi="Times New Roman"/>
          <w:b w:val="0"/>
        </w:rPr>
        <w:t>6.2 产业园区布局</w:t>
      </w:r>
      <w:bookmarkEnd w:id="353"/>
      <w:bookmarkEnd w:id="354"/>
      <w:bookmarkEnd w:id="355"/>
      <w:bookmarkEnd w:id="356"/>
      <w:bookmarkEnd w:id="357"/>
      <w:bookmarkEnd w:id="358"/>
      <w:bookmarkEnd w:id="359"/>
      <w:bookmarkEnd w:id="360"/>
    </w:p>
    <w:p>
      <w:pPr>
        <w:spacing w:line="560" w:lineRule="exact"/>
        <w:outlineLvl w:val="2"/>
        <w:rPr>
          <w:rFonts w:hint="eastAsia" w:eastAsia="楷体"/>
          <w:b/>
          <w:sz w:val="32"/>
          <w:szCs w:val="32"/>
        </w:rPr>
      </w:pPr>
      <w:bookmarkStart w:id="361" w:name="_Toc369460881"/>
      <w:bookmarkStart w:id="362" w:name="_Toc370234418"/>
      <w:bookmarkStart w:id="363" w:name="_Toc374364956"/>
      <w:bookmarkStart w:id="364" w:name="_Toc369250101"/>
      <w:bookmarkStart w:id="365" w:name="_Toc369209888"/>
      <w:bookmarkStart w:id="366" w:name="_Toc369555627"/>
      <w:bookmarkStart w:id="367" w:name="_Toc369303723"/>
      <w:bookmarkStart w:id="368" w:name="_Toc369273438"/>
      <w:bookmarkStart w:id="369" w:name="_Toc369179378"/>
      <w:r>
        <w:rPr>
          <w:rFonts w:hint="eastAsia" w:eastAsia="楷体"/>
          <w:b/>
          <w:sz w:val="32"/>
          <w:szCs w:val="32"/>
        </w:rPr>
        <w:t>6.2.1  盐城环保科技城</w:t>
      </w:r>
      <w:bookmarkEnd w:id="361"/>
      <w:bookmarkEnd w:id="362"/>
      <w:bookmarkEnd w:id="363"/>
      <w:bookmarkEnd w:id="364"/>
      <w:bookmarkEnd w:id="365"/>
      <w:bookmarkEnd w:id="366"/>
      <w:bookmarkEnd w:id="367"/>
      <w:bookmarkEnd w:id="368"/>
      <w:bookmarkEnd w:id="369"/>
    </w:p>
    <w:p>
      <w:pPr>
        <w:spacing w:line="560" w:lineRule="exact"/>
        <w:ind w:firstLine="640" w:firstLineChars="200"/>
        <w:rPr>
          <w:rFonts w:hint="eastAsia" w:eastAsia="仿宋_GB2312"/>
          <w:sz w:val="32"/>
          <w:szCs w:val="32"/>
          <w:u w:val="single"/>
        </w:rPr>
      </w:pPr>
      <w:r>
        <w:rPr>
          <w:rFonts w:hint="eastAsia" w:eastAsia="仿宋_GB2312"/>
          <w:sz w:val="32"/>
          <w:szCs w:val="32"/>
        </w:rPr>
        <w:t>以环保产业为核心、以科技创新为动力，推动产业科技化、服务信息化、城市生态化、产业融合化发展，打造“新型城镇化”发展理念，以环保科技为特色和动力，打造富含环保元素、充满现代时尚气息，宜居、宜业、宜产、宜商的全国首席“绿色经济”示范区和国际环保产业价值链增值创新基地。到2015年，将盐城环保科技城打造成全国环保产业先行区、全省环保产业集聚区、全市产业转型示范区和标志性产业新高地。</w:t>
      </w:r>
    </w:p>
    <w:p>
      <w:pPr>
        <w:spacing w:line="560" w:lineRule="exact"/>
        <w:ind w:firstLine="643" w:firstLineChars="200"/>
        <w:rPr>
          <w:rFonts w:hint="eastAsia" w:eastAsia="仿宋_GB2312"/>
          <w:sz w:val="32"/>
          <w:szCs w:val="32"/>
        </w:rPr>
      </w:pPr>
      <w:r>
        <w:rPr>
          <w:rFonts w:hint="eastAsia" w:eastAsia="仿宋_GB2312"/>
          <w:b/>
          <w:sz w:val="32"/>
          <w:szCs w:val="32"/>
        </w:rPr>
        <w:t>加快形成环保全产业链。</w:t>
      </w:r>
      <w:r>
        <w:rPr>
          <w:rFonts w:hint="eastAsia" w:eastAsia="仿宋_GB2312"/>
          <w:sz w:val="32"/>
          <w:szCs w:val="32"/>
        </w:rPr>
        <w:t>依托现有产业集群优势，延伸拓展产业链两端高附加值环节，引入科技研发与贸易展销等重大项目，加速形成全产业链影响力；建立外来技术与自主研发相结合的环保科技研发体系，促进研发成果本地产业化，形成规模产业基地；推进园区技术与产品本地化应用，打造园区产业链协作与循环经济示范效应；以工程服务总承包为主，不断拓展环境监测、污染治理、环境咨询与设计等领域，促进环保产业从科技研发、加工制造、展销服务等链式发展；加快接轨国际产业和市场，快速集聚环保科技城的科技创新能力，增强科技对产业的快速提升作用；按照政府引导、企业主导、社会参与的思路，加快建立产业增值服务平台，从而形成环保产业技术研发与营销应用全产业链、全过程的“产学研用服销”六位一体发展新格局。到2015年，招引大型环保企业80家，实现环保产业销售收入300亿元。</w:t>
      </w:r>
    </w:p>
    <w:p>
      <w:pPr>
        <w:spacing w:line="560" w:lineRule="exact"/>
        <w:ind w:firstLine="643" w:firstLineChars="200"/>
        <w:rPr>
          <w:rFonts w:hint="eastAsia" w:eastAsia="仿宋_GB2312"/>
          <w:sz w:val="32"/>
          <w:szCs w:val="32"/>
        </w:rPr>
      </w:pPr>
      <w:r>
        <w:rPr>
          <w:rFonts w:hint="eastAsia" w:eastAsia="仿宋_GB2312"/>
          <w:b/>
          <w:sz w:val="32"/>
          <w:szCs w:val="32"/>
        </w:rPr>
        <w:t>强化环保科技支撑。</w:t>
      </w:r>
      <w:r>
        <w:rPr>
          <w:rFonts w:hint="eastAsia" w:eastAsia="仿宋_GB2312"/>
          <w:sz w:val="32"/>
          <w:szCs w:val="32"/>
        </w:rPr>
        <w:t>坚持自主创新、服务本地，以环保技术创新研发为核心，构筑创新研发平台、成果转化及应用平台、孵化加速平台、产权交易平台和国际交流五大应用平台，推动环保科技城自主创新升级。坚持链式研发，科学布局，依托国家级实验室与大学科研试验所，加强基础技术研发，逐步建立“基础研发+技术孵化+产业化”链式技术成果转化体系；坚持产融结合，科技先行，大力发展满足企业不同阶段需求的金融服务平台，努力打造环保资本市场的“盐城板块”。到2015年,培植和引进上市公司10家，集聚150名高端环保领军人才。</w:t>
      </w:r>
    </w:p>
    <w:p>
      <w:pPr>
        <w:spacing w:line="560" w:lineRule="exact"/>
        <w:outlineLvl w:val="2"/>
        <w:rPr>
          <w:rFonts w:hint="eastAsia" w:eastAsia="楷体"/>
          <w:b/>
          <w:sz w:val="32"/>
          <w:szCs w:val="32"/>
        </w:rPr>
      </w:pPr>
      <w:bookmarkStart w:id="370" w:name="_Toc370234419"/>
      <w:bookmarkStart w:id="371" w:name="_Toc369555628"/>
      <w:bookmarkStart w:id="372" w:name="_Toc369179379"/>
      <w:bookmarkStart w:id="373" w:name="_Toc369250102"/>
      <w:bookmarkStart w:id="374" w:name="_Toc369273439"/>
      <w:bookmarkStart w:id="375" w:name="_Toc369303724"/>
      <w:bookmarkStart w:id="376" w:name="_Toc369460882"/>
      <w:bookmarkStart w:id="377" w:name="_Toc374364957"/>
      <w:bookmarkStart w:id="378" w:name="_Toc369209889"/>
      <w:r>
        <w:rPr>
          <w:rFonts w:hint="eastAsia" w:eastAsia="楷体"/>
          <w:b/>
          <w:sz w:val="32"/>
          <w:szCs w:val="32"/>
        </w:rPr>
        <w:t>6.2.2  建湖中国节能电光源产业园</w:t>
      </w:r>
      <w:bookmarkEnd w:id="370"/>
      <w:bookmarkEnd w:id="371"/>
      <w:bookmarkEnd w:id="372"/>
      <w:bookmarkEnd w:id="373"/>
      <w:bookmarkEnd w:id="374"/>
      <w:bookmarkEnd w:id="375"/>
      <w:bookmarkEnd w:id="376"/>
      <w:bookmarkEnd w:id="377"/>
      <w:bookmarkEnd w:id="378"/>
    </w:p>
    <w:p>
      <w:pPr>
        <w:spacing w:line="560" w:lineRule="exact"/>
        <w:ind w:firstLine="640" w:firstLineChars="200"/>
        <w:rPr>
          <w:rFonts w:hint="eastAsia" w:eastAsia="仿宋_GB2312"/>
          <w:sz w:val="32"/>
          <w:szCs w:val="32"/>
        </w:rPr>
      </w:pPr>
      <w:r>
        <w:rPr>
          <w:rFonts w:eastAsia="仿宋_GB2312"/>
          <w:sz w:val="32"/>
          <w:szCs w:val="32"/>
        </w:rPr>
        <w:t>以节能电光源制造为主，</w:t>
      </w:r>
      <w:r>
        <w:rPr>
          <w:rFonts w:hint="eastAsia" w:eastAsia="仿宋_GB2312"/>
          <w:sz w:val="32"/>
          <w:szCs w:val="32"/>
        </w:rPr>
        <w:t>园区围绕高端化、规模化、品牌化和可持续发展的目标，积极参与国际化分工,着力建设长三角地区最大的节能电光源生产基地，国内最大的节能电光源出口基地，创立整灯生产基地和照明工程服务高地。以节能灯、T8荧光灯为基础，加快向LED光源、HID陶瓷金卤灯、背光源、平面光源和OLED光源等高端节能电光源升级，产品应用加快从传统家用灯、宾馆灯、装饰灯领域向公共路灯、工矿灯及特种灯方向发展。加快培植龙头企业，推动绿色照明产业向规模化、集群化方向发展。力争建湖明管产品在国内市场占有率达60%以上，整灯产品国际市场占有率达15%以上，成为全国绿色照明产业最大的生产集聚基地、科技研发中心、产品集散中心。</w:t>
      </w:r>
    </w:p>
    <w:p>
      <w:pPr>
        <w:spacing w:line="560" w:lineRule="exact"/>
        <w:outlineLvl w:val="2"/>
        <w:rPr>
          <w:rFonts w:hint="eastAsia" w:eastAsia="楷体"/>
          <w:b/>
          <w:sz w:val="32"/>
          <w:szCs w:val="32"/>
        </w:rPr>
      </w:pPr>
      <w:bookmarkStart w:id="379" w:name="_Toc370234420"/>
      <w:bookmarkStart w:id="380" w:name="_Toc369209890"/>
      <w:bookmarkStart w:id="381" w:name="_Toc369250103"/>
      <w:bookmarkStart w:id="382" w:name="_Toc369555629"/>
      <w:bookmarkStart w:id="383" w:name="_Toc374364958"/>
      <w:bookmarkStart w:id="384" w:name="_Toc369303725"/>
      <w:bookmarkStart w:id="385" w:name="_Toc369273440"/>
      <w:bookmarkStart w:id="386" w:name="_Toc369460883"/>
      <w:bookmarkStart w:id="387" w:name="_Toc369179380"/>
      <w:r>
        <w:rPr>
          <w:rFonts w:hint="eastAsia" w:eastAsia="楷体"/>
          <w:b/>
          <w:sz w:val="32"/>
          <w:szCs w:val="32"/>
        </w:rPr>
        <w:t>6.2.3  阜宁中国环保滤料产业园</w:t>
      </w:r>
      <w:bookmarkEnd w:id="379"/>
      <w:bookmarkEnd w:id="380"/>
      <w:bookmarkEnd w:id="381"/>
      <w:bookmarkEnd w:id="382"/>
      <w:bookmarkEnd w:id="383"/>
      <w:bookmarkEnd w:id="384"/>
      <w:bookmarkEnd w:id="385"/>
      <w:bookmarkEnd w:id="386"/>
      <w:bookmarkEnd w:id="387"/>
    </w:p>
    <w:p>
      <w:pPr>
        <w:spacing w:line="560" w:lineRule="exact"/>
        <w:ind w:firstLine="640" w:firstLineChars="200"/>
        <w:rPr>
          <w:rFonts w:hint="eastAsia" w:eastAsia="仿宋_GB2312"/>
          <w:sz w:val="32"/>
          <w:szCs w:val="32"/>
        </w:rPr>
      </w:pPr>
      <w:r>
        <w:rPr>
          <w:rFonts w:hint="eastAsia" w:eastAsia="仿宋_GB2312"/>
          <w:sz w:val="32"/>
          <w:szCs w:val="32"/>
        </w:rPr>
        <w:t>以构造环保滤料的区域工业经济特色为方向，以提高产业综合竞争力为目标，培育形成一批创新能力强的滤料骨干企业，构建产需衔接良好的产业链，着力建设集产品研发、设计、生产、工程服务、物流等于一体的全国最大最强的环保滤料生产基地，逐步从传统气固分离，向液固分离、膜材料、防水材料发展，从基础滤布向前道高性能纤维材料、基布生产及后道的环保装备设计、研发及运营维护服务和高效环保药剂等高端方向发展。注重发展高效过滤材料的双组份熔喷非织造布、功能性过滤材料、中空分离膜及非织造电池隔膜，以及高温过滤材料的非织造布复合过滤材料、复合膜技术等高端关键技术，加快开发高技术、高性能的玻璃纤维、聚四氟乙烯、芳香族聚酰胺纤维、碳纤维、金属纤维等多功能滤料。到2015年，国内市场占有率达到40％，把阜宁环保滤料特色产业基地建设成全国最大的实力最强的滤料产业示范基地。</w:t>
      </w:r>
    </w:p>
    <w:p>
      <w:pPr>
        <w:spacing w:line="560" w:lineRule="exact"/>
        <w:outlineLvl w:val="2"/>
        <w:rPr>
          <w:rFonts w:hint="eastAsia" w:eastAsia="楷体"/>
          <w:b/>
          <w:sz w:val="32"/>
          <w:szCs w:val="32"/>
        </w:rPr>
      </w:pPr>
      <w:bookmarkStart w:id="388" w:name="_Toc370234421"/>
      <w:bookmarkStart w:id="389" w:name="_Toc369273441"/>
      <w:bookmarkStart w:id="390" w:name="_Toc369209891"/>
      <w:bookmarkStart w:id="391" w:name="_Toc369555630"/>
      <w:bookmarkStart w:id="392" w:name="_Toc369250104"/>
      <w:bookmarkStart w:id="393" w:name="_Toc369460884"/>
      <w:bookmarkStart w:id="394" w:name="_Toc369303726"/>
      <w:bookmarkStart w:id="395" w:name="_Toc374364959"/>
      <w:r>
        <w:rPr>
          <w:rFonts w:hint="eastAsia" w:eastAsia="楷体"/>
          <w:b/>
          <w:sz w:val="32"/>
          <w:szCs w:val="32"/>
        </w:rPr>
        <w:t xml:space="preserve">6.2.4  </w:t>
      </w:r>
      <w:r>
        <w:rPr>
          <w:rFonts w:eastAsia="楷体"/>
          <w:b/>
          <w:sz w:val="32"/>
          <w:szCs w:val="32"/>
        </w:rPr>
        <w:t>其他特色产业</w:t>
      </w:r>
      <w:bookmarkEnd w:id="388"/>
      <w:bookmarkEnd w:id="389"/>
      <w:bookmarkEnd w:id="390"/>
      <w:bookmarkEnd w:id="391"/>
      <w:bookmarkEnd w:id="392"/>
      <w:bookmarkEnd w:id="393"/>
      <w:bookmarkEnd w:id="394"/>
      <w:r>
        <w:rPr>
          <w:rFonts w:hint="eastAsia" w:eastAsia="楷体"/>
          <w:b/>
          <w:sz w:val="32"/>
          <w:szCs w:val="32"/>
        </w:rPr>
        <w:t>园</w:t>
      </w:r>
      <w:bookmarkEnd w:id="395"/>
    </w:p>
    <w:p>
      <w:pPr>
        <w:pStyle w:val="9"/>
        <w:spacing w:line="560" w:lineRule="exact"/>
        <w:ind w:firstLine="640"/>
        <w:rPr>
          <w:rFonts w:hint="eastAsia" w:ascii="Times New Roman" w:hAnsi="Times New Roman" w:eastAsia="仿宋_GB2312"/>
          <w:sz w:val="32"/>
          <w:szCs w:val="32"/>
        </w:rPr>
      </w:pPr>
      <w:r>
        <w:rPr>
          <w:rFonts w:hint="eastAsia" w:ascii="Times New Roman" w:hAnsi="Times New Roman" w:eastAsia="仿宋_GB2312"/>
          <w:sz w:val="32"/>
          <w:szCs w:val="32"/>
        </w:rPr>
        <w:t>加快培育县（市、区）节能环保产业特色。积极发展东台保温材料、节能玻璃、粉煤灰水泥、农业废弃物资源化利用，大丰空压机节能装备制造、海水淡化，滨海废金属再生，盐都余热锅炉、垃圾资源化利用，亭湖LED电光源，建湖餐厨废油资源化利用，阜宁废旧纤维再生利用，射阳禾润废旧钢铁再生资源化利用等特色产业。加快培育报废汽车、废金属、废橡胶塑料以及农林废弃物资源化利用等再生资源产业园、循环经济产业园。</w:t>
      </w:r>
    </w:p>
    <w:p>
      <w:pPr>
        <w:pStyle w:val="3"/>
        <w:keepNext w:val="0"/>
        <w:keepLines w:val="0"/>
        <w:spacing w:before="120" w:beforeLines="50" w:after="120" w:afterLines="50" w:line="560" w:lineRule="exact"/>
        <w:rPr>
          <w:rFonts w:hint="eastAsia" w:ascii="Times New Roman" w:hAnsi="Times New Roman"/>
          <w:b w:val="0"/>
        </w:rPr>
      </w:pPr>
      <w:bookmarkStart w:id="396" w:name="_Toc369209892"/>
      <w:bookmarkStart w:id="397" w:name="_Toc369303727"/>
      <w:bookmarkStart w:id="398" w:name="_Toc369460885"/>
      <w:bookmarkStart w:id="399" w:name="_Toc368067614"/>
      <w:bookmarkStart w:id="400" w:name="_Toc369179386"/>
      <w:bookmarkStart w:id="401" w:name="_Toc369250105"/>
      <w:bookmarkStart w:id="402" w:name="_Toc374364960"/>
      <w:bookmarkStart w:id="403" w:name="_Toc369273442"/>
      <w:bookmarkStart w:id="404" w:name="_Toc370234422"/>
      <w:bookmarkStart w:id="405" w:name="_Toc369555631"/>
      <w:r>
        <w:rPr>
          <w:rFonts w:hint="eastAsia" w:ascii="Times New Roman" w:hAnsi="Times New Roman"/>
          <w:b w:val="0"/>
        </w:rPr>
        <w:t>6.3  科研与应用</w:t>
      </w:r>
      <w:bookmarkEnd w:id="396"/>
      <w:bookmarkEnd w:id="397"/>
      <w:bookmarkEnd w:id="398"/>
      <w:bookmarkEnd w:id="399"/>
      <w:bookmarkEnd w:id="400"/>
      <w:bookmarkEnd w:id="401"/>
      <w:bookmarkEnd w:id="402"/>
      <w:bookmarkEnd w:id="403"/>
      <w:bookmarkEnd w:id="404"/>
      <w:bookmarkEnd w:id="405"/>
    </w:p>
    <w:p>
      <w:pPr>
        <w:spacing w:line="560" w:lineRule="exact"/>
        <w:outlineLvl w:val="2"/>
        <w:rPr>
          <w:rFonts w:hint="eastAsia" w:eastAsia="楷体"/>
          <w:b/>
          <w:sz w:val="32"/>
          <w:szCs w:val="32"/>
        </w:rPr>
      </w:pPr>
      <w:bookmarkStart w:id="406" w:name="_Toc374364961"/>
      <w:bookmarkStart w:id="407" w:name="_Toc369179387"/>
      <w:bookmarkStart w:id="408" w:name="_Toc369209893"/>
      <w:bookmarkStart w:id="409" w:name="_Toc369273443"/>
      <w:bookmarkStart w:id="410" w:name="_Toc369460886"/>
      <w:bookmarkStart w:id="411" w:name="_Toc370234423"/>
      <w:bookmarkStart w:id="412" w:name="_Toc369303728"/>
      <w:bookmarkStart w:id="413" w:name="_Toc369250106"/>
      <w:bookmarkStart w:id="414" w:name="_Toc369555632"/>
      <w:r>
        <w:rPr>
          <w:rFonts w:hint="eastAsia" w:eastAsia="楷体"/>
          <w:b/>
          <w:sz w:val="32"/>
          <w:szCs w:val="32"/>
        </w:rPr>
        <w:t>6.3.1  技术研发</w:t>
      </w:r>
      <w:bookmarkEnd w:id="406"/>
      <w:bookmarkEnd w:id="407"/>
      <w:bookmarkEnd w:id="408"/>
      <w:bookmarkEnd w:id="409"/>
      <w:bookmarkEnd w:id="410"/>
      <w:bookmarkEnd w:id="411"/>
      <w:bookmarkEnd w:id="412"/>
      <w:bookmarkEnd w:id="413"/>
      <w:bookmarkEnd w:id="414"/>
    </w:p>
    <w:p>
      <w:pPr>
        <w:spacing w:line="560" w:lineRule="exact"/>
        <w:ind w:firstLine="640" w:firstLineChars="200"/>
        <w:rPr>
          <w:rFonts w:hint="eastAsia" w:eastAsia="仿宋_GB2312"/>
          <w:sz w:val="32"/>
          <w:szCs w:val="32"/>
        </w:rPr>
      </w:pPr>
      <w:r>
        <w:rPr>
          <w:rFonts w:hint="eastAsia" w:eastAsia="仿宋_GB2312"/>
          <w:sz w:val="32"/>
          <w:szCs w:val="32"/>
        </w:rPr>
        <w:t>以支撑环境质量和提高产业核心竞争力为目标，加快关键技术创新研发，重点在节能、废水处理、烟气控制治理、固废资源化、环保新材料、环境监测仪器等领域攻克一批关键共性技术及装备，推动先进技术产业化、规模化，加快关键装备国产化，形成产业发展优势。以提高产品附加值和市场占有率为目标，重点发展基础条件好、市场潜力大、整体带动性强的节能装备产品、水污染防治装备、大气污染防治装备、固体废弃物处置和资源综合利用装备。</w:t>
      </w:r>
    </w:p>
    <w:p>
      <w:pPr>
        <w:spacing w:line="560" w:lineRule="exact"/>
        <w:outlineLvl w:val="2"/>
        <w:rPr>
          <w:rFonts w:hint="eastAsia" w:eastAsia="楷体"/>
          <w:b/>
          <w:sz w:val="32"/>
          <w:szCs w:val="32"/>
        </w:rPr>
      </w:pPr>
      <w:bookmarkStart w:id="415" w:name="_Toc369209895"/>
      <w:bookmarkStart w:id="416" w:name="_Toc374364962"/>
      <w:bookmarkStart w:id="417" w:name="_Toc370234424"/>
      <w:bookmarkStart w:id="418" w:name="_Toc369273445"/>
      <w:bookmarkStart w:id="419" w:name="_Toc369460887"/>
      <w:bookmarkStart w:id="420" w:name="_Toc369555633"/>
      <w:bookmarkStart w:id="421" w:name="_Toc369250108"/>
      <w:bookmarkStart w:id="422" w:name="_Toc369179389"/>
      <w:bookmarkStart w:id="423" w:name="_Toc369303729"/>
      <w:r>
        <w:rPr>
          <w:rFonts w:hint="eastAsia" w:eastAsia="楷体"/>
          <w:b/>
          <w:sz w:val="32"/>
          <w:szCs w:val="32"/>
        </w:rPr>
        <w:t>6.3.2  载体创新</w:t>
      </w:r>
      <w:bookmarkEnd w:id="415"/>
      <w:bookmarkEnd w:id="416"/>
      <w:bookmarkEnd w:id="417"/>
      <w:bookmarkEnd w:id="418"/>
      <w:bookmarkEnd w:id="419"/>
      <w:bookmarkEnd w:id="420"/>
      <w:bookmarkEnd w:id="421"/>
      <w:bookmarkEnd w:id="422"/>
      <w:bookmarkEnd w:id="423"/>
    </w:p>
    <w:p>
      <w:pPr>
        <w:spacing w:line="560" w:lineRule="exact"/>
        <w:ind w:firstLine="640" w:firstLineChars="200"/>
        <w:rPr>
          <w:rFonts w:hint="eastAsia" w:eastAsia="仿宋_GB2312"/>
          <w:sz w:val="32"/>
          <w:szCs w:val="32"/>
        </w:rPr>
      </w:pPr>
      <w:r>
        <w:rPr>
          <w:rFonts w:hint="eastAsia" w:eastAsia="仿宋_GB2312"/>
          <w:sz w:val="32"/>
          <w:szCs w:val="32"/>
        </w:rPr>
        <w:t>深化新特产业园区“四平台、七中心”建设，充分发挥国家级和省部级重点实验室、工程研究中心等创新平台作用。依托高等院校、科研院所、战略联盟、大型企业等，推进资源整合，共建共享公共服务平台。加强企业研发平台建设，支持龙头骨干企业建设技术研究院，支持大中型企业普遍建立工程技术研究中心、技术中心、院士工作站、博士后工作站。大力开展产学研用合作。充分发挥企业技术创新主体作用，鼓励企业以应用为主导，与国内外高等院校和科研院所打造产学研用合作新模式，构建利益共同体，形成合作长效机制。完善科技创新评价机制、激励机制、转化机制，建设技术转移服务平台，加快科技成果转化的步伐。</w:t>
      </w:r>
      <w:bookmarkStart w:id="424" w:name="_Toc369250107"/>
      <w:bookmarkStart w:id="425" w:name="_Toc369303730"/>
      <w:bookmarkStart w:id="426" w:name="_Toc369179388"/>
      <w:bookmarkStart w:id="427" w:name="_Toc369209894"/>
      <w:bookmarkStart w:id="428" w:name="_Toc369273444"/>
    </w:p>
    <w:p>
      <w:pPr>
        <w:spacing w:line="560" w:lineRule="exact"/>
        <w:outlineLvl w:val="2"/>
        <w:rPr>
          <w:rFonts w:hint="eastAsia" w:eastAsia="楷体"/>
          <w:b/>
          <w:sz w:val="32"/>
          <w:szCs w:val="32"/>
        </w:rPr>
      </w:pPr>
      <w:bookmarkStart w:id="429" w:name="_Toc369555634"/>
      <w:bookmarkStart w:id="430" w:name="_Toc369460888"/>
      <w:bookmarkStart w:id="431" w:name="_Toc370234425"/>
      <w:bookmarkStart w:id="432" w:name="_Toc374364963"/>
      <w:r>
        <w:rPr>
          <w:rFonts w:hint="eastAsia" w:eastAsia="楷体"/>
          <w:b/>
          <w:sz w:val="32"/>
          <w:szCs w:val="32"/>
        </w:rPr>
        <w:t>6.3.3  国际合作</w:t>
      </w:r>
      <w:bookmarkEnd w:id="424"/>
      <w:bookmarkEnd w:id="425"/>
      <w:bookmarkEnd w:id="426"/>
      <w:bookmarkEnd w:id="427"/>
      <w:bookmarkEnd w:id="428"/>
      <w:bookmarkEnd w:id="429"/>
      <w:bookmarkEnd w:id="430"/>
      <w:bookmarkEnd w:id="431"/>
      <w:bookmarkEnd w:id="432"/>
    </w:p>
    <w:p>
      <w:pPr>
        <w:spacing w:line="560" w:lineRule="exact"/>
        <w:ind w:firstLine="640" w:firstLineChars="200"/>
        <w:rPr>
          <w:rFonts w:hint="eastAsia" w:eastAsia="仿宋_GB2312"/>
          <w:sz w:val="32"/>
          <w:szCs w:val="32"/>
        </w:rPr>
      </w:pPr>
      <w:r>
        <w:rPr>
          <w:rFonts w:hint="eastAsia" w:eastAsia="仿宋_GB2312"/>
          <w:sz w:val="32"/>
          <w:szCs w:val="32"/>
        </w:rPr>
        <w:t>在盐城环保科技城建设节能环保产业中外（中日韩、中美欧）科技合作基地，将其打造成为外资企业进军中国大陆特别是抢滩长三角市场的桥头堡，争夺国际合作总部、生产基地、联合技术研发中心等重大项目入驻，形成我国重要的节能环保产业国际合作高地。扩大盐城国际环保产业博览会成果，积极争取主办或协办中国节能环保产业合作峰会、国际环保展览会等国际国内大型展会，大力支持国际学术组织、产业组织和公益组织等到盐城搭建国际交流合作平台，建立稳固的国际交流合作渠道。积极开展“走出去”活动，有计划、有目的地开展行业性的赴外交流活动，鼓励具有比较优势的企业境外设立生产加工基地，积极开拓国际市场，提升盐城市节能环保产业的国际知名度。</w:t>
      </w:r>
      <w:bookmarkStart w:id="433" w:name="_Toc368067641"/>
      <w:bookmarkStart w:id="434" w:name="_Toc367802629"/>
    </w:p>
    <w:p>
      <w:pPr>
        <w:pStyle w:val="2"/>
        <w:keepNext w:val="0"/>
        <w:keepLines w:val="0"/>
        <w:spacing w:before="120" w:beforeLines="50" w:after="120" w:afterLines="50" w:line="560" w:lineRule="exact"/>
        <w:jc w:val="center"/>
        <w:rPr>
          <w:rFonts w:hint="eastAsia" w:eastAsia="方正小标宋_GBK"/>
          <w:b w:val="0"/>
        </w:rPr>
      </w:pPr>
      <w:bookmarkStart w:id="435" w:name="_Toc369555635"/>
      <w:r>
        <w:rPr>
          <w:rFonts w:eastAsia="方正小标宋_GBK"/>
          <w:b w:val="0"/>
        </w:rPr>
        <w:br w:type="page"/>
      </w:r>
      <w:bookmarkStart w:id="436" w:name="_Toc374364964"/>
      <w:bookmarkStart w:id="437" w:name="_Toc370234426"/>
      <w:r>
        <w:rPr>
          <w:rFonts w:hint="eastAsia" w:eastAsia="方正小标宋_GBK"/>
          <w:b w:val="0"/>
        </w:rPr>
        <w:t>第七章  生态制度</w:t>
      </w:r>
      <w:bookmarkEnd w:id="436"/>
    </w:p>
    <w:p>
      <w:pPr>
        <w:spacing w:line="560" w:lineRule="exact"/>
        <w:ind w:firstLine="640" w:firstLineChars="200"/>
        <w:rPr>
          <w:rFonts w:hint="eastAsia" w:eastAsia="仿宋_GB2312"/>
          <w:sz w:val="32"/>
          <w:szCs w:val="32"/>
        </w:rPr>
      </w:pPr>
      <w:r>
        <w:rPr>
          <w:rFonts w:eastAsia="仿宋_GB2312"/>
          <w:sz w:val="32"/>
          <w:szCs w:val="32"/>
        </w:rPr>
        <w:t>紧紧围绕建设</w:t>
      </w:r>
      <w:r>
        <w:rPr>
          <w:rFonts w:hint="eastAsia" w:eastAsia="仿宋_GB2312"/>
          <w:sz w:val="32"/>
          <w:szCs w:val="32"/>
        </w:rPr>
        <w:t>生态盐城目标，将制度创新作为生态文明建设的重要保障，坚持先进文化的前进方向，加大生态文明宣传教育，增强生态文化软实力，加快建成与生态文明建设相匹配的制度体系，积极培育富有时代特征、盐城特色的生态文化，不断提高人民群众的生态意识。</w:t>
      </w:r>
    </w:p>
    <w:p>
      <w:pPr>
        <w:pStyle w:val="3"/>
        <w:keepNext w:val="0"/>
        <w:keepLines w:val="0"/>
        <w:spacing w:before="120" w:beforeLines="50" w:after="120" w:afterLines="50" w:line="560" w:lineRule="exact"/>
        <w:rPr>
          <w:rFonts w:hint="eastAsia" w:ascii="Times New Roman" w:hAnsi="Times New Roman"/>
          <w:b w:val="0"/>
        </w:rPr>
      </w:pPr>
      <w:bookmarkStart w:id="438" w:name="_Toc374364965"/>
      <w:r>
        <w:rPr>
          <w:rFonts w:hint="eastAsia" w:ascii="Times New Roman" w:hAnsi="Times New Roman"/>
          <w:b w:val="0"/>
        </w:rPr>
        <w:t>7.1  生态制度建设</w:t>
      </w:r>
      <w:bookmarkEnd w:id="438"/>
    </w:p>
    <w:p>
      <w:pPr>
        <w:spacing w:line="560" w:lineRule="exact"/>
        <w:ind w:firstLine="640" w:firstLineChars="200"/>
        <w:rPr>
          <w:rFonts w:hint="eastAsia" w:eastAsia="仿宋_GB2312"/>
          <w:sz w:val="32"/>
          <w:szCs w:val="32"/>
        </w:rPr>
      </w:pPr>
      <w:r>
        <w:rPr>
          <w:rFonts w:eastAsia="仿宋_GB2312"/>
          <w:sz w:val="32"/>
          <w:szCs w:val="32"/>
        </w:rPr>
        <w:t>深化生态文明体制改革，</w:t>
      </w:r>
      <w:r>
        <w:rPr>
          <w:rFonts w:hint="eastAsia" w:eastAsia="仿宋_GB2312"/>
          <w:sz w:val="32"/>
          <w:szCs w:val="32"/>
        </w:rPr>
        <w:t>把资源消耗、环境损害、生态效益纳入经济社会发展体系，健全政府责任、环境资源管理、公众参与、法律保障制度，建立系统完整的生态文明制度体制，</w:t>
      </w:r>
      <w:r>
        <w:rPr>
          <w:rFonts w:eastAsia="仿宋_GB2312"/>
          <w:sz w:val="32"/>
          <w:szCs w:val="32"/>
        </w:rPr>
        <w:t>建立健全严格的生态监管体系和生态考核体系，努力形成民主科学、制度完善、法制健全、监管有序的资源节约和环境保护的体制机制，为生态文明建设提供有利的制度保障和依据，</w:t>
      </w:r>
      <w:r>
        <w:rPr>
          <w:rFonts w:hint="eastAsia" w:eastAsia="仿宋_GB2312"/>
          <w:sz w:val="32"/>
          <w:szCs w:val="32"/>
        </w:rPr>
        <w:t>形成推进生态文明建设的长效机制。</w:t>
      </w:r>
    </w:p>
    <w:p>
      <w:pPr>
        <w:spacing w:line="560" w:lineRule="exact"/>
        <w:outlineLvl w:val="2"/>
        <w:rPr>
          <w:rFonts w:hint="eastAsia" w:eastAsia="楷体"/>
          <w:b/>
          <w:sz w:val="32"/>
          <w:szCs w:val="32"/>
        </w:rPr>
      </w:pPr>
      <w:bookmarkStart w:id="439" w:name="_Toc374364966"/>
      <w:r>
        <w:rPr>
          <w:rFonts w:hint="eastAsia" w:eastAsia="楷体"/>
          <w:b/>
          <w:sz w:val="32"/>
          <w:szCs w:val="32"/>
        </w:rPr>
        <w:t>7.1.1  政府责任制度体系</w:t>
      </w:r>
      <w:bookmarkEnd w:id="439"/>
    </w:p>
    <w:p>
      <w:pPr>
        <w:spacing w:line="560" w:lineRule="exact"/>
        <w:ind w:firstLine="643" w:firstLineChars="200"/>
        <w:rPr>
          <w:rFonts w:hint="eastAsia" w:eastAsia="仿宋_GB2312"/>
          <w:sz w:val="32"/>
          <w:szCs w:val="32"/>
        </w:rPr>
      </w:pPr>
      <w:r>
        <w:rPr>
          <w:rFonts w:hint="eastAsia" w:eastAsia="仿宋_GB2312"/>
          <w:b/>
          <w:sz w:val="32"/>
          <w:szCs w:val="32"/>
        </w:rPr>
        <w:t>健全制度体系。</w:t>
      </w:r>
      <w:r>
        <w:rPr>
          <w:rFonts w:eastAsia="仿宋_GB2312"/>
          <w:sz w:val="32"/>
          <w:szCs w:val="32"/>
        </w:rPr>
        <w:t>加强以“引导”和“预防”为主的政府生态化管理，进一步完善生态文明建设</w:t>
      </w:r>
      <w:r>
        <w:rPr>
          <w:rFonts w:hint="eastAsia" w:eastAsia="仿宋_GB2312"/>
          <w:sz w:val="32"/>
          <w:szCs w:val="32"/>
        </w:rPr>
        <w:t>地方性法规</w:t>
      </w:r>
      <w:r>
        <w:rPr>
          <w:rFonts w:eastAsia="仿宋_GB2312"/>
          <w:sz w:val="32"/>
          <w:szCs w:val="32"/>
        </w:rPr>
        <w:t>和政策措施，逐步建立符合科学发展、符合盐城实际的政策法规体系。</w:t>
      </w:r>
      <w:r>
        <w:rPr>
          <w:rFonts w:hint="eastAsia" w:eastAsia="仿宋_GB2312"/>
          <w:sz w:val="32"/>
          <w:szCs w:val="32"/>
        </w:rPr>
        <w:t>抓紧起草、提请审议出台国土空间开发保护、生态环境监管、生态补偿制度等地方性法规或政府规章，以及规范再生资源回收、引导绿色采购、发展绿色食品等方面的规章制度。制定配套鼓励政策，积极引导和扶持清洁生产、生态农业、再生资源、清洁能源、污染防治等项目建设。及时将成熟的政策上升为法规、规章。及时清理与生态文明建设相冲突或不利于生态文明建设的地方性法规、规章和规范性文件。</w:t>
      </w:r>
    </w:p>
    <w:p>
      <w:pPr>
        <w:spacing w:line="560" w:lineRule="exact"/>
        <w:ind w:firstLine="643" w:firstLineChars="200"/>
        <w:rPr>
          <w:rFonts w:hint="eastAsia" w:eastAsia="仿宋_GB2312"/>
          <w:sz w:val="32"/>
          <w:szCs w:val="32"/>
        </w:rPr>
      </w:pPr>
      <w:r>
        <w:rPr>
          <w:rFonts w:hint="eastAsia" w:eastAsia="仿宋_GB2312"/>
          <w:b/>
          <w:sz w:val="32"/>
          <w:szCs w:val="32"/>
        </w:rPr>
        <w:t>健全决策机制。</w:t>
      </w:r>
      <w:r>
        <w:rPr>
          <w:rFonts w:hint="eastAsia" w:eastAsia="仿宋_GB2312"/>
          <w:sz w:val="32"/>
          <w:szCs w:val="32"/>
        </w:rPr>
        <w:t>提升绿色决策水平创新决策理念，把环境、资源等生态因素作为各级党委、政府重大决策时重要评判依据。在重大事项和项目的决策过程中，优先考虑环境影响和生态效应。对涉及到影响群众环境权益的重大事项，严格执行集体决策、社情民意反映、专家咨询、公示听证、环境评价、责任追究等制度。加强人大、政协对生态文明建设工作的监督，定期听取审议地方政府生态文明建设工作报告。</w:t>
      </w:r>
    </w:p>
    <w:p>
      <w:pPr>
        <w:spacing w:line="560" w:lineRule="exact"/>
        <w:ind w:firstLine="643" w:firstLineChars="200"/>
        <w:rPr>
          <w:rFonts w:hint="eastAsia" w:eastAsia="仿宋_GB2312"/>
          <w:sz w:val="32"/>
          <w:szCs w:val="32"/>
        </w:rPr>
      </w:pPr>
      <w:r>
        <w:rPr>
          <w:rFonts w:hint="eastAsia" w:eastAsia="仿宋_GB2312"/>
          <w:b/>
          <w:sz w:val="32"/>
          <w:szCs w:val="32"/>
        </w:rPr>
        <w:t>健全</w:t>
      </w:r>
      <w:r>
        <w:rPr>
          <w:rFonts w:eastAsia="仿宋_GB2312"/>
          <w:b/>
          <w:sz w:val="32"/>
          <w:szCs w:val="32"/>
        </w:rPr>
        <w:t>绿色政绩</w:t>
      </w:r>
      <w:r>
        <w:rPr>
          <w:rFonts w:hint="eastAsia" w:eastAsia="仿宋_GB2312"/>
          <w:b/>
          <w:sz w:val="32"/>
          <w:szCs w:val="32"/>
        </w:rPr>
        <w:t>考评机制。</w:t>
      </w:r>
      <w:r>
        <w:rPr>
          <w:rFonts w:hint="eastAsia" w:eastAsia="仿宋_GB2312"/>
          <w:kern w:val="0"/>
          <w:sz w:val="32"/>
          <w:szCs w:val="32"/>
        </w:rPr>
        <w:t>牢固树立“环境是稀缺资源、更是珍贵财富”的价值理念，</w:t>
      </w:r>
      <w:r>
        <w:rPr>
          <w:rFonts w:hint="eastAsia" w:eastAsia="仿宋_GB2312"/>
          <w:sz w:val="32"/>
          <w:szCs w:val="32"/>
        </w:rPr>
        <w:t>把生态文明建设作为党政领导班子和主要领导干部实绩考核的重要内容。市生态文明建设领导小组办公室每年对规划实施情况进行考核。对主要任务完成较好、生态文明建设成绩突出的县（市、区）、部门和个人予以表彰，对未通过考核的县（市、区）、部门进行通报并追究责任。强化领导干部的生态文明意识，根据主体功能区定位探索设立不同的考核目标，增加生态文明相关指标权重，建立与生态文明建设相配套的考核指标体系。</w:t>
      </w:r>
    </w:p>
    <w:p>
      <w:pPr>
        <w:spacing w:line="560" w:lineRule="exact"/>
        <w:ind w:firstLine="643" w:firstLineChars="200"/>
        <w:rPr>
          <w:rFonts w:hint="eastAsia" w:eastAsia="仿宋_GB2312"/>
          <w:sz w:val="32"/>
          <w:szCs w:val="32"/>
        </w:rPr>
      </w:pPr>
      <w:r>
        <w:rPr>
          <w:rFonts w:hint="eastAsia" w:eastAsia="仿宋_GB2312"/>
          <w:b/>
          <w:sz w:val="32"/>
          <w:szCs w:val="32"/>
        </w:rPr>
        <w:t>健全</w:t>
      </w:r>
      <w:r>
        <w:rPr>
          <w:rFonts w:eastAsia="仿宋_GB2312"/>
          <w:b/>
          <w:sz w:val="32"/>
          <w:szCs w:val="32"/>
        </w:rPr>
        <w:t>行政激励约束机制。</w:t>
      </w:r>
      <w:r>
        <w:rPr>
          <w:rFonts w:eastAsia="仿宋_GB2312"/>
          <w:sz w:val="32"/>
          <w:szCs w:val="32"/>
        </w:rPr>
        <w:t>建立节能减排保证金制度，创新主要污染物排放总量分配模式，对排污总量超过水环境容量或水功能不达标的地区停发排污许可证，对超过污染物排放总量控制指标的单位和超过水、气环境功能要求的区域，一律停批新增总量的新建项目。对较好完成当年节能减排任务的地区给予表彰奖励，对提高能源利用效率、减少污染排放的企业给予政策扶持或资金补贴，并在企业环境行为评级、环境标识等方面给予支持和鼓励。</w:t>
      </w:r>
    </w:p>
    <w:p>
      <w:pPr>
        <w:spacing w:line="560" w:lineRule="exact"/>
        <w:outlineLvl w:val="2"/>
        <w:rPr>
          <w:rFonts w:hint="eastAsia" w:eastAsia="楷体"/>
          <w:b/>
          <w:sz w:val="32"/>
          <w:szCs w:val="32"/>
        </w:rPr>
      </w:pPr>
      <w:bookmarkStart w:id="440" w:name="_Toc374364967"/>
      <w:r>
        <w:rPr>
          <w:rFonts w:hint="eastAsia" w:eastAsia="楷体"/>
          <w:b/>
          <w:sz w:val="32"/>
          <w:szCs w:val="32"/>
        </w:rPr>
        <w:t xml:space="preserve">7.1.2  </w:t>
      </w:r>
      <w:r>
        <w:rPr>
          <w:rFonts w:eastAsia="楷体"/>
          <w:b/>
          <w:sz w:val="32"/>
          <w:szCs w:val="32"/>
        </w:rPr>
        <w:t>环境资源</w:t>
      </w:r>
      <w:r>
        <w:rPr>
          <w:rFonts w:hint="eastAsia" w:eastAsia="楷体"/>
          <w:b/>
          <w:sz w:val="32"/>
          <w:szCs w:val="32"/>
        </w:rPr>
        <w:t>管理制度</w:t>
      </w:r>
      <w:r>
        <w:rPr>
          <w:rFonts w:eastAsia="楷体"/>
          <w:b/>
          <w:sz w:val="32"/>
          <w:szCs w:val="32"/>
        </w:rPr>
        <w:t>体</w:t>
      </w:r>
      <w:r>
        <w:rPr>
          <w:rFonts w:hint="eastAsia" w:eastAsia="楷体"/>
          <w:b/>
          <w:sz w:val="32"/>
          <w:szCs w:val="32"/>
        </w:rPr>
        <w:t>系</w:t>
      </w:r>
      <w:bookmarkEnd w:id="440"/>
    </w:p>
    <w:p>
      <w:pPr>
        <w:spacing w:line="560" w:lineRule="exact"/>
        <w:ind w:firstLine="640" w:firstLineChars="200"/>
        <w:rPr>
          <w:rFonts w:hint="eastAsia" w:eastAsia="仿宋_GB2312"/>
          <w:sz w:val="32"/>
          <w:szCs w:val="32"/>
        </w:rPr>
      </w:pPr>
      <w:r>
        <w:rPr>
          <w:rFonts w:eastAsia="仿宋_GB2312"/>
          <w:sz w:val="32"/>
          <w:szCs w:val="32"/>
        </w:rPr>
        <w:t>运用价费、财政、信贷、保险等经济手段，促进资源节约利用，加大环境保护力度，降低环境保护成本，加快形成资源要素科学配置的体制机制，逐步建立运转高效的环境资源</w:t>
      </w:r>
      <w:r>
        <w:rPr>
          <w:rFonts w:hint="eastAsia" w:eastAsia="仿宋_GB2312"/>
          <w:sz w:val="32"/>
          <w:szCs w:val="32"/>
        </w:rPr>
        <w:t>管理</w:t>
      </w:r>
      <w:r>
        <w:rPr>
          <w:rFonts w:eastAsia="仿宋_GB2312"/>
          <w:sz w:val="32"/>
          <w:szCs w:val="32"/>
        </w:rPr>
        <w:t>制度体系。</w:t>
      </w:r>
    </w:p>
    <w:p>
      <w:pPr>
        <w:spacing w:line="560" w:lineRule="exact"/>
        <w:ind w:firstLine="643" w:firstLineChars="200"/>
        <w:rPr>
          <w:rFonts w:hint="eastAsia" w:eastAsia="仿宋_GB2312"/>
          <w:sz w:val="32"/>
          <w:szCs w:val="32"/>
        </w:rPr>
      </w:pPr>
      <w:r>
        <w:rPr>
          <w:rFonts w:hint="eastAsia" w:eastAsia="仿宋_GB2312"/>
          <w:b/>
          <w:sz w:val="32"/>
          <w:szCs w:val="32"/>
        </w:rPr>
        <w:t>建立多元化投入机制。</w:t>
      </w:r>
      <w:r>
        <w:rPr>
          <w:rFonts w:hint="eastAsia" w:eastAsia="仿宋_GB2312"/>
          <w:sz w:val="32"/>
          <w:szCs w:val="32"/>
        </w:rPr>
        <w:t>加大生态文明建设投入力度，拓宽投入渠道，建立“政府引导、市场运作、社会参与”的多元化投入机制。各级政府将生态文明建设列为公共财政支出重点，切实加大投入，确保公共财政每年用于环境保护和生态建设支出的增幅高于经济增长速度，确保公共财政每年用于环境保护和生态建设支出的增幅高于财政支出增长幅度。整合使用现有生态文明建设的相关专项资金，集中解决大气、水、土壤污染等环境保护突出问题。增设环境保护、生态建设方面的专项资金，重点支持通榆河流域、区域污染防治、生态保护、污水和垃圾处理等环境基础设施和监管能力建设。积极利用市场机制，拓宽资金投入渠道，强化“排污者付费、治污者受益”的利益导向，吸引外资、民间资本进入环境污染治理基础设施行业进行投资建设。充分利用现有政策，积极向国家、省争取基础设施等奖励资金。引导各类创业投资企业、股权投资企业、社会捐赠资金和国际援助资金对生态文明建设领域的投入。</w:t>
      </w:r>
    </w:p>
    <w:p>
      <w:pPr>
        <w:spacing w:line="560" w:lineRule="exact"/>
        <w:ind w:firstLine="643" w:firstLineChars="200"/>
        <w:rPr>
          <w:rFonts w:hint="eastAsia" w:eastAsia="仿宋_GB2312"/>
          <w:sz w:val="32"/>
          <w:szCs w:val="32"/>
        </w:rPr>
      </w:pPr>
      <w:r>
        <w:rPr>
          <w:rFonts w:hint="eastAsia" w:eastAsia="仿宋_GB2312"/>
          <w:b/>
          <w:sz w:val="32"/>
          <w:szCs w:val="32"/>
        </w:rPr>
        <w:t>加大环境资源税费改革。</w:t>
      </w:r>
      <w:r>
        <w:rPr>
          <w:rFonts w:hint="eastAsia" w:eastAsia="仿宋_GB2312"/>
          <w:sz w:val="32"/>
          <w:szCs w:val="32"/>
        </w:rPr>
        <w:t>深化资源性产品价格和税费改革，建立反映市场供求和资源稀缺程度的资源有偿使用制度，使有限的环境资源发挥最大的经济效益、社会效益和生态效益。推行环境影响评价制度，对重大决策、重大规划、重大项目认真组织开展环境影响评价，避免因决策不当对生态环境造成不可挽回的影响，切实维护群众的生态权益。严格执行城镇污水处理收费政策，尽快开征建制镇污水处理费，完善再生水价格、水资源费、排污费等价费政策。积极推进扬尘排污收费试点，逐步推行城市施工工地扬尘排污收费政策。对能耗超过国家和地区规定限额标准的行业及企业，加大差别化电价和惩罚性电价实施力度。制定农村环境基础设施运营经费保障机制，研究建立农村垃圾处理多渠道经费补偿机制，在农村集镇试行垃圾处理收费制度，对城乡统筹区域供水、垃圾处理、污水处理等农村环境基础设施运营给予政策支持。</w:t>
      </w:r>
    </w:p>
    <w:p>
      <w:pPr>
        <w:spacing w:line="560" w:lineRule="exact"/>
        <w:ind w:firstLine="643" w:firstLineChars="200"/>
        <w:rPr>
          <w:rFonts w:hint="eastAsia" w:eastAsia="仿宋_GB2312"/>
          <w:sz w:val="32"/>
          <w:szCs w:val="32"/>
        </w:rPr>
      </w:pPr>
      <w:r>
        <w:rPr>
          <w:rFonts w:hint="eastAsia" w:eastAsia="仿宋_GB2312"/>
          <w:b/>
          <w:sz w:val="32"/>
          <w:szCs w:val="32"/>
        </w:rPr>
        <w:t>完善生态补偿机制。</w:t>
      </w:r>
      <w:r>
        <w:rPr>
          <w:rFonts w:hint="eastAsia" w:eastAsia="仿宋_GB2312"/>
          <w:sz w:val="32"/>
          <w:szCs w:val="32"/>
        </w:rPr>
        <w:t>按照“谁保护、谁受益”，“谁改善、谁得益”，“谁贡献大、谁得益多”的原则，完善交界断面河流水量水质目标考核办法，建立辖区内的生态补偿机制，健全流域区域生态补偿资金管理，逐年提高资金额度，生态补偿金额与河流交界断面水质、大气环境质量、当地政府环保业绩等因子挂钩。重点提高通榆河沿岸保护水源的积极性和受益水平。</w:t>
      </w:r>
    </w:p>
    <w:p>
      <w:pPr>
        <w:spacing w:line="560" w:lineRule="exact"/>
        <w:outlineLvl w:val="2"/>
        <w:rPr>
          <w:rFonts w:hint="eastAsia" w:eastAsia="楷体"/>
          <w:b/>
          <w:sz w:val="32"/>
          <w:szCs w:val="32"/>
        </w:rPr>
      </w:pPr>
      <w:bookmarkStart w:id="441" w:name="_Toc374364968"/>
      <w:r>
        <w:rPr>
          <w:rFonts w:hint="eastAsia" w:eastAsia="楷体"/>
          <w:b/>
          <w:sz w:val="32"/>
          <w:szCs w:val="32"/>
        </w:rPr>
        <w:t>7.</w:t>
      </w:r>
      <w:r>
        <w:rPr>
          <w:rFonts w:eastAsia="楷体"/>
          <w:b/>
          <w:sz w:val="32"/>
          <w:szCs w:val="32"/>
        </w:rPr>
        <w:t>1.3  公众参与体制机制</w:t>
      </w:r>
      <w:bookmarkEnd w:id="441"/>
    </w:p>
    <w:p>
      <w:pPr>
        <w:spacing w:line="560" w:lineRule="exact"/>
        <w:ind w:firstLine="640" w:firstLineChars="200"/>
        <w:rPr>
          <w:rFonts w:eastAsia="仿宋_GB2312"/>
          <w:sz w:val="32"/>
          <w:szCs w:val="32"/>
        </w:rPr>
      </w:pPr>
      <w:r>
        <w:rPr>
          <w:rFonts w:eastAsia="仿宋_GB2312"/>
          <w:sz w:val="32"/>
          <w:szCs w:val="32"/>
        </w:rPr>
        <w:t>强化引导公众参与生态文明建设，创造有利、宽松的政策环境，加强和完善公众参与的支持保障措施，发展壮大生态文明建设的社会力量，逐步建立起良性的公众参与互动机制。</w:t>
      </w:r>
    </w:p>
    <w:p>
      <w:pPr>
        <w:spacing w:line="560" w:lineRule="exact"/>
        <w:ind w:firstLine="643" w:firstLineChars="200"/>
        <w:rPr>
          <w:rFonts w:hint="eastAsia" w:eastAsia="仿宋_GB2312"/>
          <w:b/>
          <w:sz w:val="32"/>
          <w:szCs w:val="32"/>
        </w:rPr>
      </w:pPr>
      <w:r>
        <w:rPr>
          <w:rFonts w:eastAsia="仿宋_GB2312"/>
          <w:b/>
          <w:sz w:val="32"/>
          <w:szCs w:val="32"/>
        </w:rPr>
        <w:t>建立环境信息公开制度。</w:t>
      </w:r>
      <w:r>
        <w:rPr>
          <w:rFonts w:eastAsia="仿宋_GB2312"/>
          <w:sz w:val="32"/>
          <w:szCs w:val="32"/>
        </w:rPr>
        <w:t>推进政府及时准确公开环境信息，建立环境信息公开工作考核制度和问责制度。建立完善政府与民众之间的信息沟通机制，畅通信息公开的渠道，保障公众对环境信息的知情权、参与权和监督权。制定出台鼓励措施，引导市民提出积极的资源节约、环境保护意见，建立公众与政府信息互动的工作机制。</w:t>
      </w:r>
    </w:p>
    <w:p>
      <w:pPr>
        <w:spacing w:line="560" w:lineRule="exact"/>
        <w:ind w:firstLine="643" w:firstLineChars="200"/>
        <w:rPr>
          <w:rFonts w:hint="eastAsia" w:eastAsia="仿宋_GB2312"/>
          <w:sz w:val="32"/>
          <w:szCs w:val="32"/>
        </w:rPr>
      </w:pPr>
      <w:r>
        <w:rPr>
          <w:rFonts w:hint="eastAsia" w:eastAsia="仿宋_GB2312"/>
          <w:b/>
          <w:sz w:val="32"/>
          <w:szCs w:val="32"/>
        </w:rPr>
        <w:t>健全</w:t>
      </w:r>
      <w:r>
        <w:rPr>
          <w:rFonts w:eastAsia="仿宋_GB2312"/>
          <w:b/>
          <w:sz w:val="32"/>
          <w:szCs w:val="32"/>
        </w:rPr>
        <w:t>公众参与监督机制。</w:t>
      </w:r>
      <w:r>
        <w:rPr>
          <w:rFonts w:eastAsia="仿宋_GB2312"/>
          <w:sz w:val="32"/>
          <w:szCs w:val="32"/>
        </w:rPr>
        <w:t>建立环境公益诉讼制度，完善环境影响评价制度。通过听证会、论证会等形式听取公众意见，为公众参与生态建设搭建平台，强化社会评议。积极引导公众在享受资源环境权益的同时，自觉履行保护资源环境的法定义务。着力营造良好的法律制度环境，形成政府管制、市场调节和社会监督相结合的资源环境保护综合机制。建立健全公众参与重大行政决策的规则和程序，增强行政决策的透明度和公众参与度。</w:t>
      </w:r>
    </w:p>
    <w:p>
      <w:pPr>
        <w:spacing w:line="560" w:lineRule="exact"/>
        <w:ind w:firstLine="643" w:firstLineChars="200"/>
        <w:rPr>
          <w:rFonts w:hint="eastAsia" w:eastAsia="仿宋_GB2312"/>
          <w:sz w:val="32"/>
          <w:szCs w:val="32"/>
        </w:rPr>
      </w:pPr>
      <w:r>
        <w:rPr>
          <w:rFonts w:eastAsia="仿宋_GB2312"/>
          <w:b/>
          <w:sz w:val="32"/>
          <w:szCs w:val="32"/>
        </w:rPr>
        <w:t>建立环保社会团体的培育机制。</w:t>
      </w:r>
      <w:r>
        <w:rPr>
          <w:rFonts w:eastAsia="仿宋_GB2312"/>
          <w:sz w:val="32"/>
          <w:szCs w:val="32"/>
        </w:rPr>
        <w:t>建立环保NGO（非营利性民间组织）基金，有计划的培育发展一批环保NGO典型，定期举办环保NGO人员培训，提高环保NGO人员的素质和专业水平。改革和完善现行民间组织登记注册和管理制度，研究制定扶持环保NGO发展的税收、财政等政策措施。建立公众激励机制，对积极赞助NGO组织的企业、个人给予公开表扬、表彰，鼓励公众投身环保NGO发展。</w:t>
      </w:r>
    </w:p>
    <w:p>
      <w:pPr>
        <w:spacing w:line="560" w:lineRule="exact"/>
        <w:outlineLvl w:val="2"/>
        <w:rPr>
          <w:rFonts w:hint="eastAsia" w:eastAsia="楷体"/>
          <w:b/>
          <w:sz w:val="32"/>
          <w:szCs w:val="32"/>
        </w:rPr>
      </w:pPr>
      <w:bookmarkStart w:id="442" w:name="_Toc374364969"/>
      <w:r>
        <w:rPr>
          <w:rFonts w:hint="eastAsia" w:eastAsia="楷体"/>
          <w:b/>
          <w:sz w:val="32"/>
          <w:szCs w:val="32"/>
        </w:rPr>
        <w:t>7.1.4  法律保障制度体系</w:t>
      </w:r>
      <w:bookmarkEnd w:id="442"/>
    </w:p>
    <w:p>
      <w:pPr>
        <w:spacing w:line="520" w:lineRule="exact"/>
        <w:ind w:firstLine="630" w:firstLineChars="196"/>
        <w:rPr>
          <w:rFonts w:hint="eastAsia" w:eastAsia="仿宋_GB2312"/>
          <w:sz w:val="32"/>
          <w:szCs w:val="32"/>
        </w:rPr>
      </w:pPr>
      <w:r>
        <w:rPr>
          <w:rFonts w:hint="eastAsia" w:eastAsia="仿宋_GB2312"/>
          <w:b/>
          <w:sz w:val="32"/>
          <w:szCs w:val="32"/>
        </w:rPr>
        <w:t>加强环境保护领域矛盾纠纷的调处工作。</w:t>
      </w:r>
      <w:r>
        <w:rPr>
          <w:rFonts w:hint="eastAsia" w:eastAsia="仿宋_GB2312"/>
          <w:sz w:val="32"/>
          <w:szCs w:val="32"/>
        </w:rPr>
        <w:t>进一步畅通环保投诉渠道，及时处理污染事故和矛盾纠纷。建立健全环境纠纷排查报告、研判分析、信息交流、联动处置机制，在环境纠纷多发地区建立专业调解组织，及时有效化解各类环境纠纷。</w:t>
      </w:r>
    </w:p>
    <w:p>
      <w:pPr>
        <w:spacing w:line="520" w:lineRule="exact"/>
        <w:ind w:firstLine="630" w:firstLineChars="196"/>
        <w:rPr>
          <w:rFonts w:hint="eastAsia" w:eastAsia="仿宋_GB2312"/>
          <w:sz w:val="32"/>
          <w:szCs w:val="32"/>
        </w:rPr>
      </w:pPr>
      <w:r>
        <w:rPr>
          <w:rFonts w:hint="eastAsia" w:eastAsia="仿宋_GB2312"/>
          <w:b/>
          <w:sz w:val="32"/>
          <w:szCs w:val="32"/>
        </w:rPr>
        <w:t>建立和完善环境公益诉讼制度。</w:t>
      </w:r>
      <w:r>
        <w:rPr>
          <w:rFonts w:hint="eastAsia" w:eastAsia="仿宋_GB2312"/>
          <w:sz w:val="32"/>
          <w:szCs w:val="32"/>
        </w:rPr>
        <w:t>开展环境保护案件集中化审判工作，将涉及环境保护领域的刑事、民事、行政类案件进行集中化审判，推进环境保护案件审理专业化水平。加大环保法律援助工作力度，建立环保纠纷调解与法律援助对接机制，引导和帮助群众通过法治渠道解决问题，切实维护群众的合法环境权益。积极运用民事行政检察职能加强生态环境保护；探索推进环境公益诉讼的有效途径；建立切实有效的环境损害评估制度，严格追究环境侵权者的民事责任、行政责任和刑事责任，保障公众的环境权益。</w:t>
      </w:r>
    </w:p>
    <w:p>
      <w:pPr>
        <w:spacing w:line="520" w:lineRule="exact"/>
        <w:ind w:firstLine="643" w:firstLineChars="200"/>
        <w:rPr>
          <w:rFonts w:hint="eastAsia" w:eastAsia="仿宋_GB2312"/>
          <w:sz w:val="32"/>
          <w:szCs w:val="32"/>
        </w:rPr>
      </w:pPr>
      <w:r>
        <w:rPr>
          <w:rFonts w:hint="eastAsia" w:eastAsia="仿宋_GB2312"/>
          <w:b/>
          <w:sz w:val="32"/>
          <w:szCs w:val="32"/>
        </w:rPr>
        <w:t>推进企业生态责任体系建设。</w:t>
      </w:r>
      <w:r>
        <w:rPr>
          <w:rFonts w:hint="eastAsia" w:eastAsia="仿宋_GB2312"/>
          <w:sz w:val="32"/>
          <w:szCs w:val="32"/>
        </w:rPr>
        <w:t>逐步制定和完善企业责任制度，明确</w:t>
      </w:r>
      <w:r>
        <w:rPr>
          <w:rFonts w:eastAsia="仿宋_GB2312"/>
          <w:sz w:val="32"/>
          <w:szCs w:val="32"/>
        </w:rPr>
        <w:t>企业的</w:t>
      </w:r>
      <w:r>
        <w:rPr>
          <w:rFonts w:hint="eastAsia" w:eastAsia="仿宋_GB2312"/>
          <w:sz w:val="32"/>
          <w:szCs w:val="32"/>
        </w:rPr>
        <w:t>生态</w:t>
      </w:r>
      <w:r>
        <w:rPr>
          <w:rFonts w:eastAsia="仿宋_GB2312"/>
          <w:sz w:val="32"/>
          <w:szCs w:val="32"/>
        </w:rPr>
        <w:t>环境责任，提高企业环境守法意识，规范环境管理制度，</w:t>
      </w:r>
      <w:r>
        <w:rPr>
          <w:rFonts w:hint="eastAsia" w:eastAsia="仿宋_GB2312"/>
          <w:sz w:val="32"/>
          <w:szCs w:val="32"/>
        </w:rPr>
        <w:t>培育企业生态文化，</w:t>
      </w:r>
      <w:r>
        <w:rPr>
          <w:rFonts w:eastAsia="仿宋_GB2312"/>
          <w:sz w:val="32"/>
          <w:szCs w:val="32"/>
        </w:rPr>
        <w:t>健全</w:t>
      </w:r>
      <w:r>
        <w:rPr>
          <w:rFonts w:hint="eastAsia" w:eastAsia="仿宋_GB2312"/>
          <w:sz w:val="32"/>
          <w:szCs w:val="32"/>
        </w:rPr>
        <w:t>企业环保</w:t>
      </w:r>
      <w:r>
        <w:rPr>
          <w:rFonts w:eastAsia="仿宋_GB2312"/>
          <w:sz w:val="32"/>
          <w:szCs w:val="32"/>
        </w:rPr>
        <w:t>奖惩机制，强化节能减排自觉行动，提高资源利用效率，发挥企业在微观环境管理中的主导作用。</w:t>
      </w:r>
      <w:r>
        <w:rPr>
          <w:rFonts w:hint="eastAsia" w:eastAsia="仿宋_GB2312"/>
          <w:sz w:val="32"/>
          <w:szCs w:val="32"/>
        </w:rPr>
        <w:t>延伸企业产品的环境污染责任，建立废弃产品回收、安全处置、资源化利用的企业产品环境管理体系。</w:t>
      </w:r>
      <w:r>
        <w:rPr>
          <w:rFonts w:eastAsia="仿宋_GB2312"/>
          <w:sz w:val="32"/>
          <w:szCs w:val="32"/>
        </w:rPr>
        <w:t>建立资源回收利用制度，鼓励企业建设废物回用设施。建立企业污染减排制度，推动企业</w:t>
      </w:r>
      <w:r>
        <w:rPr>
          <w:rFonts w:hint="eastAsia" w:eastAsia="仿宋_GB2312"/>
          <w:sz w:val="32"/>
          <w:szCs w:val="32"/>
        </w:rPr>
        <w:t>积极开展</w:t>
      </w:r>
      <w:r>
        <w:rPr>
          <w:rFonts w:eastAsia="仿宋_GB2312"/>
          <w:sz w:val="32"/>
          <w:szCs w:val="32"/>
        </w:rPr>
        <w:t>清洁生产</w:t>
      </w:r>
      <w:r>
        <w:rPr>
          <w:rFonts w:hint="eastAsia" w:eastAsia="仿宋_GB2312"/>
          <w:sz w:val="32"/>
          <w:szCs w:val="32"/>
        </w:rPr>
        <w:t>和</w:t>
      </w:r>
      <w:r>
        <w:rPr>
          <w:rFonts w:eastAsia="仿宋_GB2312"/>
          <w:sz w:val="32"/>
          <w:szCs w:val="32"/>
        </w:rPr>
        <w:t>环境标志认证。建立企业环境行为公开制度，定期向社会公布企业环境行为评估结果</w:t>
      </w:r>
      <w:r>
        <w:rPr>
          <w:rFonts w:hint="eastAsia" w:eastAsia="仿宋_GB2312"/>
          <w:sz w:val="32"/>
          <w:szCs w:val="32"/>
        </w:rPr>
        <w:t>。</w:t>
      </w:r>
    </w:p>
    <w:p>
      <w:pPr>
        <w:pStyle w:val="3"/>
        <w:keepNext w:val="0"/>
        <w:keepLines w:val="0"/>
        <w:spacing w:before="120" w:beforeLines="50" w:after="120" w:afterLines="50" w:line="560" w:lineRule="exact"/>
        <w:rPr>
          <w:rFonts w:hint="eastAsia" w:ascii="Times New Roman" w:hAnsi="Times New Roman"/>
          <w:b w:val="0"/>
        </w:rPr>
      </w:pPr>
      <w:bookmarkStart w:id="443" w:name="_Toc374364970"/>
      <w:r>
        <w:rPr>
          <w:rFonts w:hint="eastAsia" w:ascii="Times New Roman" w:hAnsi="Times New Roman"/>
          <w:b w:val="0"/>
        </w:rPr>
        <w:t>7.2  弘扬生态文化</w:t>
      </w:r>
      <w:bookmarkEnd w:id="443"/>
    </w:p>
    <w:p>
      <w:pPr>
        <w:spacing w:line="560" w:lineRule="exact"/>
        <w:ind w:firstLine="640" w:firstLineChars="200"/>
        <w:rPr>
          <w:rFonts w:hint="eastAsia" w:eastAsia="仿宋_GB2312"/>
          <w:sz w:val="32"/>
          <w:szCs w:val="32"/>
        </w:rPr>
      </w:pPr>
      <w:r>
        <w:rPr>
          <w:rFonts w:hint="eastAsia" w:eastAsia="仿宋_GB2312"/>
          <w:sz w:val="32"/>
          <w:szCs w:val="32"/>
        </w:rPr>
        <w:t>推动生态文明建设与文化建设有机融合，深化文化体制改革，完善文化管理体制，建立健全现代文化市场体系，构建现代公共文化服务体系。将弘扬传统文化和促进文化交流相结合，不断加强理论研究，建设文化强市，增强文化软实力。</w:t>
      </w:r>
    </w:p>
    <w:p>
      <w:pPr>
        <w:spacing w:line="560" w:lineRule="exact"/>
        <w:outlineLvl w:val="2"/>
        <w:rPr>
          <w:rFonts w:hint="eastAsia" w:eastAsia="楷体"/>
          <w:b/>
          <w:sz w:val="32"/>
          <w:szCs w:val="32"/>
        </w:rPr>
      </w:pPr>
      <w:bookmarkStart w:id="444" w:name="_Toc374364971"/>
      <w:r>
        <w:rPr>
          <w:rFonts w:hint="eastAsia" w:eastAsia="楷体"/>
          <w:b/>
          <w:sz w:val="32"/>
          <w:szCs w:val="32"/>
        </w:rPr>
        <w:t>7.2.1  繁荣生态文化</w:t>
      </w:r>
      <w:bookmarkEnd w:id="444"/>
    </w:p>
    <w:p>
      <w:pPr>
        <w:spacing w:line="560" w:lineRule="exact"/>
        <w:ind w:firstLine="640" w:firstLineChars="200"/>
        <w:rPr>
          <w:rFonts w:hint="eastAsia" w:eastAsia="仿宋_GB2312"/>
          <w:sz w:val="32"/>
          <w:szCs w:val="32"/>
        </w:rPr>
      </w:pPr>
      <w:r>
        <w:rPr>
          <w:rFonts w:hint="eastAsia" w:eastAsia="仿宋_GB2312"/>
          <w:sz w:val="32"/>
          <w:szCs w:val="32"/>
        </w:rPr>
        <w:t>把弘扬传统生态文化、现代生态理念结合起来，紧密联系盐城生态文明建设的实践，丰富内涵，提升层次，形成具有时代特征、盐城特色的生态文化体系。发挥文艺作品在生态文化中的传播作用，以增加资金投入和政策倾斜力度等多种方式，结合组织评奖和采风等具体措施，鼓励文学、影视、戏剧、绘画、雕塑等多种艺术形式创作，将生态哲学、生态美学、生态伦理渗透到文艺作品中，推出一批能体现盐城特色和生态文明理念的优秀文艺作品，带动全社会生态文明意识的提升。</w:t>
      </w:r>
    </w:p>
    <w:p>
      <w:pPr>
        <w:spacing w:line="560" w:lineRule="exact"/>
        <w:ind w:firstLine="643" w:firstLineChars="200"/>
        <w:rPr>
          <w:rFonts w:hint="eastAsia" w:ascii="仿宋_GB2312" w:eastAsia="仿宋_GB2312"/>
          <w:sz w:val="32"/>
          <w:szCs w:val="32"/>
        </w:rPr>
      </w:pPr>
      <w:r>
        <w:rPr>
          <w:rFonts w:hint="eastAsia" w:ascii="仿宋_GB2312" w:eastAsia="仿宋_GB2312"/>
          <w:b/>
          <w:sz w:val="32"/>
          <w:szCs w:val="32"/>
        </w:rPr>
        <w:t>开展文化活动。</w:t>
      </w:r>
      <w:r>
        <w:rPr>
          <w:rFonts w:hint="eastAsia" w:ascii="仿宋_GB2312" w:eastAsia="仿宋_GB2312"/>
          <w:sz w:val="32"/>
          <w:szCs w:val="32"/>
        </w:rPr>
        <w:t>遵循“三贴近”的基本要求，精心策划组织各类群众文化活动。改革大型艺术活动的举办方式，运用市场机制和政府采购的方法，吸收社会力量参与，不断扩大文化活动的效果。认真办好中国海盐文化节、丹顶鹤湿地文化旅游节大型文艺晚会，努力把文艺晚会打造成我市文化品牌。深入开展“先进文化下基层”十馆联动巡回演出，组织优秀节目到农村巡演，推进文化“三送”工程，让广大农民充分享受先进文化的成果。积极打造“激情大舞台、魅力新盐城”周末文化广场品牌，丰富群众文化生活。推广普及舞蹈、音乐、美术、书法等大众文化，加强未成年人文化建设，发展老年文化事业。继续实施有线电视进村入户工程，全面完成城市有线电视网络双向化改造，实现模拟电视向数字电视转换。</w:t>
      </w:r>
    </w:p>
    <w:p>
      <w:pPr>
        <w:spacing w:line="560" w:lineRule="exact"/>
        <w:ind w:firstLine="643" w:firstLineChars="200"/>
        <w:rPr>
          <w:rFonts w:hint="eastAsia" w:eastAsia="仿宋_GB2312"/>
          <w:sz w:val="32"/>
          <w:szCs w:val="32"/>
        </w:rPr>
      </w:pPr>
      <w:r>
        <w:rPr>
          <w:rFonts w:hint="eastAsia" w:eastAsia="仿宋_GB2312"/>
          <w:b/>
          <w:sz w:val="32"/>
          <w:szCs w:val="32"/>
        </w:rPr>
        <w:t>打造艺术精品。</w:t>
      </w:r>
      <w:r>
        <w:rPr>
          <w:rFonts w:hint="eastAsia" w:ascii="仿宋_GB2312" w:eastAsia="仿宋_GB2312"/>
          <w:sz w:val="32"/>
          <w:szCs w:val="32"/>
        </w:rPr>
        <w:t>以省舞台艺术精品工程为龙头，发挥舞台艺术创作人才优势，支持和鼓励广大文艺工作者深入生活、深入基层，创作更多、更好的文艺作品奉献给社会，力求舞台艺术创作有新突破，使我市艺术事业在全省保持领先位次。每年创作新剧目20部以上；力争有一部淮剧剧目参加国家级戏剧调演活动，冲刺国家舞台艺术精品工程或文华奖；一台杂技精品节目参加国家或世界级杂技大赛，冲刺国家金狮奖；1台音乐歌舞节目荣获省以上大奖；有5个以上的小戏小品获省“五星工程奖”金奖，至少有一个小戏小品获全国“群星奖”金奖。加强美术创作，每年推出新创优秀作品10幅以上参加省内外展示活动。</w:t>
      </w:r>
    </w:p>
    <w:p>
      <w:pPr>
        <w:spacing w:line="560" w:lineRule="exact"/>
        <w:ind w:firstLine="643" w:firstLineChars="200"/>
        <w:rPr>
          <w:rFonts w:hint="eastAsia" w:ascii="仿宋_GB2312" w:eastAsia="仿宋_GB2312"/>
          <w:sz w:val="32"/>
          <w:szCs w:val="32"/>
        </w:rPr>
      </w:pPr>
      <w:r>
        <w:rPr>
          <w:rFonts w:hint="eastAsia" w:ascii="仿宋_GB2312" w:eastAsia="仿宋_GB2312"/>
          <w:b/>
          <w:sz w:val="32"/>
          <w:szCs w:val="32"/>
        </w:rPr>
        <w:t>加强文化交流。</w:t>
      </w:r>
      <w:r>
        <w:rPr>
          <w:rFonts w:hint="eastAsia" w:eastAsia="仿宋_GB2312"/>
          <w:sz w:val="32"/>
          <w:szCs w:val="32"/>
        </w:rPr>
        <w:t>充分挖掘盐城海盐文化、红色文化、水绿文化中的生态内涵，</w:t>
      </w:r>
      <w:r>
        <w:rPr>
          <w:rFonts w:hint="eastAsia" w:ascii="仿宋_GB2312" w:eastAsia="仿宋_GB2312"/>
          <w:sz w:val="32"/>
          <w:szCs w:val="32"/>
        </w:rPr>
        <w:t>充分发挥我市优秀文化资源，以杂技为龙头，培育淮剧、发绣等特色文化产品参与对外文化交流活动，带动我市特色文化产品走出国门，提升盐城文化的影响力。拓展对外文化交流渠道，积极推进港澳台文化交流，着力发展</w:t>
      </w:r>
      <w:r>
        <w:rPr>
          <w:rFonts w:hint="eastAsia" w:ascii="仿宋_GB2312" w:eastAsia="仿宋_GB2312"/>
          <w:sz w:val="32"/>
          <w:szCs w:val="32"/>
          <w:lang w:eastAsia="zh-CN"/>
        </w:rPr>
        <w:t>海峡两岸</w:t>
      </w:r>
      <w:r>
        <w:rPr>
          <w:rFonts w:hint="eastAsia" w:ascii="仿宋_GB2312" w:eastAsia="仿宋_GB2312"/>
          <w:sz w:val="32"/>
          <w:szCs w:val="32"/>
        </w:rPr>
        <w:t>文化贸易往来，推介具有盐城特色的文化产品赴港澳台展示。建立并加强与国际友好城市的文化交流，服务我市对外开放大局。鼓励并协助文化企事业单位文化产品进入国家指导目录，形成一批具有国际竞争优势的品牌文化企业和品牌文化产品。</w:t>
      </w:r>
    </w:p>
    <w:p>
      <w:pPr>
        <w:spacing w:line="560" w:lineRule="exact"/>
        <w:outlineLvl w:val="2"/>
        <w:rPr>
          <w:rFonts w:hint="eastAsia" w:eastAsia="楷体"/>
          <w:b/>
          <w:sz w:val="32"/>
          <w:szCs w:val="32"/>
        </w:rPr>
      </w:pPr>
      <w:bookmarkStart w:id="445" w:name="_Toc374364972"/>
      <w:r>
        <w:rPr>
          <w:rFonts w:hint="eastAsia" w:eastAsia="楷体"/>
          <w:b/>
          <w:sz w:val="32"/>
          <w:szCs w:val="32"/>
        </w:rPr>
        <w:t>7.2.2  发展文化产业</w:t>
      </w:r>
      <w:bookmarkEnd w:id="445"/>
    </w:p>
    <w:p>
      <w:pPr>
        <w:spacing w:line="560" w:lineRule="exact"/>
        <w:ind w:firstLine="640" w:firstLineChars="200"/>
        <w:rPr>
          <w:rFonts w:hint="eastAsia" w:ascii="仿宋_GB2312" w:eastAsia="仿宋_GB2312"/>
          <w:sz w:val="32"/>
          <w:szCs w:val="32"/>
        </w:rPr>
      </w:pPr>
      <w:r>
        <w:rPr>
          <w:rFonts w:hint="eastAsia" w:ascii="仿宋_GB2312" w:eastAsia="仿宋_GB2312"/>
          <w:sz w:val="32"/>
          <w:szCs w:val="32"/>
        </w:rPr>
        <w:t>根据国家《文化产业振兴规划》和支持文化产业发展的政策意见，采取多种措施，培大育强，使优势产业和新兴产业得到快速发展和壮大。重点发展文化旅游业、广告会展业、出版版权业、网络服务业、文化创意业、工艺美术业等潜力巨大、前景广阔的门类，不断提升这些行业的发展活力和市场竞争力。逐步建立具有盐城地域特色、结构合理、机制灵活、具有创新能力的文化产业体系。加强文化产业示范园区和骨干企业对文化产业发展的示范带动作用，推进文化产业规模发展，使我市文化产业增长速度高于国民经济增长速度，盐城文化产业综合实力和总体水平位居苏北前列。到2015年，全市力争规模超5亿元的骨干文化企业5个以上；规模超亿元的骨干文化企业20个以上；文化产业集聚区（文化产业园）15个以上；省级以上文化产业示范基地3个以上，文化产业增加值突破220亿元。到2017年，文化产业增加值力争突破300亿元。</w:t>
      </w:r>
    </w:p>
    <w:p>
      <w:pPr>
        <w:spacing w:line="560" w:lineRule="exact"/>
        <w:outlineLvl w:val="2"/>
        <w:rPr>
          <w:rFonts w:hint="eastAsia" w:eastAsia="楷体"/>
          <w:b/>
          <w:sz w:val="32"/>
          <w:szCs w:val="32"/>
        </w:rPr>
      </w:pPr>
      <w:bookmarkStart w:id="446" w:name="_Toc374364973"/>
      <w:r>
        <w:rPr>
          <w:rFonts w:hint="eastAsia" w:eastAsia="楷体"/>
          <w:b/>
          <w:sz w:val="32"/>
          <w:szCs w:val="32"/>
        </w:rPr>
        <w:t>7.2.3  加大文化遗产保护</w:t>
      </w:r>
      <w:bookmarkEnd w:id="446"/>
    </w:p>
    <w:p>
      <w:pPr>
        <w:spacing w:line="560" w:lineRule="exact"/>
        <w:ind w:firstLine="640" w:firstLineChars="200"/>
        <w:rPr>
          <w:rFonts w:hint="eastAsia" w:ascii="仿宋_GB2312" w:eastAsia="仿宋_GB2312"/>
          <w:sz w:val="32"/>
          <w:szCs w:val="32"/>
        </w:rPr>
      </w:pPr>
      <w:r>
        <w:rPr>
          <w:rFonts w:hint="eastAsia" w:eastAsia="仿宋_GB2312"/>
          <w:sz w:val="32"/>
          <w:szCs w:val="32"/>
        </w:rPr>
        <w:t>抢救性发掘和保护一批具有生态内涵的历史文化遗存。加强盐城淮剧、杂技等非物质文化遗产保护传承和开发利用，加强历史街区、历史文化名镇名村等文化遗产保护管理，让历史文化遗存得到保护，承继文脉。把历史悠久的海盐文化、神圣不朽的红色文化和风光独特的湿地文化融入到生态文化建设的全过程。</w:t>
      </w:r>
      <w:r>
        <w:rPr>
          <w:rFonts w:hint="eastAsia" w:ascii="仿宋_GB2312" w:eastAsia="仿宋_GB2312"/>
          <w:sz w:val="32"/>
          <w:szCs w:val="32"/>
        </w:rPr>
        <w:t>全面落实文物保护“五纳入”要求。积极打造具有全国影响力的地方特色文化品牌。统筹规划，建设特色文化景点和景区，开辟2-3条特色文化旅游专线。加强文物保护基础工作，配合基本建设做好文物保护与考古工作，提高各级文物保护单位的防火、防盗和安全技术防护能力。加强非物质文化遗产保护数据库建设，对列入国家和省、市级非物质文化遗产保护名录的项目实施全面保护。建立市非物质文化遗产展示活动中心，扶持具有地方特色的手工艺品的开发利用，进一步完善保护工作机构。到2015年，力争市级以上文物保护单位有效保护率达到80%以上，实现市级以上文物保护单位120处以上。到2017年，力争市级以上文物保护单位有效保护率达90%以上。</w:t>
      </w:r>
    </w:p>
    <w:p>
      <w:pPr>
        <w:spacing w:line="560" w:lineRule="exact"/>
        <w:outlineLvl w:val="2"/>
        <w:rPr>
          <w:rFonts w:hint="eastAsia" w:eastAsia="楷体"/>
          <w:b/>
          <w:sz w:val="32"/>
          <w:szCs w:val="32"/>
        </w:rPr>
      </w:pPr>
      <w:bookmarkStart w:id="447" w:name="_Toc374364974"/>
      <w:r>
        <w:rPr>
          <w:rFonts w:hint="eastAsia" w:eastAsia="楷体"/>
          <w:b/>
          <w:sz w:val="32"/>
          <w:szCs w:val="32"/>
        </w:rPr>
        <w:t>7.2.4  文化市场管理</w:t>
      </w:r>
      <w:bookmarkEnd w:id="447"/>
    </w:p>
    <w:p>
      <w:pPr>
        <w:spacing w:line="560" w:lineRule="exact"/>
        <w:ind w:firstLine="640" w:firstLineChars="200"/>
        <w:rPr>
          <w:rFonts w:hint="eastAsia" w:ascii="仿宋_GB2312" w:eastAsia="仿宋_GB2312"/>
          <w:sz w:val="32"/>
          <w:szCs w:val="32"/>
        </w:rPr>
      </w:pPr>
      <w:r>
        <w:rPr>
          <w:rFonts w:hint="eastAsia" w:ascii="仿宋_GB2312" w:eastAsia="仿宋_GB2312"/>
          <w:sz w:val="32"/>
          <w:szCs w:val="32"/>
        </w:rPr>
        <w:t>按照“科学布局、优化结构、规模发展”的原则，发展一批信誉好、实力强、经营规范的网吧连锁企业。加强对执法人员的业务培训，提高执法人员依法行政能力。深入开展“扫黄打非”斗争，坚决抵制庸俗、低俗、媚俗之风，不断净化文化市场。建立一批大型品牌娱乐场所和娱乐超市，提高娱乐产业的整体层次和文化品位。加快建立市文化娱乐业协会、网吧业协会，推进行业自律。健全文化行政综合执法机制，依法查处违反文化娱乐、广播电视、新闻出版和文物保护等法律法规行为，不断提高文化综合执法水平。</w:t>
      </w:r>
    </w:p>
    <w:p>
      <w:pPr>
        <w:pStyle w:val="3"/>
        <w:keepNext w:val="0"/>
        <w:keepLines w:val="0"/>
        <w:spacing w:before="120" w:beforeLines="50" w:after="120" w:afterLines="50" w:line="560" w:lineRule="exact"/>
        <w:rPr>
          <w:rFonts w:hint="eastAsia" w:ascii="Times New Roman" w:hAnsi="Times New Roman"/>
          <w:b w:val="0"/>
        </w:rPr>
      </w:pPr>
      <w:bookmarkStart w:id="448" w:name="_Toc374364975"/>
      <w:r>
        <w:rPr>
          <w:rFonts w:hint="eastAsia" w:ascii="Times New Roman" w:hAnsi="Times New Roman"/>
          <w:b w:val="0"/>
        </w:rPr>
        <w:t>7.3  培育生态意识</w:t>
      </w:r>
      <w:bookmarkEnd w:id="448"/>
    </w:p>
    <w:p>
      <w:pPr>
        <w:spacing w:line="560" w:lineRule="exact"/>
        <w:ind w:firstLine="640" w:firstLineChars="200"/>
        <w:rPr>
          <w:rFonts w:hint="eastAsia" w:eastAsia="仿宋_GB2312"/>
          <w:sz w:val="32"/>
          <w:szCs w:val="32"/>
        </w:rPr>
      </w:pPr>
      <w:r>
        <w:rPr>
          <w:rFonts w:hint="eastAsia" w:eastAsia="仿宋_GB2312"/>
          <w:sz w:val="32"/>
          <w:szCs w:val="32"/>
        </w:rPr>
        <w:t>把生态文明的理念和要求融入到社会生活的全过程，从社会公德、职业道德、家庭美德和个人品德等方面入手，制订生态文明建设道德规范，提高公民生态道德素质。在经济持续发展、公众收入不断增加的基础上，完善生态生活的基本保障体系，切实转变生活方式和消费模式，通过全社会的共同努力，形成节约、低碳、绿色、适度的生态生活新风尚。</w:t>
      </w:r>
    </w:p>
    <w:p>
      <w:pPr>
        <w:spacing w:line="560" w:lineRule="exact"/>
        <w:outlineLvl w:val="2"/>
        <w:rPr>
          <w:rFonts w:hint="eastAsia" w:eastAsia="楷体"/>
          <w:b/>
          <w:sz w:val="32"/>
          <w:szCs w:val="32"/>
        </w:rPr>
      </w:pPr>
      <w:bookmarkStart w:id="449" w:name="_Toc374364976"/>
      <w:r>
        <w:rPr>
          <w:rFonts w:hint="eastAsia" w:eastAsia="楷体"/>
          <w:b/>
          <w:sz w:val="32"/>
          <w:szCs w:val="32"/>
        </w:rPr>
        <w:t>7.3.1  生态生活</w:t>
      </w:r>
      <w:bookmarkEnd w:id="449"/>
    </w:p>
    <w:p>
      <w:pPr>
        <w:spacing w:line="560" w:lineRule="exact"/>
        <w:ind w:firstLine="643" w:firstLineChars="200"/>
        <w:rPr>
          <w:rFonts w:hint="eastAsia" w:eastAsia="仿宋_GB2312"/>
          <w:sz w:val="32"/>
          <w:szCs w:val="32"/>
        </w:rPr>
      </w:pPr>
      <w:r>
        <w:rPr>
          <w:rFonts w:hint="eastAsia" w:eastAsia="仿宋_GB2312"/>
          <w:b/>
          <w:sz w:val="32"/>
          <w:szCs w:val="32"/>
        </w:rPr>
        <w:t>树立生态理念。</w:t>
      </w:r>
      <w:r>
        <w:rPr>
          <w:rFonts w:hint="eastAsia" w:eastAsia="仿宋_GB2312"/>
          <w:sz w:val="32"/>
          <w:szCs w:val="32"/>
        </w:rPr>
        <w:t>积极倡导节约简朴、保护自然的绿色生活理念，引导公众改变不符合生态文明要求的生活习惯，形成可持续的生活方式。弘扬勤俭节约的优良传统，深入宣传节约光荣、浪费可耻的理念。引导机关、企业及广大群众从生活的点滴做起，争做低碳环保生活的倡导者和践行者。深入开展“反食品浪费行动”和“文明餐桌行动”，在全社会积极倡导厉行节约的生活方式。提倡自然健康食品，提倡低碳着装，优先选择环保产品。加强公共场所禁烟管理，努力营造无烟环境。强化资源回收意识，鼓励个人和家庭养成资源回收利用习惯，自觉进行垃圾分类，对废旧电池、过期药品等有毒有害物品集中存放收集。鼓励家庭闲置物品和废旧物品的循环利用。</w:t>
      </w:r>
    </w:p>
    <w:p>
      <w:pPr>
        <w:spacing w:line="560" w:lineRule="exact"/>
        <w:ind w:firstLine="643" w:firstLineChars="200"/>
        <w:rPr>
          <w:rFonts w:eastAsia="仿宋_GB2312"/>
          <w:sz w:val="32"/>
          <w:szCs w:val="32"/>
        </w:rPr>
      </w:pPr>
      <w:r>
        <w:rPr>
          <w:rFonts w:hint="eastAsia" w:eastAsia="仿宋_GB2312"/>
          <w:b/>
          <w:sz w:val="32"/>
          <w:szCs w:val="32"/>
        </w:rPr>
        <w:t>推行绿色居住。</w:t>
      </w:r>
      <w:r>
        <w:rPr>
          <w:rFonts w:hint="eastAsia" w:eastAsia="仿宋_GB2312"/>
          <w:sz w:val="32"/>
          <w:szCs w:val="32"/>
        </w:rPr>
        <w:t>大力推广新建绿色建筑，扩大可再生能源建筑应用规模，发展安全耐久、节能环保、施工便利的绿色建材。新建、改建、扩建建筑全面推行节水型器具，同步推动屋面、外墙、门窗、楼道等部位进行节能改造。结合村庄环境整治和样板村庄打造，把建设绿色农房作为重要内容，加强试点示范，探索建设适合农村特点的绿色农房。开展绿色建筑示范市（县、区）创建。提倡家庭节水节能节气，推广使用家庭节水器具和太阳能热水器，全面普及家庭照明节能灯，支持家庭光伏发电项目建设。制定家庭绿色装修规范和标准，指导公众选用绿色环保材料和绿色施工方式，减少室内装修污染。到2015年，全市城镇新建建筑全面按一星及以上绿色建筑标准设计建造，全市每个涉农县（市、区）都有绿色农房省级示范村。到2017年，全市25%的城镇新建建筑按二星及以上绿色建筑标准设计建造。全省建成家庭式光伏电站10万套。</w:t>
      </w:r>
    </w:p>
    <w:p>
      <w:pPr>
        <w:spacing w:line="560" w:lineRule="exact"/>
        <w:ind w:firstLine="643" w:firstLineChars="200"/>
        <w:rPr>
          <w:rFonts w:hint="eastAsia" w:eastAsia="仿宋_GB2312"/>
          <w:sz w:val="32"/>
          <w:szCs w:val="32"/>
        </w:rPr>
      </w:pPr>
      <w:r>
        <w:rPr>
          <w:rFonts w:hint="eastAsia" w:eastAsia="仿宋_GB2312"/>
          <w:b/>
          <w:sz w:val="32"/>
          <w:szCs w:val="32"/>
        </w:rPr>
        <w:t>倡导绿色出行。</w:t>
      </w:r>
      <w:r>
        <w:rPr>
          <w:rFonts w:hint="eastAsia" w:eastAsia="仿宋_GB2312"/>
          <w:sz w:val="32"/>
          <w:szCs w:val="32"/>
        </w:rPr>
        <w:t>落实公交优先战略，推行城市公共交通、自行车、步行的城市交通模式。加快公共交通基础设施建设，推进不同公共交通体系之间以及市内公交系统与铁路、高速公路、机场等之间无缝衔接。降低公共交通出行费用，鼓励城乡居民选择公共交通工具出行。加强城市步行和自行车交通系统建设，发展城市公共自行车网络。加大城市交通拥堵治理力度，扶持和鼓励提供班车、校车服务，实施差别化停车收费，研究实施出租汽车合乘政策，减少机动车上路行驶总量。倡导购买小排量、新能源等节能环保型机动车。</w:t>
      </w:r>
    </w:p>
    <w:p>
      <w:pPr>
        <w:spacing w:line="560" w:lineRule="exact"/>
        <w:ind w:firstLine="643" w:firstLineChars="200"/>
        <w:rPr>
          <w:rFonts w:hint="eastAsia" w:eastAsia="仿宋_GB2312"/>
          <w:sz w:val="32"/>
          <w:szCs w:val="32"/>
        </w:rPr>
      </w:pPr>
      <w:r>
        <w:rPr>
          <w:rFonts w:hint="eastAsia" w:eastAsia="仿宋_GB2312"/>
          <w:b/>
          <w:sz w:val="32"/>
          <w:szCs w:val="32"/>
        </w:rPr>
        <w:t>鼓励生态殡葬。</w:t>
      </w:r>
      <w:r>
        <w:rPr>
          <w:rFonts w:hint="eastAsia" w:eastAsia="仿宋_GB2312"/>
          <w:sz w:val="32"/>
          <w:szCs w:val="32"/>
        </w:rPr>
        <w:t>合理规划殡葬用地，严格控制公墓占地规模和墓穴占地面积，公墓墓穴占地符合殡葬法规要求。积极推行树葬、花坛葬、草坪葬、河海葬和骨灰不留坟头等生态葬法。建立生态葬纪念碑和纪念广场，组织群众开展公祭等各种文明祭扫活动，减少祭扫产生的各种污染。到2015年，每个乡镇至少建设1个公益性公墓，墓区绿化率达60%以上。</w:t>
      </w:r>
    </w:p>
    <w:p>
      <w:pPr>
        <w:spacing w:line="560" w:lineRule="exact"/>
        <w:outlineLvl w:val="2"/>
        <w:rPr>
          <w:rFonts w:hint="eastAsia" w:eastAsia="楷体"/>
          <w:b/>
          <w:sz w:val="32"/>
          <w:szCs w:val="32"/>
        </w:rPr>
      </w:pPr>
      <w:bookmarkStart w:id="450" w:name="_Toc374364977"/>
      <w:r>
        <w:rPr>
          <w:rFonts w:hint="eastAsia" w:eastAsia="楷体"/>
          <w:b/>
          <w:sz w:val="32"/>
          <w:szCs w:val="32"/>
        </w:rPr>
        <w:t>7.3.2  绿色消费</w:t>
      </w:r>
      <w:bookmarkEnd w:id="450"/>
    </w:p>
    <w:p>
      <w:pPr>
        <w:spacing w:line="560" w:lineRule="exact"/>
        <w:ind w:firstLine="643" w:firstLineChars="200"/>
        <w:rPr>
          <w:rFonts w:hint="eastAsia" w:eastAsia="仿宋_GB2312"/>
          <w:sz w:val="32"/>
          <w:szCs w:val="32"/>
        </w:rPr>
      </w:pPr>
      <w:r>
        <w:rPr>
          <w:rFonts w:hint="eastAsia" w:eastAsia="仿宋_GB2312"/>
          <w:b/>
          <w:sz w:val="32"/>
          <w:szCs w:val="32"/>
        </w:rPr>
        <w:t>逐步推广绿色产品。</w:t>
      </w:r>
      <w:r>
        <w:rPr>
          <w:rFonts w:hint="eastAsia" w:eastAsia="仿宋_GB2312"/>
          <w:sz w:val="32"/>
          <w:szCs w:val="32"/>
        </w:rPr>
        <w:t>综合运用财税、市场和法律手段，激发各类企业生产绿色产品的动力，不断提高绿色产品生产比例。按照减少环境污染、较低能源消耗、产品和零部件可循环利用的原则，推进产品绿色设计和绿色制造，鼓励使用绿色材料，建立健全绿色产品质量监督体系。严格执行国家关于限制过度包装的强制性标准，鼓励使用环保包装材料，促进包装材料的回收利用。深入推进限塑工作，严格限制一次性用品的生产、销售和使用，推广可降解塑料袋或重复利用的布袋或纸袋。对能效标识产品、节能节水认证产品、环境标志产品和绿色、有机食品等绿色标识产品生产、销售和消费全过程采取税收优惠或财政补贴，畅通绿色产品流通渠道，扩大市场占有率。</w:t>
      </w:r>
    </w:p>
    <w:p>
      <w:pPr>
        <w:spacing w:line="560" w:lineRule="exact"/>
        <w:ind w:firstLine="643" w:firstLineChars="200"/>
        <w:rPr>
          <w:rFonts w:hint="eastAsia" w:eastAsia="仿宋_GB2312"/>
          <w:sz w:val="32"/>
          <w:szCs w:val="32"/>
        </w:rPr>
      </w:pPr>
      <w:r>
        <w:rPr>
          <w:rFonts w:hint="eastAsia" w:eastAsia="仿宋_GB2312"/>
          <w:b/>
          <w:sz w:val="32"/>
          <w:szCs w:val="32"/>
        </w:rPr>
        <w:t>积极推行绿色采购。</w:t>
      </w:r>
      <w:r>
        <w:rPr>
          <w:rFonts w:hint="eastAsia" w:eastAsia="仿宋_GB2312"/>
          <w:sz w:val="32"/>
          <w:szCs w:val="32"/>
        </w:rPr>
        <w:t>定期公布包括能效标识产品、节能节水认证产品、环境标志产品和绿色、有机食品等绿色标识产品目录，引导公众优先采购绿色标识产品。认真落实《节能产品政府采购实施意见》和《环境标志产品政府采购实施意见》，提升绿色采购在政府采购中的比重。将节能减排任务完成较好、清洁生产达到国际国内领先水平企业的产品纳入政府采购目录优先考虑范围。制定并实施政府节能和环境保护产品采购落实情况监督检查办法，将落实情况作为各单位年度考核内容，杜绝采购国家明令禁止使用的高耗能设备或产品。</w:t>
      </w:r>
    </w:p>
    <w:p>
      <w:pPr>
        <w:spacing w:line="560" w:lineRule="exact"/>
        <w:outlineLvl w:val="2"/>
        <w:rPr>
          <w:rFonts w:hint="eastAsia" w:eastAsia="楷体"/>
          <w:b/>
          <w:sz w:val="32"/>
          <w:szCs w:val="32"/>
        </w:rPr>
      </w:pPr>
      <w:bookmarkStart w:id="451" w:name="_Toc374364978"/>
      <w:r>
        <w:rPr>
          <w:rFonts w:hint="eastAsia" w:eastAsia="楷体"/>
          <w:b/>
          <w:sz w:val="32"/>
          <w:szCs w:val="32"/>
        </w:rPr>
        <w:t>7.3.3  绿色办公</w:t>
      </w:r>
      <w:bookmarkEnd w:id="451"/>
    </w:p>
    <w:p>
      <w:pPr>
        <w:spacing w:line="560" w:lineRule="exact"/>
        <w:ind w:firstLine="640" w:firstLineChars="200"/>
        <w:rPr>
          <w:rFonts w:hint="eastAsia" w:eastAsia="仿宋_GB2312"/>
          <w:b/>
          <w:sz w:val="32"/>
          <w:szCs w:val="32"/>
        </w:rPr>
      </w:pPr>
      <w:r>
        <w:rPr>
          <w:rFonts w:hint="eastAsia" w:eastAsia="仿宋_GB2312"/>
          <w:sz w:val="32"/>
          <w:szCs w:val="32"/>
        </w:rPr>
        <w:t>全面营造绿色办公环境，党政机关率先全面使用节水设备和节能灯具，合理使用室内空调等用电设备，鼓励建立中水回用和雨水收集系统，办公场所全面禁烟。开展党政机关建筑能耗定额管理试点，逐年降低人均综合能耗。推行绿色办公方式，开展办公耗材的回收利用，减少一次性办公耗材用量，进一步推行“无纸化办公”、视频会议等电子政务，提倡节约使用、重复利用纸张、文具等办公用品。</w:t>
      </w:r>
    </w:p>
    <w:p>
      <w:pPr>
        <w:pStyle w:val="3"/>
        <w:keepNext w:val="0"/>
        <w:keepLines w:val="0"/>
        <w:spacing w:before="120" w:beforeLines="50" w:after="120" w:afterLines="50" w:line="560" w:lineRule="exact"/>
        <w:rPr>
          <w:rFonts w:hint="eastAsia" w:ascii="Times New Roman" w:hAnsi="Times New Roman"/>
          <w:b w:val="0"/>
        </w:rPr>
      </w:pPr>
      <w:bookmarkStart w:id="452" w:name="_Toc374364979"/>
      <w:r>
        <w:rPr>
          <w:rFonts w:hint="eastAsia" w:ascii="Times New Roman" w:hAnsi="Times New Roman"/>
          <w:b w:val="0"/>
        </w:rPr>
        <w:t>7.4  生态文明宣传教育</w:t>
      </w:r>
      <w:bookmarkEnd w:id="452"/>
    </w:p>
    <w:p>
      <w:pPr>
        <w:spacing w:line="560" w:lineRule="exact"/>
        <w:ind w:firstLine="640" w:firstLineChars="200"/>
        <w:rPr>
          <w:rFonts w:hint="eastAsia" w:eastAsia="仿宋_GB2312"/>
          <w:sz w:val="32"/>
          <w:szCs w:val="32"/>
        </w:rPr>
      </w:pPr>
      <w:r>
        <w:rPr>
          <w:rFonts w:eastAsia="仿宋_GB2312"/>
          <w:sz w:val="32"/>
          <w:szCs w:val="32"/>
        </w:rPr>
        <w:t>采用多种宣传教育措施，引导企业和人民群众了解、接受生态文明理念，形成自觉的生态文明意识，主动履行生态环境责任，使每个企业、单位、个人成为生态文明建设责任主体</w:t>
      </w:r>
      <w:r>
        <w:rPr>
          <w:rFonts w:hint="eastAsia" w:eastAsia="仿宋_GB2312"/>
          <w:sz w:val="32"/>
          <w:szCs w:val="32"/>
        </w:rPr>
        <w:t>。</w:t>
      </w:r>
    </w:p>
    <w:p>
      <w:pPr>
        <w:spacing w:line="560" w:lineRule="exact"/>
        <w:outlineLvl w:val="2"/>
        <w:rPr>
          <w:rFonts w:hint="eastAsia" w:eastAsia="楷体"/>
          <w:b/>
          <w:sz w:val="32"/>
          <w:szCs w:val="32"/>
        </w:rPr>
      </w:pPr>
      <w:bookmarkStart w:id="453" w:name="_Toc374364980"/>
      <w:r>
        <w:rPr>
          <w:rFonts w:hint="eastAsia" w:eastAsia="楷体"/>
          <w:b/>
          <w:sz w:val="32"/>
          <w:szCs w:val="32"/>
        </w:rPr>
        <w:t>7.4.1  打造宣传教育品牌</w:t>
      </w:r>
      <w:bookmarkEnd w:id="453"/>
    </w:p>
    <w:p>
      <w:pPr>
        <w:spacing w:line="560" w:lineRule="exact"/>
        <w:ind w:firstLine="640" w:firstLineChars="200"/>
        <w:rPr>
          <w:rFonts w:hint="eastAsia" w:eastAsia="仿宋_GB2312"/>
          <w:sz w:val="32"/>
          <w:szCs w:val="32"/>
        </w:rPr>
      </w:pPr>
      <w:r>
        <w:rPr>
          <w:rFonts w:hint="eastAsia" w:eastAsia="仿宋_GB2312"/>
          <w:sz w:val="32"/>
          <w:szCs w:val="32"/>
        </w:rPr>
        <w:t>围绕生态文明建设的目标任务，结合世界水日、地球日、环境日等重要主题节日，运用人民群众喜闻乐见的形式，以群众最关心、最直接的权益为切入点，广泛深入开展主题鲜明的宣传教育活动。强化全民生态环境保护的责任意识和危机意识，积极营造全社会共同参与生态文明建设的良好氛围。加强生态环保法制专题宣传教育，不断提升全社会的生态环保法律意识。突出抓好“盐城市环境保护年度十大杰出人物”评选、“六五世界环境日”等具有一定基础和影响的公益活动，精心策划组织，扩大参与度，提升影响力，打造一批具有盐城特色的生态文明宣传教育品牌。</w:t>
      </w:r>
    </w:p>
    <w:p>
      <w:pPr>
        <w:spacing w:line="560" w:lineRule="exact"/>
        <w:outlineLvl w:val="2"/>
        <w:rPr>
          <w:rFonts w:hint="eastAsia" w:eastAsia="楷体"/>
          <w:b/>
          <w:sz w:val="32"/>
          <w:szCs w:val="32"/>
        </w:rPr>
      </w:pPr>
      <w:bookmarkStart w:id="454" w:name="_Toc374364981"/>
      <w:r>
        <w:rPr>
          <w:rFonts w:hint="eastAsia" w:eastAsia="楷体"/>
          <w:b/>
          <w:sz w:val="32"/>
          <w:szCs w:val="32"/>
        </w:rPr>
        <w:t>7.4.2  扩大宣传教育阵地</w:t>
      </w:r>
      <w:bookmarkEnd w:id="454"/>
    </w:p>
    <w:p>
      <w:pPr>
        <w:spacing w:line="560" w:lineRule="exact"/>
        <w:ind w:firstLine="640" w:firstLineChars="200"/>
        <w:rPr>
          <w:rFonts w:hint="eastAsia" w:eastAsia="仿宋_GB2312"/>
          <w:sz w:val="32"/>
          <w:szCs w:val="32"/>
        </w:rPr>
      </w:pPr>
      <w:r>
        <w:rPr>
          <w:rFonts w:hint="eastAsia" w:eastAsia="仿宋_GB2312"/>
          <w:sz w:val="32"/>
          <w:szCs w:val="32"/>
        </w:rPr>
        <w:t>深入推进生态文明宣传教育进机关、进学校、进企业、进社区、进农村，努力扩大生态文明宣传教育的阵地和领域。将生态文明教育纳入国民教育体系和各级党校、行政学院教学计划，公务员任职培训应当安排生态文明理念、知识、环保法律法规等方面的教育内容，建立生态文明意识培育从儿童抓起、从领导抓起、从家庭抓起的良好氛围。支持民主党派、工青妇、社会团体开展生态文明公益活动，积极引导、培育和扶持环保社会组织健康有序发展，促进环保社会组织及社会公众依法、理性、有序参与生态环境保护。</w:t>
      </w:r>
    </w:p>
    <w:p>
      <w:pPr>
        <w:spacing w:line="560" w:lineRule="exact"/>
        <w:ind w:firstLine="640" w:firstLineChars="200"/>
        <w:rPr>
          <w:rFonts w:hint="eastAsia" w:eastAsia="仿宋_GB2312"/>
          <w:sz w:val="32"/>
          <w:szCs w:val="32"/>
        </w:rPr>
      </w:pPr>
      <w:r>
        <w:rPr>
          <w:rFonts w:hint="eastAsia" w:eastAsia="仿宋_GB2312"/>
          <w:sz w:val="32"/>
          <w:szCs w:val="32"/>
        </w:rPr>
        <w:t>对企业负责人开展生态环境法律和知识培训。切实落实企业环境保护的主体责任，提高企业生态意识、责任意识和自律意识。开展企业员工环境教育，加强企业环保从业人员业务培训，探索建立企业环保从业人员资格化管理制度。把生态文明宣传教育纳入科技、文化、卫生“三下乡”活动内容，促进生态文明理念向农村传播。建设一批生态文明宣传教育基地。</w:t>
      </w:r>
    </w:p>
    <w:p>
      <w:pPr>
        <w:spacing w:line="560" w:lineRule="exact"/>
        <w:ind w:firstLine="640" w:firstLineChars="200"/>
        <w:rPr>
          <w:rFonts w:hint="eastAsia" w:eastAsia="仿宋_GB2312"/>
          <w:sz w:val="32"/>
          <w:szCs w:val="32"/>
        </w:rPr>
      </w:pPr>
      <w:r>
        <w:rPr>
          <w:rFonts w:hint="eastAsia" w:eastAsia="仿宋_GB2312"/>
          <w:sz w:val="32"/>
          <w:szCs w:val="32"/>
        </w:rPr>
        <w:t>加强人大、政协在生态文明建设中的监督作用。充分发挥基层党组织、工会、共青团、妇联和其他团体的推动作用，动员广大群众积极参与生态文明建设活动，以国家文明城市建设为动力，大力开展文明镇村、最美乡村建设，不断提升全社会精神文明的层次和水平，使生态文明意识根植社会、深入人心，加快形成生态文明建设人人参与、生态盐城建设成果人人共享的生动局面。到2015年，公众对生态环境满意率达90%以上。到2017年，公众对生态环境满意率得到进一步提升。</w:t>
      </w:r>
    </w:p>
    <w:p>
      <w:pPr>
        <w:spacing w:line="560" w:lineRule="exact"/>
        <w:outlineLvl w:val="2"/>
        <w:rPr>
          <w:rFonts w:hint="eastAsia" w:eastAsia="楷体"/>
          <w:b/>
          <w:sz w:val="32"/>
          <w:szCs w:val="32"/>
        </w:rPr>
      </w:pPr>
      <w:bookmarkStart w:id="455" w:name="_Toc374364982"/>
      <w:r>
        <w:rPr>
          <w:rFonts w:hint="eastAsia" w:eastAsia="楷体"/>
          <w:b/>
          <w:sz w:val="32"/>
          <w:szCs w:val="32"/>
        </w:rPr>
        <w:t>7.4.3  加强媒体宣传</w:t>
      </w:r>
      <w:bookmarkEnd w:id="455"/>
    </w:p>
    <w:p>
      <w:pPr>
        <w:spacing w:line="560" w:lineRule="exact"/>
        <w:ind w:firstLine="640" w:firstLineChars="200"/>
        <w:rPr>
          <w:rFonts w:hint="eastAsia" w:eastAsia="仿宋_GB2312"/>
          <w:sz w:val="32"/>
          <w:szCs w:val="32"/>
        </w:rPr>
      </w:pPr>
      <w:r>
        <w:rPr>
          <w:rFonts w:hint="eastAsia" w:eastAsia="仿宋_GB2312"/>
          <w:sz w:val="32"/>
          <w:szCs w:val="32"/>
        </w:rPr>
        <w:t>搭建生态文明建设热点问题点评专栏，</w:t>
      </w:r>
      <w:r>
        <w:rPr>
          <w:rFonts w:eastAsia="仿宋_GB2312"/>
          <w:sz w:val="32"/>
          <w:szCs w:val="32"/>
        </w:rPr>
        <w:t>依托</w:t>
      </w:r>
      <w:r>
        <w:rPr>
          <w:rFonts w:hint="eastAsia" w:eastAsia="仿宋_GB2312"/>
          <w:sz w:val="32"/>
          <w:szCs w:val="32"/>
        </w:rPr>
        <w:t>盐阜大众</w:t>
      </w:r>
      <w:r>
        <w:rPr>
          <w:rFonts w:eastAsia="仿宋_GB2312"/>
          <w:sz w:val="32"/>
          <w:szCs w:val="32"/>
        </w:rPr>
        <w:t>报、</w:t>
      </w:r>
      <w:r>
        <w:rPr>
          <w:rFonts w:hint="eastAsia" w:eastAsia="仿宋_GB2312"/>
          <w:sz w:val="32"/>
          <w:szCs w:val="32"/>
        </w:rPr>
        <w:t>盐城广播</w:t>
      </w:r>
      <w:r>
        <w:rPr>
          <w:rFonts w:eastAsia="仿宋_GB2312"/>
          <w:sz w:val="32"/>
          <w:szCs w:val="32"/>
        </w:rPr>
        <w:t>电</w:t>
      </w:r>
      <w:r>
        <w:rPr>
          <w:rFonts w:hint="eastAsia" w:eastAsia="仿宋_GB2312"/>
          <w:sz w:val="32"/>
          <w:szCs w:val="32"/>
        </w:rPr>
        <w:t>视</w:t>
      </w:r>
      <w:r>
        <w:rPr>
          <w:rFonts w:eastAsia="仿宋_GB2312"/>
          <w:sz w:val="32"/>
          <w:szCs w:val="32"/>
        </w:rPr>
        <w:t>台</w:t>
      </w:r>
      <w:r>
        <w:rPr>
          <w:rFonts w:hint="eastAsia" w:eastAsia="仿宋_GB2312"/>
          <w:sz w:val="32"/>
          <w:szCs w:val="32"/>
        </w:rPr>
        <w:t>等</w:t>
      </w:r>
      <w:r>
        <w:rPr>
          <w:rFonts w:eastAsia="仿宋_GB2312"/>
          <w:sz w:val="32"/>
          <w:szCs w:val="32"/>
        </w:rPr>
        <w:t>新闻媒体，</w:t>
      </w:r>
      <w:r>
        <w:rPr>
          <w:rFonts w:hint="eastAsia" w:eastAsia="仿宋_GB2312"/>
          <w:sz w:val="32"/>
          <w:szCs w:val="32"/>
        </w:rPr>
        <w:t>开辟专栏，聚焦盐城内外生态文明建设热点问题并进行相关生态知识的宣传。利用LED屏、户外广告、手机短信平台等新媒体，及时发布环境质量信息，增加环保公益广告，普及生态文明知识，树立生态文明建设先进典型，曝光重大环境违法和生态破坏事件，在生态文明宣传教育中发挥好带头和引领作用。</w:t>
      </w:r>
      <w:r>
        <w:rPr>
          <w:rFonts w:eastAsia="仿宋_GB2312"/>
          <w:sz w:val="32"/>
          <w:szCs w:val="32"/>
        </w:rPr>
        <w:t>加强对社会普遍关注的生态文明热点问题的舆论引导，不断普及和提高广大人民群众的生态文明意识。</w:t>
      </w:r>
      <w:r>
        <w:rPr>
          <w:rFonts w:hint="eastAsia" w:eastAsia="仿宋_GB2312"/>
          <w:sz w:val="32"/>
          <w:szCs w:val="32"/>
        </w:rPr>
        <w:t>以政府名义向各党政机关、企事业单位、学校、科研院所、民间团体及社会大众印发生态文明建设规划宣传手册。健全生态文明建设新闻发布制度，建立和完善环境舆情研判和引导机制，构建新型、和谐的环境公共关系。</w:t>
      </w:r>
    </w:p>
    <w:p>
      <w:pPr>
        <w:pStyle w:val="2"/>
        <w:keepNext w:val="0"/>
        <w:keepLines w:val="0"/>
        <w:spacing w:before="120" w:beforeLines="50" w:after="120" w:afterLines="50" w:line="560" w:lineRule="exact"/>
        <w:jc w:val="center"/>
        <w:rPr>
          <w:rFonts w:hint="eastAsia" w:eastAsia="方正小标宋_GBK"/>
          <w:b w:val="0"/>
        </w:rPr>
      </w:pPr>
      <w:r>
        <w:rPr>
          <w:rFonts w:eastAsia="方正小标宋_GBK"/>
          <w:b w:val="0"/>
        </w:rPr>
        <w:br w:type="page"/>
      </w:r>
      <w:bookmarkStart w:id="456" w:name="_Toc374364983"/>
      <w:r>
        <w:rPr>
          <w:rFonts w:hint="eastAsia" w:eastAsia="方正小标宋_GBK"/>
          <w:b w:val="0"/>
        </w:rPr>
        <w:t>第八章  保障措施</w:t>
      </w:r>
      <w:bookmarkEnd w:id="433"/>
      <w:bookmarkEnd w:id="434"/>
      <w:bookmarkEnd w:id="435"/>
      <w:bookmarkEnd w:id="437"/>
      <w:bookmarkEnd w:id="456"/>
    </w:p>
    <w:p>
      <w:pPr>
        <w:pStyle w:val="3"/>
        <w:keepNext w:val="0"/>
        <w:keepLines w:val="0"/>
        <w:spacing w:before="120" w:beforeLines="50" w:after="120" w:afterLines="50" w:line="540" w:lineRule="exact"/>
        <w:rPr>
          <w:rFonts w:hint="eastAsia" w:ascii="Times New Roman" w:hAnsi="Times New Roman"/>
          <w:b w:val="0"/>
        </w:rPr>
      </w:pPr>
      <w:bookmarkStart w:id="457" w:name="_Toc368067642"/>
      <w:bookmarkStart w:id="458" w:name="_Toc374364984"/>
      <w:bookmarkStart w:id="459" w:name="_Toc369555636"/>
      <w:bookmarkStart w:id="460" w:name="_Toc370234427"/>
      <w:bookmarkStart w:id="461" w:name="_Toc367802630"/>
      <w:r>
        <w:rPr>
          <w:rFonts w:hint="eastAsia" w:ascii="Times New Roman" w:hAnsi="Times New Roman"/>
          <w:b w:val="0"/>
        </w:rPr>
        <w:t>8.1  加强组织领导</w:t>
      </w:r>
      <w:bookmarkEnd w:id="457"/>
      <w:bookmarkEnd w:id="458"/>
      <w:bookmarkEnd w:id="459"/>
      <w:bookmarkEnd w:id="460"/>
      <w:bookmarkEnd w:id="461"/>
    </w:p>
    <w:p>
      <w:pPr>
        <w:spacing w:line="560" w:lineRule="exact"/>
        <w:ind w:firstLine="640" w:firstLineChars="200"/>
        <w:rPr>
          <w:rFonts w:hint="eastAsia" w:eastAsia="仿宋_GB2312"/>
          <w:sz w:val="32"/>
          <w:szCs w:val="32"/>
        </w:rPr>
      </w:pPr>
      <w:r>
        <w:rPr>
          <w:rFonts w:hint="eastAsia" w:eastAsia="仿宋_GB2312"/>
          <w:sz w:val="32"/>
          <w:szCs w:val="32"/>
        </w:rPr>
        <w:t>为贯彻落实生态文明建设规划，成立由市委、市政府主要领导任组长、各部门主要负责人为成员的生态文明建设工作领导小组及日常办事机构，统筹实施生态文明建设规划，研究生态文明建设中的重大事项。各级、各有关部门切实履行职责，完善工作制度，形成市县上下联动、各部门协同推进、全社会广泛参与的工作机制。根据党的十八大及十八届三中全会新要求和发展阶段新变化，今后三年要按照生态文明建设总体要求，重点实施生态绿色发展三年行动计划及《规划》十大重点工程，每年制定年度行动计划，细化目标，分解任务，推动全市生态文明建设不断取得实效。各级、各有关部门相应制定生态文明建设工程年度行动计划，以目标任务书的形式，报市生态文明建设领导小组审核后印发实施。</w:t>
      </w:r>
    </w:p>
    <w:p>
      <w:pPr>
        <w:pStyle w:val="3"/>
        <w:keepNext w:val="0"/>
        <w:keepLines w:val="0"/>
        <w:spacing w:before="120" w:beforeLines="50" w:after="120" w:afterLines="50" w:line="540" w:lineRule="exact"/>
        <w:rPr>
          <w:rFonts w:hint="eastAsia" w:ascii="Times New Roman" w:hAnsi="Times New Roman"/>
          <w:b w:val="0"/>
        </w:rPr>
      </w:pPr>
      <w:bookmarkStart w:id="462" w:name="_Toc374364985"/>
      <w:bookmarkStart w:id="463" w:name="_Toc369555638"/>
      <w:bookmarkStart w:id="464" w:name="_Toc370234429"/>
      <w:r>
        <w:rPr>
          <w:rFonts w:hint="eastAsia" w:ascii="Times New Roman" w:hAnsi="Times New Roman"/>
          <w:b w:val="0"/>
        </w:rPr>
        <w:t>8.2  依托科技支撑</w:t>
      </w:r>
      <w:bookmarkEnd w:id="462"/>
      <w:bookmarkEnd w:id="463"/>
      <w:bookmarkEnd w:id="464"/>
    </w:p>
    <w:p>
      <w:pPr>
        <w:adjustRightInd w:val="0"/>
        <w:snapToGrid w:val="0"/>
        <w:spacing w:line="560" w:lineRule="exact"/>
        <w:ind w:firstLine="640" w:firstLineChars="200"/>
        <w:rPr>
          <w:rFonts w:hint="eastAsia" w:eastAsia="仿宋_GB2312"/>
          <w:sz w:val="32"/>
          <w:szCs w:val="32"/>
        </w:rPr>
      </w:pPr>
      <w:r>
        <w:rPr>
          <w:rFonts w:hint="eastAsia" w:eastAsia="仿宋_GB2312"/>
          <w:sz w:val="32"/>
          <w:szCs w:val="32"/>
        </w:rPr>
        <w:t>科技进步是生态文明建设的重要保障，技术的引进、应用、孵化、吸收，人才的吸引、培养、锻炼、提高是生态文明建设的重要基础。充分发挥科学技术在生态文明建设中的支撑作用，着力实施一批科技项目，解决盐城生态文明建设面临的关键技术问题。充分发挥科技服务和科技中介的作用，健全包括科技评估、技术咨询、技术交易、成果推广等内容的科技服务体系，建立有利于产、学、研结合的技术服务平台。以生态文明建设工作为契机，抓紧培养、引进相应的人才，选择一些业务骨干定期学习培训，提高业务素质，使管理水平和服务质量规范化、程序化和标准化。建设绿色科技成果转化载体，加强科技服务平台和技术服务平台建设，普遍建立科技成果转化服务中心，促进科技成果与企业特别是中小企业技术创新需求的有效对接。支持企业建设高水平研发机构，鼓励企业早期介入高校前瞻性、原创性基础研究，开展绿色科技重大战略产品开发和成果转化。</w:t>
      </w:r>
    </w:p>
    <w:p>
      <w:pPr>
        <w:pStyle w:val="3"/>
        <w:keepNext w:val="0"/>
        <w:keepLines w:val="0"/>
        <w:spacing w:before="120" w:beforeLines="50" w:after="120" w:afterLines="50" w:line="540" w:lineRule="exact"/>
        <w:rPr>
          <w:rFonts w:hint="eastAsia" w:ascii="Times New Roman" w:hAnsi="Times New Roman"/>
          <w:b w:val="0"/>
        </w:rPr>
      </w:pPr>
      <w:bookmarkStart w:id="465" w:name="_Toc370234430"/>
      <w:bookmarkStart w:id="466" w:name="_Toc374364986"/>
      <w:bookmarkStart w:id="467" w:name="_Toc369555639"/>
      <w:r>
        <w:rPr>
          <w:rFonts w:hint="eastAsia" w:ascii="Times New Roman" w:hAnsi="Times New Roman"/>
          <w:b w:val="0"/>
        </w:rPr>
        <w:t>8.3  严格环境执法</w:t>
      </w:r>
      <w:bookmarkEnd w:id="465"/>
      <w:bookmarkEnd w:id="466"/>
      <w:bookmarkEnd w:id="467"/>
    </w:p>
    <w:p>
      <w:pPr>
        <w:spacing w:line="560" w:lineRule="exact"/>
        <w:ind w:firstLine="640" w:firstLineChars="200"/>
        <w:rPr>
          <w:rFonts w:hint="eastAsia" w:eastAsia="仿宋_GB2312"/>
          <w:sz w:val="32"/>
          <w:szCs w:val="32"/>
        </w:rPr>
      </w:pPr>
      <w:bookmarkStart w:id="468" w:name="_Toc367802632"/>
      <w:bookmarkStart w:id="469" w:name="_Toc368067644"/>
      <w:r>
        <w:rPr>
          <w:rFonts w:hint="eastAsia" w:eastAsia="仿宋_GB2312"/>
          <w:sz w:val="32"/>
          <w:szCs w:val="32"/>
        </w:rPr>
        <w:t>坚持对污染环境、破坏生态行为“零容忍”，敢于铁腕执法、铁面问责。集中开展各类环保专项活动，对国家、省、市执法检查中发现的违法违规问题实行挂牌督办；深化企业环境行为信息公开制度，对排污企业实行环境行为信用评级，推行企业环境污染责任保险制度，提高企业环保理念。加强部门协作，完善环保、城乡建设、海洋、林业、国土资源、水资源等部门多方联动执法机制。加强环保行政执法与刑事司法的有效衔接，强化行政机关与司法部门联动配合，构建环境污染违法犯罪信息共享平台，健全案件移送、信息通报等制度，推动生态环保案件专业化审理。</w:t>
      </w:r>
    </w:p>
    <w:bookmarkEnd w:id="468"/>
    <w:bookmarkEnd w:id="469"/>
    <w:p>
      <w:pPr>
        <w:pStyle w:val="3"/>
        <w:keepNext w:val="0"/>
        <w:keepLines w:val="0"/>
        <w:spacing w:before="120" w:beforeLines="50" w:after="120" w:afterLines="50" w:line="540" w:lineRule="exact"/>
        <w:rPr>
          <w:rFonts w:hint="eastAsia" w:ascii="Times New Roman" w:hAnsi="Times New Roman"/>
          <w:b w:val="0"/>
        </w:rPr>
      </w:pPr>
      <w:bookmarkStart w:id="470" w:name="_Toc368067647"/>
      <w:bookmarkStart w:id="471" w:name="_Toc367802635"/>
      <w:bookmarkStart w:id="472" w:name="_Toc369555641"/>
      <w:bookmarkStart w:id="473" w:name="_Toc374364987"/>
      <w:bookmarkStart w:id="474" w:name="_Toc370234432"/>
      <w:r>
        <w:rPr>
          <w:rFonts w:hint="eastAsia" w:ascii="Times New Roman" w:hAnsi="Times New Roman"/>
          <w:b w:val="0"/>
        </w:rPr>
        <w:t xml:space="preserve">8.4  </w:t>
      </w:r>
      <w:bookmarkEnd w:id="470"/>
      <w:bookmarkEnd w:id="471"/>
      <w:r>
        <w:rPr>
          <w:rFonts w:hint="eastAsia" w:ascii="Times New Roman" w:hAnsi="Times New Roman"/>
          <w:b w:val="0"/>
        </w:rPr>
        <w:t>完善监测监控</w:t>
      </w:r>
      <w:bookmarkEnd w:id="472"/>
      <w:bookmarkEnd w:id="473"/>
      <w:bookmarkEnd w:id="474"/>
    </w:p>
    <w:p>
      <w:pPr>
        <w:spacing w:line="560" w:lineRule="exact"/>
        <w:ind w:firstLine="640" w:firstLineChars="200"/>
        <w:rPr>
          <w:rFonts w:hint="eastAsia" w:eastAsia="仿宋_GB2312"/>
          <w:sz w:val="32"/>
          <w:szCs w:val="32"/>
        </w:rPr>
      </w:pPr>
      <w:r>
        <w:rPr>
          <w:rFonts w:hint="eastAsia" w:eastAsia="仿宋_GB2312"/>
          <w:sz w:val="32"/>
          <w:szCs w:val="32"/>
        </w:rPr>
        <w:t>加强环境监管、风险应急、放射源监管、海洋环境保护等机构和队伍建设。引进先进技术、增加先进设备，以市环境监测中心站为龙头，结合各县（市、区）环境监测站、重点工业企业和行业等监测站（室），健全环境监测网络，规范化开展环境监测工作。从装备、软硬件设施、经费保障等方面，全面提升环保、发改、经信、城乡建设、农委、国土、水利、林业、交通运输、海洋与渔业等生态文明建设职能部门的能力水平，推进各职能部门监测、监管、风险应急等队伍的标准化和现代化建设。加强环境安全预测、预警、预报系统建设，在生态敏感地区建立固定观测点，长期跟踪生态环境质量变动状况。应用遥感、地理信息系统、卫星定位系统等技术，建设包括生物资源、农业资源、环境质量、水土保持、河道水质、地质环境、海洋环境、气象、赤潮等内容的生态环境动态监测网络。建设完善台风、暴雨、暴潮、冰雹、雾霾等灾害性天气预报预警系统，以及赤潮、酸雨、地质灾害、环境污染事故和突发性动植物病虫害等的预报预警系统和快速反应系统，增加预警和防范准备时间，避免和减少各类灾害造成的损失。</w:t>
      </w:r>
    </w:p>
    <w:p>
      <w:pPr>
        <w:pStyle w:val="3"/>
        <w:keepNext w:val="0"/>
        <w:keepLines w:val="0"/>
        <w:spacing w:before="120" w:beforeLines="50" w:after="120" w:afterLines="50" w:line="540" w:lineRule="exact"/>
        <w:rPr>
          <w:rFonts w:hint="eastAsia" w:ascii="Times New Roman" w:hAnsi="Times New Roman"/>
          <w:b w:val="0"/>
        </w:rPr>
      </w:pPr>
      <w:bookmarkStart w:id="475" w:name="_Toc374364988"/>
      <w:r>
        <w:rPr>
          <w:rFonts w:hint="eastAsia" w:ascii="Times New Roman" w:hAnsi="Times New Roman"/>
          <w:b w:val="0"/>
        </w:rPr>
        <w:t>8.5  推进重点项目</w:t>
      </w:r>
      <w:bookmarkEnd w:id="475"/>
    </w:p>
    <w:p>
      <w:pPr>
        <w:spacing w:line="560" w:lineRule="exact"/>
        <w:ind w:firstLine="640" w:firstLineChars="200"/>
        <w:rPr>
          <w:rFonts w:hint="eastAsia" w:eastAsia="仿宋_GB2312"/>
          <w:sz w:val="32"/>
          <w:szCs w:val="32"/>
        </w:rPr>
      </w:pPr>
      <w:r>
        <w:rPr>
          <w:rFonts w:hint="eastAsia" w:eastAsia="仿宋_GB2312"/>
          <w:sz w:val="32"/>
          <w:szCs w:val="32"/>
        </w:rPr>
        <w:t>按照“工作项目化、项目目标化、目标责任化”的要求，重点实施“饮水安全、城乡截污治污、市区水环境整治、蓝天工程、自然保护、绿道网建设、沿海造林、生态创建、环保科技城建设、生态旅游”10大类项目。各地政府和市有关部门每年制定具体工程项目实施计划，建立工程项目责任制，明确各项工程的责任单位、资金来源和年度建设计划。加强工程项目的组织、管理和监督检查，开展重点工程项目环境监理，定期分析通报项目建设情况，积极协调解决项目实施中的各种困难和实际问题，确保工程项目的顺利实施。</w:t>
      </w:r>
    </w:p>
    <w:p>
      <w:pPr>
        <w:spacing w:line="540" w:lineRule="exact"/>
        <w:ind w:firstLine="720" w:firstLineChars="225"/>
        <w:rPr>
          <w:rFonts w:hint="eastAsia" w:eastAsia="仿宋_GB2312"/>
          <w:sz w:val="32"/>
          <w:szCs w:val="32"/>
        </w:rPr>
      </w:pPr>
    </w:p>
    <w:p>
      <w:pPr>
        <w:spacing w:line="540" w:lineRule="exact"/>
        <w:ind w:firstLine="723"/>
        <w:rPr>
          <w:rFonts w:hint="eastAsia"/>
        </w:rPr>
      </w:pPr>
    </w:p>
    <w:p>
      <w:pPr>
        <w:spacing w:line="540" w:lineRule="exact"/>
        <w:ind w:firstLine="640" w:firstLineChars="200"/>
        <w:rPr>
          <w:rFonts w:hint="eastAsia"/>
        </w:rPr>
      </w:pPr>
      <w:r>
        <w:rPr>
          <w:rFonts w:hint="eastAsia" w:eastAsia="仿宋_GB2312"/>
          <w:sz w:val="32"/>
          <w:szCs w:val="32"/>
        </w:rPr>
        <w:t>附件：盐城市生态文明建设十大工程一览表</w:t>
      </w:r>
    </w:p>
    <w:p>
      <w:pPr>
        <w:spacing w:line="400" w:lineRule="exact"/>
        <w:ind w:firstLine="723"/>
        <w:rPr>
          <w:rFonts w:hint="eastAsia"/>
        </w:rPr>
        <w:sectPr>
          <w:pgSz w:w="11906" w:h="16838"/>
          <w:pgMar w:top="1985" w:right="1701" w:bottom="1701" w:left="1701" w:header="851" w:footer="1361" w:gutter="0"/>
          <w:cols w:space="720" w:num="1"/>
          <w:docGrid w:linePitch="312" w:charSpace="0"/>
        </w:sectPr>
      </w:pPr>
    </w:p>
    <w:p>
      <w:pPr>
        <w:spacing w:after="72" w:afterLines="30" w:line="560" w:lineRule="exact"/>
        <w:jc w:val="center"/>
        <w:rPr>
          <w:rFonts w:hint="eastAsia" w:ascii="方正小标宋简体" w:eastAsia="方正小标宋简体"/>
          <w:sz w:val="36"/>
          <w:szCs w:val="36"/>
        </w:rPr>
      </w:pPr>
      <w:bookmarkStart w:id="476" w:name="OLE_LINK1"/>
      <w:bookmarkStart w:id="477" w:name="OLE_LINK2"/>
      <w:r>
        <w:rPr>
          <w:rFonts w:hint="eastAsia" w:ascii="方正小标宋简体" w:eastAsia="方正小标宋简体"/>
          <w:sz w:val="36"/>
          <w:szCs w:val="36"/>
        </w:rPr>
        <w:t>盐城市生态文明建设十大工程(2013-2015年)一览表</w:t>
      </w:r>
    </w:p>
    <w:bookmarkEnd w:id="476"/>
    <w:bookmarkEnd w:id="477"/>
    <w:tbl>
      <w:tblPr>
        <w:tblStyle w:val="25"/>
        <w:tblW w:w="143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9"/>
        <w:gridCol w:w="647"/>
        <w:gridCol w:w="2417"/>
        <w:gridCol w:w="1001"/>
        <w:gridCol w:w="924"/>
        <w:gridCol w:w="2273"/>
        <w:gridCol w:w="1893"/>
        <w:gridCol w:w="1761"/>
        <w:gridCol w:w="1509"/>
        <w:gridCol w:w="14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69" w:hRule="atLeast"/>
          <w:tblHeader/>
          <w:jc w:val="center"/>
        </w:trPr>
        <w:tc>
          <w:tcPr>
            <w:tcW w:w="177" w:type="pct"/>
            <w:tcBorders>
              <w:top w:val="single" w:color="auto" w:sz="4" w:space="0"/>
              <w:left w:val="single" w:color="auto" w:sz="4" w:space="0"/>
              <w:bottom w:val="single" w:color="auto" w:sz="4" w:space="0"/>
              <w:right w:val="single" w:color="auto" w:sz="4" w:space="0"/>
            </w:tcBorders>
            <w:noWrap w:val="0"/>
            <w:vAlign w:val="center"/>
          </w:tcPr>
          <w:p>
            <w:pPr>
              <w:spacing w:line="300" w:lineRule="exact"/>
              <w:jc w:val="center"/>
              <w:rPr>
                <w:rFonts w:hint="eastAsia" w:ascii="黑体" w:eastAsia="黑体"/>
                <w:bCs/>
                <w:szCs w:val="21"/>
              </w:rPr>
            </w:pPr>
            <w:r>
              <w:rPr>
                <w:rFonts w:hint="eastAsia" w:ascii="黑体" w:eastAsia="黑体"/>
                <w:bCs/>
                <w:szCs w:val="21"/>
              </w:rPr>
              <w:t>序号</w:t>
            </w:r>
          </w:p>
        </w:tc>
        <w:tc>
          <w:tcPr>
            <w:tcW w:w="225" w:type="pct"/>
            <w:tcBorders>
              <w:top w:val="single" w:color="auto" w:sz="4" w:space="0"/>
              <w:left w:val="single" w:color="auto" w:sz="4" w:space="0"/>
              <w:bottom w:val="single" w:color="auto" w:sz="4" w:space="0"/>
              <w:right w:val="single" w:color="auto" w:sz="4" w:space="0"/>
            </w:tcBorders>
            <w:noWrap w:val="0"/>
            <w:vAlign w:val="center"/>
          </w:tcPr>
          <w:p>
            <w:pPr>
              <w:spacing w:line="300" w:lineRule="exact"/>
              <w:jc w:val="center"/>
              <w:rPr>
                <w:rFonts w:hint="eastAsia" w:ascii="黑体" w:eastAsia="黑体"/>
                <w:bCs/>
                <w:szCs w:val="21"/>
              </w:rPr>
            </w:pPr>
            <w:r>
              <w:rPr>
                <w:rFonts w:hint="eastAsia" w:ascii="黑体" w:eastAsia="黑体"/>
                <w:bCs/>
                <w:szCs w:val="21"/>
              </w:rPr>
              <w:t>名称</w:t>
            </w:r>
          </w:p>
        </w:tc>
        <w:tc>
          <w:tcPr>
            <w:tcW w:w="840" w:type="pct"/>
            <w:tcBorders>
              <w:top w:val="single" w:color="auto" w:sz="4" w:space="0"/>
              <w:left w:val="single" w:color="auto" w:sz="4" w:space="0"/>
              <w:bottom w:val="single" w:color="auto" w:sz="4" w:space="0"/>
              <w:right w:val="single" w:color="auto" w:sz="4" w:space="0"/>
            </w:tcBorders>
            <w:noWrap w:val="0"/>
            <w:vAlign w:val="center"/>
          </w:tcPr>
          <w:p>
            <w:pPr>
              <w:spacing w:line="300" w:lineRule="exact"/>
              <w:jc w:val="center"/>
              <w:rPr>
                <w:rFonts w:hint="eastAsia" w:ascii="黑体" w:eastAsia="黑体"/>
                <w:bCs/>
                <w:szCs w:val="21"/>
              </w:rPr>
            </w:pPr>
            <w:r>
              <w:rPr>
                <w:rFonts w:hint="eastAsia" w:ascii="黑体" w:eastAsia="黑体"/>
                <w:bCs/>
                <w:szCs w:val="21"/>
              </w:rPr>
              <w:t>建设内容和规模</w:t>
            </w:r>
          </w:p>
        </w:tc>
        <w:tc>
          <w:tcPr>
            <w:tcW w:w="348" w:type="pct"/>
            <w:tcBorders>
              <w:top w:val="single" w:color="auto" w:sz="4" w:space="0"/>
              <w:left w:val="single" w:color="auto" w:sz="4" w:space="0"/>
              <w:bottom w:val="single" w:color="auto" w:sz="4" w:space="0"/>
              <w:right w:val="single" w:color="auto" w:sz="4" w:space="0"/>
            </w:tcBorders>
            <w:noWrap w:val="0"/>
            <w:vAlign w:val="center"/>
          </w:tcPr>
          <w:p>
            <w:pPr>
              <w:spacing w:line="300" w:lineRule="exact"/>
              <w:ind w:left="-63" w:leftChars="-30" w:right="-63" w:rightChars="-30"/>
              <w:jc w:val="center"/>
              <w:rPr>
                <w:rFonts w:hint="eastAsia" w:ascii="黑体" w:eastAsia="黑体"/>
                <w:bCs/>
                <w:szCs w:val="21"/>
              </w:rPr>
            </w:pPr>
            <w:r>
              <w:rPr>
                <w:rFonts w:hint="eastAsia" w:ascii="黑体" w:eastAsia="黑体"/>
                <w:bCs/>
                <w:szCs w:val="21"/>
              </w:rPr>
              <w:t>建设年限</w:t>
            </w:r>
          </w:p>
        </w:tc>
        <w:tc>
          <w:tcPr>
            <w:tcW w:w="321" w:type="pct"/>
            <w:tcBorders>
              <w:top w:val="single" w:color="auto" w:sz="4" w:space="0"/>
              <w:left w:val="single" w:color="auto" w:sz="4" w:space="0"/>
              <w:bottom w:val="single" w:color="auto" w:sz="4" w:space="0"/>
              <w:right w:val="single" w:color="auto" w:sz="4" w:space="0"/>
            </w:tcBorders>
            <w:noWrap w:val="0"/>
            <w:vAlign w:val="center"/>
          </w:tcPr>
          <w:p>
            <w:pPr>
              <w:spacing w:line="300" w:lineRule="exact"/>
              <w:ind w:left="-63" w:leftChars="-30" w:right="-63" w:rightChars="-30"/>
              <w:jc w:val="center"/>
              <w:rPr>
                <w:rFonts w:hint="eastAsia" w:ascii="黑体" w:eastAsia="黑体"/>
                <w:bCs/>
                <w:szCs w:val="21"/>
              </w:rPr>
            </w:pPr>
            <w:r>
              <w:rPr>
                <w:rFonts w:hint="eastAsia" w:ascii="黑体" w:eastAsia="黑体"/>
                <w:bCs/>
                <w:szCs w:val="21"/>
              </w:rPr>
              <w:t>总投资</w:t>
            </w:r>
          </w:p>
          <w:p>
            <w:pPr>
              <w:spacing w:line="300" w:lineRule="exact"/>
              <w:ind w:left="-63" w:leftChars="-30" w:right="-63" w:rightChars="-30"/>
              <w:jc w:val="center"/>
              <w:rPr>
                <w:rFonts w:hint="eastAsia" w:ascii="黑体" w:eastAsia="黑体"/>
                <w:bCs/>
                <w:szCs w:val="21"/>
              </w:rPr>
            </w:pPr>
            <w:r>
              <w:rPr>
                <w:rFonts w:hint="eastAsia" w:ascii="黑体" w:eastAsia="黑体"/>
                <w:bCs/>
                <w:szCs w:val="21"/>
              </w:rPr>
              <w:t>（亿元）</w:t>
            </w:r>
          </w:p>
        </w:tc>
        <w:tc>
          <w:tcPr>
            <w:tcW w:w="790" w:type="pct"/>
            <w:tcBorders>
              <w:top w:val="single" w:color="auto" w:sz="4" w:space="0"/>
              <w:left w:val="single" w:color="auto" w:sz="4" w:space="0"/>
              <w:bottom w:val="single" w:color="auto" w:sz="4" w:space="0"/>
              <w:right w:val="single" w:color="auto" w:sz="4" w:space="0"/>
            </w:tcBorders>
            <w:noWrap w:val="0"/>
            <w:vAlign w:val="center"/>
          </w:tcPr>
          <w:p>
            <w:pPr>
              <w:spacing w:line="300" w:lineRule="exact"/>
              <w:jc w:val="center"/>
              <w:rPr>
                <w:rFonts w:hint="eastAsia" w:ascii="黑体" w:eastAsia="黑体"/>
                <w:bCs/>
                <w:szCs w:val="21"/>
              </w:rPr>
            </w:pPr>
            <w:r>
              <w:rPr>
                <w:rFonts w:hint="eastAsia" w:ascii="黑体" w:eastAsia="黑体"/>
                <w:bCs/>
                <w:szCs w:val="21"/>
              </w:rPr>
              <w:t>2013年度工作</w:t>
            </w:r>
          </w:p>
        </w:tc>
        <w:tc>
          <w:tcPr>
            <w:tcW w:w="658" w:type="pct"/>
            <w:tcBorders>
              <w:top w:val="single" w:color="auto" w:sz="4" w:space="0"/>
              <w:left w:val="single" w:color="auto" w:sz="4" w:space="0"/>
              <w:bottom w:val="single" w:color="auto" w:sz="4" w:space="0"/>
              <w:right w:val="single" w:color="auto" w:sz="4" w:space="0"/>
            </w:tcBorders>
            <w:noWrap w:val="0"/>
            <w:vAlign w:val="center"/>
          </w:tcPr>
          <w:p>
            <w:pPr>
              <w:spacing w:line="300" w:lineRule="exact"/>
              <w:jc w:val="center"/>
              <w:rPr>
                <w:rFonts w:hint="eastAsia" w:ascii="黑体" w:eastAsia="黑体"/>
                <w:bCs/>
                <w:szCs w:val="21"/>
              </w:rPr>
            </w:pPr>
            <w:r>
              <w:rPr>
                <w:rFonts w:hint="eastAsia" w:ascii="黑体" w:eastAsia="黑体"/>
                <w:bCs/>
                <w:szCs w:val="21"/>
              </w:rPr>
              <w:t>2014年度工作</w:t>
            </w:r>
          </w:p>
        </w:tc>
        <w:tc>
          <w:tcPr>
            <w:tcW w:w="612" w:type="pct"/>
            <w:tcBorders>
              <w:top w:val="single" w:color="auto" w:sz="4" w:space="0"/>
              <w:left w:val="single" w:color="auto" w:sz="4" w:space="0"/>
              <w:bottom w:val="single" w:color="auto" w:sz="4" w:space="0"/>
              <w:right w:val="single" w:color="auto" w:sz="4" w:space="0"/>
            </w:tcBorders>
            <w:noWrap w:val="0"/>
            <w:vAlign w:val="center"/>
          </w:tcPr>
          <w:p>
            <w:pPr>
              <w:spacing w:line="300" w:lineRule="exact"/>
              <w:jc w:val="center"/>
              <w:rPr>
                <w:rFonts w:hint="eastAsia" w:ascii="黑体" w:eastAsia="黑体"/>
                <w:bCs/>
                <w:szCs w:val="21"/>
              </w:rPr>
            </w:pPr>
            <w:r>
              <w:rPr>
                <w:rFonts w:hint="eastAsia" w:ascii="黑体" w:eastAsia="黑体"/>
                <w:bCs/>
                <w:szCs w:val="21"/>
              </w:rPr>
              <w:t>2015年度工作</w:t>
            </w:r>
          </w:p>
        </w:tc>
        <w:tc>
          <w:tcPr>
            <w:tcW w:w="524" w:type="pct"/>
            <w:tcBorders>
              <w:top w:val="single" w:color="auto" w:sz="4" w:space="0"/>
              <w:left w:val="single" w:color="auto" w:sz="4" w:space="0"/>
              <w:bottom w:val="single" w:color="auto" w:sz="4" w:space="0"/>
              <w:right w:val="single" w:color="auto" w:sz="4" w:space="0"/>
            </w:tcBorders>
            <w:noWrap w:val="0"/>
            <w:vAlign w:val="center"/>
          </w:tcPr>
          <w:p>
            <w:pPr>
              <w:spacing w:line="300" w:lineRule="exact"/>
              <w:ind w:left="-63" w:leftChars="-30" w:right="-63" w:rightChars="-30"/>
              <w:jc w:val="center"/>
              <w:rPr>
                <w:rFonts w:hint="eastAsia" w:ascii="黑体" w:eastAsia="黑体"/>
                <w:bCs/>
                <w:szCs w:val="21"/>
              </w:rPr>
            </w:pPr>
            <w:r>
              <w:rPr>
                <w:rFonts w:hint="eastAsia" w:ascii="黑体" w:eastAsia="黑体"/>
                <w:bCs/>
                <w:szCs w:val="21"/>
              </w:rPr>
              <w:t>责任单位</w:t>
            </w:r>
          </w:p>
        </w:tc>
        <w:tc>
          <w:tcPr>
            <w:tcW w:w="506" w:type="pct"/>
            <w:tcBorders>
              <w:top w:val="single" w:color="auto" w:sz="4" w:space="0"/>
              <w:left w:val="single" w:color="auto" w:sz="4" w:space="0"/>
              <w:bottom w:val="single" w:color="auto" w:sz="4" w:space="0"/>
              <w:right w:val="single" w:color="auto" w:sz="4" w:space="0"/>
            </w:tcBorders>
            <w:noWrap w:val="0"/>
            <w:vAlign w:val="center"/>
          </w:tcPr>
          <w:p>
            <w:pPr>
              <w:spacing w:line="300" w:lineRule="exact"/>
              <w:jc w:val="center"/>
              <w:rPr>
                <w:rFonts w:hint="eastAsia" w:ascii="黑体" w:eastAsia="黑体"/>
                <w:bCs/>
                <w:szCs w:val="21"/>
              </w:rPr>
            </w:pPr>
            <w:r>
              <w:rPr>
                <w:rFonts w:hint="eastAsia" w:ascii="黑体" w:eastAsia="黑体"/>
                <w:bCs/>
                <w:szCs w:val="21"/>
              </w:rPr>
              <w:t>责任人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209" w:hRule="atLeast"/>
          <w:jc w:val="center"/>
        </w:trPr>
        <w:tc>
          <w:tcPr>
            <w:tcW w:w="177" w:type="pct"/>
            <w:tcBorders>
              <w:top w:val="single" w:color="auto" w:sz="4" w:space="0"/>
              <w:left w:val="single" w:color="auto" w:sz="4" w:space="0"/>
              <w:bottom w:val="single" w:color="auto" w:sz="4" w:space="0"/>
              <w:right w:val="single" w:color="auto" w:sz="4" w:space="0"/>
            </w:tcBorders>
            <w:noWrap w:val="0"/>
            <w:vAlign w:val="center"/>
          </w:tcPr>
          <w:p>
            <w:pPr>
              <w:snapToGrid w:val="0"/>
              <w:spacing w:line="320" w:lineRule="exact"/>
              <w:jc w:val="center"/>
              <w:rPr>
                <w:rFonts w:hint="eastAsia" w:eastAsia="仿宋_GB2312"/>
                <w:szCs w:val="21"/>
              </w:rPr>
            </w:pPr>
            <w:r>
              <w:rPr>
                <w:rFonts w:hint="eastAsia" w:eastAsia="仿宋_GB2312"/>
                <w:szCs w:val="21"/>
              </w:rPr>
              <w:t>1</w:t>
            </w:r>
          </w:p>
        </w:tc>
        <w:tc>
          <w:tcPr>
            <w:tcW w:w="225" w:type="pct"/>
            <w:tcBorders>
              <w:top w:val="single" w:color="auto" w:sz="4" w:space="0"/>
              <w:left w:val="single" w:color="auto" w:sz="4" w:space="0"/>
              <w:bottom w:val="single" w:color="auto" w:sz="4" w:space="0"/>
              <w:right w:val="single" w:color="auto" w:sz="4" w:space="0"/>
            </w:tcBorders>
            <w:noWrap w:val="0"/>
            <w:vAlign w:val="center"/>
          </w:tcPr>
          <w:p>
            <w:pPr>
              <w:snapToGrid w:val="0"/>
              <w:spacing w:line="320" w:lineRule="exact"/>
              <w:rPr>
                <w:rFonts w:hint="eastAsia" w:eastAsia="仿宋_GB2312"/>
                <w:szCs w:val="21"/>
              </w:rPr>
            </w:pPr>
            <w:r>
              <w:rPr>
                <w:rFonts w:hint="eastAsia" w:eastAsia="仿宋_GB2312"/>
                <w:szCs w:val="21"/>
              </w:rPr>
              <w:t>饮水安全</w:t>
            </w:r>
          </w:p>
        </w:tc>
        <w:tc>
          <w:tcPr>
            <w:tcW w:w="840" w:type="pct"/>
            <w:tcBorders>
              <w:top w:val="single" w:color="auto" w:sz="4" w:space="0"/>
              <w:left w:val="single" w:color="auto" w:sz="4" w:space="0"/>
              <w:bottom w:val="single" w:color="auto" w:sz="4" w:space="0"/>
              <w:right w:val="single" w:color="auto" w:sz="4" w:space="0"/>
            </w:tcBorders>
            <w:noWrap w:val="0"/>
            <w:vAlign w:val="center"/>
          </w:tcPr>
          <w:p>
            <w:pPr>
              <w:snapToGrid w:val="0"/>
              <w:spacing w:line="240" w:lineRule="exact"/>
              <w:rPr>
                <w:rFonts w:hint="eastAsia" w:eastAsia="仿宋_GB2312"/>
                <w:szCs w:val="21"/>
              </w:rPr>
            </w:pPr>
            <w:r>
              <w:rPr>
                <w:rFonts w:hint="eastAsia" w:eastAsia="仿宋_GB2312"/>
                <w:szCs w:val="21"/>
              </w:rPr>
              <w:t>①全市16个日供水万吨以上集中式饮用水源地开展水源地达标建设，彻底关闭饮用水源一级保护内与供水设施和保护水源无关的建设项目，全面完成饮用水源二级保护内生活污水集中处理设施和管网建设工作。设立规范的警示标志，明确保护区地理界线和管理要求。到2015年，全市16个日供水万吨以上的集中式饮用水源地全面达标。</w:t>
            </w:r>
          </w:p>
          <w:p>
            <w:pPr>
              <w:snapToGrid w:val="0"/>
              <w:spacing w:line="240" w:lineRule="exact"/>
              <w:rPr>
                <w:rFonts w:hint="eastAsia" w:eastAsia="仿宋_GB2312"/>
                <w:szCs w:val="21"/>
              </w:rPr>
            </w:pPr>
            <w:r>
              <w:rPr>
                <w:rFonts w:hint="eastAsia" w:eastAsia="仿宋_GB2312"/>
                <w:szCs w:val="21"/>
              </w:rPr>
              <w:t>②到2015年，全市新建水厂67万吨/日。实施城乡联网供水管网建设，实现城乡供水一体化，解决291.4万人农村居民饮水安全问题，区域供水乡镇通达率100%，各县（市）建成备用水源。</w:t>
            </w:r>
          </w:p>
          <w:p>
            <w:pPr>
              <w:snapToGrid w:val="0"/>
              <w:spacing w:line="280" w:lineRule="exact"/>
              <w:rPr>
                <w:rFonts w:hint="eastAsia" w:eastAsia="仿宋_GB2312"/>
                <w:szCs w:val="21"/>
              </w:rPr>
            </w:pPr>
          </w:p>
        </w:tc>
        <w:tc>
          <w:tcPr>
            <w:tcW w:w="348" w:type="pct"/>
            <w:tcBorders>
              <w:top w:val="single" w:color="auto" w:sz="4" w:space="0"/>
              <w:left w:val="single" w:color="auto" w:sz="4" w:space="0"/>
              <w:bottom w:val="single" w:color="auto" w:sz="4" w:space="0"/>
              <w:right w:val="single" w:color="auto" w:sz="4" w:space="0"/>
            </w:tcBorders>
            <w:noWrap w:val="0"/>
            <w:vAlign w:val="center"/>
          </w:tcPr>
          <w:p>
            <w:pPr>
              <w:snapToGrid w:val="0"/>
              <w:spacing w:line="300" w:lineRule="exact"/>
              <w:ind w:left="-63" w:leftChars="-30" w:right="-63" w:rightChars="-30"/>
              <w:jc w:val="center"/>
              <w:rPr>
                <w:rFonts w:hint="eastAsia" w:eastAsia="仿宋_GB2312"/>
                <w:szCs w:val="21"/>
              </w:rPr>
            </w:pPr>
            <w:r>
              <w:rPr>
                <w:rFonts w:hint="eastAsia" w:eastAsia="仿宋_GB2312"/>
                <w:szCs w:val="21"/>
              </w:rPr>
              <w:t>2013-2015</w:t>
            </w:r>
          </w:p>
        </w:tc>
        <w:tc>
          <w:tcPr>
            <w:tcW w:w="321" w:type="pct"/>
            <w:tcBorders>
              <w:top w:val="single" w:color="auto" w:sz="4" w:space="0"/>
              <w:left w:val="single" w:color="auto" w:sz="4" w:space="0"/>
              <w:bottom w:val="single" w:color="auto" w:sz="4" w:space="0"/>
              <w:right w:val="single" w:color="auto" w:sz="4" w:space="0"/>
            </w:tcBorders>
            <w:noWrap w:val="0"/>
            <w:vAlign w:val="center"/>
          </w:tcPr>
          <w:p>
            <w:pPr>
              <w:snapToGrid w:val="0"/>
              <w:spacing w:line="300" w:lineRule="exact"/>
              <w:ind w:left="-63" w:leftChars="-30" w:right="-63" w:rightChars="-30"/>
              <w:jc w:val="center"/>
              <w:rPr>
                <w:rFonts w:hint="eastAsia" w:eastAsia="仿宋_GB2312"/>
                <w:szCs w:val="21"/>
              </w:rPr>
            </w:pPr>
            <w:r>
              <w:rPr>
                <w:rFonts w:hint="eastAsia" w:eastAsia="仿宋_GB2312"/>
                <w:szCs w:val="21"/>
              </w:rPr>
              <w:t>30</w:t>
            </w:r>
          </w:p>
        </w:tc>
        <w:tc>
          <w:tcPr>
            <w:tcW w:w="790" w:type="pct"/>
            <w:tcBorders>
              <w:top w:val="single" w:color="auto" w:sz="4" w:space="0"/>
              <w:left w:val="single" w:color="auto" w:sz="4" w:space="0"/>
              <w:bottom w:val="single" w:color="auto" w:sz="4" w:space="0"/>
              <w:right w:val="single" w:color="auto" w:sz="4" w:space="0"/>
            </w:tcBorders>
            <w:noWrap w:val="0"/>
            <w:vAlign w:val="center"/>
          </w:tcPr>
          <w:p>
            <w:pPr>
              <w:snapToGrid w:val="0"/>
              <w:spacing w:line="240" w:lineRule="exact"/>
              <w:rPr>
                <w:rFonts w:hint="eastAsia" w:eastAsia="仿宋_GB2312"/>
                <w:szCs w:val="21"/>
              </w:rPr>
            </w:pPr>
            <w:r>
              <w:rPr>
                <w:rFonts w:hint="eastAsia" w:eastAsia="仿宋_GB2312"/>
                <w:szCs w:val="21"/>
              </w:rPr>
              <w:t>①完成市区蟒蛇河水源地，东台泰东河水源地，大丰通榆河水源地，射阳射阳河水源地、明湖水源地，阜宁总渠水源地、通榆河水源地，滨海废黄河水源地等8个水源地达标建设。</w:t>
            </w:r>
          </w:p>
          <w:p>
            <w:pPr>
              <w:snapToGrid w:val="0"/>
              <w:spacing w:line="240" w:lineRule="exact"/>
              <w:rPr>
                <w:rFonts w:hint="eastAsia" w:eastAsia="仿宋_GB2312"/>
                <w:szCs w:val="21"/>
              </w:rPr>
            </w:pPr>
            <w:r>
              <w:rPr>
                <w:rFonts w:hint="eastAsia" w:eastAsia="仿宋_GB2312"/>
                <w:spacing w:val="-2"/>
                <w:szCs w:val="21"/>
              </w:rPr>
              <w:t>②新建至盐都冈中、鞍湖、中兴3个社区供水管道及4条城市道路配套供水管道，大市区区域供水乡镇全覆盖；各县不断完善区域供水管网建设，实现城乡区域供水（除滨海县外）全覆盖。继续实施农村饮用水安全工程，</w:t>
            </w:r>
            <w:r>
              <w:rPr>
                <w:rFonts w:hint="eastAsia" w:eastAsia="仿宋_GB2312"/>
                <w:szCs w:val="21"/>
              </w:rPr>
              <w:t>解决196.4万农村居民饮水安全问题，其中：响水11.6万人，滨海6.9万人，阜宁50.2万人，射阳10.3万人，建湖31.9万人，盐都31.2万人，亭湖12.7万人，大丰22.8万人，东台18.8万人。</w:t>
            </w:r>
          </w:p>
        </w:tc>
        <w:tc>
          <w:tcPr>
            <w:tcW w:w="658" w:type="pct"/>
            <w:tcBorders>
              <w:top w:val="single" w:color="auto" w:sz="4" w:space="0"/>
              <w:left w:val="single" w:color="auto" w:sz="4" w:space="0"/>
              <w:bottom w:val="single" w:color="auto" w:sz="4" w:space="0"/>
              <w:right w:val="single" w:color="auto" w:sz="4" w:space="0"/>
            </w:tcBorders>
            <w:noWrap w:val="0"/>
            <w:vAlign w:val="center"/>
          </w:tcPr>
          <w:p>
            <w:pPr>
              <w:snapToGrid w:val="0"/>
              <w:spacing w:line="240" w:lineRule="exact"/>
              <w:rPr>
                <w:rFonts w:hint="eastAsia" w:eastAsia="仿宋_GB2312"/>
                <w:szCs w:val="21"/>
              </w:rPr>
            </w:pPr>
            <w:r>
              <w:rPr>
                <w:rFonts w:hint="eastAsia" w:eastAsia="仿宋_GB2312"/>
                <w:szCs w:val="21"/>
              </w:rPr>
              <w:t>①完成市区通榆河水源地，建湖嘎粮河水源地、西塘河水源地，阜宁射阳河水源地、潮河水源地，滨海通榆河水源地，响水通榆河水源地，大丰新团河水源地等8个水源地达标建设。</w:t>
            </w:r>
          </w:p>
          <w:p>
            <w:pPr>
              <w:snapToGrid w:val="0"/>
              <w:spacing w:line="240" w:lineRule="exact"/>
              <w:rPr>
                <w:rFonts w:hint="eastAsia" w:eastAsia="仿宋_GB2312"/>
                <w:szCs w:val="21"/>
              </w:rPr>
            </w:pPr>
            <w:r>
              <w:rPr>
                <w:rFonts w:hint="eastAsia" w:eastAsia="仿宋_GB2312"/>
                <w:szCs w:val="21"/>
              </w:rPr>
              <w:t>②完成响水县5万吨/日二水厂、滨海县5万吨新滩水厂建设，不断完善区域供水管网建设。</w:t>
            </w:r>
            <w:r>
              <w:rPr>
                <w:rFonts w:hint="eastAsia" w:eastAsia="仿宋_GB2312"/>
                <w:spacing w:val="-2"/>
                <w:szCs w:val="21"/>
              </w:rPr>
              <w:t>继续实施农村饮用水安全工程，</w:t>
            </w:r>
            <w:r>
              <w:rPr>
                <w:rFonts w:hint="eastAsia" w:eastAsia="仿宋_GB2312"/>
                <w:szCs w:val="21"/>
              </w:rPr>
              <w:t>解决47.7万农村居民饮水安全问题，其中：响水8.5万人、滨海13.3万人、射阳20万人、开发区4.3万人、城南新区1.6万人。</w:t>
            </w:r>
          </w:p>
        </w:tc>
        <w:tc>
          <w:tcPr>
            <w:tcW w:w="612" w:type="pct"/>
            <w:tcBorders>
              <w:top w:val="single" w:color="auto" w:sz="4" w:space="0"/>
              <w:left w:val="single" w:color="auto" w:sz="4" w:space="0"/>
              <w:bottom w:val="single" w:color="auto" w:sz="4" w:space="0"/>
              <w:right w:val="single" w:color="auto" w:sz="4" w:space="0"/>
            </w:tcBorders>
            <w:noWrap w:val="0"/>
            <w:vAlign w:val="center"/>
          </w:tcPr>
          <w:p>
            <w:pPr>
              <w:snapToGrid w:val="0"/>
              <w:spacing w:line="240" w:lineRule="exact"/>
              <w:rPr>
                <w:rFonts w:hint="eastAsia" w:eastAsia="仿宋_GB2312"/>
                <w:szCs w:val="21"/>
              </w:rPr>
            </w:pPr>
            <w:r>
              <w:rPr>
                <w:rFonts w:hint="eastAsia" w:eastAsia="仿宋_GB2312"/>
                <w:szCs w:val="21"/>
              </w:rPr>
              <w:t>完成市区盐龙湖30万吨/日水厂、东台市10万吨/日第二水厂和滨海县5万吨/日八滩水厂、2.5万吨/日蔡桥水厂、9.5万吨/日东坎水厂建设，不断完善区域供水管网建设。实现区域供水乡镇通达率100%。</w:t>
            </w:r>
            <w:r>
              <w:rPr>
                <w:rFonts w:hint="eastAsia" w:eastAsia="仿宋_GB2312"/>
                <w:spacing w:val="-2"/>
                <w:szCs w:val="21"/>
              </w:rPr>
              <w:t>继续实施农村饮用水安全工程，</w:t>
            </w:r>
            <w:r>
              <w:rPr>
                <w:rFonts w:hint="eastAsia" w:eastAsia="仿宋_GB2312"/>
                <w:szCs w:val="21"/>
              </w:rPr>
              <w:t>解决47.3万农村居民饮水安全问题，其中响水8万人、滨海31.3万人、射阳8万人。</w:t>
            </w:r>
          </w:p>
        </w:tc>
        <w:tc>
          <w:tcPr>
            <w:tcW w:w="524" w:type="pct"/>
            <w:tcBorders>
              <w:top w:val="single" w:color="auto" w:sz="4" w:space="0"/>
              <w:left w:val="single" w:color="auto" w:sz="4" w:space="0"/>
              <w:bottom w:val="single" w:color="auto" w:sz="4" w:space="0"/>
              <w:right w:val="single" w:color="auto" w:sz="4" w:space="0"/>
            </w:tcBorders>
            <w:noWrap w:val="0"/>
            <w:vAlign w:val="center"/>
          </w:tcPr>
          <w:p>
            <w:pPr>
              <w:snapToGrid w:val="0"/>
              <w:spacing w:line="300" w:lineRule="exact"/>
              <w:ind w:left="-63" w:leftChars="-30" w:right="-63" w:rightChars="-30"/>
              <w:jc w:val="center"/>
              <w:rPr>
                <w:rFonts w:hint="eastAsia" w:eastAsia="仿宋_GB2312"/>
                <w:szCs w:val="21"/>
              </w:rPr>
            </w:pPr>
            <w:r>
              <w:rPr>
                <w:rFonts w:hint="eastAsia" w:eastAsia="仿宋_GB2312"/>
                <w:szCs w:val="21"/>
              </w:rPr>
              <w:t>市水利局</w:t>
            </w:r>
          </w:p>
          <w:p>
            <w:pPr>
              <w:snapToGrid w:val="0"/>
              <w:spacing w:line="300" w:lineRule="exact"/>
              <w:ind w:left="-63" w:leftChars="-30" w:right="-63" w:rightChars="-30"/>
              <w:jc w:val="center"/>
              <w:rPr>
                <w:rFonts w:hint="eastAsia" w:eastAsia="仿宋_GB2312"/>
                <w:szCs w:val="21"/>
              </w:rPr>
            </w:pPr>
            <w:r>
              <w:rPr>
                <w:rFonts w:hint="eastAsia" w:eastAsia="仿宋_GB2312"/>
                <w:szCs w:val="21"/>
              </w:rPr>
              <w:t>市城乡建设局</w:t>
            </w:r>
          </w:p>
          <w:p>
            <w:pPr>
              <w:snapToGrid w:val="0"/>
              <w:spacing w:line="300" w:lineRule="exact"/>
              <w:ind w:left="-63" w:leftChars="-30" w:right="-63" w:rightChars="-30"/>
              <w:jc w:val="center"/>
              <w:rPr>
                <w:rFonts w:hint="eastAsia" w:eastAsia="仿宋_GB2312"/>
                <w:szCs w:val="21"/>
              </w:rPr>
            </w:pPr>
            <w:r>
              <w:rPr>
                <w:rFonts w:hint="eastAsia" w:eastAsia="仿宋_GB2312"/>
                <w:szCs w:val="21"/>
              </w:rPr>
              <w:t>市环保局</w:t>
            </w:r>
          </w:p>
          <w:p>
            <w:pPr>
              <w:snapToGrid w:val="0"/>
              <w:spacing w:line="300" w:lineRule="exact"/>
              <w:ind w:left="-63" w:leftChars="-30" w:right="-63" w:rightChars="-30"/>
              <w:jc w:val="center"/>
              <w:rPr>
                <w:rFonts w:hint="eastAsia" w:eastAsia="仿宋_GB2312"/>
                <w:szCs w:val="21"/>
              </w:rPr>
            </w:pPr>
            <w:r>
              <w:rPr>
                <w:rFonts w:hint="eastAsia" w:eastAsia="仿宋_GB2312"/>
                <w:szCs w:val="21"/>
              </w:rPr>
              <w:t>各县（市、区）</w:t>
            </w:r>
          </w:p>
          <w:p>
            <w:pPr>
              <w:snapToGrid w:val="0"/>
              <w:spacing w:line="300" w:lineRule="exact"/>
              <w:ind w:left="-63" w:leftChars="-30" w:right="-63" w:rightChars="-30"/>
              <w:jc w:val="center"/>
              <w:rPr>
                <w:rFonts w:hint="eastAsia" w:eastAsia="仿宋_GB2312"/>
                <w:szCs w:val="21"/>
              </w:rPr>
            </w:pPr>
            <w:r>
              <w:rPr>
                <w:rFonts w:hint="eastAsia" w:eastAsia="仿宋_GB2312"/>
                <w:szCs w:val="21"/>
              </w:rPr>
              <w:t>政府</w:t>
            </w:r>
          </w:p>
          <w:p>
            <w:pPr>
              <w:snapToGrid w:val="0"/>
              <w:spacing w:line="300" w:lineRule="exact"/>
              <w:ind w:left="-63" w:leftChars="-30" w:right="-63" w:rightChars="-30"/>
              <w:jc w:val="center"/>
              <w:rPr>
                <w:rFonts w:hint="eastAsia" w:eastAsia="仿宋_GB2312"/>
                <w:spacing w:val="-6"/>
                <w:szCs w:val="21"/>
              </w:rPr>
            </w:pPr>
            <w:r>
              <w:rPr>
                <w:rFonts w:hint="eastAsia" w:eastAsia="仿宋_GB2312"/>
                <w:spacing w:val="-6"/>
                <w:szCs w:val="21"/>
              </w:rPr>
              <w:t>市开发区管委会</w:t>
            </w:r>
          </w:p>
          <w:p>
            <w:pPr>
              <w:snapToGrid w:val="0"/>
              <w:spacing w:line="300" w:lineRule="exact"/>
              <w:ind w:left="-63" w:leftChars="-30" w:right="-63" w:rightChars="-30"/>
              <w:jc w:val="center"/>
              <w:rPr>
                <w:rFonts w:hint="eastAsia" w:eastAsia="仿宋_GB2312"/>
                <w:szCs w:val="21"/>
              </w:rPr>
            </w:pPr>
            <w:r>
              <w:rPr>
                <w:rFonts w:hint="eastAsia" w:eastAsia="仿宋_GB2312"/>
                <w:spacing w:val="-6"/>
                <w:szCs w:val="21"/>
              </w:rPr>
              <w:t>城南新区管委会</w:t>
            </w:r>
          </w:p>
        </w:tc>
        <w:tc>
          <w:tcPr>
            <w:tcW w:w="506" w:type="pct"/>
            <w:tcBorders>
              <w:top w:val="single" w:color="auto" w:sz="4" w:space="0"/>
              <w:left w:val="single" w:color="auto" w:sz="4" w:space="0"/>
              <w:bottom w:val="single" w:color="auto" w:sz="4" w:space="0"/>
              <w:right w:val="single" w:color="auto" w:sz="4" w:space="0"/>
            </w:tcBorders>
            <w:noWrap w:val="0"/>
            <w:vAlign w:val="center"/>
          </w:tcPr>
          <w:p>
            <w:pPr>
              <w:snapToGrid w:val="0"/>
              <w:spacing w:line="300" w:lineRule="exact"/>
              <w:jc w:val="center"/>
              <w:rPr>
                <w:rFonts w:hint="eastAsia" w:eastAsia="仿宋_GB2312"/>
                <w:szCs w:val="21"/>
              </w:rPr>
            </w:pPr>
            <w:r>
              <w:rPr>
                <w:rFonts w:hint="eastAsia" w:eastAsia="仿宋_GB2312"/>
                <w:szCs w:val="21"/>
              </w:rPr>
              <w:t>罗利民</w:t>
            </w:r>
          </w:p>
          <w:p>
            <w:pPr>
              <w:snapToGrid w:val="0"/>
              <w:spacing w:line="300" w:lineRule="exact"/>
              <w:jc w:val="center"/>
              <w:rPr>
                <w:rFonts w:hint="eastAsia" w:eastAsia="仿宋_GB2312"/>
                <w:szCs w:val="21"/>
              </w:rPr>
            </w:pPr>
            <w:r>
              <w:rPr>
                <w:rFonts w:hint="eastAsia" w:eastAsia="仿宋_GB2312"/>
                <w:szCs w:val="21"/>
              </w:rPr>
              <w:t>姜  华</w:t>
            </w:r>
          </w:p>
          <w:p>
            <w:pPr>
              <w:spacing w:line="300" w:lineRule="exact"/>
              <w:jc w:val="center"/>
              <w:rPr>
                <w:rFonts w:hint="eastAsia" w:eastAsia="仿宋_GB2312"/>
                <w:szCs w:val="21"/>
              </w:rPr>
            </w:pPr>
            <w:r>
              <w:rPr>
                <w:rFonts w:hint="eastAsia" w:eastAsia="仿宋_GB2312"/>
                <w:szCs w:val="21"/>
              </w:rPr>
              <w:t>吴雨晴</w:t>
            </w:r>
          </w:p>
          <w:p>
            <w:pPr>
              <w:snapToGrid w:val="0"/>
              <w:spacing w:line="300" w:lineRule="exact"/>
              <w:jc w:val="center"/>
              <w:rPr>
                <w:rFonts w:hint="eastAsia" w:eastAsia="仿宋_GB2312"/>
                <w:spacing w:val="-20"/>
                <w:w w:val="97"/>
                <w:szCs w:val="21"/>
              </w:rPr>
            </w:pPr>
            <w:r>
              <w:rPr>
                <w:rFonts w:hint="eastAsia" w:eastAsia="仿宋_GB2312"/>
                <w:spacing w:val="-20"/>
                <w:w w:val="97"/>
                <w:szCs w:val="21"/>
              </w:rPr>
              <w:t>各县（市、区）长</w:t>
            </w:r>
          </w:p>
          <w:p>
            <w:pPr>
              <w:snapToGrid w:val="0"/>
              <w:spacing w:line="300" w:lineRule="exact"/>
              <w:jc w:val="center"/>
              <w:rPr>
                <w:rFonts w:hint="eastAsia" w:eastAsia="仿宋_GB2312"/>
                <w:szCs w:val="21"/>
              </w:rPr>
            </w:pPr>
            <w:r>
              <w:rPr>
                <w:rFonts w:hint="eastAsia" w:eastAsia="仿宋_GB2312"/>
                <w:szCs w:val="21"/>
              </w:rPr>
              <w:t>王连春</w:t>
            </w:r>
          </w:p>
          <w:p>
            <w:pPr>
              <w:snapToGrid w:val="0"/>
              <w:spacing w:line="300" w:lineRule="exact"/>
              <w:jc w:val="center"/>
              <w:rPr>
                <w:rFonts w:hint="eastAsia" w:eastAsia="仿宋_GB2312"/>
                <w:szCs w:val="21"/>
              </w:rPr>
            </w:pPr>
            <w:r>
              <w:rPr>
                <w:rFonts w:hint="eastAsia" w:eastAsia="仿宋_GB2312"/>
                <w:szCs w:val="21"/>
              </w:rPr>
              <w:t>周键云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345" w:hRule="atLeast"/>
          <w:jc w:val="center"/>
        </w:trPr>
        <w:tc>
          <w:tcPr>
            <w:tcW w:w="177" w:type="pct"/>
            <w:tcBorders>
              <w:top w:val="single" w:color="auto" w:sz="4" w:space="0"/>
              <w:left w:val="single" w:color="auto" w:sz="4" w:space="0"/>
              <w:bottom w:val="single" w:color="auto" w:sz="4" w:space="0"/>
              <w:right w:val="single" w:color="auto" w:sz="4" w:space="0"/>
            </w:tcBorders>
            <w:noWrap w:val="0"/>
            <w:vAlign w:val="center"/>
          </w:tcPr>
          <w:p>
            <w:pPr>
              <w:snapToGrid w:val="0"/>
              <w:spacing w:line="320" w:lineRule="exact"/>
              <w:jc w:val="center"/>
              <w:rPr>
                <w:rFonts w:hint="eastAsia" w:eastAsia="仿宋_GB2312"/>
                <w:szCs w:val="21"/>
              </w:rPr>
            </w:pPr>
            <w:r>
              <w:rPr>
                <w:rFonts w:hint="eastAsia" w:eastAsia="仿宋_GB2312"/>
                <w:szCs w:val="21"/>
              </w:rPr>
              <w:t>2</w:t>
            </w:r>
          </w:p>
        </w:tc>
        <w:tc>
          <w:tcPr>
            <w:tcW w:w="225" w:type="pct"/>
            <w:tcBorders>
              <w:top w:val="single" w:color="auto" w:sz="4" w:space="0"/>
              <w:left w:val="single" w:color="auto" w:sz="4" w:space="0"/>
              <w:bottom w:val="single" w:color="auto" w:sz="4" w:space="0"/>
              <w:right w:val="single" w:color="auto" w:sz="4" w:space="0"/>
            </w:tcBorders>
            <w:noWrap w:val="0"/>
            <w:vAlign w:val="center"/>
          </w:tcPr>
          <w:p>
            <w:pPr>
              <w:snapToGrid w:val="0"/>
              <w:spacing w:line="320" w:lineRule="exact"/>
              <w:rPr>
                <w:rFonts w:hint="eastAsia" w:eastAsia="仿宋_GB2312"/>
                <w:szCs w:val="21"/>
              </w:rPr>
            </w:pPr>
            <w:r>
              <w:rPr>
                <w:rFonts w:hint="eastAsia" w:eastAsia="仿宋_GB2312"/>
                <w:szCs w:val="21"/>
              </w:rPr>
              <w:t>城乡截污治污</w:t>
            </w:r>
          </w:p>
        </w:tc>
        <w:tc>
          <w:tcPr>
            <w:tcW w:w="840" w:type="pct"/>
            <w:tcBorders>
              <w:top w:val="single" w:color="auto" w:sz="4" w:space="0"/>
              <w:left w:val="single" w:color="auto" w:sz="4" w:space="0"/>
              <w:bottom w:val="single" w:color="auto" w:sz="4" w:space="0"/>
              <w:right w:val="single" w:color="auto" w:sz="4" w:space="0"/>
            </w:tcBorders>
            <w:noWrap w:val="0"/>
            <w:vAlign w:val="center"/>
          </w:tcPr>
          <w:p>
            <w:pPr>
              <w:snapToGrid w:val="0"/>
              <w:spacing w:line="300" w:lineRule="exact"/>
              <w:rPr>
                <w:rFonts w:hint="eastAsia" w:eastAsia="仿宋_GB2312"/>
                <w:szCs w:val="21"/>
              </w:rPr>
            </w:pPr>
            <w:r>
              <w:rPr>
                <w:rFonts w:hint="eastAsia" w:eastAsia="仿宋_GB2312"/>
                <w:szCs w:val="21"/>
              </w:rPr>
              <w:t>建成城南污水处理厂三期5万吨/日，实施城东、城南污水处理厂一期各5万吨/日提标改造工程；新建市区污水管网150公里；新（扩）建城镇污水处理厂26座；建成150个规划布点村庄生活污水处理设施。</w:t>
            </w:r>
          </w:p>
        </w:tc>
        <w:tc>
          <w:tcPr>
            <w:tcW w:w="348" w:type="pct"/>
            <w:tcBorders>
              <w:top w:val="single" w:color="auto" w:sz="4" w:space="0"/>
              <w:left w:val="single" w:color="auto" w:sz="4" w:space="0"/>
              <w:bottom w:val="single" w:color="auto" w:sz="4" w:space="0"/>
              <w:right w:val="single" w:color="auto" w:sz="4" w:space="0"/>
            </w:tcBorders>
            <w:noWrap w:val="0"/>
            <w:vAlign w:val="center"/>
          </w:tcPr>
          <w:p>
            <w:pPr>
              <w:snapToGrid w:val="0"/>
              <w:spacing w:line="300" w:lineRule="exact"/>
              <w:ind w:left="-63" w:leftChars="-30" w:right="-63" w:rightChars="-30"/>
              <w:jc w:val="center"/>
              <w:rPr>
                <w:rFonts w:hint="eastAsia" w:eastAsia="仿宋_GB2312"/>
                <w:szCs w:val="21"/>
              </w:rPr>
            </w:pPr>
            <w:r>
              <w:rPr>
                <w:rFonts w:hint="eastAsia" w:eastAsia="仿宋_GB2312"/>
                <w:szCs w:val="21"/>
              </w:rPr>
              <w:t>2013-2015</w:t>
            </w:r>
          </w:p>
        </w:tc>
        <w:tc>
          <w:tcPr>
            <w:tcW w:w="321" w:type="pct"/>
            <w:tcBorders>
              <w:top w:val="single" w:color="auto" w:sz="4" w:space="0"/>
              <w:left w:val="single" w:color="auto" w:sz="4" w:space="0"/>
              <w:bottom w:val="single" w:color="auto" w:sz="4" w:space="0"/>
              <w:right w:val="single" w:color="auto" w:sz="4" w:space="0"/>
            </w:tcBorders>
            <w:noWrap w:val="0"/>
            <w:vAlign w:val="center"/>
          </w:tcPr>
          <w:p>
            <w:pPr>
              <w:spacing w:line="300" w:lineRule="exact"/>
              <w:ind w:left="-63" w:leftChars="-30" w:right="-63" w:rightChars="-30"/>
              <w:jc w:val="center"/>
              <w:rPr>
                <w:rFonts w:hint="eastAsia" w:eastAsia="仿宋_GB2312"/>
                <w:szCs w:val="21"/>
              </w:rPr>
            </w:pPr>
            <w:r>
              <w:rPr>
                <w:rFonts w:hint="eastAsia" w:eastAsia="仿宋_GB2312"/>
                <w:szCs w:val="21"/>
              </w:rPr>
              <w:t>18.2</w:t>
            </w:r>
          </w:p>
        </w:tc>
        <w:tc>
          <w:tcPr>
            <w:tcW w:w="790" w:type="pct"/>
            <w:tcBorders>
              <w:top w:val="single" w:color="auto" w:sz="4" w:space="0"/>
              <w:left w:val="single" w:color="auto" w:sz="4" w:space="0"/>
              <w:bottom w:val="single" w:color="auto" w:sz="4" w:space="0"/>
              <w:right w:val="single" w:color="auto" w:sz="4" w:space="0"/>
            </w:tcBorders>
            <w:noWrap w:val="0"/>
            <w:vAlign w:val="center"/>
          </w:tcPr>
          <w:p>
            <w:pPr>
              <w:spacing w:line="300" w:lineRule="exact"/>
              <w:rPr>
                <w:rFonts w:hint="eastAsia" w:eastAsia="仿宋_GB2312"/>
                <w:szCs w:val="21"/>
              </w:rPr>
            </w:pPr>
            <w:r>
              <w:rPr>
                <w:rFonts w:hint="eastAsia" w:eastAsia="仿宋_GB2312"/>
                <w:szCs w:val="21"/>
              </w:rPr>
              <w:t>完成前期工作，新建市区污水管网50公里。建成13座镇污水处理厂，规模达4.95万吨/日。建成50个规划布点村庄生活污水处理设施。</w:t>
            </w:r>
          </w:p>
        </w:tc>
        <w:tc>
          <w:tcPr>
            <w:tcW w:w="658" w:type="pct"/>
            <w:tcBorders>
              <w:top w:val="single" w:color="auto" w:sz="4" w:space="0"/>
              <w:left w:val="single" w:color="auto" w:sz="4" w:space="0"/>
              <w:bottom w:val="single" w:color="auto" w:sz="4" w:space="0"/>
              <w:right w:val="single" w:color="auto" w:sz="4" w:space="0"/>
            </w:tcBorders>
            <w:noWrap w:val="0"/>
            <w:vAlign w:val="center"/>
          </w:tcPr>
          <w:p>
            <w:pPr>
              <w:spacing w:line="300" w:lineRule="exact"/>
              <w:rPr>
                <w:rFonts w:hint="eastAsia" w:eastAsia="仿宋_GB2312"/>
                <w:szCs w:val="21"/>
              </w:rPr>
            </w:pPr>
            <w:r>
              <w:rPr>
                <w:rFonts w:hint="eastAsia" w:eastAsia="仿宋_GB2312"/>
                <w:szCs w:val="21"/>
              </w:rPr>
              <w:t>启动城南污水厂三期及配套管网、城东污水厂提标改造，完成城南污水厂（一期）提标改造，新建市区污水管网50公里；建成7座镇污水处理厂，规模达9万吨/日。建成50个规划布点村庄生活污水处理设施。</w:t>
            </w:r>
          </w:p>
        </w:tc>
        <w:tc>
          <w:tcPr>
            <w:tcW w:w="612" w:type="pct"/>
            <w:tcBorders>
              <w:top w:val="single" w:color="auto" w:sz="4" w:space="0"/>
              <w:left w:val="single" w:color="auto" w:sz="4" w:space="0"/>
              <w:bottom w:val="single" w:color="auto" w:sz="4" w:space="0"/>
              <w:right w:val="single" w:color="auto" w:sz="4" w:space="0"/>
            </w:tcBorders>
            <w:noWrap w:val="0"/>
            <w:vAlign w:val="center"/>
          </w:tcPr>
          <w:p>
            <w:pPr>
              <w:spacing w:line="300" w:lineRule="exact"/>
              <w:rPr>
                <w:rFonts w:hint="eastAsia" w:eastAsia="仿宋_GB2312"/>
                <w:szCs w:val="21"/>
              </w:rPr>
            </w:pPr>
            <w:r>
              <w:rPr>
                <w:rFonts w:hint="eastAsia" w:eastAsia="仿宋_GB2312"/>
                <w:szCs w:val="21"/>
              </w:rPr>
              <w:t>完成建成城南污水厂三期扩建、城东污水厂提标改造，启动城东、城南污水处理厂中水回用工程，新建市区污水管网50公里，6座污水处理厂，规模达9.85万吨/日。建成50个规划布点村庄生活污水处理设施。</w:t>
            </w:r>
          </w:p>
        </w:tc>
        <w:tc>
          <w:tcPr>
            <w:tcW w:w="524" w:type="pct"/>
            <w:tcBorders>
              <w:top w:val="single" w:color="auto" w:sz="4" w:space="0"/>
              <w:left w:val="single" w:color="auto" w:sz="4" w:space="0"/>
              <w:bottom w:val="single" w:color="auto" w:sz="4" w:space="0"/>
              <w:right w:val="single" w:color="auto" w:sz="4" w:space="0"/>
            </w:tcBorders>
            <w:noWrap w:val="0"/>
            <w:vAlign w:val="center"/>
          </w:tcPr>
          <w:p>
            <w:pPr>
              <w:spacing w:line="300" w:lineRule="exact"/>
              <w:ind w:left="-63" w:leftChars="-30" w:right="-63" w:rightChars="-30"/>
              <w:jc w:val="center"/>
              <w:rPr>
                <w:rFonts w:hint="eastAsia" w:eastAsia="仿宋_GB2312"/>
                <w:szCs w:val="21"/>
              </w:rPr>
            </w:pPr>
            <w:r>
              <w:rPr>
                <w:rFonts w:hint="eastAsia" w:eastAsia="仿宋_GB2312"/>
                <w:szCs w:val="21"/>
              </w:rPr>
              <w:t>市城乡建设局</w:t>
            </w:r>
          </w:p>
          <w:p>
            <w:pPr>
              <w:spacing w:line="300" w:lineRule="exact"/>
              <w:ind w:left="-63" w:leftChars="-30" w:right="-63" w:rightChars="-30"/>
              <w:jc w:val="center"/>
              <w:rPr>
                <w:rFonts w:hint="eastAsia" w:eastAsia="仿宋_GB2312"/>
                <w:szCs w:val="21"/>
              </w:rPr>
            </w:pPr>
            <w:r>
              <w:rPr>
                <w:rFonts w:hint="eastAsia" w:eastAsia="仿宋_GB2312"/>
                <w:szCs w:val="21"/>
              </w:rPr>
              <w:t>各县（市、区）</w:t>
            </w:r>
          </w:p>
          <w:p>
            <w:pPr>
              <w:spacing w:line="300" w:lineRule="exact"/>
              <w:ind w:left="-63" w:leftChars="-30" w:right="-63" w:rightChars="-30"/>
              <w:jc w:val="center"/>
              <w:rPr>
                <w:rFonts w:hint="eastAsia" w:eastAsia="仿宋_GB2312"/>
                <w:szCs w:val="21"/>
              </w:rPr>
            </w:pPr>
            <w:r>
              <w:rPr>
                <w:rFonts w:hint="eastAsia" w:eastAsia="仿宋_GB2312"/>
                <w:szCs w:val="21"/>
              </w:rPr>
              <w:t>政府</w:t>
            </w:r>
          </w:p>
          <w:p>
            <w:pPr>
              <w:snapToGrid w:val="0"/>
              <w:spacing w:line="300" w:lineRule="exact"/>
              <w:ind w:left="-63" w:leftChars="-30" w:right="-63" w:rightChars="-30"/>
              <w:jc w:val="center"/>
              <w:rPr>
                <w:rFonts w:hint="eastAsia" w:eastAsia="仿宋_GB2312"/>
                <w:spacing w:val="-6"/>
                <w:szCs w:val="21"/>
              </w:rPr>
            </w:pPr>
            <w:r>
              <w:rPr>
                <w:rFonts w:hint="eastAsia" w:eastAsia="仿宋_GB2312"/>
                <w:spacing w:val="-6"/>
                <w:szCs w:val="21"/>
              </w:rPr>
              <w:t>市开发区管委会</w:t>
            </w:r>
          </w:p>
          <w:p>
            <w:pPr>
              <w:spacing w:line="300" w:lineRule="exact"/>
              <w:ind w:left="-63" w:leftChars="-30" w:right="-63" w:rightChars="-30"/>
              <w:jc w:val="center"/>
              <w:rPr>
                <w:rFonts w:hint="eastAsia" w:eastAsia="仿宋_GB2312"/>
                <w:szCs w:val="21"/>
              </w:rPr>
            </w:pPr>
            <w:r>
              <w:rPr>
                <w:rFonts w:hint="eastAsia" w:eastAsia="仿宋_GB2312"/>
                <w:spacing w:val="-6"/>
                <w:szCs w:val="21"/>
              </w:rPr>
              <w:t>城南新区管委会</w:t>
            </w:r>
          </w:p>
        </w:tc>
        <w:tc>
          <w:tcPr>
            <w:tcW w:w="506" w:type="pct"/>
            <w:tcBorders>
              <w:top w:val="single" w:color="auto" w:sz="4" w:space="0"/>
              <w:left w:val="single" w:color="auto" w:sz="4" w:space="0"/>
              <w:bottom w:val="single" w:color="auto" w:sz="4" w:space="0"/>
              <w:right w:val="single" w:color="auto" w:sz="4" w:space="0"/>
            </w:tcBorders>
            <w:noWrap w:val="0"/>
            <w:vAlign w:val="center"/>
          </w:tcPr>
          <w:p>
            <w:pPr>
              <w:snapToGrid w:val="0"/>
              <w:spacing w:line="300" w:lineRule="exact"/>
              <w:jc w:val="center"/>
              <w:rPr>
                <w:rFonts w:hint="eastAsia" w:eastAsia="仿宋_GB2312"/>
                <w:szCs w:val="21"/>
              </w:rPr>
            </w:pPr>
            <w:r>
              <w:rPr>
                <w:rFonts w:hint="eastAsia" w:eastAsia="仿宋_GB2312"/>
                <w:szCs w:val="21"/>
              </w:rPr>
              <w:t>姜  华</w:t>
            </w:r>
          </w:p>
          <w:p>
            <w:pPr>
              <w:snapToGrid w:val="0"/>
              <w:spacing w:line="300" w:lineRule="exact"/>
              <w:jc w:val="center"/>
              <w:rPr>
                <w:rFonts w:hint="eastAsia" w:eastAsia="仿宋_GB2312"/>
                <w:spacing w:val="-20"/>
                <w:w w:val="97"/>
                <w:szCs w:val="21"/>
              </w:rPr>
            </w:pPr>
            <w:r>
              <w:rPr>
                <w:rFonts w:hint="eastAsia" w:eastAsia="仿宋_GB2312"/>
                <w:spacing w:val="-20"/>
                <w:w w:val="97"/>
                <w:szCs w:val="21"/>
              </w:rPr>
              <w:t>各县（市、区）长</w:t>
            </w:r>
          </w:p>
          <w:p>
            <w:pPr>
              <w:snapToGrid w:val="0"/>
              <w:spacing w:line="300" w:lineRule="exact"/>
              <w:jc w:val="center"/>
              <w:rPr>
                <w:rFonts w:hint="eastAsia" w:eastAsia="仿宋_GB2312"/>
                <w:szCs w:val="21"/>
              </w:rPr>
            </w:pPr>
            <w:r>
              <w:rPr>
                <w:rFonts w:hint="eastAsia" w:eastAsia="仿宋_GB2312"/>
                <w:szCs w:val="21"/>
              </w:rPr>
              <w:t>王连春</w:t>
            </w:r>
          </w:p>
          <w:p>
            <w:pPr>
              <w:snapToGrid w:val="0"/>
              <w:spacing w:line="300" w:lineRule="exact"/>
              <w:jc w:val="center"/>
              <w:rPr>
                <w:rFonts w:hint="eastAsia" w:eastAsia="仿宋_GB2312"/>
                <w:szCs w:val="21"/>
              </w:rPr>
            </w:pPr>
            <w:r>
              <w:rPr>
                <w:rFonts w:hint="eastAsia" w:eastAsia="仿宋_GB2312"/>
                <w:szCs w:val="21"/>
              </w:rPr>
              <w:t>周键云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503" w:hRule="atLeast"/>
          <w:jc w:val="center"/>
        </w:trPr>
        <w:tc>
          <w:tcPr>
            <w:tcW w:w="177" w:type="pct"/>
            <w:tcBorders>
              <w:top w:val="single" w:color="auto" w:sz="4" w:space="0"/>
              <w:left w:val="single" w:color="auto" w:sz="4" w:space="0"/>
              <w:bottom w:val="single" w:color="auto" w:sz="4" w:space="0"/>
              <w:right w:val="single" w:color="auto" w:sz="4" w:space="0"/>
            </w:tcBorders>
            <w:noWrap w:val="0"/>
            <w:vAlign w:val="center"/>
          </w:tcPr>
          <w:p>
            <w:pPr>
              <w:snapToGrid w:val="0"/>
              <w:spacing w:line="320" w:lineRule="exact"/>
              <w:jc w:val="center"/>
              <w:rPr>
                <w:rFonts w:hint="eastAsia" w:eastAsia="仿宋_GB2312"/>
                <w:szCs w:val="21"/>
              </w:rPr>
            </w:pPr>
            <w:r>
              <w:rPr>
                <w:rFonts w:hint="eastAsia" w:eastAsia="仿宋_GB2312"/>
                <w:szCs w:val="21"/>
              </w:rPr>
              <w:t>3</w:t>
            </w:r>
          </w:p>
        </w:tc>
        <w:tc>
          <w:tcPr>
            <w:tcW w:w="225" w:type="pct"/>
            <w:tcBorders>
              <w:top w:val="single" w:color="auto" w:sz="4" w:space="0"/>
              <w:left w:val="single" w:color="auto" w:sz="4" w:space="0"/>
              <w:bottom w:val="single" w:color="auto" w:sz="4" w:space="0"/>
              <w:right w:val="single" w:color="auto" w:sz="4" w:space="0"/>
            </w:tcBorders>
            <w:noWrap w:val="0"/>
            <w:vAlign w:val="center"/>
          </w:tcPr>
          <w:p>
            <w:pPr>
              <w:snapToGrid w:val="0"/>
              <w:spacing w:line="320" w:lineRule="exact"/>
              <w:rPr>
                <w:rFonts w:hint="eastAsia" w:eastAsia="仿宋_GB2312"/>
                <w:szCs w:val="21"/>
              </w:rPr>
            </w:pPr>
            <w:r>
              <w:rPr>
                <w:rFonts w:hint="eastAsia" w:eastAsia="仿宋_GB2312"/>
                <w:szCs w:val="21"/>
              </w:rPr>
              <w:t>市区水环境整治</w:t>
            </w:r>
          </w:p>
        </w:tc>
        <w:tc>
          <w:tcPr>
            <w:tcW w:w="840" w:type="pct"/>
            <w:tcBorders>
              <w:top w:val="single" w:color="auto" w:sz="4" w:space="0"/>
              <w:left w:val="single" w:color="auto" w:sz="4" w:space="0"/>
              <w:bottom w:val="single" w:color="auto" w:sz="4" w:space="0"/>
              <w:right w:val="single" w:color="auto" w:sz="4" w:space="0"/>
            </w:tcBorders>
            <w:noWrap w:val="0"/>
            <w:vAlign w:val="center"/>
          </w:tcPr>
          <w:p>
            <w:pPr>
              <w:snapToGrid w:val="0"/>
              <w:spacing w:line="300" w:lineRule="exact"/>
              <w:rPr>
                <w:rFonts w:hint="eastAsia" w:eastAsia="仿宋_GB2312"/>
                <w:szCs w:val="21"/>
              </w:rPr>
            </w:pPr>
            <w:r>
              <w:rPr>
                <w:rFonts w:hint="eastAsia" w:eastAsia="仿宋_GB2312"/>
                <w:szCs w:val="21"/>
              </w:rPr>
              <w:t>重点实施通榆河以西、新洋港以南、大马沟以东、小新河以北第三防洪区54条（其中跨区13条）220.95公里城市内河整治工程。另按城市河道环境综合整治要求整治其它区域河道25条（其中跨区7条）224.56公里。</w:t>
            </w:r>
          </w:p>
        </w:tc>
        <w:tc>
          <w:tcPr>
            <w:tcW w:w="348" w:type="pct"/>
            <w:tcBorders>
              <w:top w:val="single" w:color="auto" w:sz="4" w:space="0"/>
              <w:left w:val="single" w:color="auto" w:sz="4" w:space="0"/>
              <w:bottom w:val="single" w:color="auto" w:sz="4" w:space="0"/>
              <w:right w:val="single" w:color="auto" w:sz="4" w:space="0"/>
            </w:tcBorders>
            <w:noWrap w:val="0"/>
            <w:vAlign w:val="center"/>
          </w:tcPr>
          <w:p>
            <w:pPr>
              <w:snapToGrid w:val="0"/>
              <w:spacing w:line="300" w:lineRule="exact"/>
              <w:ind w:left="-63" w:leftChars="-30" w:right="-63" w:rightChars="-30"/>
              <w:jc w:val="center"/>
              <w:rPr>
                <w:rFonts w:hint="eastAsia" w:eastAsia="仿宋_GB2312"/>
                <w:szCs w:val="21"/>
              </w:rPr>
            </w:pPr>
            <w:r>
              <w:rPr>
                <w:rFonts w:hint="eastAsia" w:eastAsia="仿宋_GB2312"/>
                <w:szCs w:val="21"/>
              </w:rPr>
              <w:t>2013-2018</w:t>
            </w:r>
          </w:p>
        </w:tc>
        <w:tc>
          <w:tcPr>
            <w:tcW w:w="321" w:type="pct"/>
            <w:tcBorders>
              <w:top w:val="single" w:color="auto" w:sz="4" w:space="0"/>
              <w:left w:val="single" w:color="auto" w:sz="4" w:space="0"/>
              <w:bottom w:val="single" w:color="auto" w:sz="4" w:space="0"/>
              <w:right w:val="single" w:color="auto" w:sz="4" w:space="0"/>
            </w:tcBorders>
            <w:noWrap w:val="0"/>
            <w:vAlign w:val="center"/>
          </w:tcPr>
          <w:p>
            <w:pPr>
              <w:snapToGrid w:val="0"/>
              <w:spacing w:line="300" w:lineRule="exact"/>
              <w:ind w:left="-63" w:leftChars="-30" w:right="-63" w:rightChars="-30"/>
              <w:jc w:val="center"/>
              <w:rPr>
                <w:rFonts w:hint="eastAsia" w:eastAsia="仿宋_GB2312"/>
                <w:szCs w:val="21"/>
              </w:rPr>
            </w:pPr>
            <w:r>
              <w:rPr>
                <w:rFonts w:hint="eastAsia" w:eastAsia="仿宋_GB2312"/>
                <w:szCs w:val="21"/>
              </w:rPr>
              <w:t>49.8</w:t>
            </w:r>
          </w:p>
        </w:tc>
        <w:tc>
          <w:tcPr>
            <w:tcW w:w="790" w:type="pct"/>
            <w:tcBorders>
              <w:top w:val="single" w:color="auto" w:sz="4" w:space="0"/>
              <w:left w:val="single" w:color="auto" w:sz="4" w:space="0"/>
              <w:bottom w:val="single" w:color="auto" w:sz="4" w:space="0"/>
              <w:right w:val="single" w:color="auto" w:sz="4" w:space="0"/>
            </w:tcBorders>
            <w:noWrap w:val="0"/>
            <w:vAlign w:val="center"/>
          </w:tcPr>
          <w:p>
            <w:pPr>
              <w:snapToGrid w:val="0"/>
              <w:spacing w:line="300" w:lineRule="exact"/>
              <w:rPr>
                <w:rFonts w:hint="eastAsia" w:eastAsia="仿宋_GB2312"/>
                <w:szCs w:val="21"/>
              </w:rPr>
            </w:pPr>
            <w:r>
              <w:rPr>
                <w:rFonts w:hint="eastAsia" w:eastAsia="仿宋_GB2312"/>
                <w:szCs w:val="21"/>
              </w:rPr>
              <w:t>实施小洋河、大新河等9条河道，整治河长43.65公里。</w:t>
            </w:r>
          </w:p>
        </w:tc>
        <w:tc>
          <w:tcPr>
            <w:tcW w:w="658" w:type="pct"/>
            <w:tcBorders>
              <w:top w:val="single" w:color="auto" w:sz="4" w:space="0"/>
              <w:left w:val="single" w:color="auto" w:sz="4" w:space="0"/>
              <w:bottom w:val="single" w:color="auto" w:sz="4" w:space="0"/>
              <w:right w:val="single" w:color="auto" w:sz="4" w:space="0"/>
            </w:tcBorders>
            <w:noWrap w:val="0"/>
            <w:vAlign w:val="center"/>
          </w:tcPr>
          <w:p>
            <w:pPr>
              <w:snapToGrid w:val="0"/>
              <w:spacing w:line="300" w:lineRule="exact"/>
              <w:rPr>
                <w:rFonts w:hint="eastAsia" w:eastAsia="仿宋_GB2312"/>
                <w:szCs w:val="21"/>
              </w:rPr>
            </w:pPr>
            <w:r>
              <w:rPr>
                <w:rFonts w:hint="eastAsia" w:eastAsia="仿宋_GB2312"/>
                <w:szCs w:val="21"/>
              </w:rPr>
              <w:t>第三防洪区实施大寨河、前进河、东干渠等35条（段）河道，整治河长101.5公里；第四防洪区实施南洋中心河、光荣河等20条（段）河道，整治河长193.48公里。</w:t>
            </w:r>
          </w:p>
        </w:tc>
        <w:tc>
          <w:tcPr>
            <w:tcW w:w="612" w:type="pct"/>
            <w:tcBorders>
              <w:top w:val="single" w:color="auto" w:sz="4" w:space="0"/>
              <w:left w:val="single" w:color="auto" w:sz="4" w:space="0"/>
              <w:bottom w:val="single" w:color="auto" w:sz="4" w:space="0"/>
              <w:right w:val="single" w:color="auto" w:sz="4" w:space="0"/>
            </w:tcBorders>
            <w:noWrap w:val="0"/>
            <w:vAlign w:val="center"/>
          </w:tcPr>
          <w:p>
            <w:pPr>
              <w:snapToGrid w:val="0"/>
              <w:spacing w:line="300" w:lineRule="exact"/>
              <w:rPr>
                <w:rFonts w:hint="eastAsia" w:eastAsia="仿宋_GB2312"/>
                <w:szCs w:val="21"/>
              </w:rPr>
            </w:pPr>
            <w:r>
              <w:rPr>
                <w:rFonts w:hint="eastAsia" w:eastAsia="仿宋_GB2312"/>
                <w:szCs w:val="21"/>
              </w:rPr>
              <w:t>第三防洪区实施蟒蛇河、海纯河、双纲河、定向河等19条（段）河道，整治河长75.8公里；第一防洪区实施西伏河、东伏河等5条（段）河道，整治河长31.08公里。</w:t>
            </w:r>
          </w:p>
        </w:tc>
        <w:tc>
          <w:tcPr>
            <w:tcW w:w="524" w:type="pct"/>
            <w:tcBorders>
              <w:top w:val="single" w:color="auto" w:sz="4" w:space="0"/>
              <w:left w:val="single" w:color="auto" w:sz="4" w:space="0"/>
              <w:bottom w:val="single" w:color="auto" w:sz="4" w:space="0"/>
              <w:right w:val="single" w:color="auto" w:sz="4" w:space="0"/>
            </w:tcBorders>
            <w:noWrap w:val="0"/>
            <w:vAlign w:val="center"/>
          </w:tcPr>
          <w:p>
            <w:pPr>
              <w:snapToGrid w:val="0"/>
              <w:spacing w:line="300" w:lineRule="exact"/>
              <w:ind w:left="-63" w:leftChars="-30" w:right="-63" w:rightChars="-30"/>
              <w:jc w:val="center"/>
              <w:rPr>
                <w:rFonts w:hint="eastAsia" w:eastAsia="仿宋_GB2312"/>
                <w:szCs w:val="21"/>
              </w:rPr>
            </w:pPr>
            <w:r>
              <w:rPr>
                <w:rFonts w:hint="eastAsia" w:eastAsia="仿宋_GB2312"/>
                <w:szCs w:val="21"/>
              </w:rPr>
              <w:t>市水利局</w:t>
            </w:r>
          </w:p>
          <w:p>
            <w:pPr>
              <w:snapToGrid w:val="0"/>
              <w:spacing w:line="300" w:lineRule="exact"/>
              <w:ind w:left="-63" w:leftChars="-30" w:right="-63" w:rightChars="-30"/>
              <w:jc w:val="center"/>
              <w:rPr>
                <w:rFonts w:hint="eastAsia" w:eastAsia="仿宋_GB2312"/>
                <w:szCs w:val="21"/>
              </w:rPr>
            </w:pPr>
            <w:r>
              <w:rPr>
                <w:rFonts w:hint="eastAsia" w:eastAsia="仿宋_GB2312"/>
                <w:szCs w:val="21"/>
              </w:rPr>
              <w:t>市城乡建设局</w:t>
            </w:r>
          </w:p>
          <w:p>
            <w:pPr>
              <w:snapToGrid w:val="0"/>
              <w:spacing w:line="300" w:lineRule="exact"/>
              <w:ind w:left="-63" w:leftChars="-30" w:right="-63" w:rightChars="-30"/>
              <w:jc w:val="center"/>
              <w:rPr>
                <w:rFonts w:hint="eastAsia" w:eastAsia="仿宋_GB2312"/>
                <w:szCs w:val="21"/>
              </w:rPr>
            </w:pPr>
            <w:r>
              <w:rPr>
                <w:rFonts w:hint="eastAsia" w:eastAsia="仿宋_GB2312"/>
                <w:szCs w:val="21"/>
              </w:rPr>
              <w:t>市城管局</w:t>
            </w:r>
          </w:p>
          <w:p>
            <w:pPr>
              <w:snapToGrid w:val="0"/>
              <w:spacing w:line="300" w:lineRule="exact"/>
              <w:ind w:left="-63" w:leftChars="-30" w:right="-63" w:rightChars="-30"/>
              <w:jc w:val="center"/>
              <w:rPr>
                <w:rFonts w:hint="eastAsia" w:eastAsia="仿宋_GB2312"/>
                <w:szCs w:val="21"/>
              </w:rPr>
            </w:pPr>
            <w:r>
              <w:rPr>
                <w:rFonts w:hint="eastAsia" w:eastAsia="仿宋_GB2312"/>
                <w:szCs w:val="21"/>
              </w:rPr>
              <w:t>盐都区政府</w:t>
            </w:r>
          </w:p>
          <w:p>
            <w:pPr>
              <w:snapToGrid w:val="0"/>
              <w:spacing w:line="300" w:lineRule="exact"/>
              <w:ind w:left="-63" w:leftChars="-30" w:right="-63" w:rightChars="-30"/>
              <w:jc w:val="center"/>
              <w:rPr>
                <w:rFonts w:hint="eastAsia" w:eastAsia="仿宋_GB2312"/>
                <w:szCs w:val="21"/>
              </w:rPr>
            </w:pPr>
            <w:r>
              <w:rPr>
                <w:rFonts w:hint="eastAsia" w:eastAsia="仿宋_GB2312"/>
                <w:szCs w:val="21"/>
              </w:rPr>
              <w:t>亭湖区政府</w:t>
            </w:r>
          </w:p>
          <w:p>
            <w:pPr>
              <w:snapToGrid w:val="0"/>
              <w:spacing w:line="300" w:lineRule="exact"/>
              <w:ind w:left="-63" w:leftChars="-30" w:right="-63" w:rightChars="-30"/>
              <w:jc w:val="center"/>
              <w:rPr>
                <w:rFonts w:hint="eastAsia" w:eastAsia="仿宋_GB2312"/>
                <w:spacing w:val="-6"/>
                <w:szCs w:val="21"/>
              </w:rPr>
            </w:pPr>
            <w:r>
              <w:rPr>
                <w:rFonts w:hint="eastAsia" w:eastAsia="仿宋_GB2312"/>
                <w:spacing w:val="-6"/>
                <w:szCs w:val="21"/>
              </w:rPr>
              <w:t>市开发区管委会</w:t>
            </w:r>
          </w:p>
          <w:p>
            <w:pPr>
              <w:snapToGrid w:val="0"/>
              <w:spacing w:line="300" w:lineRule="exact"/>
              <w:ind w:left="-63" w:leftChars="-30" w:right="-63" w:rightChars="-30"/>
              <w:jc w:val="center"/>
              <w:rPr>
                <w:rFonts w:hint="eastAsia" w:eastAsia="仿宋_GB2312"/>
                <w:szCs w:val="21"/>
              </w:rPr>
            </w:pPr>
            <w:r>
              <w:rPr>
                <w:rFonts w:hint="eastAsia" w:eastAsia="仿宋_GB2312"/>
                <w:spacing w:val="-6"/>
                <w:szCs w:val="21"/>
              </w:rPr>
              <w:t>城南新区管委会</w:t>
            </w:r>
          </w:p>
        </w:tc>
        <w:tc>
          <w:tcPr>
            <w:tcW w:w="506" w:type="pct"/>
            <w:tcBorders>
              <w:top w:val="single" w:color="auto" w:sz="4" w:space="0"/>
              <w:left w:val="single" w:color="auto" w:sz="4" w:space="0"/>
              <w:bottom w:val="single" w:color="auto" w:sz="4" w:space="0"/>
              <w:right w:val="single" w:color="auto" w:sz="4" w:space="0"/>
            </w:tcBorders>
            <w:noWrap w:val="0"/>
            <w:vAlign w:val="center"/>
          </w:tcPr>
          <w:p>
            <w:pPr>
              <w:snapToGrid w:val="0"/>
              <w:spacing w:line="300" w:lineRule="exact"/>
              <w:jc w:val="center"/>
              <w:rPr>
                <w:rFonts w:hint="eastAsia" w:eastAsia="仿宋_GB2312"/>
                <w:szCs w:val="21"/>
              </w:rPr>
            </w:pPr>
            <w:r>
              <w:rPr>
                <w:rFonts w:hint="eastAsia" w:eastAsia="仿宋_GB2312"/>
                <w:szCs w:val="21"/>
              </w:rPr>
              <w:t>罗利民</w:t>
            </w:r>
          </w:p>
          <w:p>
            <w:pPr>
              <w:snapToGrid w:val="0"/>
              <w:spacing w:line="300" w:lineRule="exact"/>
              <w:jc w:val="center"/>
              <w:rPr>
                <w:rFonts w:hint="eastAsia" w:eastAsia="仿宋_GB2312"/>
                <w:szCs w:val="21"/>
              </w:rPr>
            </w:pPr>
            <w:r>
              <w:rPr>
                <w:rFonts w:hint="eastAsia" w:eastAsia="仿宋_GB2312"/>
                <w:szCs w:val="21"/>
              </w:rPr>
              <w:t>姜  华</w:t>
            </w:r>
          </w:p>
          <w:p>
            <w:pPr>
              <w:snapToGrid w:val="0"/>
              <w:spacing w:line="300" w:lineRule="exact"/>
              <w:jc w:val="center"/>
              <w:rPr>
                <w:rFonts w:hint="eastAsia" w:eastAsia="仿宋_GB2312"/>
                <w:szCs w:val="21"/>
              </w:rPr>
            </w:pPr>
            <w:r>
              <w:rPr>
                <w:rFonts w:hint="eastAsia" w:eastAsia="仿宋_GB2312"/>
                <w:szCs w:val="21"/>
              </w:rPr>
              <w:t>吴中良</w:t>
            </w:r>
          </w:p>
          <w:p>
            <w:pPr>
              <w:snapToGrid w:val="0"/>
              <w:spacing w:line="300" w:lineRule="exact"/>
              <w:jc w:val="center"/>
              <w:rPr>
                <w:rFonts w:hint="eastAsia" w:eastAsia="仿宋_GB2312"/>
                <w:szCs w:val="21"/>
              </w:rPr>
            </w:pPr>
            <w:r>
              <w:rPr>
                <w:rFonts w:hint="eastAsia" w:eastAsia="仿宋_GB2312"/>
                <w:szCs w:val="21"/>
              </w:rPr>
              <w:t>吴本辉</w:t>
            </w:r>
          </w:p>
          <w:p>
            <w:pPr>
              <w:snapToGrid w:val="0"/>
              <w:spacing w:line="300" w:lineRule="exact"/>
              <w:jc w:val="center"/>
              <w:rPr>
                <w:rFonts w:hint="eastAsia" w:eastAsia="仿宋_GB2312"/>
                <w:szCs w:val="21"/>
              </w:rPr>
            </w:pPr>
            <w:r>
              <w:rPr>
                <w:rFonts w:hint="eastAsia" w:eastAsia="仿宋_GB2312"/>
                <w:szCs w:val="21"/>
              </w:rPr>
              <w:t>杨雪峰</w:t>
            </w:r>
          </w:p>
          <w:p>
            <w:pPr>
              <w:snapToGrid w:val="0"/>
              <w:spacing w:line="300" w:lineRule="exact"/>
              <w:jc w:val="center"/>
              <w:rPr>
                <w:rFonts w:hint="eastAsia" w:eastAsia="仿宋_GB2312"/>
                <w:szCs w:val="21"/>
              </w:rPr>
            </w:pPr>
            <w:bookmarkStart w:id="478" w:name="OLE_LINK6"/>
            <w:bookmarkStart w:id="479" w:name="OLE_LINK3"/>
            <w:r>
              <w:rPr>
                <w:rFonts w:hint="eastAsia" w:eastAsia="仿宋_GB2312"/>
                <w:szCs w:val="21"/>
              </w:rPr>
              <w:t>王连春</w:t>
            </w:r>
          </w:p>
          <w:p>
            <w:pPr>
              <w:snapToGrid w:val="0"/>
              <w:spacing w:line="300" w:lineRule="exact"/>
              <w:jc w:val="center"/>
              <w:rPr>
                <w:rFonts w:hint="eastAsia" w:eastAsia="仿宋_GB2312"/>
                <w:szCs w:val="21"/>
              </w:rPr>
            </w:pPr>
            <w:r>
              <w:rPr>
                <w:rFonts w:hint="eastAsia" w:eastAsia="仿宋_GB2312"/>
                <w:szCs w:val="21"/>
              </w:rPr>
              <w:t>周键云</w:t>
            </w:r>
            <w:bookmarkEnd w:id="478"/>
            <w:bookmarkEnd w:id="479"/>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850" w:hRule="atLeast"/>
          <w:jc w:val="center"/>
        </w:trPr>
        <w:tc>
          <w:tcPr>
            <w:tcW w:w="177" w:type="pct"/>
            <w:tcBorders>
              <w:top w:val="single" w:color="auto" w:sz="4" w:space="0"/>
              <w:left w:val="single" w:color="auto" w:sz="4" w:space="0"/>
              <w:bottom w:val="single" w:color="auto" w:sz="4" w:space="0"/>
              <w:right w:val="single" w:color="auto" w:sz="4" w:space="0"/>
            </w:tcBorders>
            <w:noWrap w:val="0"/>
            <w:vAlign w:val="center"/>
          </w:tcPr>
          <w:p>
            <w:pPr>
              <w:snapToGrid w:val="0"/>
              <w:spacing w:line="320" w:lineRule="exact"/>
              <w:ind w:firstLine="105" w:firstLineChars="50"/>
              <w:jc w:val="center"/>
              <w:rPr>
                <w:rFonts w:hint="eastAsia" w:eastAsia="仿宋_GB2312"/>
                <w:szCs w:val="21"/>
              </w:rPr>
            </w:pPr>
            <w:bookmarkStart w:id="480" w:name="_Toc269391936" w:colFirst="0" w:colLast="0"/>
            <w:r>
              <w:rPr>
                <w:rFonts w:hint="eastAsia" w:eastAsia="仿宋_GB2312"/>
                <w:szCs w:val="21"/>
              </w:rPr>
              <w:t>4</w:t>
            </w:r>
          </w:p>
        </w:tc>
        <w:tc>
          <w:tcPr>
            <w:tcW w:w="225" w:type="pct"/>
            <w:tcBorders>
              <w:top w:val="single" w:color="auto" w:sz="4" w:space="0"/>
              <w:left w:val="single" w:color="auto" w:sz="4" w:space="0"/>
              <w:bottom w:val="single" w:color="auto" w:sz="4" w:space="0"/>
              <w:right w:val="single" w:color="auto" w:sz="4" w:space="0"/>
            </w:tcBorders>
            <w:noWrap w:val="0"/>
            <w:vAlign w:val="center"/>
          </w:tcPr>
          <w:p>
            <w:pPr>
              <w:snapToGrid w:val="0"/>
              <w:spacing w:line="320" w:lineRule="exact"/>
              <w:rPr>
                <w:rFonts w:hint="eastAsia" w:eastAsia="仿宋_GB2312"/>
                <w:szCs w:val="21"/>
              </w:rPr>
            </w:pPr>
            <w:r>
              <w:rPr>
                <w:rFonts w:hint="eastAsia" w:eastAsia="仿宋_GB2312"/>
                <w:szCs w:val="21"/>
              </w:rPr>
              <w:t>蓝天工程</w:t>
            </w:r>
          </w:p>
        </w:tc>
        <w:tc>
          <w:tcPr>
            <w:tcW w:w="840" w:type="pct"/>
            <w:tcBorders>
              <w:top w:val="single" w:color="auto" w:sz="4" w:space="0"/>
              <w:left w:val="single" w:color="auto" w:sz="4" w:space="0"/>
              <w:bottom w:val="single" w:color="auto" w:sz="4" w:space="0"/>
              <w:right w:val="single" w:color="auto" w:sz="4" w:space="0"/>
            </w:tcBorders>
            <w:noWrap w:val="0"/>
            <w:vAlign w:val="center"/>
          </w:tcPr>
          <w:p>
            <w:pPr>
              <w:snapToGrid w:val="0"/>
              <w:spacing w:line="300" w:lineRule="exact"/>
              <w:rPr>
                <w:rFonts w:hint="eastAsia" w:eastAsia="仿宋_GB2312"/>
                <w:szCs w:val="21"/>
              </w:rPr>
            </w:pPr>
            <w:r>
              <w:rPr>
                <w:rFonts w:hint="eastAsia" w:eastAsia="仿宋_GB2312"/>
                <w:szCs w:val="21"/>
              </w:rPr>
              <w:t>①工业烟粉尘治理；</w:t>
            </w:r>
          </w:p>
          <w:p>
            <w:pPr>
              <w:snapToGrid w:val="0"/>
              <w:spacing w:line="300" w:lineRule="exact"/>
              <w:rPr>
                <w:rFonts w:hint="eastAsia" w:eastAsia="仿宋_GB2312"/>
                <w:szCs w:val="21"/>
              </w:rPr>
            </w:pPr>
            <w:r>
              <w:rPr>
                <w:rFonts w:hint="eastAsia" w:eastAsia="仿宋_GB2312"/>
                <w:szCs w:val="21"/>
              </w:rPr>
              <w:t>②挥发性有机物污染治理；</w:t>
            </w:r>
          </w:p>
          <w:p>
            <w:pPr>
              <w:snapToGrid w:val="0"/>
              <w:spacing w:line="300" w:lineRule="exact"/>
              <w:rPr>
                <w:rFonts w:hint="eastAsia" w:eastAsia="仿宋_GB2312"/>
                <w:szCs w:val="21"/>
              </w:rPr>
            </w:pPr>
            <w:r>
              <w:rPr>
                <w:rFonts w:hint="eastAsia" w:eastAsia="仿宋_GB2312"/>
                <w:szCs w:val="21"/>
              </w:rPr>
              <w:t>③油气回收治理。</w:t>
            </w:r>
          </w:p>
        </w:tc>
        <w:tc>
          <w:tcPr>
            <w:tcW w:w="348" w:type="pct"/>
            <w:tcBorders>
              <w:top w:val="single" w:color="auto" w:sz="4" w:space="0"/>
              <w:left w:val="single" w:color="auto" w:sz="4" w:space="0"/>
              <w:bottom w:val="single" w:color="auto" w:sz="4" w:space="0"/>
              <w:right w:val="single" w:color="auto" w:sz="4" w:space="0"/>
            </w:tcBorders>
            <w:noWrap w:val="0"/>
            <w:vAlign w:val="center"/>
          </w:tcPr>
          <w:p>
            <w:pPr>
              <w:snapToGrid w:val="0"/>
              <w:spacing w:line="300" w:lineRule="exact"/>
              <w:ind w:left="-63" w:leftChars="-30" w:right="-63" w:rightChars="-30"/>
              <w:jc w:val="center"/>
              <w:rPr>
                <w:rFonts w:hint="eastAsia" w:eastAsia="仿宋_GB2312"/>
                <w:szCs w:val="21"/>
              </w:rPr>
            </w:pPr>
            <w:r>
              <w:rPr>
                <w:rFonts w:hint="eastAsia" w:eastAsia="仿宋_GB2312"/>
                <w:szCs w:val="21"/>
              </w:rPr>
              <w:t>2013-2015</w:t>
            </w:r>
          </w:p>
        </w:tc>
        <w:tc>
          <w:tcPr>
            <w:tcW w:w="321" w:type="pct"/>
            <w:tcBorders>
              <w:top w:val="single" w:color="auto" w:sz="4" w:space="0"/>
              <w:left w:val="single" w:color="auto" w:sz="4" w:space="0"/>
              <w:bottom w:val="single" w:color="auto" w:sz="4" w:space="0"/>
              <w:right w:val="single" w:color="auto" w:sz="4" w:space="0"/>
            </w:tcBorders>
            <w:noWrap w:val="0"/>
            <w:vAlign w:val="center"/>
          </w:tcPr>
          <w:p>
            <w:pPr>
              <w:spacing w:line="300" w:lineRule="exact"/>
              <w:ind w:left="-63" w:leftChars="-30" w:right="-63" w:rightChars="-30"/>
              <w:jc w:val="center"/>
              <w:rPr>
                <w:rFonts w:hint="eastAsia" w:eastAsia="仿宋_GB2312"/>
                <w:szCs w:val="21"/>
              </w:rPr>
            </w:pPr>
            <w:r>
              <w:rPr>
                <w:rFonts w:hint="eastAsia" w:eastAsia="仿宋_GB2312"/>
                <w:szCs w:val="21"/>
              </w:rPr>
              <w:t>6.6</w:t>
            </w:r>
          </w:p>
        </w:tc>
        <w:tc>
          <w:tcPr>
            <w:tcW w:w="790" w:type="pct"/>
            <w:tcBorders>
              <w:top w:val="single" w:color="auto" w:sz="4" w:space="0"/>
              <w:left w:val="single" w:color="auto" w:sz="4" w:space="0"/>
              <w:bottom w:val="single" w:color="auto" w:sz="4" w:space="0"/>
              <w:right w:val="single" w:color="auto" w:sz="4" w:space="0"/>
            </w:tcBorders>
            <w:noWrap w:val="0"/>
            <w:vAlign w:val="center"/>
          </w:tcPr>
          <w:p>
            <w:pPr>
              <w:spacing w:line="300" w:lineRule="exact"/>
              <w:rPr>
                <w:rFonts w:hint="eastAsia" w:eastAsia="仿宋_GB2312"/>
                <w:szCs w:val="21"/>
              </w:rPr>
            </w:pPr>
            <w:r>
              <w:rPr>
                <w:rFonts w:hint="eastAsia" w:eastAsia="仿宋_GB2312"/>
                <w:szCs w:val="21"/>
              </w:rPr>
              <w:t>①完成江苏飞驰股份有限公司、江苏申江能源有限公司燃煤锅炉除尘设施改造；拆除江苏灌河水泥有限公司水泥生产装置；拆除江苏磊达股份有限公司机立窑熟料生产线；</w:t>
            </w:r>
          </w:p>
          <w:p>
            <w:pPr>
              <w:spacing w:line="300" w:lineRule="exact"/>
              <w:rPr>
                <w:rFonts w:hint="eastAsia" w:eastAsia="仿宋_GB2312"/>
                <w:szCs w:val="21"/>
              </w:rPr>
            </w:pPr>
            <w:r>
              <w:rPr>
                <w:rFonts w:hint="eastAsia" w:eastAsia="仿宋_GB2312"/>
                <w:szCs w:val="21"/>
              </w:rPr>
              <w:t>②完成响水裕廊、联化、威耳，滨海托球、清泉、柏川、高楼、金海立、普信、宇翔，大丰海嘉诺、汇百、科菲特、腾龙、辉丰，射阳春竹香料、金马油脂等企业挥发性有机物治理项目；</w:t>
            </w:r>
          </w:p>
          <w:p>
            <w:pPr>
              <w:spacing w:line="300" w:lineRule="exact"/>
              <w:rPr>
                <w:rFonts w:hint="eastAsia" w:eastAsia="仿宋_GB2312"/>
                <w:szCs w:val="21"/>
              </w:rPr>
            </w:pPr>
            <w:r>
              <w:rPr>
                <w:rFonts w:hint="eastAsia" w:eastAsia="仿宋_GB2312"/>
                <w:szCs w:val="21"/>
              </w:rPr>
              <w:t>③油气回收治理改造任务完成率100%；建立油气回收管理台帐，加强日常监管工作。</w:t>
            </w:r>
          </w:p>
        </w:tc>
        <w:tc>
          <w:tcPr>
            <w:tcW w:w="658" w:type="pct"/>
            <w:tcBorders>
              <w:top w:val="single" w:color="auto" w:sz="4" w:space="0"/>
              <w:left w:val="single" w:color="auto" w:sz="4" w:space="0"/>
              <w:bottom w:val="single" w:color="auto" w:sz="4" w:space="0"/>
              <w:right w:val="single" w:color="auto" w:sz="4" w:space="0"/>
            </w:tcBorders>
            <w:noWrap w:val="0"/>
            <w:vAlign w:val="center"/>
          </w:tcPr>
          <w:p>
            <w:pPr>
              <w:spacing w:line="300" w:lineRule="exact"/>
              <w:rPr>
                <w:rFonts w:hint="eastAsia" w:eastAsia="仿宋_GB2312"/>
                <w:szCs w:val="21"/>
              </w:rPr>
            </w:pPr>
            <w:r>
              <w:rPr>
                <w:rFonts w:hint="eastAsia" w:eastAsia="仿宋_GB2312"/>
                <w:szCs w:val="21"/>
              </w:rPr>
              <w:t>①滨海、响水、阜宁、大丰四个化工园区完成2个挥发性有机物治理项目，园区建设大气污染预警平台；</w:t>
            </w:r>
          </w:p>
          <w:p>
            <w:pPr>
              <w:spacing w:line="300" w:lineRule="exact"/>
              <w:rPr>
                <w:rFonts w:hint="eastAsia" w:eastAsia="仿宋_GB2312"/>
                <w:szCs w:val="21"/>
              </w:rPr>
            </w:pPr>
            <w:r>
              <w:rPr>
                <w:rFonts w:hint="eastAsia" w:eastAsia="仿宋_GB2312"/>
                <w:szCs w:val="21"/>
              </w:rPr>
              <w:t>②各县（市、区）全面开展燃煤锅炉颗粒物治理，完成重点锅炉整治项目；</w:t>
            </w:r>
          </w:p>
          <w:p>
            <w:pPr>
              <w:spacing w:line="300" w:lineRule="exact"/>
              <w:rPr>
                <w:rFonts w:hint="eastAsia" w:eastAsia="仿宋_GB2312"/>
                <w:szCs w:val="21"/>
              </w:rPr>
            </w:pPr>
            <w:r>
              <w:rPr>
                <w:rFonts w:hint="eastAsia" w:eastAsia="仿宋_GB2312"/>
                <w:szCs w:val="21"/>
              </w:rPr>
              <w:t>③全面完成油气回收治理项目验收，进一步完成油气回收治理台账；新建项目油气回收治理纳入项目三同时验收。</w:t>
            </w:r>
          </w:p>
        </w:tc>
        <w:tc>
          <w:tcPr>
            <w:tcW w:w="612" w:type="pct"/>
            <w:tcBorders>
              <w:top w:val="single" w:color="auto" w:sz="4" w:space="0"/>
              <w:left w:val="single" w:color="auto" w:sz="4" w:space="0"/>
              <w:bottom w:val="single" w:color="auto" w:sz="4" w:space="0"/>
              <w:right w:val="single" w:color="auto" w:sz="4" w:space="0"/>
            </w:tcBorders>
            <w:noWrap w:val="0"/>
            <w:vAlign w:val="center"/>
          </w:tcPr>
          <w:p>
            <w:pPr>
              <w:spacing w:line="300" w:lineRule="exact"/>
              <w:rPr>
                <w:rFonts w:hint="eastAsia" w:eastAsia="仿宋_GB2312"/>
                <w:szCs w:val="21"/>
              </w:rPr>
            </w:pPr>
            <w:r>
              <w:rPr>
                <w:rFonts w:hint="eastAsia" w:eastAsia="仿宋_GB2312"/>
                <w:szCs w:val="21"/>
              </w:rPr>
              <w:t>①滨海、响水、阜宁、大丰四个化工园区挥发性有机物超标项目全部完成治理任务，园区建成大气污染预警平台，投入正常运转；</w:t>
            </w:r>
          </w:p>
          <w:p>
            <w:pPr>
              <w:spacing w:line="300" w:lineRule="exact"/>
              <w:rPr>
                <w:rFonts w:hint="eastAsia" w:eastAsia="仿宋_GB2312"/>
                <w:szCs w:val="21"/>
              </w:rPr>
            </w:pPr>
            <w:r>
              <w:rPr>
                <w:rFonts w:hint="eastAsia" w:eastAsia="仿宋_GB2312"/>
                <w:szCs w:val="21"/>
              </w:rPr>
              <w:t>②各县（市、区）全面完成燃煤锅炉颗粒物治理项目。</w:t>
            </w:r>
          </w:p>
        </w:tc>
        <w:tc>
          <w:tcPr>
            <w:tcW w:w="524" w:type="pct"/>
            <w:tcBorders>
              <w:top w:val="single" w:color="auto" w:sz="4" w:space="0"/>
              <w:left w:val="single" w:color="auto" w:sz="4" w:space="0"/>
              <w:bottom w:val="single" w:color="auto" w:sz="4" w:space="0"/>
              <w:right w:val="single" w:color="auto" w:sz="4" w:space="0"/>
            </w:tcBorders>
            <w:noWrap w:val="0"/>
            <w:vAlign w:val="center"/>
          </w:tcPr>
          <w:p>
            <w:pPr>
              <w:spacing w:line="300" w:lineRule="exact"/>
              <w:ind w:left="-63" w:leftChars="-30" w:right="-63" w:rightChars="-30"/>
              <w:jc w:val="center"/>
              <w:rPr>
                <w:rFonts w:hint="eastAsia" w:eastAsia="仿宋_GB2312"/>
                <w:szCs w:val="21"/>
              </w:rPr>
            </w:pPr>
            <w:bookmarkStart w:id="481" w:name="OLE_LINK5"/>
            <w:r>
              <w:rPr>
                <w:rFonts w:hint="eastAsia" w:eastAsia="仿宋_GB2312"/>
                <w:szCs w:val="21"/>
              </w:rPr>
              <w:t>市</w:t>
            </w:r>
            <w:bookmarkEnd w:id="481"/>
            <w:r>
              <w:rPr>
                <w:rFonts w:hint="eastAsia" w:eastAsia="仿宋_GB2312"/>
                <w:szCs w:val="21"/>
              </w:rPr>
              <w:t>环保局</w:t>
            </w:r>
          </w:p>
          <w:p>
            <w:pPr>
              <w:spacing w:line="300" w:lineRule="exact"/>
              <w:ind w:left="-63" w:leftChars="-30" w:right="-63" w:rightChars="-30"/>
              <w:jc w:val="center"/>
              <w:rPr>
                <w:rFonts w:hint="eastAsia" w:eastAsia="仿宋_GB2312"/>
                <w:szCs w:val="21"/>
              </w:rPr>
            </w:pPr>
            <w:r>
              <w:rPr>
                <w:rFonts w:hint="eastAsia" w:eastAsia="仿宋_GB2312"/>
                <w:szCs w:val="21"/>
              </w:rPr>
              <w:t>市商务局</w:t>
            </w:r>
          </w:p>
          <w:p>
            <w:pPr>
              <w:snapToGrid w:val="0"/>
              <w:spacing w:line="300" w:lineRule="exact"/>
              <w:ind w:left="-63" w:leftChars="-30" w:right="-63" w:rightChars="-30"/>
              <w:jc w:val="center"/>
              <w:rPr>
                <w:rFonts w:hint="eastAsia" w:eastAsia="仿宋_GB2312"/>
                <w:szCs w:val="21"/>
              </w:rPr>
            </w:pPr>
            <w:r>
              <w:rPr>
                <w:rFonts w:hint="eastAsia" w:eastAsia="仿宋_GB2312"/>
                <w:szCs w:val="21"/>
              </w:rPr>
              <w:t>各县（市、区）政府</w:t>
            </w:r>
          </w:p>
        </w:tc>
        <w:tc>
          <w:tcPr>
            <w:tcW w:w="506" w:type="pct"/>
            <w:tcBorders>
              <w:top w:val="single" w:color="auto" w:sz="4" w:space="0"/>
              <w:left w:val="single" w:color="auto" w:sz="4" w:space="0"/>
              <w:bottom w:val="single" w:color="auto" w:sz="4" w:space="0"/>
              <w:right w:val="single" w:color="auto" w:sz="4" w:space="0"/>
            </w:tcBorders>
            <w:noWrap w:val="0"/>
            <w:vAlign w:val="center"/>
          </w:tcPr>
          <w:p>
            <w:pPr>
              <w:spacing w:line="300" w:lineRule="exact"/>
              <w:jc w:val="center"/>
              <w:rPr>
                <w:rFonts w:hint="eastAsia" w:eastAsia="仿宋_GB2312"/>
                <w:szCs w:val="21"/>
              </w:rPr>
            </w:pPr>
            <w:r>
              <w:rPr>
                <w:rFonts w:hint="eastAsia" w:eastAsia="仿宋_GB2312"/>
                <w:szCs w:val="21"/>
              </w:rPr>
              <w:t>吴雨晴</w:t>
            </w:r>
          </w:p>
          <w:p>
            <w:pPr>
              <w:spacing w:line="300" w:lineRule="exact"/>
              <w:jc w:val="center"/>
              <w:rPr>
                <w:rFonts w:hint="eastAsia" w:eastAsia="仿宋_GB2312"/>
                <w:szCs w:val="21"/>
              </w:rPr>
            </w:pPr>
            <w:r>
              <w:rPr>
                <w:rFonts w:hint="eastAsia" w:eastAsia="仿宋_GB2312"/>
                <w:szCs w:val="21"/>
              </w:rPr>
              <w:t>王  亚</w:t>
            </w:r>
          </w:p>
          <w:p>
            <w:pPr>
              <w:snapToGrid w:val="0"/>
              <w:spacing w:line="300" w:lineRule="exact"/>
              <w:jc w:val="center"/>
              <w:rPr>
                <w:rFonts w:hint="eastAsia" w:eastAsia="仿宋_GB2312"/>
                <w:szCs w:val="21"/>
              </w:rPr>
            </w:pPr>
            <w:r>
              <w:rPr>
                <w:rFonts w:hint="eastAsia" w:eastAsia="仿宋_GB2312"/>
                <w:spacing w:val="-20"/>
                <w:w w:val="97"/>
                <w:szCs w:val="21"/>
              </w:rPr>
              <w:t>各县（市、区）长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292" w:hRule="atLeast"/>
          <w:jc w:val="center"/>
        </w:trPr>
        <w:tc>
          <w:tcPr>
            <w:tcW w:w="177" w:type="pct"/>
            <w:tcBorders>
              <w:top w:val="single" w:color="auto" w:sz="4" w:space="0"/>
              <w:left w:val="single" w:color="auto" w:sz="4" w:space="0"/>
              <w:bottom w:val="single" w:color="auto" w:sz="4" w:space="0"/>
              <w:right w:val="single" w:color="auto" w:sz="4" w:space="0"/>
            </w:tcBorders>
            <w:noWrap w:val="0"/>
            <w:vAlign w:val="center"/>
          </w:tcPr>
          <w:p>
            <w:pPr>
              <w:snapToGrid w:val="0"/>
              <w:spacing w:line="320" w:lineRule="exact"/>
              <w:jc w:val="center"/>
              <w:rPr>
                <w:rFonts w:hint="eastAsia" w:eastAsia="仿宋_GB2312"/>
                <w:szCs w:val="21"/>
              </w:rPr>
            </w:pPr>
            <w:r>
              <w:rPr>
                <w:rFonts w:hint="eastAsia" w:eastAsia="仿宋_GB2312"/>
                <w:szCs w:val="21"/>
              </w:rPr>
              <w:t>5</w:t>
            </w:r>
          </w:p>
        </w:tc>
        <w:tc>
          <w:tcPr>
            <w:tcW w:w="225" w:type="pct"/>
            <w:tcBorders>
              <w:top w:val="single" w:color="auto" w:sz="4" w:space="0"/>
              <w:left w:val="single" w:color="auto" w:sz="4" w:space="0"/>
              <w:bottom w:val="single" w:color="auto" w:sz="4" w:space="0"/>
              <w:right w:val="single" w:color="auto" w:sz="4" w:space="0"/>
            </w:tcBorders>
            <w:noWrap w:val="0"/>
            <w:vAlign w:val="center"/>
          </w:tcPr>
          <w:p>
            <w:pPr>
              <w:snapToGrid w:val="0"/>
              <w:spacing w:line="320" w:lineRule="exact"/>
              <w:rPr>
                <w:rFonts w:hint="eastAsia" w:eastAsia="仿宋_GB2312"/>
                <w:szCs w:val="21"/>
              </w:rPr>
            </w:pPr>
            <w:r>
              <w:rPr>
                <w:rFonts w:hint="eastAsia" w:eastAsia="仿宋_GB2312"/>
                <w:szCs w:val="21"/>
              </w:rPr>
              <w:t>自然保护</w:t>
            </w:r>
          </w:p>
        </w:tc>
        <w:tc>
          <w:tcPr>
            <w:tcW w:w="840" w:type="pct"/>
            <w:tcBorders>
              <w:top w:val="single" w:color="auto" w:sz="4" w:space="0"/>
              <w:left w:val="single" w:color="auto" w:sz="4" w:space="0"/>
              <w:bottom w:val="single" w:color="auto" w:sz="4" w:space="0"/>
              <w:right w:val="single" w:color="auto" w:sz="4" w:space="0"/>
            </w:tcBorders>
            <w:noWrap w:val="0"/>
            <w:vAlign w:val="center"/>
          </w:tcPr>
          <w:p>
            <w:pPr>
              <w:snapToGrid w:val="0"/>
              <w:spacing w:line="280" w:lineRule="exact"/>
              <w:rPr>
                <w:rFonts w:hint="eastAsia" w:eastAsia="仿宋_GB2312"/>
                <w:szCs w:val="21"/>
              </w:rPr>
            </w:pPr>
            <w:r>
              <w:rPr>
                <w:rFonts w:hint="eastAsia" w:eastAsia="仿宋_GB2312"/>
                <w:szCs w:val="21"/>
              </w:rPr>
              <w:t>完成珍禽保护区湿地修复与恢复、引水补湿、退渔还湿、互花米草控制、系统管护、社区共建等，麋鹿保护区湿地改善、科研监测与救护能力建设、科普宣教能力建设等，盐城海滨湿地防风林，大丰林场湿地修复、防护林抚育、基础设施建设等亚行贷款项目。</w:t>
            </w:r>
          </w:p>
        </w:tc>
        <w:tc>
          <w:tcPr>
            <w:tcW w:w="348" w:type="pct"/>
            <w:tcBorders>
              <w:top w:val="single" w:color="auto" w:sz="4" w:space="0"/>
              <w:left w:val="single" w:color="auto" w:sz="4" w:space="0"/>
              <w:bottom w:val="single" w:color="auto" w:sz="4" w:space="0"/>
              <w:right w:val="single" w:color="auto" w:sz="4" w:space="0"/>
            </w:tcBorders>
            <w:noWrap w:val="0"/>
            <w:vAlign w:val="center"/>
          </w:tcPr>
          <w:p>
            <w:pPr>
              <w:snapToGrid w:val="0"/>
              <w:spacing w:line="280" w:lineRule="exact"/>
              <w:ind w:left="-63" w:leftChars="-30" w:right="-63" w:rightChars="-30"/>
              <w:jc w:val="center"/>
              <w:rPr>
                <w:rFonts w:hint="eastAsia" w:eastAsia="仿宋_GB2312"/>
                <w:szCs w:val="21"/>
              </w:rPr>
            </w:pPr>
            <w:r>
              <w:rPr>
                <w:rFonts w:hint="eastAsia" w:eastAsia="仿宋_GB2312"/>
                <w:szCs w:val="21"/>
              </w:rPr>
              <w:t>2012-2016</w:t>
            </w:r>
          </w:p>
        </w:tc>
        <w:tc>
          <w:tcPr>
            <w:tcW w:w="321" w:type="pct"/>
            <w:tcBorders>
              <w:top w:val="single" w:color="auto" w:sz="4" w:space="0"/>
              <w:left w:val="single" w:color="auto" w:sz="4" w:space="0"/>
              <w:bottom w:val="single" w:color="auto" w:sz="4" w:space="0"/>
              <w:right w:val="single" w:color="auto" w:sz="4" w:space="0"/>
            </w:tcBorders>
            <w:noWrap w:val="0"/>
            <w:vAlign w:val="center"/>
          </w:tcPr>
          <w:p>
            <w:pPr>
              <w:spacing w:line="280" w:lineRule="exact"/>
              <w:ind w:left="-63" w:leftChars="-30" w:right="-63" w:rightChars="-30"/>
              <w:jc w:val="center"/>
              <w:rPr>
                <w:rFonts w:hint="eastAsia" w:eastAsia="仿宋_GB2312"/>
                <w:szCs w:val="21"/>
              </w:rPr>
            </w:pPr>
            <w:r>
              <w:rPr>
                <w:rFonts w:hint="eastAsia" w:eastAsia="仿宋_GB2312"/>
                <w:szCs w:val="21"/>
              </w:rPr>
              <w:t>4.95</w:t>
            </w:r>
          </w:p>
        </w:tc>
        <w:tc>
          <w:tcPr>
            <w:tcW w:w="790" w:type="pct"/>
            <w:tcBorders>
              <w:top w:val="single" w:color="auto" w:sz="4" w:space="0"/>
              <w:left w:val="single" w:color="auto" w:sz="4" w:space="0"/>
              <w:bottom w:val="single" w:color="auto" w:sz="4" w:space="0"/>
              <w:right w:val="single" w:color="auto" w:sz="4" w:space="0"/>
            </w:tcBorders>
            <w:noWrap w:val="0"/>
            <w:vAlign w:val="center"/>
          </w:tcPr>
          <w:p>
            <w:pPr>
              <w:spacing w:line="280" w:lineRule="exact"/>
              <w:rPr>
                <w:rFonts w:hint="eastAsia" w:eastAsia="仿宋_GB2312"/>
                <w:szCs w:val="21"/>
              </w:rPr>
            </w:pPr>
            <w:r>
              <w:rPr>
                <w:rFonts w:hint="eastAsia" w:eastAsia="仿宋_GB2312"/>
                <w:szCs w:val="21"/>
              </w:rPr>
              <w:t>全面启动珍禽保护区亚行项目，推进退渔还湿工程；完成麋鹿保护区研究监测和施救能力等项目；启动盐城林场农林业发展、幼苗苗圃、综合性虫害管理等项目；继续实施大丰林场恢复海滨湿地、改善排水设施、综合性虫害管理等项目。</w:t>
            </w:r>
          </w:p>
        </w:tc>
        <w:tc>
          <w:tcPr>
            <w:tcW w:w="658" w:type="pct"/>
            <w:tcBorders>
              <w:top w:val="single" w:color="auto" w:sz="4" w:space="0"/>
              <w:left w:val="single" w:color="auto" w:sz="4" w:space="0"/>
              <w:bottom w:val="single" w:color="auto" w:sz="4" w:space="0"/>
              <w:right w:val="single" w:color="auto" w:sz="4" w:space="0"/>
            </w:tcBorders>
            <w:noWrap w:val="0"/>
            <w:vAlign w:val="center"/>
          </w:tcPr>
          <w:p>
            <w:pPr>
              <w:spacing w:line="280" w:lineRule="exact"/>
              <w:rPr>
                <w:rFonts w:hint="eastAsia" w:eastAsia="仿宋_GB2312"/>
                <w:szCs w:val="21"/>
              </w:rPr>
            </w:pPr>
            <w:r>
              <w:rPr>
                <w:rFonts w:hint="eastAsia" w:eastAsia="仿宋_GB2312"/>
                <w:szCs w:val="21"/>
              </w:rPr>
              <w:t>完成珍禽保护区退渔还湿工程，启动湿地修复；完成麋鹿保护区改善麋鹿饮用水等项目；继续实施盐城林场农林业发展、幼苗苗圃、综合性虫害管理等项目和大丰林场恢复海滨湿地、改善排水设施、综合性虫害管理等项目。</w:t>
            </w:r>
          </w:p>
        </w:tc>
        <w:tc>
          <w:tcPr>
            <w:tcW w:w="612" w:type="pct"/>
            <w:tcBorders>
              <w:top w:val="single" w:color="auto" w:sz="4" w:space="0"/>
              <w:left w:val="single" w:color="auto" w:sz="4" w:space="0"/>
              <w:bottom w:val="single" w:color="auto" w:sz="4" w:space="0"/>
              <w:right w:val="single" w:color="auto" w:sz="4" w:space="0"/>
            </w:tcBorders>
            <w:noWrap w:val="0"/>
            <w:vAlign w:val="center"/>
          </w:tcPr>
          <w:p>
            <w:pPr>
              <w:spacing w:line="280" w:lineRule="exact"/>
              <w:rPr>
                <w:rFonts w:hint="eastAsia" w:eastAsia="仿宋_GB2312"/>
                <w:szCs w:val="21"/>
              </w:rPr>
            </w:pPr>
            <w:r>
              <w:rPr>
                <w:rFonts w:hint="eastAsia" w:eastAsia="仿宋_GB2312"/>
                <w:szCs w:val="21"/>
              </w:rPr>
              <w:t>完成珍禽保护区亚行项目；完成麋鹿保护区栖息地改善、保护生境等项目；完成盐城林场农林业发展、幼苗苗圃、综合性虫害管理等项目；完成大丰林场恢复海滨湿地、改善排水设施、综合性虫害管理、预防火灾及提高应对能力等项目。</w:t>
            </w:r>
          </w:p>
        </w:tc>
        <w:tc>
          <w:tcPr>
            <w:tcW w:w="524" w:type="pct"/>
            <w:tcBorders>
              <w:top w:val="single" w:color="auto" w:sz="4" w:space="0"/>
              <w:left w:val="single" w:color="auto" w:sz="4" w:space="0"/>
              <w:bottom w:val="single" w:color="auto" w:sz="4" w:space="0"/>
              <w:right w:val="single" w:color="auto" w:sz="4" w:space="0"/>
            </w:tcBorders>
            <w:noWrap w:val="0"/>
            <w:vAlign w:val="center"/>
          </w:tcPr>
          <w:p>
            <w:pPr>
              <w:spacing w:line="280" w:lineRule="exact"/>
              <w:ind w:left="-63" w:leftChars="-30" w:right="-63" w:rightChars="-30"/>
              <w:jc w:val="center"/>
              <w:rPr>
                <w:rFonts w:hint="eastAsia" w:eastAsia="仿宋_GB2312"/>
                <w:szCs w:val="21"/>
              </w:rPr>
            </w:pPr>
            <w:r>
              <w:rPr>
                <w:rFonts w:hint="eastAsia" w:eastAsia="仿宋_GB2312"/>
                <w:szCs w:val="21"/>
              </w:rPr>
              <w:t>市环保局</w:t>
            </w:r>
          </w:p>
          <w:p>
            <w:pPr>
              <w:spacing w:line="280" w:lineRule="exact"/>
              <w:ind w:left="-63" w:leftChars="-30" w:right="-63" w:rightChars="-30"/>
              <w:jc w:val="center"/>
              <w:rPr>
                <w:rFonts w:hint="eastAsia" w:eastAsia="仿宋_GB2312"/>
                <w:szCs w:val="21"/>
              </w:rPr>
            </w:pPr>
            <w:r>
              <w:rPr>
                <w:rFonts w:hint="eastAsia" w:eastAsia="仿宋_GB2312"/>
                <w:szCs w:val="21"/>
              </w:rPr>
              <w:t>市发改委</w:t>
            </w:r>
          </w:p>
          <w:p>
            <w:pPr>
              <w:spacing w:line="280" w:lineRule="exact"/>
              <w:ind w:left="-63" w:leftChars="-30" w:right="-63" w:rightChars="-30"/>
              <w:jc w:val="center"/>
              <w:rPr>
                <w:rFonts w:hint="eastAsia" w:eastAsia="仿宋_GB2312"/>
                <w:szCs w:val="21"/>
              </w:rPr>
            </w:pPr>
            <w:r>
              <w:rPr>
                <w:rFonts w:hint="eastAsia" w:eastAsia="仿宋_GB2312"/>
                <w:szCs w:val="21"/>
              </w:rPr>
              <w:t>市财政局</w:t>
            </w:r>
          </w:p>
          <w:p>
            <w:pPr>
              <w:spacing w:line="280" w:lineRule="exact"/>
              <w:ind w:left="-63" w:leftChars="-30" w:right="-63" w:rightChars="-30"/>
              <w:jc w:val="center"/>
              <w:rPr>
                <w:rFonts w:hint="eastAsia" w:eastAsia="仿宋_GB2312"/>
                <w:szCs w:val="21"/>
              </w:rPr>
            </w:pPr>
            <w:r>
              <w:rPr>
                <w:rFonts w:hint="eastAsia" w:eastAsia="仿宋_GB2312"/>
                <w:szCs w:val="21"/>
              </w:rPr>
              <w:t>市林业局</w:t>
            </w:r>
          </w:p>
          <w:p>
            <w:pPr>
              <w:spacing w:line="280" w:lineRule="exact"/>
              <w:ind w:left="-63" w:leftChars="-30" w:right="-63" w:rightChars="-30"/>
              <w:jc w:val="center"/>
              <w:rPr>
                <w:rFonts w:hint="eastAsia" w:eastAsia="仿宋_GB2312"/>
                <w:szCs w:val="21"/>
              </w:rPr>
            </w:pPr>
            <w:r>
              <w:rPr>
                <w:rFonts w:hint="eastAsia" w:eastAsia="仿宋_GB2312"/>
                <w:szCs w:val="21"/>
              </w:rPr>
              <w:t>亭湖区政府</w:t>
            </w:r>
          </w:p>
          <w:p>
            <w:pPr>
              <w:spacing w:line="280" w:lineRule="exact"/>
              <w:ind w:left="-63" w:leftChars="-30" w:right="-63" w:rightChars="-30"/>
              <w:jc w:val="center"/>
              <w:rPr>
                <w:rFonts w:hint="eastAsia" w:eastAsia="仿宋_GB2312"/>
                <w:szCs w:val="21"/>
              </w:rPr>
            </w:pPr>
            <w:r>
              <w:rPr>
                <w:rFonts w:hint="eastAsia" w:eastAsia="仿宋_GB2312"/>
                <w:szCs w:val="21"/>
              </w:rPr>
              <w:t>大丰市政府</w:t>
            </w:r>
          </w:p>
          <w:p>
            <w:pPr>
              <w:spacing w:line="280" w:lineRule="exact"/>
              <w:ind w:left="-63" w:leftChars="-30" w:right="-63" w:rightChars="-30"/>
              <w:jc w:val="center"/>
              <w:rPr>
                <w:rFonts w:hint="eastAsia" w:eastAsia="仿宋_GB2312"/>
                <w:spacing w:val="-4"/>
                <w:szCs w:val="21"/>
              </w:rPr>
            </w:pPr>
            <w:r>
              <w:rPr>
                <w:rFonts w:hint="eastAsia" w:eastAsia="仿宋_GB2312"/>
                <w:spacing w:val="-4"/>
                <w:szCs w:val="21"/>
              </w:rPr>
              <w:t>盐城珍禽保护区</w:t>
            </w:r>
          </w:p>
          <w:p>
            <w:pPr>
              <w:spacing w:line="280" w:lineRule="exact"/>
              <w:ind w:left="-63" w:leftChars="-30" w:right="-63" w:rightChars="-30"/>
              <w:jc w:val="center"/>
              <w:rPr>
                <w:rFonts w:hint="eastAsia" w:eastAsia="仿宋_GB2312"/>
                <w:spacing w:val="-4"/>
                <w:szCs w:val="21"/>
              </w:rPr>
            </w:pPr>
            <w:r>
              <w:rPr>
                <w:rFonts w:hint="eastAsia" w:eastAsia="仿宋_GB2312"/>
                <w:spacing w:val="-4"/>
                <w:szCs w:val="21"/>
              </w:rPr>
              <w:t>大丰麋鹿保护区</w:t>
            </w:r>
          </w:p>
        </w:tc>
        <w:tc>
          <w:tcPr>
            <w:tcW w:w="506" w:type="pct"/>
            <w:tcBorders>
              <w:top w:val="single" w:color="auto" w:sz="4" w:space="0"/>
              <w:left w:val="single" w:color="auto" w:sz="4" w:space="0"/>
              <w:bottom w:val="single" w:color="auto" w:sz="4" w:space="0"/>
              <w:right w:val="single" w:color="auto" w:sz="4" w:space="0"/>
            </w:tcBorders>
            <w:noWrap w:val="0"/>
            <w:vAlign w:val="center"/>
          </w:tcPr>
          <w:p>
            <w:pPr>
              <w:spacing w:line="280" w:lineRule="exact"/>
              <w:jc w:val="center"/>
              <w:rPr>
                <w:rFonts w:hint="eastAsia" w:eastAsia="仿宋_GB2312"/>
                <w:szCs w:val="21"/>
              </w:rPr>
            </w:pPr>
            <w:r>
              <w:rPr>
                <w:rFonts w:hint="eastAsia" w:eastAsia="仿宋_GB2312"/>
                <w:szCs w:val="21"/>
              </w:rPr>
              <w:t>吴雨晴</w:t>
            </w:r>
          </w:p>
          <w:p>
            <w:pPr>
              <w:spacing w:line="280" w:lineRule="exact"/>
              <w:jc w:val="center"/>
              <w:rPr>
                <w:rFonts w:hint="eastAsia" w:eastAsia="仿宋_GB2312"/>
                <w:szCs w:val="21"/>
              </w:rPr>
            </w:pPr>
            <w:r>
              <w:rPr>
                <w:rFonts w:hint="eastAsia" w:eastAsia="仿宋_GB2312"/>
                <w:szCs w:val="21"/>
              </w:rPr>
              <w:t>郭玉生</w:t>
            </w:r>
          </w:p>
          <w:p>
            <w:pPr>
              <w:spacing w:line="280" w:lineRule="exact"/>
              <w:jc w:val="center"/>
              <w:rPr>
                <w:rFonts w:hint="eastAsia" w:eastAsia="仿宋_GB2312"/>
                <w:szCs w:val="21"/>
              </w:rPr>
            </w:pPr>
            <w:r>
              <w:rPr>
                <w:rFonts w:hint="eastAsia" w:eastAsia="仿宋_GB2312"/>
                <w:szCs w:val="21"/>
              </w:rPr>
              <w:t>戴荣江</w:t>
            </w:r>
          </w:p>
          <w:p>
            <w:pPr>
              <w:spacing w:line="280" w:lineRule="exact"/>
              <w:jc w:val="center"/>
              <w:rPr>
                <w:rFonts w:hint="eastAsia" w:eastAsia="仿宋_GB2312"/>
                <w:szCs w:val="21"/>
              </w:rPr>
            </w:pPr>
            <w:r>
              <w:rPr>
                <w:rFonts w:hint="eastAsia" w:eastAsia="仿宋_GB2312"/>
                <w:szCs w:val="21"/>
              </w:rPr>
              <w:t>符文华</w:t>
            </w:r>
          </w:p>
          <w:p>
            <w:pPr>
              <w:spacing w:line="280" w:lineRule="exact"/>
              <w:jc w:val="center"/>
              <w:rPr>
                <w:rFonts w:hint="eastAsia" w:eastAsia="仿宋_GB2312"/>
                <w:szCs w:val="21"/>
              </w:rPr>
            </w:pPr>
            <w:r>
              <w:rPr>
                <w:rFonts w:hint="eastAsia" w:eastAsia="仿宋_GB2312"/>
                <w:szCs w:val="21"/>
              </w:rPr>
              <w:t>李东成</w:t>
            </w:r>
          </w:p>
          <w:p>
            <w:pPr>
              <w:spacing w:line="280" w:lineRule="exact"/>
              <w:jc w:val="center"/>
              <w:rPr>
                <w:rFonts w:hint="eastAsia" w:eastAsia="仿宋_GB2312"/>
                <w:szCs w:val="21"/>
              </w:rPr>
            </w:pPr>
            <w:r>
              <w:rPr>
                <w:rFonts w:hint="eastAsia" w:eastAsia="仿宋_GB2312"/>
                <w:szCs w:val="21"/>
              </w:rPr>
              <w:t>陈  平</w:t>
            </w:r>
          </w:p>
          <w:p>
            <w:pPr>
              <w:spacing w:line="280" w:lineRule="exact"/>
              <w:jc w:val="center"/>
              <w:rPr>
                <w:rFonts w:hint="eastAsia" w:eastAsia="仿宋_GB2312"/>
                <w:szCs w:val="21"/>
              </w:rPr>
            </w:pPr>
            <w:r>
              <w:rPr>
                <w:rFonts w:hint="eastAsia" w:eastAsia="仿宋_GB2312"/>
                <w:szCs w:val="21"/>
              </w:rPr>
              <w:t>吴其江</w:t>
            </w:r>
          </w:p>
          <w:p>
            <w:pPr>
              <w:spacing w:line="280" w:lineRule="exact"/>
              <w:jc w:val="center"/>
              <w:rPr>
                <w:rFonts w:hint="eastAsia" w:eastAsia="仿宋_GB2312"/>
                <w:szCs w:val="21"/>
              </w:rPr>
            </w:pPr>
            <w:r>
              <w:rPr>
                <w:rFonts w:hint="eastAsia" w:eastAsia="仿宋_GB2312"/>
                <w:szCs w:val="21"/>
              </w:rPr>
              <w:t>孙大明</w:t>
            </w:r>
          </w:p>
        </w:tc>
      </w:tr>
      <w:bookmarkEnd w:id="480"/>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656" w:hRule="atLeast"/>
          <w:jc w:val="center"/>
        </w:trPr>
        <w:tc>
          <w:tcPr>
            <w:tcW w:w="177" w:type="pct"/>
            <w:tcBorders>
              <w:top w:val="single" w:color="auto" w:sz="4" w:space="0"/>
              <w:left w:val="single" w:color="auto" w:sz="4" w:space="0"/>
              <w:bottom w:val="single" w:color="auto" w:sz="4" w:space="0"/>
              <w:right w:val="single" w:color="auto" w:sz="4" w:space="0"/>
            </w:tcBorders>
            <w:noWrap w:val="0"/>
            <w:vAlign w:val="center"/>
          </w:tcPr>
          <w:p>
            <w:pPr>
              <w:snapToGrid w:val="0"/>
              <w:spacing w:line="320" w:lineRule="exact"/>
              <w:jc w:val="center"/>
              <w:rPr>
                <w:rFonts w:hint="eastAsia" w:eastAsia="仿宋_GB2312"/>
                <w:szCs w:val="21"/>
              </w:rPr>
            </w:pPr>
            <w:r>
              <w:rPr>
                <w:rFonts w:hint="eastAsia" w:eastAsia="仿宋_GB2312"/>
                <w:szCs w:val="21"/>
              </w:rPr>
              <w:t>6</w:t>
            </w:r>
          </w:p>
        </w:tc>
        <w:tc>
          <w:tcPr>
            <w:tcW w:w="225" w:type="pct"/>
            <w:tcBorders>
              <w:top w:val="single" w:color="auto" w:sz="4" w:space="0"/>
              <w:left w:val="single" w:color="auto" w:sz="4" w:space="0"/>
              <w:bottom w:val="single" w:color="auto" w:sz="4" w:space="0"/>
              <w:right w:val="single" w:color="auto" w:sz="4" w:space="0"/>
            </w:tcBorders>
            <w:noWrap w:val="0"/>
            <w:vAlign w:val="center"/>
          </w:tcPr>
          <w:p>
            <w:pPr>
              <w:snapToGrid w:val="0"/>
              <w:spacing w:line="280" w:lineRule="exact"/>
              <w:rPr>
                <w:rFonts w:hint="eastAsia" w:eastAsia="仿宋_GB2312"/>
                <w:szCs w:val="21"/>
              </w:rPr>
            </w:pPr>
            <w:r>
              <w:rPr>
                <w:rFonts w:hint="eastAsia" w:eastAsia="仿宋_GB2312"/>
                <w:szCs w:val="21"/>
              </w:rPr>
              <w:t>绿道网建设</w:t>
            </w:r>
          </w:p>
        </w:tc>
        <w:tc>
          <w:tcPr>
            <w:tcW w:w="840" w:type="pct"/>
            <w:tcBorders>
              <w:top w:val="single" w:color="auto" w:sz="4" w:space="0"/>
              <w:left w:val="single" w:color="auto" w:sz="4" w:space="0"/>
              <w:bottom w:val="single" w:color="auto" w:sz="4" w:space="0"/>
              <w:right w:val="single" w:color="auto" w:sz="4" w:space="0"/>
            </w:tcBorders>
            <w:noWrap w:val="0"/>
            <w:vAlign w:val="center"/>
          </w:tcPr>
          <w:p>
            <w:pPr>
              <w:snapToGrid w:val="0"/>
              <w:spacing w:line="280" w:lineRule="exact"/>
              <w:rPr>
                <w:rFonts w:hint="eastAsia" w:eastAsia="仿宋_GB2312"/>
                <w:szCs w:val="21"/>
              </w:rPr>
            </w:pPr>
            <w:r>
              <w:rPr>
                <w:rFonts w:hint="eastAsia" w:eastAsia="仿宋_GB2312"/>
                <w:szCs w:val="21"/>
              </w:rPr>
              <w:t>打造“一纵一横一联”高速公路和“三纵八横”干线公路绿道网络，新建省级公路同步建成高标准绿色通道，提升和完善已建绿色通道，实施增绿增景，建成高速公路绿色通道320公里、干线公路绿色通道1000公里。</w:t>
            </w:r>
          </w:p>
        </w:tc>
        <w:tc>
          <w:tcPr>
            <w:tcW w:w="348" w:type="pct"/>
            <w:tcBorders>
              <w:top w:val="single" w:color="auto" w:sz="4" w:space="0"/>
              <w:left w:val="single" w:color="auto" w:sz="4" w:space="0"/>
              <w:bottom w:val="single" w:color="auto" w:sz="4" w:space="0"/>
              <w:right w:val="single" w:color="auto" w:sz="4" w:space="0"/>
            </w:tcBorders>
            <w:noWrap w:val="0"/>
            <w:vAlign w:val="center"/>
          </w:tcPr>
          <w:p>
            <w:pPr>
              <w:snapToGrid w:val="0"/>
              <w:spacing w:line="280" w:lineRule="exact"/>
              <w:ind w:left="-63" w:leftChars="-30" w:right="-63" w:rightChars="-30"/>
              <w:jc w:val="center"/>
              <w:rPr>
                <w:rFonts w:hint="eastAsia" w:eastAsia="仿宋_GB2312"/>
                <w:szCs w:val="21"/>
              </w:rPr>
            </w:pPr>
            <w:r>
              <w:rPr>
                <w:rFonts w:hint="eastAsia" w:eastAsia="仿宋_GB2312"/>
                <w:szCs w:val="21"/>
              </w:rPr>
              <w:t>2013-2015</w:t>
            </w:r>
          </w:p>
        </w:tc>
        <w:tc>
          <w:tcPr>
            <w:tcW w:w="321" w:type="pct"/>
            <w:tcBorders>
              <w:top w:val="single" w:color="auto" w:sz="4" w:space="0"/>
              <w:left w:val="single" w:color="auto" w:sz="4" w:space="0"/>
              <w:bottom w:val="single" w:color="auto" w:sz="4" w:space="0"/>
              <w:right w:val="single" w:color="auto" w:sz="4" w:space="0"/>
            </w:tcBorders>
            <w:noWrap w:val="0"/>
            <w:vAlign w:val="center"/>
          </w:tcPr>
          <w:p>
            <w:pPr>
              <w:snapToGrid w:val="0"/>
              <w:spacing w:line="280" w:lineRule="exact"/>
              <w:ind w:left="-63" w:leftChars="-30" w:right="-63" w:rightChars="-30"/>
              <w:jc w:val="center"/>
              <w:rPr>
                <w:rFonts w:hint="eastAsia" w:eastAsia="仿宋_GB2312"/>
                <w:szCs w:val="21"/>
              </w:rPr>
            </w:pPr>
            <w:r>
              <w:rPr>
                <w:rFonts w:hint="eastAsia" w:eastAsia="仿宋_GB2312"/>
                <w:szCs w:val="21"/>
              </w:rPr>
              <w:t>8.45</w:t>
            </w:r>
          </w:p>
        </w:tc>
        <w:tc>
          <w:tcPr>
            <w:tcW w:w="790" w:type="pct"/>
            <w:tcBorders>
              <w:top w:val="single" w:color="auto" w:sz="4" w:space="0"/>
              <w:left w:val="single" w:color="auto" w:sz="4" w:space="0"/>
              <w:bottom w:val="single" w:color="auto" w:sz="4" w:space="0"/>
              <w:right w:val="single" w:color="auto" w:sz="4" w:space="0"/>
            </w:tcBorders>
            <w:noWrap w:val="0"/>
            <w:vAlign w:val="center"/>
          </w:tcPr>
          <w:p>
            <w:pPr>
              <w:snapToGrid w:val="0"/>
              <w:spacing w:line="280" w:lineRule="exact"/>
              <w:rPr>
                <w:rFonts w:hint="eastAsia" w:eastAsia="仿宋_GB2312"/>
                <w:szCs w:val="21"/>
              </w:rPr>
            </w:pPr>
            <w:r>
              <w:rPr>
                <w:rFonts w:hint="eastAsia" w:eastAsia="仿宋_GB2312"/>
                <w:szCs w:val="21"/>
              </w:rPr>
              <w:t>重点实施沈海高速公路、盐淮高速公路、盐靖高速公路、G204、S326、S327、S329、S331、S332、S352安丰东段、S231等绿色通道完善工程和临海高等级公路盐城南段、S125盐都段、S226大丰至亭湖段、S234等绿色通道新建工程，完成绿色通道1100公里。</w:t>
            </w:r>
          </w:p>
        </w:tc>
        <w:tc>
          <w:tcPr>
            <w:tcW w:w="658" w:type="pct"/>
            <w:tcBorders>
              <w:top w:val="single" w:color="auto" w:sz="4" w:space="0"/>
              <w:left w:val="single" w:color="auto" w:sz="4" w:space="0"/>
              <w:bottom w:val="single" w:color="auto" w:sz="4" w:space="0"/>
              <w:right w:val="single" w:color="auto" w:sz="4" w:space="0"/>
            </w:tcBorders>
            <w:noWrap w:val="0"/>
            <w:vAlign w:val="center"/>
          </w:tcPr>
          <w:p>
            <w:pPr>
              <w:snapToGrid w:val="0"/>
              <w:spacing w:line="280" w:lineRule="exact"/>
              <w:rPr>
                <w:rFonts w:hint="eastAsia" w:eastAsia="仿宋_GB2312"/>
                <w:szCs w:val="21"/>
              </w:rPr>
            </w:pPr>
            <w:r>
              <w:rPr>
                <w:rFonts w:hint="eastAsia" w:eastAsia="仿宋_GB2312"/>
                <w:szCs w:val="21"/>
              </w:rPr>
              <w:t>重点实施临海高等级公路盐城北段生态景观林建设和S348阜宁至益林段、S352沿海高速至新G204段、S410等绿色通道建设工程，完成绿色通道150公里。</w:t>
            </w:r>
          </w:p>
        </w:tc>
        <w:tc>
          <w:tcPr>
            <w:tcW w:w="612" w:type="pct"/>
            <w:tcBorders>
              <w:top w:val="single" w:color="auto" w:sz="4" w:space="0"/>
              <w:left w:val="single" w:color="auto" w:sz="4" w:space="0"/>
              <w:bottom w:val="single" w:color="auto" w:sz="4" w:space="0"/>
              <w:right w:val="single" w:color="auto" w:sz="4" w:space="0"/>
            </w:tcBorders>
            <w:noWrap w:val="0"/>
            <w:vAlign w:val="center"/>
          </w:tcPr>
          <w:p>
            <w:pPr>
              <w:snapToGrid w:val="0"/>
              <w:spacing w:line="280" w:lineRule="exact"/>
              <w:rPr>
                <w:rFonts w:hint="eastAsia" w:eastAsia="仿宋_GB2312"/>
                <w:szCs w:val="21"/>
              </w:rPr>
            </w:pPr>
            <w:r>
              <w:rPr>
                <w:rFonts w:hint="eastAsia" w:eastAsia="仿宋_GB2312"/>
                <w:szCs w:val="21"/>
              </w:rPr>
              <w:t>重点实施S304东台高兴东段、S610东台西段、S348阜宁车桥互通连接线、S233建湖开发区段、等绿色通道建设工程，完成绿色通道50公里。</w:t>
            </w:r>
          </w:p>
        </w:tc>
        <w:tc>
          <w:tcPr>
            <w:tcW w:w="524" w:type="pct"/>
            <w:tcBorders>
              <w:top w:val="single" w:color="auto" w:sz="4" w:space="0"/>
              <w:left w:val="single" w:color="auto" w:sz="4" w:space="0"/>
              <w:bottom w:val="single" w:color="auto" w:sz="4" w:space="0"/>
              <w:right w:val="single" w:color="auto" w:sz="4" w:space="0"/>
            </w:tcBorders>
            <w:noWrap w:val="0"/>
            <w:vAlign w:val="center"/>
          </w:tcPr>
          <w:p>
            <w:pPr>
              <w:snapToGrid w:val="0"/>
              <w:spacing w:line="280" w:lineRule="exact"/>
              <w:ind w:left="-63" w:leftChars="-30" w:right="-63" w:rightChars="-30"/>
              <w:jc w:val="center"/>
              <w:rPr>
                <w:rFonts w:hint="eastAsia" w:eastAsia="仿宋_GB2312"/>
                <w:szCs w:val="21"/>
              </w:rPr>
            </w:pPr>
            <w:r>
              <w:rPr>
                <w:rFonts w:hint="eastAsia" w:eastAsia="仿宋_GB2312"/>
                <w:szCs w:val="21"/>
              </w:rPr>
              <w:t>市交通局</w:t>
            </w:r>
          </w:p>
          <w:p>
            <w:pPr>
              <w:snapToGrid w:val="0"/>
              <w:spacing w:line="280" w:lineRule="exact"/>
              <w:ind w:left="-63" w:leftChars="-30" w:right="-63" w:rightChars="-30"/>
              <w:jc w:val="center"/>
              <w:rPr>
                <w:rFonts w:hint="eastAsia" w:eastAsia="仿宋_GB2312"/>
                <w:szCs w:val="21"/>
              </w:rPr>
            </w:pPr>
            <w:r>
              <w:rPr>
                <w:rFonts w:hint="eastAsia" w:eastAsia="仿宋_GB2312"/>
                <w:szCs w:val="21"/>
              </w:rPr>
              <w:t>市林业局</w:t>
            </w:r>
          </w:p>
          <w:p>
            <w:pPr>
              <w:snapToGrid w:val="0"/>
              <w:spacing w:line="280" w:lineRule="exact"/>
              <w:ind w:left="-63" w:leftChars="-30" w:right="-63" w:rightChars="-30"/>
              <w:jc w:val="center"/>
              <w:rPr>
                <w:rFonts w:hint="eastAsia" w:eastAsia="仿宋_GB2312"/>
                <w:szCs w:val="21"/>
              </w:rPr>
            </w:pPr>
            <w:r>
              <w:rPr>
                <w:rFonts w:hint="eastAsia" w:eastAsia="仿宋_GB2312"/>
                <w:szCs w:val="21"/>
              </w:rPr>
              <w:t>市城乡建设局</w:t>
            </w:r>
          </w:p>
          <w:p>
            <w:pPr>
              <w:snapToGrid w:val="0"/>
              <w:spacing w:line="280" w:lineRule="exact"/>
              <w:ind w:left="-63" w:leftChars="-30" w:right="-63" w:rightChars="-30"/>
              <w:jc w:val="center"/>
              <w:rPr>
                <w:rFonts w:hint="eastAsia" w:eastAsia="仿宋_GB2312"/>
                <w:szCs w:val="21"/>
              </w:rPr>
            </w:pPr>
            <w:r>
              <w:rPr>
                <w:rFonts w:hint="eastAsia" w:eastAsia="仿宋_GB2312"/>
                <w:szCs w:val="21"/>
              </w:rPr>
              <w:t>各县（市、区）政府</w:t>
            </w:r>
          </w:p>
          <w:p>
            <w:pPr>
              <w:snapToGrid w:val="0"/>
              <w:spacing w:line="280" w:lineRule="exact"/>
              <w:ind w:left="-63" w:leftChars="-30" w:right="-63" w:rightChars="-30"/>
              <w:jc w:val="center"/>
              <w:rPr>
                <w:rFonts w:hint="eastAsia" w:eastAsia="仿宋_GB2312"/>
                <w:spacing w:val="-6"/>
                <w:szCs w:val="21"/>
              </w:rPr>
            </w:pPr>
            <w:r>
              <w:rPr>
                <w:rFonts w:hint="eastAsia" w:eastAsia="仿宋_GB2312"/>
                <w:spacing w:val="-6"/>
                <w:szCs w:val="21"/>
              </w:rPr>
              <w:t>市开发区管委会</w:t>
            </w:r>
          </w:p>
          <w:p>
            <w:pPr>
              <w:snapToGrid w:val="0"/>
              <w:spacing w:line="280" w:lineRule="exact"/>
              <w:ind w:left="-63" w:leftChars="-30" w:right="-63" w:rightChars="-30"/>
              <w:jc w:val="center"/>
              <w:rPr>
                <w:rFonts w:hint="eastAsia" w:eastAsia="仿宋_GB2312"/>
                <w:szCs w:val="21"/>
              </w:rPr>
            </w:pPr>
            <w:r>
              <w:rPr>
                <w:rFonts w:hint="eastAsia" w:eastAsia="仿宋_GB2312"/>
                <w:spacing w:val="-6"/>
                <w:szCs w:val="21"/>
              </w:rPr>
              <w:t>城南新区管委会</w:t>
            </w:r>
          </w:p>
        </w:tc>
        <w:tc>
          <w:tcPr>
            <w:tcW w:w="506" w:type="pct"/>
            <w:tcBorders>
              <w:top w:val="single" w:color="auto" w:sz="4" w:space="0"/>
              <w:left w:val="single" w:color="auto" w:sz="4" w:space="0"/>
              <w:bottom w:val="single" w:color="auto" w:sz="4" w:space="0"/>
              <w:right w:val="single" w:color="auto" w:sz="4" w:space="0"/>
            </w:tcBorders>
            <w:noWrap w:val="0"/>
            <w:vAlign w:val="center"/>
          </w:tcPr>
          <w:p>
            <w:pPr>
              <w:snapToGrid w:val="0"/>
              <w:spacing w:line="280" w:lineRule="exact"/>
              <w:jc w:val="center"/>
              <w:rPr>
                <w:rFonts w:hint="eastAsia" w:eastAsia="仿宋_GB2312"/>
                <w:szCs w:val="21"/>
              </w:rPr>
            </w:pPr>
            <w:r>
              <w:rPr>
                <w:rFonts w:hint="eastAsia" w:eastAsia="仿宋_GB2312"/>
                <w:szCs w:val="21"/>
              </w:rPr>
              <w:t>管亚光</w:t>
            </w:r>
          </w:p>
          <w:p>
            <w:pPr>
              <w:snapToGrid w:val="0"/>
              <w:spacing w:line="280" w:lineRule="exact"/>
              <w:jc w:val="center"/>
              <w:rPr>
                <w:rFonts w:hint="eastAsia" w:eastAsia="仿宋_GB2312"/>
                <w:szCs w:val="21"/>
              </w:rPr>
            </w:pPr>
            <w:r>
              <w:rPr>
                <w:rFonts w:hint="eastAsia" w:eastAsia="仿宋_GB2312"/>
                <w:szCs w:val="21"/>
              </w:rPr>
              <w:t>符文华</w:t>
            </w:r>
          </w:p>
          <w:p>
            <w:pPr>
              <w:snapToGrid w:val="0"/>
              <w:spacing w:line="280" w:lineRule="exact"/>
              <w:jc w:val="center"/>
              <w:rPr>
                <w:rFonts w:hint="eastAsia" w:eastAsia="仿宋_GB2312"/>
                <w:szCs w:val="21"/>
              </w:rPr>
            </w:pPr>
            <w:r>
              <w:rPr>
                <w:rFonts w:hint="eastAsia" w:eastAsia="仿宋_GB2312"/>
                <w:szCs w:val="21"/>
              </w:rPr>
              <w:t>姜  华</w:t>
            </w:r>
          </w:p>
          <w:p>
            <w:pPr>
              <w:snapToGrid w:val="0"/>
              <w:spacing w:line="280" w:lineRule="exact"/>
              <w:jc w:val="center"/>
              <w:rPr>
                <w:rFonts w:hint="eastAsia" w:eastAsia="仿宋_GB2312"/>
                <w:spacing w:val="-20"/>
                <w:w w:val="97"/>
                <w:szCs w:val="21"/>
              </w:rPr>
            </w:pPr>
            <w:r>
              <w:rPr>
                <w:rFonts w:hint="eastAsia" w:eastAsia="仿宋_GB2312"/>
                <w:spacing w:val="-20"/>
                <w:w w:val="97"/>
                <w:szCs w:val="21"/>
              </w:rPr>
              <w:t>各县（市、区）长</w:t>
            </w:r>
          </w:p>
          <w:p>
            <w:pPr>
              <w:snapToGrid w:val="0"/>
              <w:spacing w:line="280" w:lineRule="exact"/>
              <w:jc w:val="center"/>
              <w:rPr>
                <w:rFonts w:hint="eastAsia" w:eastAsia="仿宋_GB2312"/>
                <w:szCs w:val="21"/>
              </w:rPr>
            </w:pPr>
            <w:r>
              <w:rPr>
                <w:rFonts w:hint="eastAsia" w:eastAsia="仿宋_GB2312"/>
                <w:szCs w:val="21"/>
              </w:rPr>
              <w:t>王连春</w:t>
            </w:r>
          </w:p>
          <w:p>
            <w:pPr>
              <w:snapToGrid w:val="0"/>
              <w:spacing w:line="280" w:lineRule="exact"/>
              <w:jc w:val="center"/>
              <w:rPr>
                <w:rFonts w:hint="eastAsia" w:eastAsia="仿宋_GB2312"/>
                <w:szCs w:val="21"/>
              </w:rPr>
            </w:pPr>
            <w:r>
              <w:rPr>
                <w:rFonts w:hint="eastAsia" w:eastAsia="仿宋_GB2312"/>
                <w:szCs w:val="21"/>
              </w:rPr>
              <w:t>周键云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548" w:hRule="atLeast"/>
          <w:jc w:val="center"/>
        </w:trPr>
        <w:tc>
          <w:tcPr>
            <w:tcW w:w="177" w:type="pct"/>
            <w:tcBorders>
              <w:top w:val="single" w:color="auto" w:sz="4" w:space="0"/>
              <w:left w:val="single" w:color="auto" w:sz="4" w:space="0"/>
              <w:bottom w:val="single" w:color="auto" w:sz="4" w:space="0"/>
              <w:right w:val="single" w:color="auto" w:sz="4" w:space="0"/>
            </w:tcBorders>
            <w:noWrap w:val="0"/>
            <w:vAlign w:val="center"/>
          </w:tcPr>
          <w:p>
            <w:pPr>
              <w:snapToGrid w:val="0"/>
              <w:spacing w:line="320" w:lineRule="exact"/>
              <w:jc w:val="center"/>
              <w:rPr>
                <w:rFonts w:hint="eastAsia" w:eastAsia="仿宋_GB2312"/>
                <w:szCs w:val="21"/>
              </w:rPr>
            </w:pPr>
            <w:r>
              <w:rPr>
                <w:rFonts w:hint="eastAsia" w:eastAsia="仿宋_GB2312"/>
                <w:szCs w:val="21"/>
              </w:rPr>
              <w:t>7</w:t>
            </w:r>
          </w:p>
        </w:tc>
        <w:tc>
          <w:tcPr>
            <w:tcW w:w="225" w:type="pct"/>
            <w:tcBorders>
              <w:top w:val="single" w:color="auto" w:sz="4" w:space="0"/>
              <w:left w:val="single" w:color="auto" w:sz="4" w:space="0"/>
              <w:bottom w:val="single" w:color="auto" w:sz="4" w:space="0"/>
              <w:right w:val="single" w:color="auto" w:sz="4" w:space="0"/>
            </w:tcBorders>
            <w:noWrap w:val="0"/>
            <w:vAlign w:val="center"/>
          </w:tcPr>
          <w:p>
            <w:pPr>
              <w:snapToGrid w:val="0"/>
              <w:spacing w:line="220" w:lineRule="exact"/>
              <w:rPr>
                <w:rFonts w:hint="eastAsia" w:eastAsia="仿宋_GB2312"/>
                <w:szCs w:val="21"/>
              </w:rPr>
            </w:pPr>
            <w:r>
              <w:rPr>
                <w:rFonts w:hint="eastAsia" w:eastAsia="仿宋_GB2312"/>
                <w:szCs w:val="21"/>
              </w:rPr>
              <w:t>沿海造林</w:t>
            </w:r>
          </w:p>
        </w:tc>
        <w:tc>
          <w:tcPr>
            <w:tcW w:w="840" w:type="pct"/>
            <w:tcBorders>
              <w:top w:val="single" w:color="auto" w:sz="4" w:space="0"/>
              <w:left w:val="single" w:color="auto" w:sz="4" w:space="0"/>
              <w:bottom w:val="single" w:color="auto" w:sz="4" w:space="0"/>
              <w:right w:val="single" w:color="auto" w:sz="4" w:space="0"/>
            </w:tcBorders>
            <w:noWrap w:val="0"/>
            <w:vAlign w:val="center"/>
          </w:tcPr>
          <w:p>
            <w:pPr>
              <w:snapToGrid w:val="0"/>
              <w:spacing w:line="220" w:lineRule="exact"/>
              <w:rPr>
                <w:rFonts w:hint="eastAsia" w:eastAsia="仿宋_GB2312"/>
                <w:szCs w:val="21"/>
              </w:rPr>
            </w:pPr>
            <w:r>
              <w:rPr>
                <w:rFonts w:hint="eastAsia" w:eastAsia="仿宋_GB2312"/>
                <w:szCs w:val="21"/>
              </w:rPr>
              <w:t>推进沿海新林场建设，到2015年，全面完成五个万亩新林场建设，全市新建生态防护林20万亩（其中实施国债防护林工程11.7万亩）。</w:t>
            </w:r>
          </w:p>
        </w:tc>
        <w:tc>
          <w:tcPr>
            <w:tcW w:w="348" w:type="pct"/>
            <w:tcBorders>
              <w:top w:val="single" w:color="auto" w:sz="4" w:space="0"/>
              <w:left w:val="single" w:color="auto" w:sz="4" w:space="0"/>
              <w:bottom w:val="single" w:color="auto" w:sz="4" w:space="0"/>
              <w:right w:val="single" w:color="auto" w:sz="4" w:space="0"/>
            </w:tcBorders>
            <w:noWrap w:val="0"/>
            <w:vAlign w:val="center"/>
          </w:tcPr>
          <w:p>
            <w:pPr>
              <w:snapToGrid w:val="0"/>
              <w:spacing w:line="220" w:lineRule="exact"/>
              <w:ind w:left="-63" w:leftChars="-30" w:right="-63" w:rightChars="-30"/>
              <w:jc w:val="center"/>
              <w:rPr>
                <w:rFonts w:hint="eastAsia" w:eastAsia="仿宋_GB2312"/>
                <w:szCs w:val="21"/>
              </w:rPr>
            </w:pPr>
            <w:r>
              <w:rPr>
                <w:rFonts w:hint="eastAsia" w:eastAsia="仿宋_GB2312"/>
                <w:szCs w:val="21"/>
              </w:rPr>
              <w:t>2013-2015</w:t>
            </w:r>
          </w:p>
        </w:tc>
        <w:tc>
          <w:tcPr>
            <w:tcW w:w="321" w:type="pct"/>
            <w:tcBorders>
              <w:top w:val="single" w:color="auto" w:sz="4" w:space="0"/>
              <w:left w:val="single" w:color="auto" w:sz="4" w:space="0"/>
              <w:bottom w:val="single" w:color="auto" w:sz="4" w:space="0"/>
              <w:right w:val="single" w:color="auto" w:sz="4" w:space="0"/>
            </w:tcBorders>
            <w:noWrap w:val="0"/>
            <w:vAlign w:val="center"/>
          </w:tcPr>
          <w:p>
            <w:pPr>
              <w:snapToGrid w:val="0"/>
              <w:spacing w:line="220" w:lineRule="exact"/>
              <w:ind w:left="-63" w:leftChars="-30" w:right="-63" w:rightChars="-30"/>
              <w:jc w:val="center"/>
              <w:rPr>
                <w:rFonts w:hint="eastAsia" w:eastAsia="仿宋_GB2312"/>
                <w:szCs w:val="21"/>
              </w:rPr>
            </w:pPr>
            <w:r>
              <w:rPr>
                <w:rFonts w:hint="eastAsia" w:eastAsia="仿宋_GB2312"/>
                <w:szCs w:val="21"/>
              </w:rPr>
              <w:t>3</w:t>
            </w:r>
          </w:p>
        </w:tc>
        <w:tc>
          <w:tcPr>
            <w:tcW w:w="790" w:type="pct"/>
            <w:tcBorders>
              <w:top w:val="single" w:color="auto" w:sz="4" w:space="0"/>
              <w:left w:val="single" w:color="auto" w:sz="4" w:space="0"/>
              <w:bottom w:val="single" w:color="auto" w:sz="4" w:space="0"/>
              <w:right w:val="single" w:color="auto" w:sz="4" w:space="0"/>
            </w:tcBorders>
            <w:noWrap w:val="0"/>
            <w:vAlign w:val="center"/>
          </w:tcPr>
          <w:p>
            <w:pPr>
              <w:snapToGrid w:val="0"/>
              <w:spacing w:line="210" w:lineRule="exact"/>
              <w:rPr>
                <w:rFonts w:hint="eastAsia" w:eastAsia="仿宋_GB2312"/>
                <w:szCs w:val="21"/>
              </w:rPr>
            </w:pPr>
            <w:r>
              <w:rPr>
                <w:rFonts w:hint="eastAsia" w:eastAsia="仿宋_GB2312"/>
                <w:szCs w:val="21"/>
              </w:rPr>
              <w:t>新建生态防护林8万亩（其中国债防护林6.7万亩），东台、大丰、射阳三个沿海新林场完成新造林0.6万亩，其中：东台新林场0.1万亩，大丰新林场0.2万亩，射阳新林场0.3万亩。</w:t>
            </w:r>
          </w:p>
        </w:tc>
        <w:tc>
          <w:tcPr>
            <w:tcW w:w="658" w:type="pct"/>
            <w:tcBorders>
              <w:top w:val="single" w:color="auto" w:sz="4" w:space="0"/>
              <w:left w:val="single" w:color="auto" w:sz="4" w:space="0"/>
              <w:bottom w:val="single" w:color="auto" w:sz="4" w:space="0"/>
              <w:right w:val="single" w:color="auto" w:sz="4" w:space="0"/>
            </w:tcBorders>
            <w:noWrap w:val="0"/>
            <w:vAlign w:val="center"/>
          </w:tcPr>
          <w:p>
            <w:pPr>
              <w:snapToGrid w:val="0"/>
              <w:spacing w:line="220" w:lineRule="exact"/>
              <w:rPr>
                <w:rFonts w:hint="eastAsia" w:eastAsia="仿宋_GB2312"/>
                <w:szCs w:val="21"/>
              </w:rPr>
            </w:pPr>
            <w:r>
              <w:rPr>
                <w:rFonts w:hint="eastAsia" w:eastAsia="仿宋_GB2312"/>
                <w:szCs w:val="21"/>
              </w:rPr>
              <w:t>完成生态防护林8万亩（其中国债防护林2.5万亩），新林场造林1万亩。建立盐城市科林苗木试验示范基地0.1万亩。</w:t>
            </w:r>
          </w:p>
        </w:tc>
        <w:tc>
          <w:tcPr>
            <w:tcW w:w="612" w:type="pct"/>
            <w:tcBorders>
              <w:top w:val="single" w:color="auto" w:sz="4" w:space="0"/>
              <w:left w:val="single" w:color="auto" w:sz="4" w:space="0"/>
              <w:bottom w:val="single" w:color="auto" w:sz="4" w:space="0"/>
              <w:right w:val="single" w:color="auto" w:sz="4" w:space="0"/>
            </w:tcBorders>
            <w:noWrap w:val="0"/>
            <w:vAlign w:val="center"/>
          </w:tcPr>
          <w:p>
            <w:pPr>
              <w:snapToGrid w:val="0"/>
              <w:spacing w:line="220" w:lineRule="exact"/>
              <w:rPr>
                <w:rFonts w:hint="eastAsia" w:eastAsia="仿宋_GB2312"/>
                <w:szCs w:val="21"/>
              </w:rPr>
            </w:pPr>
            <w:r>
              <w:rPr>
                <w:rFonts w:hint="eastAsia" w:eastAsia="仿宋_GB2312"/>
                <w:szCs w:val="21"/>
              </w:rPr>
              <w:t>完成生态防护林4万亩（其中国债防护林2.5万亩），新林场造林1.2万亩。完善盐城市科林苗木试验示范基地建设。</w:t>
            </w:r>
          </w:p>
        </w:tc>
        <w:tc>
          <w:tcPr>
            <w:tcW w:w="524" w:type="pct"/>
            <w:tcBorders>
              <w:top w:val="single" w:color="auto" w:sz="4" w:space="0"/>
              <w:left w:val="single" w:color="auto" w:sz="4" w:space="0"/>
              <w:bottom w:val="single" w:color="auto" w:sz="4" w:space="0"/>
              <w:right w:val="single" w:color="auto" w:sz="4" w:space="0"/>
            </w:tcBorders>
            <w:noWrap w:val="0"/>
            <w:vAlign w:val="center"/>
          </w:tcPr>
          <w:p>
            <w:pPr>
              <w:snapToGrid w:val="0"/>
              <w:spacing w:line="220" w:lineRule="exact"/>
              <w:ind w:left="-63" w:leftChars="-30" w:right="-63" w:rightChars="-30"/>
              <w:jc w:val="center"/>
              <w:rPr>
                <w:rFonts w:hint="eastAsia" w:eastAsia="仿宋_GB2312"/>
                <w:szCs w:val="21"/>
              </w:rPr>
            </w:pPr>
            <w:r>
              <w:rPr>
                <w:rFonts w:hint="eastAsia" w:eastAsia="仿宋_GB2312"/>
                <w:szCs w:val="21"/>
              </w:rPr>
              <w:t>市林业局</w:t>
            </w:r>
          </w:p>
          <w:p>
            <w:pPr>
              <w:snapToGrid w:val="0"/>
              <w:spacing w:line="220" w:lineRule="exact"/>
              <w:ind w:left="-63" w:leftChars="-30" w:right="-63" w:rightChars="-30"/>
              <w:jc w:val="center"/>
              <w:rPr>
                <w:rFonts w:hint="eastAsia" w:eastAsia="仿宋_GB2312"/>
                <w:szCs w:val="21"/>
              </w:rPr>
            </w:pPr>
            <w:r>
              <w:rPr>
                <w:rFonts w:hint="eastAsia" w:eastAsia="仿宋_GB2312"/>
                <w:szCs w:val="21"/>
              </w:rPr>
              <w:t>各县（市、区）政府</w:t>
            </w:r>
          </w:p>
        </w:tc>
        <w:tc>
          <w:tcPr>
            <w:tcW w:w="506" w:type="pct"/>
            <w:tcBorders>
              <w:top w:val="single" w:color="auto" w:sz="4" w:space="0"/>
              <w:left w:val="single" w:color="auto" w:sz="4" w:space="0"/>
              <w:bottom w:val="single" w:color="auto" w:sz="4" w:space="0"/>
              <w:right w:val="single" w:color="auto" w:sz="4" w:space="0"/>
            </w:tcBorders>
            <w:noWrap w:val="0"/>
            <w:vAlign w:val="center"/>
          </w:tcPr>
          <w:p>
            <w:pPr>
              <w:snapToGrid w:val="0"/>
              <w:spacing w:line="220" w:lineRule="exact"/>
              <w:jc w:val="center"/>
              <w:rPr>
                <w:rFonts w:hint="eastAsia" w:eastAsia="仿宋_GB2312"/>
                <w:szCs w:val="21"/>
              </w:rPr>
            </w:pPr>
            <w:r>
              <w:rPr>
                <w:rFonts w:hint="eastAsia" w:eastAsia="仿宋_GB2312"/>
                <w:szCs w:val="21"/>
              </w:rPr>
              <w:t>符文华</w:t>
            </w:r>
          </w:p>
          <w:p>
            <w:pPr>
              <w:snapToGrid w:val="0"/>
              <w:spacing w:line="220" w:lineRule="exact"/>
              <w:jc w:val="center"/>
              <w:rPr>
                <w:rFonts w:hint="eastAsia" w:eastAsia="仿宋_GB2312"/>
                <w:szCs w:val="21"/>
              </w:rPr>
            </w:pPr>
            <w:r>
              <w:rPr>
                <w:rFonts w:hint="eastAsia" w:eastAsia="仿宋_GB2312"/>
                <w:spacing w:val="-20"/>
                <w:w w:val="97"/>
                <w:szCs w:val="21"/>
              </w:rPr>
              <w:t>各县（市、区）长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008" w:hRule="atLeast"/>
          <w:jc w:val="center"/>
        </w:trPr>
        <w:tc>
          <w:tcPr>
            <w:tcW w:w="177" w:type="pct"/>
            <w:tcBorders>
              <w:top w:val="single" w:color="auto" w:sz="4" w:space="0"/>
              <w:left w:val="single" w:color="auto" w:sz="4" w:space="0"/>
              <w:bottom w:val="single" w:color="auto" w:sz="4" w:space="0"/>
              <w:right w:val="single" w:color="auto" w:sz="4" w:space="0"/>
            </w:tcBorders>
            <w:noWrap w:val="0"/>
            <w:vAlign w:val="center"/>
          </w:tcPr>
          <w:p>
            <w:pPr>
              <w:spacing w:line="320" w:lineRule="exact"/>
              <w:jc w:val="center"/>
              <w:rPr>
                <w:rFonts w:hint="eastAsia" w:eastAsia="仿宋_GB2312"/>
                <w:szCs w:val="21"/>
              </w:rPr>
            </w:pPr>
            <w:r>
              <w:rPr>
                <w:rFonts w:hint="eastAsia" w:eastAsia="仿宋_GB2312"/>
                <w:szCs w:val="21"/>
              </w:rPr>
              <w:t>8</w:t>
            </w:r>
          </w:p>
        </w:tc>
        <w:tc>
          <w:tcPr>
            <w:tcW w:w="225" w:type="pct"/>
            <w:tcBorders>
              <w:top w:val="single" w:color="auto" w:sz="4" w:space="0"/>
              <w:left w:val="single" w:color="auto" w:sz="4" w:space="0"/>
              <w:bottom w:val="single" w:color="auto" w:sz="4" w:space="0"/>
              <w:right w:val="single" w:color="auto" w:sz="4" w:space="0"/>
            </w:tcBorders>
            <w:noWrap w:val="0"/>
            <w:vAlign w:val="center"/>
          </w:tcPr>
          <w:p>
            <w:pPr>
              <w:spacing w:line="230" w:lineRule="exact"/>
              <w:rPr>
                <w:rFonts w:hint="eastAsia" w:eastAsia="仿宋_GB2312"/>
                <w:szCs w:val="21"/>
              </w:rPr>
            </w:pPr>
            <w:r>
              <w:rPr>
                <w:rFonts w:hint="eastAsia" w:eastAsia="仿宋_GB2312"/>
                <w:szCs w:val="21"/>
              </w:rPr>
              <w:t>生态创建</w:t>
            </w:r>
          </w:p>
        </w:tc>
        <w:tc>
          <w:tcPr>
            <w:tcW w:w="840" w:type="pct"/>
            <w:tcBorders>
              <w:top w:val="single" w:color="auto" w:sz="4" w:space="0"/>
              <w:left w:val="single" w:color="auto" w:sz="4" w:space="0"/>
              <w:bottom w:val="single" w:color="auto" w:sz="4" w:space="0"/>
              <w:right w:val="single" w:color="auto" w:sz="4" w:space="0"/>
            </w:tcBorders>
            <w:noWrap w:val="0"/>
            <w:vAlign w:val="center"/>
          </w:tcPr>
          <w:p>
            <w:pPr>
              <w:snapToGrid w:val="0"/>
              <w:spacing w:line="230" w:lineRule="exact"/>
              <w:rPr>
                <w:rFonts w:hint="eastAsia" w:eastAsia="仿宋_GB2312"/>
                <w:szCs w:val="21"/>
              </w:rPr>
            </w:pPr>
            <w:r>
              <w:rPr>
                <w:rFonts w:hint="eastAsia" w:eastAsia="仿宋_GB2312"/>
                <w:szCs w:val="21"/>
              </w:rPr>
              <w:t>①创建国家环保模范城市；</w:t>
            </w:r>
          </w:p>
          <w:p>
            <w:pPr>
              <w:snapToGrid w:val="0"/>
              <w:spacing w:line="230" w:lineRule="exact"/>
              <w:rPr>
                <w:rFonts w:hint="eastAsia" w:eastAsia="仿宋_GB2312"/>
                <w:szCs w:val="21"/>
              </w:rPr>
            </w:pPr>
            <w:r>
              <w:rPr>
                <w:rFonts w:hint="eastAsia" w:eastAsia="仿宋_GB2312"/>
                <w:szCs w:val="21"/>
              </w:rPr>
              <w:t>②创建国家生态市和国家、省级生态县(市、区)；</w:t>
            </w:r>
          </w:p>
          <w:p>
            <w:pPr>
              <w:snapToGrid w:val="0"/>
              <w:spacing w:line="230" w:lineRule="exact"/>
              <w:rPr>
                <w:rFonts w:hint="eastAsia" w:eastAsia="仿宋_GB2312"/>
                <w:szCs w:val="21"/>
              </w:rPr>
            </w:pPr>
            <w:r>
              <w:rPr>
                <w:rFonts w:hint="eastAsia" w:eastAsia="仿宋_GB2312"/>
                <w:szCs w:val="21"/>
              </w:rPr>
              <w:t>③盐城经济技术开发区创建国家生态工业园区，各省级经济开发区创建省级生态工业园区；</w:t>
            </w:r>
          </w:p>
          <w:p>
            <w:pPr>
              <w:snapToGrid w:val="0"/>
              <w:spacing w:line="230" w:lineRule="exact"/>
              <w:rPr>
                <w:rFonts w:hint="eastAsia" w:eastAsia="仿宋_GB2312"/>
                <w:szCs w:val="21"/>
              </w:rPr>
            </w:pPr>
            <w:r>
              <w:rPr>
                <w:rFonts w:hint="eastAsia" w:eastAsia="仿宋_GB2312"/>
                <w:szCs w:val="21"/>
              </w:rPr>
              <w:t>④建设国家可持续发展实验区。</w:t>
            </w:r>
          </w:p>
          <w:p>
            <w:pPr>
              <w:snapToGrid w:val="0"/>
              <w:spacing w:line="230" w:lineRule="exact"/>
              <w:rPr>
                <w:rFonts w:hint="eastAsia" w:eastAsia="仿宋_GB2312"/>
                <w:szCs w:val="21"/>
              </w:rPr>
            </w:pPr>
            <w:r>
              <w:rPr>
                <w:rFonts w:eastAsia="仿宋_GB2312"/>
                <w:szCs w:val="21"/>
              </w:rPr>
              <w:fldChar w:fldCharType="begin"/>
            </w:r>
            <w:r>
              <w:rPr>
                <w:rFonts w:eastAsia="仿宋_GB2312"/>
                <w:szCs w:val="21"/>
              </w:rPr>
              <w:instrText xml:space="preserve"> </w:instrText>
            </w:r>
            <w:r>
              <w:rPr>
                <w:rFonts w:hint="eastAsia" w:eastAsia="仿宋_GB2312"/>
                <w:szCs w:val="21"/>
              </w:rPr>
              <w:instrText xml:space="preserve">= 5 \* GB3</w:instrText>
            </w:r>
            <w:r>
              <w:rPr>
                <w:rFonts w:eastAsia="仿宋_GB2312"/>
                <w:szCs w:val="21"/>
              </w:rPr>
              <w:instrText xml:space="preserve"> </w:instrText>
            </w:r>
            <w:r>
              <w:rPr>
                <w:rFonts w:eastAsia="仿宋_GB2312"/>
                <w:szCs w:val="21"/>
              </w:rPr>
              <w:fldChar w:fldCharType="separate"/>
            </w:r>
            <w:r>
              <w:rPr>
                <w:rFonts w:hint="eastAsia" w:eastAsia="仿宋_GB2312"/>
                <w:szCs w:val="21"/>
                <w:lang/>
              </w:rPr>
              <w:t>⑤</w:t>
            </w:r>
            <w:r>
              <w:rPr>
                <w:rFonts w:eastAsia="仿宋_GB2312"/>
                <w:szCs w:val="21"/>
              </w:rPr>
              <w:fldChar w:fldCharType="end"/>
            </w:r>
            <w:r>
              <w:rPr>
                <w:rFonts w:hint="eastAsia" w:eastAsia="仿宋_GB2312"/>
                <w:szCs w:val="21"/>
              </w:rPr>
              <w:t>创建国家卫生城市</w:t>
            </w:r>
          </w:p>
        </w:tc>
        <w:tc>
          <w:tcPr>
            <w:tcW w:w="348" w:type="pct"/>
            <w:tcBorders>
              <w:top w:val="single" w:color="auto" w:sz="4" w:space="0"/>
              <w:left w:val="single" w:color="auto" w:sz="4" w:space="0"/>
              <w:bottom w:val="single" w:color="auto" w:sz="4" w:space="0"/>
              <w:right w:val="single" w:color="auto" w:sz="4" w:space="0"/>
            </w:tcBorders>
            <w:noWrap w:val="0"/>
            <w:vAlign w:val="center"/>
          </w:tcPr>
          <w:p>
            <w:pPr>
              <w:spacing w:line="230" w:lineRule="exact"/>
              <w:ind w:left="-63" w:leftChars="-30" w:right="-63" w:rightChars="-30"/>
              <w:jc w:val="center"/>
              <w:rPr>
                <w:rFonts w:hint="eastAsia" w:eastAsia="仿宋_GB2312"/>
                <w:szCs w:val="21"/>
              </w:rPr>
            </w:pPr>
            <w:r>
              <w:rPr>
                <w:rFonts w:hint="eastAsia" w:eastAsia="仿宋_GB2312"/>
                <w:szCs w:val="21"/>
              </w:rPr>
              <w:t>2013-2016</w:t>
            </w:r>
          </w:p>
        </w:tc>
        <w:tc>
          <w:tcPr>
            <w:tcW w:w="321" w:type="pct"/>
            <w:tcBorders>
              <w:top w:val="single" w:color="auto" w:sz="4" w:space="0"/>
              <w:left w:val="single" w:color="auto" w:sz="4" w:space="0"/>
              <w:bottom w:val="single" w:color="auto" w:sz="4" w:space="0"/>
              <w:right w:val="single" w:color="auto" w:sz="4" w:space="0"/>
            </w:tcBorders>
            <w:noWrap w:val="0"/>
            <w:vAlign w:val="center"/>
          </w:tcPr>
          <w:p>
            <w:pPr>
              <w:spacing w:line="230" w:lineRule="exact"/>
              <w:ind w:left="-63" w:leftChars="-30" w:right="-63" w:rightChars="-30"/>
              <w:jc w:val="center"/>
              <w:rPr>
                <w:rFonts w:hint="eastAsia" w:eastAsia="仿宋_GB2312"/>
                <w:szCs w:val="21"/>
              </w:rPr>
            </w:pPr>
            <w:r>
              <w:rPr>
                <w:rFonts w:hint="eastAsia" w:eastAsia="仿宋_GB2312"/>
                <w:szCs w:val="21"/>
              </w:rPr>
              <w:t>10</w:t>
            </w:r>
          </w:p>
        </w:tc>
        <w:tc>
          <w:tcPr>
            <w:tcW w:w="790" w:type="pct"/>
            <w:tcBorders>
              <w:top w:val="single" w:color="auto" w:sz="4" w:space="0"/>
              <w:left w:val="single" w:color="auto" w:sz="4" w:space="0"/>
              <w:bottom w:val="single" w:color="auto" w:sz="4" w:space="0"/>
              <w:right w:val="single" w:color="auto" w:sz="4" w:space="0"/>
            </w:tcBorders>
            <w:noWrap w:val="0"/>
            <w:vAlign w:val="center"/>
          </w:tcPr>
          <w:p>
            <w:pPr>
              <w:spacing w:line="230" w:lineRule="exact"/>
              <w:rPr>
                <w:rFonts w:hint="eastAsia" w:eastAsia="仿宋_GB2312"/>
                <w:spacing w:val="-6"/>
                <w:szCs w:val="21"/>
              </w:rPr>
            </w:pPr>
            <w:r>
              <w:rPr>
                <w:rFonts w:hint="eastAsia" w:eastAsia="仿宋_GB2312"/>
                <w:spacing w:val="-6"/>
                <w:szCs w:val="21"/>
              </w:rPr>
              <w:t>①编制国家环保模范城规划并通过环保部评审；</w:t>
            </w:r>
          </w:p>
          <w:p>
            <w:pPr>
              <w:spacing w:line="230" w:lineRule="exact"/>
              <w:rPr>
                <w:rFonts w:hint="eastAsia" w:eastAsia="仿宋_GB2312"/>
                <w:spacing w:val="-6"/>
                <w:szCs w:val="21"/>
              </w:rPr>
            </w:pPr>
            <w:r>
              <w:rPr>
                <w:rFonts w:hint="eastAsia" w:eastAsia="仿宋_GB2312"/>
                <w:spacing w:val="-6"/>
                <w:szCs w:val="21"/>
              </w:rPr>
              <w:t>②大丰、东台建成国家环保模范城市，大丰、东台、建湖、盐都建成省级生态县（市、区）；准备国家生态市规划编制工作；</w:t>
            </w:r>
          </w:p>
          <w:p>
            <w:pPr>
              <w:spacing w:line="230" w:lineRule="exact"/>
              <w:rPr>
                <w:rFonts w:hint="eastAsia" w:eastAsia="仿宋_GB2312"/>
                <w:spacing w:val="-6"/>
                <w:szCs w:val="21"/>
              </w:rPr>
            </w:pPr>
            <w:r>
              <w:rPr>
                <w:rFonts w:hint="eastAsia" w:eastAsia="仿宋_GB2312"/>
                <w:spacing w:val="-6"/>
                <w:szCs w:val="21"/>
              </w:rPr>
              <w:t>③市开发区完成《国家生态工业园区创建规划》，通过国家三部委评审；东台、滨海、响水省级经济开发区创建省级生态工业园区获省环保厅批准；建湖经济开发区创成省级生态工业园区；</w:t>
            </w:r>
          </w:p>
          <w:p>
            <w:pPr>
              <w:spacing w:line="230" w:lineRule="exact"/>
              <w:rPr>
                <w:rFonts w:hint="eastAsia" w:eastAsia="仿宋_GB2312"/>
                <w:spacing w:val="-6"/>
                <w:szCs w:val="21"/>
              </w:rPr>
            </w:pPr>
            <w:r>
              <w:rPr>
                <w:rFonts w:hint="eastAsia" w:eastAsia="仿宋_GB2312"/>
                <w:spacing w:val="-6"/>
                <w:szCs w:val="21"/>
              </w:rPr>
              <w:t>④围绕实验区创建组织机构的完善、重点项目的推进、环境氛围的营造开展工作。</w:t>
            </w:r>
          </w:p>
          <w:p>
            <w:pPr>
              <w:spacing w:line="230" w:lineRule="exact"/>
              <w:rPr>
                <w:rFonts w:hint="eastAsia" w:eastAsia="仿宋_GB2312"/>
                <w:szCs w:val="21"/>
              </w:rPr>
            </w:pPr>
            <w:r>
              <w:rPr>
                <w:rFonts w:eastAsia="仿宋_GB2312"/>
                <w:spacing w:val="-6"/>
                <w:szCs w:val="21"/>
              </w:rPr>
              <w:fldChar w:fldCharType="begin"/>
            </w:r>
            <w:r>
              <w:rPr>
                <w:rFonts w:eastAsia="仿宋_GB2312"/>
                <w:spacing w:val="-6"/>
                <w:szCs w:val="21"/>
              </w:rPr>
              <w:instrText xml:space="preserve"> </w:instrText>
            </w:r>
            <w:r>
              <w:rPr>
                <w:rFonts w:hint="eastAsia" w:eastAsia="仿宋_GB2312"/>
                <w:spacing w:val="-6"/>
                <w:szCs w:val="21"/>
              </w:rPr>
              <w:instrText xml:space="preserve">= 5 \* GB3</w:instrText>
            </w:r>
            <w:r>
              <w:rPr>
                <w:rFonts w:eastAsia="仿宋_GB2312"/>
                <w:spacing w:val="-6"/>
                <w:szCs w:val="21"/>
              </w:rPr>
              <w:instrText xml:space="preserve"> </w:instrText>
            </w:r>
            <w:r>
              <w:rPr>
                <w:rFonts w:eastAsia="仿宋_GB2312"/>
                <w:spacing w:val="-6"/>
                <w:szCs w:val="21"/>
              </w:rPr>
              <w:fldChar w:fldCharType="separate"/>
            </w:r>
            <w:r>
              <w:rPr>
                <w:rFonts w:hint="eastAsia" w:eastAsia="仿宋_GB2312"/>
                <w:spacing w:val="-6"/>
                <w:szCs w:val="21"/>
                <w:lang/>
              </w:rPr>
              <w:t>⑤</w:t>
            </w:r>
            <w:r>
              <w:rPr>
                <w:rFonts w:eastAsia="仿宋_GB2312"/>
                <w:spacing w:val="-6"/>
                <w:szCs w:val="21"/>
              </w:rPr>
              <w:fldChar w:fldCharType="end"/>
            </w:r>
            <w:r>
              <w:rPr>
                <w:rFonts w:hint="eastAsia" w:eastAsia="仿宋_GB2312"/>
                <w:spacing w:val="-6"/>
                <w:szCs w:val="21"/>
              </w:rPr>
              <w:t>卫生城市创建通过省考核验收。</w:t>
            </w:r>
          </w:p>
        </w:tc>
        <w:tc>
          <w:tcPr>
            <w:tcW w:w="658" w:type="pct"/>
            <w:tcBorders>
              <w:top w:val="single" w:color="auto" w:sz="4" w:space="0"/>
              <w:left w:val="single" w:color="auto" w:sz="4" w:space="0"/>
              <w:bottom w:val="single" w:color="auto" w:sz="4" w:space="0"/>
              <w:right w:val="single" w:color="auto" w:sz="4" w:space="0"/>
            </w:tcBorders>
            <w:noWrap w:val="0"/>
            <w:vAlign w:val="center"/>
          </w:tcPr>
          <w:p>
            <w:pPr>
              <w:spacing w:line="230" w:lineRule="exact"/>
              <w:rPr>
                <w:rFonts w:hint="eastAsia" w:eastAsia="仿宋_GB2312"/>
                <w:spacing w:val="-6"/>
                <w:szCs w:val="21"/>
              </w:rPr>
            </w:pPr>
            <w:r>
              <w:rPr>
                <w:rFonts w:hint="eastAsia" w:eastAsia="仿宋_GB2312"/>
                <w:spacing w:val="-6"/>
                <w:szCs w:val="21"/>
              </w:rPr>
              <w:t>①根据规划，编制年度实施方案，组织实施；</w:t>
            </w:r>
          </w:p>
          <w:p>
            <w:pPr>
              <w:spacing w:line="230" w:lineRule="exact"/>
              <w:rPr>
                <w:rFonts w:hint="eastAsia" w:eastAsia="仿宋_GB2312"/>
                <w:spacing w:val="-6"/>
                <w:szCs w:val="21"/>
              </w:rPr>
            </w:pPr>
            <w:r>
              <w:rPr>
                <w:rFonts w:hint="eastAsia" w:eastAsia="仿宋_GB2312"/>
                <w:spacing w:val="-6"/>
                <w:szCs w:val="21"/>
              </w:rPr>
              <w:t>②大丰、东台、建湖、盐都建成国家生态县（市、区），射阳、阜宁、滨海、响水、亭湖建成省级生态县（区）。上半年完成国家生态市规划编制，通过环保部评审；</w:t>
            </w:r>
          </w:p>
          <w:p>
            <w:pPr>
              <w:spacing w:line="230" w:lineRule="exact"/>
              <w:rPr>
                <w:rFonts w:hint="eastAsia" w:eastAsia="仿宋_GB2312"/>
                <w:spacing w:val="-6"/>
                <w:szCs w:val="21"/>
              </w:rPr>
            </w:pPr>
            <w:r>
              <w:rPr>
                <w:rFonts w:hint="eastAsia" w:eastAsia="仿宋_GB2312"/>
                <w:spacing w:val="-6"/>
                <w:szCs w:val="21"/>
              </w:rPr>
              <w:t>③大丰、射阳、阜宁经济开发区创成省级生态工业园；</w:t>
            </w:r>
          </w:p>
          <w:p>
            <w:pPr>
              <w:spacing w:line="230" w:lineRule="exact"/>
              <w:rPr>
                <w:rFonts w:hint="eastAsia" w:eastAsia="仿宋_GB2312"/>
                <w:spacing w:val="-6"/>
                <w:szCs w:val="21"/>
              </w:rPr>
            </w:pPr>
            <w:r>
              <w:rPr>
                <w:rFonts w:hint="eastAsia" w:eastAsia="仿宋_GB2312"/>
                <w:spacing w:val="-6"/>
                <w:szCs w:val="21"/>
              </w:rPr>
              <w:t>④重点围绕规划明确的中期目标，开展项目督查，强化项目进度推进。加强统计监测，保证创建工作按规划确定的时序进度稳步推进，确保完成中期检查。</w:t>
            </w:r>
          </w:p>
          <w:p>
            <w:pPr>
              <w:spacing w:line="230" w:lineRule="exact"/>
              <w:rPr>
                <w:rFonts w:hint="eastAsia" w:eastAsia="仿宋_GB2312"/>
                <w:szCs w:val="21"/>
              </w:rPr>
            </w:pPr>
            <w:r>
              <w:rPr>
                <w:rFonts w:eastAsia="仿宋_GB2312"/>
                <w:spacing w:val="-6"/>
                <w:szCs w:val="21"/>
              </w:rPr>
              <w:fldChar w:fldCharType="begin"/>
            </w:r>
            <w:r>
              <w:rPr>
                <w:rFonts w:eastAsia="仿宋_GB2312"/>
                <w:spacing w:val="-6"/>
                <w:szCs w:val="21"/>
              </w:rPr>
              <w:instrText xml:space="preserve"> </w:instrText>
            </w:r>
            <w:r>
              <w:rPr>
                <w:rFonts w:hint="eastAsia" w:eastAsia="仿宋_GB2312"/>
                <w:spacing w:val="-6"/>
                <w:szCs w:val="21"/>
              </w:rPr>
              <w:instrText xml:space="preserve">= 5 \* GB3</w:instrText>
            </w:r>
            <w:r>
              <w:rPr>
                <w:rFonts w:eastAsia="仿宋_GB2312"/>
                <w:spacing w:val="-6"/>
                <w:szCs w:val="21"/>
              </w:rPr>
              <w:instrText xml:space="preserve"> </w:instrText>
            </w:r>
            <w:r>
              <w:rPr>
                <w:rFonts w:eastAsia="仿宋_GB2312"/>
                <w:spacing w:val="-6"/>
                <w:szCs w:val="21"/>
              </w:rPr>
              <w:fldChar w:fldCharType="separate"/>
            </w:r>
            <w:r>
              <w:rPr>
                <w:rFonts w:hint="eastAsia" w:eastAsia="仿宋_GB2312"/>
                <w:spacing w:val="-6"/>
                <w:szCs w:val="21"/>
                <w:lang/>
              </w:rPr>
              <w:t>⑤</w:t>
            </w:r>
            <w:r>
              <w:rPr>
                <w:rFonts w:eastAsia="仿宋_GB2312"/>
                <w:spacing w:val="-6"/>
                <w:szCs w:val="21"/>
              </w:rPr>
              <w:fldChar w:fldCharType="end"/>
            </w:r>
            <w:r>
              <w:rPr>
                <w:rFonts w:hint="eastAsia" w:eastAsia="仿宋_GB2312"/>
                <w:spacing w:val="-6"/>
                <w:szCs w:val="21"/>
              </w:rPr>
              <w:t>力争建成国家卫生城市。</w:t>
            </w:r>
          </w:p>
        </w:tc>
        <w:tc>
          <w:tcPr>
            <w:tcW w:w="612" w:type="pct"/>
            <w:tcBorders>
              <w:top w:val="single" w:color="auto" w:sz="4" w:space="0"/>
              <w:left w:val="single" w:color="auto" w:sz="4" w:space="0"/>
              <w:bottom w:val="single" w:color="auto" w:sz="4" w:space="0"/>
              <w:right w:val="single" w:color="auto" w:sz="4" w:space="0"/>
            </w:tcBorders>
            <w:noWrap w:val="0"/>
            <w:vAlign w:val="center"/>
          </w:tcPr>
          <w:p>
            <w:pPr>
              <w:snapToGrid w:val="0"/>
              <w:spacing w:line="220" w:lineRule="exact"/>
              <w:rPr>
                <w:rFonts w:hint="eastAsia" w:eastAsia="仿宋_GB2312"/>
                <w:spacing w:val="-6"/>
                <w:szCs w:val="21"/>
              </w:rPr>
            </w:pPr>
            <w:r>
              <w:rPr>
                <w:rFonts w:hint="eastAsia" w:eastAsia="仿宋_GB2312"/>
                <w:spacing w:val="-6"/>
                <w:szCs w:val="21"/>
              </w:rPr>
              <w:t>①各项指标达到国家环保模范城市要求，向省环保厅提出预评估申请；</w:t>
            </w:r>
          </w:p>
          <w:p>
            <w:pPr>
              <w:snapToGrid w:val="0"/>
              <w:spacing w:line="220" w:lineRule="exact"/>
              <w:rPr>
                <w:rFonts w:hint="eastAsia" w:eastAsia="仿宋_GB2312"/>
                <w:spacing w:val="-6"/>
                <w:szCs w:val="21"/>
              </w:rPr>
            </w:pPr>
            <w:r>
              <w:rPr>
                <w:rFonts w:hint="eastAsia" w:eastAsia="仿宋_GB2312"/>
                <w:spacing w:val="-6"/>
                <w:szCs w:val="21"/>
              </w:rPr>
              <w:t>②射阳、阜宁、滨海、响水、亭湖建成国家生态县（区）；盐城市建成省级生态市；</w:t>
            </w:r>
          </w:p>
          <w:p>
            <w:pPr>
              <w:snapToGrid w:val="0"/>
              <w:spacing w:line="220" w:lineRule="exact"/>
              <w:rPr>
                <w:rFonts w:hint="eastAsia" w:eastAsia="仿宋_GB2312"/>
                <w:spacing w:val="-6"/>
                <w:szCs w:val="21"/>
              </w:rPr>
            </w:pPr>
            <w:r>
              <w:rPr>
                <w:rFonts w:hint="eastAsia" w:eastAsia="仿宋_GB2312"/>
                <w:spacing w:val="-6"/>
                <w:szCs w:val="21"/>
              </w:rPr>
              <w:t>③盐城经济技术开发区建成国家级生态工业园区；全市所有省级经济开发区均建成省级生态工业园区；</w:t>
            </w:r>
          </w:p>
          <w:p>
            <w:pPr>
              <w:snapToGrid w:val="0"/>
              <w:spacing w:line="220" w:lineRule="exact"/>
              <w:rPr>
                <w:rFonts w:hint="eastAsia" w:eastAsia="仿宋_GB2312"/>
                <w:szCs w:val="21"/>
              </w:rPr>
            </w:pPr>
            <w:r>
              <w:rPr>
                <w:rFonts w:hint="eastAsia" w:eastAsia="仿宋_GB2312"/>
                <w:spacing w:val="-6"/>
                <w:szCs w:val="21"/>
              </w:rPr>
              <w:t>④重点对36个重点项目进行进度督查，保证建设进度要求。对实验区建设进行经验总结和统计数据监测，开展建设验收的各项准备工作，确保按期完成验收。</w:t>
            </w:r>
          </w:p>
        </w:tc>
        <w:tc>
          <w:tcPr>
            <w:tcW w:w="524" w:type="pct"/>
            <w:tcBorders>
              <w:top w:val="single" w:color="auto" w:sz="4" w:space="0"/>
              <w:left w:val="single" w:color="auto" w:sz="4" w:space="0"/>
              <w:bottom w:val="single" w:color="auto" w:sz="4" w:space="0"/>
              <w:right w:val="single" w:color="auto" w:sz="4" w:space="0"/>
            </w:tcBorders>
            <w:noWrap w:val="0"/>
            <w:vAlign w:val="center"/>
          </w:tcPr>
          <w:p>
            <w:pPr>
              <w:spacing w:line="230" w:lineRule="exact"/>
              <w:ind w:left="-63" w:leftChars="-30" w:right="-63" w:rightChars="-30"/>
              <w:jc w:val="center"/>
              <w:rPr>
                <w:rFonts w:hint="eastAsia" w:eastAsia="仿宋_GB2312"/>
                <w:szCs w:val="21"/>
              </w:rPr>
            </w:pPr>
            <w:r>
              <w:rPr>
                <w:rFonts w:hint="eastAsia" w:eastAsia="仿宋_GB2312"/>
                <w:szCs w:val="21"/>
              </w:rPr>
              <w:t>市环保局</w:t>
            </w:r>
          </w:p>
          <w:p>
            <w:pPr>
              <w:spacing w:line="230" w:lineRule="exact"/>
              <w:ind w:left="-63" w:leftChars="-30" w:right="-63" w:rightChars="-30"/>
              <w:jc w:val="center"/>
              <w:rPr>
                <w:rFonts w:hint="eastAsia" w:eastAsia="仿宋_GB2312"/>
                <w:szCs w:val="21"/>
              </w:rPr>
            </w:pPr>
            <w:r>
              <w:rPr>
                <w:rFonts w:hint="eastAsia" w:eastAsia="仿宋_GB2312"/>
                <w:szCs w:val="21"/>
              </w:rPr>
              <w:t>市商务局</w:t>
            </w:r>
          </w:p>
          <w:p>
            <w:pPr>
              <w:spacing w:line="230" w:lineRule="exact"/>
              <w:ind w:left="-63" w:leftChars="-30" w:right="-63" w:rightChars="-30"/>
              <w:jc w:val="center"/>
              <w:rPr>
                <w:rFonts w:hint="eastAsia" w:eastAsia="仿宋_GB2312"/>
                <w:szCs w:val="21"/>
              </w:rPr>
            </w:pPr>
            <w:r>
              <w:rPr>
                <w:rFonts w:hint="eastAsia" w:eastAsia="仿宋_GB2312"/>
                <w:szCs w:val="21"/>
              </w:rPr>
              <w:t>市科技局</w:t>
            </w:r>
          </w:p>
          <w:p>
            <w:pPr>
              <w:spacing w:line="230" w:lineRule="exact"/>
              <w:ind w:left="-63" w:leftChars="-30" w:right="-63" w:rightChars="-30"/>
              <w:jc w:val="center"/>
              <w:rPr>
                <w:rFonts w:hint="eastAsia" w:eastAsia="仿宋_GB2312"/>
                <w:szCs w:val="21"/>
              </w:rPr>
            </w:pPr>
            <w:r>
              <w:rPr>
                <w:rFonts w:hint="eastAsia" w:eastAsia="仿宋_GB2312"/>
                <w:szCs w:val="21"/>
              </w:rPr>
              <w:t>各县（市、区）政府</w:t>
            </w:r>
          </w:p>
          <w:p>
            <w:pPr>
              <w:spacing w:line="230" w:lineRule="exact"/>
              <w:ind w:left="-63" w:leftChars="-30" w:right="-63" w:rightChars="-30"/>
              <w:jc w:val="center"/>
              <w:rPr>
                <w:rFonts w:hint="eastAsia" w:eastAsia="仿宋_GB2312"/>
                <w:spacing w:val="-4"/>
                <w:szCs w:val="21"/>
              </w:rPr>
            </w:pPr>
            <w:r>
              <w:rPr>
                <w:rFonts w:hint="eastAsia" w:eastAsia="仿宋_GB2312"/>
                <w:spacing w:val="-4"/>
                <w:szCs w:val="21"/>
              </w:rPr>
              <w:t>市开发区管委会</w:t>
            </w:r>
          </w:p>
        </w:tc>
        <w:tc>
          <w:tcPr>
            <w:tcW w:w="506" w:type="pct"/>
            <w:tcBorders>
              <w:top w:val="single" w:color="auto" w:sz="4" w:space="0"/>
              <w:left w:val="single" w:color="auto" w:sz="4" w:space="0"/>
              <w:bottom w:val="single" w:color="auto" w:sz="4" w:space="0"/>
              <w:right w:val="single" w:color="auto" w:sz="4" w:space="0"/>
            </w:tcBorders>
            <w:noWrap w:val="0"/>
            <w:vAlign w:val="center"/>
          </w:tcPr>
          <w:p>
            <w:pPr>
              <w:spacing w:line="230" w:lineRule="exact"/>
              <w:jc w:val="center"/>
              <w:rPr>
                <w:rFonts w:hint="eastAsia" w:eastAsia="仿宋_GB2312"/>
                <w:szCs w:val="21"/>
              </w:rPr>
            </w:pPr>
            <w:r>
              <w:rPr>
                <w:rFonts w:hint="eastAsia" w:eastAsia="仿宋_GB2312"/>
                <w:szCs w:val="21"/>
              </w:rPr>
              <w:t>吴雨晴</w:t>
            </w:r>
          </w:p>
          <w:p>
            <w:pPr>
              <w:spacing w:line="230" w:lineRule="exact"/>
              <w:jc w:val="center"/>
              <w:rPr>
                <w:rFonts w:hint="eastAsia" w:eastAsia="仿宋_GB2312"/>
                <w:szCs w:val="21"/>
              </w:rPr>
            </w:pPr>
            <w:r>
              <w:rPr>
                <w:rFonts w:hint="eastAsia" w:eastAsia="仿宋_GB2312"/>
                <w:szCs w:val="21"/>
              </w:rPr>
              <w:t>王  亚</w:t>
            </w:r>
          </w:p>
          <w:p>
            <w:pPr>
              <w:spacing w:line="230" w:lineRule="exact"/>
              <w:jc w:val="center"/>
              <w:rPr>
                <w:rFonts w:hint="eastAsia" w:eastAsia="仿宋_GB2312"/>
                <w:szCs w:val="21"/>
              </w:rPr>
            </w:pPr>
            <w:r>
              <w:rPr>
                <w:rFonts w:hint="eastAsia" w:eastAsia="仿宋_GB2312"/>
                <w:szCs w:val="21"/>
              </w:rPr>
              <w:t>邹毅实</w:t>
            </w:r>
          </w:p>
          <w:p>
            <w:pPr>
              <w:snapToGrid w:val="0"/>
              <w:spacing w:line="230" w:lineRule="exact"/>
              <w:jc w:val="center"/>
              <w:rPr>
                <w:rFonts w:hint="eastAsia" w:eastAsia="仿宋_GB2312"/>
                <w:spacing w:val="-20"/>
                <w:w w:val="97"/>
                <w:szCs w:val="21"/>
              </w:rPr>
            </w:pPr>
            <w:r>
              <w:rPr>
                <w:rFonts w:hint="eastAsia" w:eastAsia="仿宋_GB2312"/>
                <w:spacing w:val="-20"/>
                <w:w w:val="97"/>
                <w:szCs w:val="21"/>
              </w:rPr>
              <w:t>各县（市、区）长</w:t>
            </w:r>
          </w:p>
          <w:p>
            <w:pPr>
              <w:spacing w:line="230" w:lineRule="exact"/>
              <w:jc w:val="center"/>
              <w:rPr>
                <w:rFonts w:hint="eastAsia" w:eastAsia="仿宋_GB2312"/>
                <w:szCs w:val="21"/>
              </w:rPr>
            </w:pPr>
            <w:r>
              <w:rPr>
                <w:rFonts w:hint="eastAsia" w:eastAsia="仿宋_GB2312"/>
                <w:szCs w:val="21"/>
              </w:rPr>
              <w:t>王连春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280" w:hRule="atLeast"/>
          <w:jc w:val="center"/>
        </w:trPr>
        <w:tc>
          <w:tcPr>
            <w:tcW w:w="177" w:type="pct"/>
            <w:tcBorders>
              <w:top w:val="single" w:color="auto" w:sz="4" w:space="0"/>
              <w:left w:val="single" w:color="auto" w:sz="4" w:space="0"/>
              <w:right w:val="single" w:color="auto" w:sz="4" w:space="0"/>
            </w:tcBorders>
            <w:noWrap w:val="0"/>
            <w:vAlign w:val="center"/>
          </w:tcPr>
          <w:p>
            <w:pPr>
              <w:spacing w:line="320" w:lineRule="exact"/>
              <w:jc w:val="center"/>
              <w:rPr>
                <w:rFonts w:hint="eastAsia" w:eastAsia="仿宋_GB2312"/>
                <w:szCs w:val="21"/>
              </w:rPr>
            </w:pPr>
            <w:r>
              <w:rPr>
                <w:rFonts w:hint="eastAsia" w:eastAsia="仿宋_GB2312"/>
                <w:szCs w:val="21"/>
              </w:rPr>
              <w:t>9</w:t>
            </w:r>
          </w:p>
        </w:tc>
        <w:tc>
          <w:tcPr>
            <w:tcW w:w="225" w:type="pct"/>
            <w:tcBorders>
              <w:top w:val="single" w:color="auto" w:sz="4" w:space="0"/>
              <w:left w:val="single" w:color="auto" w:sz="4" w:space="0"/>
              <w:right w:val="single" w:color="auto" w:sz="4" w:space="0"/>
            </w:tcBorders>
            <w:noWrap w:val="0"/>
            <w:vAlign w:val="center"/>
          </w:tcPr>
          <w:p>
            <w:pPr>
              <w:spacing w:line="240" w:lineRule="exact"/>
              <w:rPr>
                <w:rFonts w:hint="eastAsia" w:eastAsia="仿宋_GB2312"/>
                <w:szCs w:val="21"/>
              </w:rPr>
            </w:pPr>
            <w:r>
              <w:rPr>
                <w:rFonts w:hint="eastAsia" w:eastAsia="仿宋_GB2312"/>
                <w:szCs w:val="21"/>
              </w:rPr>
              <w:t>环保科技城建设</w:t>
            </w:r>
          </w:p>
        </w:tc>
        <w:tc>
          <w:tcPr>
            <w:tcW w:w="840" w:type="pct"/>
            <w:tcBorders>
              <w:top w:val="single" w:color="auto" w:sz="4" w:space="0"/>
              <w:left w:val="single" w:color="auto" w:sz="4" w:space="0"/>
              <w:bottom w:val="single" w:color="auto" w:sz="4" w:space="0"/>
              <w:right w:val="single" w:color="auto" w:sz="4" w:space="0"/>
            </w:tcBorders>
            <w:noWrap w:val="0"/>
            <w:vAlign w:val="center"/>
          </w:tcPr>
          <w:p>
            <w:pPr>
              <w:spacing w:line="240" w:lineRule="exact"/>
              <w:rPr>
                <w:rFonts w:hint="eastAsia" w:eastAsia="仿宋_GB2312"/>
                <w:szCs w:val="21"/>
              </w:rPr>
            </w:pPr>
            <w:r>
              <w:rPr>
                <w:rFonts w:hint="eastAsia" w:eastAsia="仿宋_GB2312"/>
                <w:szCs w:val="21"/>
              </w:rPr>
              <w:t>将盐城环保科技城打造成全国环保产业先行区、全省环保产业集聚区和全市产业转型示范区，招引大型环保企业80家，实现环保产业销售收入300亿元，集聚150名高端环保领军人才。建成区面积20平方公里（含5平方公里核心区和15平方公里产业区）。</w:t>
            </w:r>
          </w:p>
        </w:tc>
        <w:tc>
          <w:tcPr>
            <w:tcW w:w="348" w:type="pct"/>
            <w:tcBorders>
              <w:top w:val="single" w:color="auto" w:sz="4" w:space="0"/>
              <w:left w:val="single" w:color="auto" w:sz="4" w:space="0"/>
              <w:bottom w:val="single" w:color="auto" w:sz="4" w:space="0"/>
              <w:right w:val="single" w:color="auto" w:sz="4" w:space="0"/>
            </w:tcBorders>
            <w:noWrap w:val="0"/>
            <w:vAlign w:val="center"/>
          </w:tcPr>
          <w:p>
            <w:pPr>
              <w:spacing w:line="240" w:lineRule="exact"/>
              <w:ind w:left="-63" w:leftChars="-30" w:right="-63" w:rightChars="-30"/>
              <w:jc w:val="center"/>
              <w:rPr>
                <w:rFonts w:hint="eastAsia" w:eastAsia="仿宋_GB2312"/>
                <w:szCs w:val="21"/>
              </w:rPr>
            </w:pPr>
            <w:r>
              <w:rPr>
                <w:rFonts w:hint="eastAsia" w:eastAsia="仿宋_GB2312"/>
                <w:szCs w:val="21"/>
              </w:rPr>
              <w:t>2013-2016</w:t>
            </w:r>
          </w:p>
        </w:tc>
        <w:tc>
          <w:tcPr>
            <w:tcW w:w="321" w:type="pct"/>
            <w:tcBorders>
              <w:top w:val="single" w:color="auto" w:sz="4" w:space="0"/>
              <w:left w:val="single" w:color="auto" w:sz="4" w:space="0"/>
              <w:bottom w:val="single" w:color="auto" w:sz="4" w:space="0"/>
              <w:right w:val="single" w:color="auto" w:sz="4" w:space="0"/>
            </w:tcBorders>
            <w:noWrap w:val="0"/>
            <w:vAlign w:val="center"/>
          </w:tcPr>
          <w:p>
            <w:pPr>
              <w:spacing w:line="240" w:lineRule="exact"/>
              <w:ind w:left="-63" w:leftChars="-30" w:right="-63" w:rightChars="-30"/>
              <w:jc w:val="center"/>
              <w:rPr>
                <w:rFonts w:hint="eastAsia" w:eastAsia="仿宋_GB2312"/>
                <w:szCs w:val="21"/>
              </w:rPr>
            </w:pPr>
            <w:r>
              <w:rPr>
                <w:rFonts w:hint="eastAsia" w:eastAsia="仿宋_GB2312"/>
                <w:szCs w:val="21"/>
              </w:rPr>
              <w:t>60</w:t>
            </w:r>
          </w:p>
        </w:tc>
        <w:tc>
          <w:tcPr>
            <w:tcW w:w="790" w:type="pct"/>
            <w:tcBorders>
              <w:top w:val="single" w:color="auto" w:sz="4" w:space="0"/>
              <w:left w:val="single" w:color="auto" w:sz="4" w:space="0"/>
              <w:bottom w:val="single" w:color="auto" w:sz="4" w:space="0"/>
              <w:right w:val="single" w:color="auto" w:sz="4" w:space="0"/>
            </w:tcBorders>
            <w:noWrap w:val="0"/>
            <w:vAlign w:val="center"/>
          </w:tcPr>
          <w:p>
            <w:pPr>
              <w:spacing w:line="240" w:lineRule="exact"/>
              <w:rPr>
                <w:rFonts w:hint="eastAsia" w:eastAsia="仿宋_GB2312"/>
                <w:szCs w:val="21"/>
              </w:rPr>
            </w:pPr>
            <w:r>
              <w:rPr>
                <w:rFonts w:hint="eastAsia" w:eastAsia="仿宋_GB2312"/>
                <w:szCs w:val="21"/>
              </w:rPr>
              <w:t>完成总体概念规划编制和核心区城市设计工作，报市政府批准实施；招引20家大型环保企业，培植和引进3家上市公司，集聚50名高端环保领军人才；启动 核心区部分基础设施建设。</w:t>
            </w:r>
          </w:p>
        </w:tc>
        <w:tc>
          <w:tcPr>
            <w:tcW w:w="658" w:type="pct"/>
            <w:tcBorders>
              <w:top w:val="single" w:color="auto" w:sz="4" w:space="0"/>
              <w:left w:val="single" w:color="auto" w:sz="4" w:space="0"/>
              <w:bottom w:val="single" w:color="auto" w:sz="4" w:space="0"/>
              <w:right w:val="single" w:color="auto" w:sz="4" w:space="0"/>
            </w:tcBorders>
            <w:noWrap w:val="0"/>
            <w:vAlign w:val="center"/>
          </w:tcPr>
          <w:p>
            <w:pPr>
              <w:spacing w:line="240" w:lineRule="exact"/>
              <w:rPr>
                <w:rFonts w:hint="eastAsia" w:eastAsia="仿宋_GB2312"/>
                <w:szCs w:val="21"/>
              </w:rPr>
            </w:pPr>
            <w:r>
              <w:rPr>
                <w:rFonts w:hint="eastAsia" w:eastAsia="仿宋_GB2312"/>
                <w:szCs w:val="21"/>
              </w:rPr>
              <w:t>招引30家大型环保企业，培植和引进3家上市公司，集聚50名高端环保领军人才；完成50公里的“八纵五横”路网、110KVA变电所、污水处理厂等项目。</w:t>
            </w:r>
          </w:p>
        </w:tc>
        <w:tc>
          <w:tcPr>
            <w:tcW w:w="612" w:type="pct"/>
            <w:tcBorders>
              <w:top w:val="single" w:color="auto" w:sz="4" w:space="0"/>
              <w:left w:val="single" w:color="auto" w:sz="4" w:space="0"/>
              <w:bottom w:val="single" w:color="auto" w:sz="4" w:space="0"/>
              <w:right w:val="single" w:color="auto" w:sz="4" w:space="0"/>
            </w:tcBorders>
            <w:noWrap w:val="0"/>
            <w:vAlign w:val="center"/>
          </w:tcPr>
          <w:p>
            <w:pPr>
              <w:spacing w:line="240" w:lineRule="exact"/>
              <w:rPr>
                <w:rFonts w:hint="eastAsia" w:eastAsia="仿宋_GB2312"/>
                <w:szCs w:val="21"/>
              </w:rPr>
            </w:pPr>
            <w:r>
              <w:rPr>
                <w:rFonts w:hint="eastAsia" w:eastAsia="仿宋_GB2312"/>
                <w:szCs w:val="21"/>
              </w:rPr>
              <w:t>招引30家大型环保企业，培植和引进4家上市公司，集聚50名高端环保领军人才，完成5平方公里的环保小镇、绿地商务商贸区、人才公寓等项目。</w:t>
            </w:r>
          </w:p>
        </w:tc>
        <w:tc>
          <w:tcPr>
            <w:tcW w:w="524" w:type="pct"/>
            <w:tcBorders>
              <w:top w:val="single" w:color="auto" w:sz="4" w:space="0"/>
              <w:left w:val="single" w:color="auto" w:sz="4" w:space="0"/>
              <w:bottom w:val="single" w:color="auto" w:sz="4" w:space="0"/>
              <w:right w:val="single" w:color="auto" w:sz="4" w:space="0"/>
            </w:tcBorders>
            <w:noWrap w:val="0"/>
            <w:vAlign w:val="center"/>
          </w:tcPr>
          <w:p>
            <w:pPr>
              <w:spacing w:line="240" w:lineRule="exact"/>
              <w:ind w:left="-63" w:leftChars="-30" w:right="-63" w:rightChars="-30"/>
              <w:jc w:val="center"/>
              <w:rPr>
                <w:rFonts w:hint="eastAsia" w:eastAsia="仿宋_GB2312"/>
                <w:szCs w:val="21"/>
              </w:rPr>
            </w:pPr>
            <w:r>
              <w:rPr>
                <w:rFonts w:hint="eastAsia" w:eastAsia="仿宋_GB2312"/>
                <w:szCs w:val="21"/>
              </w:rPr>
              <w:t>亭湖区政府</w:t>
            </w:r>
          </w:p>
          <w:p>
            <w:pPr>
              <w:spacing w:line="240" w:lineRule="exact"/>
              <w:ind w:left="-63" w:leftChars="-30" w:right="-63" w:rightChars="-30"/>
              <w:jc w:val="center"/>
              <w:rPr>
                <w:rFonts w:hint="eastAsia" w:eastAsia="仿宋_GB2312"/>
                <w:szCs w:val="21"/>
              </w:rPr>
            </w:pPr>
            <w:r>
              <w:rPr>
                <w:rFonts w:hint="eastAsia" w:eastAsia="仿宋_GB2312"/>
                <w:szCs w:val="21"/>
              </w:rPr>
              <w:t>市科技局</w:t>
            </w:r>
          </w:p>
        </w:tc>
        <w:tc>
          <w:tcPr>
            <w:tcW w:w="506"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hint="eastAsia" w:eastAsia="仿宋_GB2312"/>
                <w:szCs w:val="21"/>
              </w:rPr>
            </w:pPr>
            <w:r>
              <w:rPr>
                <w:rFonts w:hint="eastAsia" w:eastAsia="仿宋_GB2312"/>
                <w:szCs w:val="21"/>
              </w:rPr>
              <w:t>杨雪峰</w:t>
            </w:r>
          </w:p>
          <w:p>
            <w:pPr>
              <w:spacing w:line="240" w:lineRule="exact"/>
              <w:jc w:val="center"/>
              <w:rPr>
                <w:rFonts w:hint="eastAsia" w:eastAsia="仿宋_GB2312"/>
                <w:szCs w:val="21"/>
              </w:rPr>
            </w:pPr>
            <w:r>
              <w:rPr>
                <w:rFonts w:hint="eastAsia" w:eastAsia="仿宋_GB2312"/>
                <w:szCs w:val="21"/>
              </w:rPr>
              <w:t>邹毅实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126" w:hRule="atLeast"/>
          <w:jc w:val="center"/>
        </w:trPr>
        <w:tc>
          <w:tcPr>
            <w:tcW w:w="177" w:type="pct"/>
            <w:tcBorders>
              <w:top w:val="single" w:color="auto" w:sz="4" w:space="0"/>
              <w:left w:val="single" w:color="auto" w:sz="4" w:space="0"/>
              <w:bottom w:val="single" w:color="auto" w:sz="4" w:space="0"/>
              <w:right w:val="single" w:color="auto" w:sz="4" w:space="0"/>
            </w:tcBorders>
            <w:noWrap w:val="0"/>
            <w:vAlign w:val="center"/>
          </w:tcPr>
          <w:p>
            <w:pPr>
              <w:snapToGrid w:val="0"/>
              <w:spacing w:line="320" w:lineRule="exact"/>
              <w:jc w:val="center"/>
              <w:rPr>
                <w:rFonts w:hint="eastAsia" w:eastAsia="仿宋_GB2312"/>
                <w:szCs w:val="21"/>
              </w:rPr>
            </w:pPr>
            <w:r>
              <w:rPr>
                <w:rFonts w:hint="eastAsia" w:eastAsia="仿宋_GB2312"/>
                <w:szCs w:val="21"/>
              </w:rPr>
              <w:t>10</w:t>
            </w:r>
          </w:p>
        </w:tc>
        <w:tc>
          <w:tcPr>
            <w:tcW w:w="225" w:type="pct"/>
            <w:tcBorders>
              <w:top w:val="single" w:color="auto" w:sz="4" w:space="0"/>
              <w:left w:val="single" w:color="auto" w:sz="4" w:space="0"/>
              <w:bottom w:val="single" w:color="auto" w:sz="4" w:space="0"/>
              <w:right w:val="single" w:color="auto" w:sz="4" w:space="0"/>
            </w:tcBorders>
            <w:noWrap w:val="0"/>
            <w:vAlign w:val="center"/>
          </w:tcPr>
          <w:p>
            <w:pPr>
              <w:snapToGrid w:val="0"/>
              <w:spacing w:line="260" w:lineRule="exact"/>
              <w:rPr>
                <w:rFonts w:hint="eastAsia" w:eastAsia="仿宋_GB2312"/>
                <w:szCs w:val="21"/>
              </w:rPr>
            </w:pPr>
            <w:r>
              <w:rPr>
                <w:rFonts w:hint="eastAsia" w:eastAsia="仿宋_GB2312"/>
                <w:szCs w:val="21"/>
              </w:rPr>
              <w:t>生态旅游</w:t>
            </w:r>
          </w:p>
        </w:tc>
        <w:tc>
          <w:tcPr>
            <w:tcW w:w="840" w:type="pct"/>
            <w:tcBorders>
              <w:top w:val="single" w:color="auto" w:sz="4" w:space="0"/>
              <w:left w:val="single" w:color="auto" w:sz="4" w:space="0"/>
              <w:bottom w:val="single" w:color="auto" w:sz="4" w:space="0"/>
              <w:right w:val="single" w:color="auto" w:sz="4" w:space="0"/>
            </w:tcBorders>
            <w:noWrap w:val="0"/>
            <w:vAlign w:val="center"/>
          </w:tcPr>
          <w:p>
            <w:pPr>
              <w:snapToGrid w:val="0"/>
              <w:spacing w:line="240" w:lineRule="exact"/>
              <w:rPr>
                <w:rFonts w:hint="eastAsia" w:eastAsia="仿宋_GB2312"/>
                <w:szCs w:val="21"/>
              </w:rPr>
            </w:pPr>
            <w:r>
              <w:rPr>
                <w:rFonts w:eastAsia="仿宋_GB2312"/>
                <w:szCs w:val="21"/>
              </w:rPr>
              <w:t xml:space="preserve">麋鹿保护区联合大丰幸福公社，争创国家5A 级旅游景区。 大纵湖景区以体现“湖泊—人文—休闲”三位一体的水乡特色，创建国家5A级景区争取通过省初检。珍禽保护区以湿地生态系统保护与恢复为基础，突出湿地观鸟和仙鹤文化特色，开发生态旅游、湿地休闲等旅游产品，近期打造国家4A级景区。金沙湖创建国家4A级旅游景区，成为全国最具特色的淡水海滩休闲度假胜地。 </w:t>
            </w:r>
          </w:p>
        </w:tc>
        <w:tc>
          <w:tcPr>
            <w:tcW w:w="348" w:type="pct"/>
            <w:tcBorders>
              <w:top w:val="single" w:color="auto" w:sz="4" w:space="0"/>
              <w:left w:val="single" w:color="auto" w:sz="4" w:space="0"/>
              <w:bottom w:val="single" w:color="auto" w:sz="4" w:space="0"/>
              <w:right w:val="single" w:color="auto" w:sz="4" w:space="0"/>
            </w:tcBorders>
            <w:noWrap w:val="0"/>
            <w:vAlign w:val="center"/>
          </w:tcPr>
          <w:p>
            <w:pPr>
              <w:snapToGrid w:val="0"/>
              <w:spacing w:line="240" w:lineRule="exact"/>
              <w:ind w:left="-63" w:leftChars="-30" w:right="-63" w:rightChars="-30"/>
              <w:jc w:val="center"/>
              <w:rPr>
                <w:rFonts w:hint="eastAsia" w:eastAsia="仿宋_GB2312"/>
                <w:szCs w:val="21"/>
              </w:rPr>
            </w:pPr>
            <w:r>
              <w:rPr>
                <w:rFonts w:hint="eastAsia" w:eastAsia="仿宋_GB2312"/>
                <w:szCs w:val="21"/>
              </w:rPr>
              <w:t>2013-2016</w:t>
            </w:r>
          </w:p>
        </w:tc>
        <w:tc>
          <w:tcPr>
            <w:tcW w:w="321" w:type="pct"/>
            <w:tcBorders>
              <w:top w:val="single" w:color="auto" w:sz="4" w:space="0"/>
              <w:left w:val="single" w:color="auto" w:sz="4" w:space="0"/>
              <w:bottom w:val="single" w:color="auto" w:sz="4" w:space="0"/>
              <w:right w:val="single" w:color="auto" w:sz="4" w:space="0"/>
            </w:tcBorders>
            <w:noWrap w:val="0"/>
            <w:vAlign w:val="center"/>
          </w:tcPr>
          <w:p>
            <w:pPr>
              <w:spacing w:line="240" w:lineRule="exact"/>
              <w:ind w:left="-63" w:leftChars="-30" w:right="-63" w:rightChars="-30"/>
              <w:jc w:val="center"/>
              <w:rPr>
                <w:rFonts w:hint="eastAsia" w:eastAsia="仿宋_GB2312"/>
                <w:szCs w:val="21"/>
              </w:rPr>
            </w:pPr>
            <w:r>
              <w:rPr>
                <w:rFonts w:hint="eastAsia" w:eastAsia="仿宋_GB2312"/>
                <w:szCs w:val="21"/>
              </w:rPr>
              <w:t>83</w:t>
            </w:r>
          </w:p>
        </w:tc>
        <w:tc>
          <w:tcPr>
            <w:tcW w:w="790" w:type="pct"/>
            <w:tcBorders>
              <w:top w:val="single" w:color="auto" w:sz="4" w:space="0"/>
              <w:left w:val="single" w:color="auto" w:sz="4" w:space="0"/>
              <w:bottom w:val="single" w:color="auto" w:sz="4" w:space="0"/>
              <w:right w:val="single" w:color="auto" w:sz="4" w:space="0"/>
            </w:tcBorders>
            <w:noWrap w:val="0"/>
            <w:vAlign w:val="center"/>
          </w:tcPr>
          <w:p>
            <w:pPr>
              <w:spacing w:line="240" w:lineRule="exact"/>
              <w:rPr>
                <w:rFonts w:hint="eastAsia" w:eastAsia="仿宋_GB2312"/>
                <w:szCs w:val="21"/>
              </w:rPr>
            </w:pPr>
            <w:r>
              <w:rPr>
                <w:rFonts w:hint="eastAsia" w:eastAsia="仿宋_GB2312"/>
                <w:szCs w:val="21"/>
              </w:rPr>
              <w:t>启动丹顶鹤博物馆布展工作，完成丹顶鹤景点策划及施工设计；建设麋鹿栖息地湿地景观一期修复工程，建成规划展示中心，建设游客中心、人工湖；完成东晋古城入口区等建设任务，影视城一期工程投入使用，环湖景观大道建成，宋曹故居、水下古城遗址竣工开放；完成金沙湖湖型整理工程，开工建设生态涵养基地，创建为国家4A级旅游景区。</w:t>
            </w:r>
          </w:p>
        </w:tc>
        <w:tc>
          <w:tcPr>
            <w:tcW w:w="658" w:type="pct"/>
            <w:tcBorders>
              <w:top w:val="single" w:color="auto" w:sz="4" w:space="0"/>
              <w:left w:val="single" w:color="auto" w:sz="4" w:space="0"/>
              <w:bottom w:val="single" w:color="auto" w:sz="4" w:space="0"/>
              <w:right w:val="single" w:color="auto" w:sz="4" w:space="0"/>
            </w:tcBorders>
            <w:noWrap w:val="0"/>
            <w:vAlign w:val="center"/>
          </w:tcPr>
          <w:p>
            <w:pPr>
              <w:spacing w:line="240" w:lineRule="exact"/>
              <w:rPr>
                <w:rFonts w:hint="eastAsia" w:eastAsia="仿宋_GB2312"/>
                <w:szCs w:val="21"/>
              </w:rPr>
            </w:pPr>
            <w:r>
              <w:rPr>
                <w:rFonts w:hint="eastAsia" w:eastAsia="仿宋_GB2312"/>
                <w:szCs w:val="21"/>
              </w:rPr>
              <w:t>珍禽保护区申报国家4A级旅游景区力争通过验收；建设麋鹿保护区湿地景观修复二期工程、电教中心、宣教中心，扩建科普生态园，建成幸福公社游客中心，创国家5A级景区力争通过省初检；完成东晋古城项目，办结影视城二期工程开工手续，争创省级旅游度假区或省级生态旅游示范区；金沙湖完成生态涵养、游乐等基础设施。</w:t>
            </w:r>
          </w:p>
        </w:tc>
        <w:tc>
          <w:tcPr>
            <w:tcW w:w="612" w:type="pct"/>
            <w:tcBorders>
              <w:top w:val="single" w:color="auto" w:sz="4" w:space="0"/>
              <w:left w:val="single" w:color="auto" w:sz="4" w:space="0"/>
              <w:bottom w:val="single" w:color="auto" w:sz="4" w:space="0"/>
              <w:right w:val="single" w:color="auto" w:sz="4" w:space="0"/>
            </w:tcBorders>
            <w:noWrap w:val="0"/>
            <w:vAlign w:val="center"/>
          </w:tcPr>
          <w:p>
            <w:pPr>
              <w:spacing w:line="240" w:lineRule="exact"/>
              <w:rPr>
                <w:rFonts w:hint="eastAsia" w:eastAsia="仿宋_GB2312"/>
                <w:szCs w:val="21"/>
              </w:rPr>
            </w:pPr>
            <w:r>
              <w:rPr>
                <w:rFonts w:hint="eastAsia" w:eastAsia="仿宋_GB2312"/>
                <w:szCs w:val="21"/>
              </w:rPr>
              <w:t>珍禽保护区完善配套功能和景点建设；麋鹿保护区联合幸福公社争取创建为国家5A级旅游景区；完成东晋古城基础及配套工程，影视城二期工程完成并投入使用，创建国家5A级旅游景区争取通过省初检；金沙湖完成生态休闲设施。</w:t>
            </w:r>
          </w:p>
        </w:tc>
        <w:tc>
          <w:tcPr>
            <w:tcW w:w="524" w:type="pct"/>
            <w:tcBorders>
              <w:top w:val="single" w:color="auto" w:sz="4" w:space="0"/>
              <w:left w:val="single" w:color="auto" w:sz="4" w:space="0"/>
              <w:bottom w:val="single" w:color="auto" w:sz="4" w:space="0"/>
              <w:right w:val="single" w:color="auto" w:sz="4" w:space="0"/>
            </w:tcBorders>
            <w:noWrap w:val="0"/>
            <w:vAlign w:val="center"/>
          </w:tcPr>
          <w:p>
            <w:pPr>
              <w:spacing w:line="240" w:lineRule="exact"/>
              <w:ind w:left="-63" w:leftChars="-30" w:right="-63" w:rightChars="-30"/>
              <w:jc w:val="center"/>
              <w:rPr>
                <w:rFonts w:hint="eastAsia" w:eastAsia="仿宋_GB2312"/>
                <w:szCs w:val="21"/>
              </w:rPr>
            </w:pPr>
            <w:r>
              <w:rPr>
                <w:rFonts w:hint="eastAsia" w:eastAsia="仿宋_GB2312"/>
                <w:szCs w:val="21"/>
              </w:rPr>
              <w:t>市旅游局</w:t>
            </w:r>
          </w:p>
          <w:p>
            <w:pPr>
              <w:spacing w:line="240" w:lineRule="exact"/>
              <w:ind w:left="-63" w:leftChars="-30" w:right="-63" w:rightChars="-30"/>
              <w:jc w:val="center"/>
              <w:rPr>
                <w:rFonts w:hint="eastAsia" w:eastAsia="仿宋_GB2312"/>
                <w:szCs w:val="21"/>
              </w:rPr>
            </w:pPr>
            <w:r>
              <w:rPr>
                <w:rFonts w:hint="eastAsia" w:eastAsia="仿宋_GB2312"/>
                <w:szCs w:val="21"/>
              </w:rPr>
              <w:t>大丰市政府</w:t>
            </w:r>
          </w:p>
          <w:p>
            <w:pPr>
              <w:spacing w:line="240" w:lineRule="exact"/>
              <w:ind w:left="-63" w:leftChars="-30" w:right="-63" w:rightChars="-30"/>
              <w:jc w:val="center"/>
              <w:rPr>
                <w:rFonts w:hint="eastAsia" w:eastAsia="仿宋_GB2312"/>
                <w:szCs w:val="21"/>
              </w:rPr>
            </w:pPr>
            <w:r>
              <w:rPr>
                <w:rFonts w:hint="eastAsia" w:eastAsia="仿宋_GB2312"/>
                <w:szCs w:val="21"/>
              </w:rPr>
              <w:t>盐都区政府</w:t>
            </w:r>
          </w:p>
          <w:p>
            <w:pPr>
              <w:spacing w:line="240" w:lineRule="exact"/>
              <w:ind w:left="-63" w:leftChars="-30" w:right="-63" w:rightChars="-30"/>
              <w:jc w:val="center"/>
              <w:rPr>
                <w:rFonts w:hint="eastAsia" w:eastAsia="仿宋_GB2312"/>
                <w:szCs w:val="21"/>
              </w:rPr>
            </w:pPr>
            <w:r>
              <w:rPr>
                <w:rFonts w:hint="eastAsia" w:eastAsia="仿宋_GB2312"/>
                <w:szCs w:val="21"/>
              </w:rPr>
              <w:t>阜宁县</w:t>
            </w:r>
            <w:bookmarkStart w:id="482" w:name="OLE_LINK4"/>
            <w:r>
              <w:rPr>
                <w:rFonts w:hint="eastAsia" w:eastAsia="仿宋_GB2312"/>
                <w:szCs w:val="21"/>
              </w:rPr>
              <w:t>政府</w:t>
            </w:r>
            <w:bookmarkEnd w:id="482"/>
          </w:p>
          <w:p>
            <w:pPr>
              <w:spacing w:line="240" w:lineRule="exact"/>
              <w:ind w:left="-63" w:leftChars="-30" w:right="-63" w:rightChars="-30"/>
              <w:jc w:val="center"/>
              <w:rPr>
                <w:rFonts w:hint="eastAsia" w:eastAsia="仿宋_GB2312"/>
                <w:spacing w:val="-6"/>
                <w:szCs w:val="21"/>
              </w:rPr>
            </w:pPr>
            <w:r>
              <w:rPr>
                <w:rFonts w:hint="eastAsia" w:eastAsia="仿宋_GB2312"/>
                <w:spacing w:val="-6"/>
                <w:szCs w:val="21"/>
              </w:rPr>
              <w:t>盐城珍禽保护区</w:t>
            </w:r>
          </w:p>
          <w:p>
            <w:pPr>
              <w:spacing w:line="240" w:lineRule="exact"/>
              <w:ind w:left="-63" w:leftChars="-30" w:right="-63" w:rightChars="-30"/>
              <w:jc w:val="center"/>
              <w:rPr>
                <w:rFonts w:hint="eastAsia" w:eastAsia="仿宋_GB2312"/>
                <w:szCs w:val="21"/>
              </w:rPr>
            </w:pPr>
            <w:r>
              <w:rPr>
                <w:rFonts w:hint="eastAsia" w:eastAsia="仿宋_GB2312"/>
                <w:spacing w:val="-6"/>
                <w:szCs w:val="21"/>
              </w:rPr>
              <w:t>大丰麋鹿保护区</w:t>
            </w:r>
          </w:p>
        </w:tc>
        <w:tc>
          <w:tcPr>
            <w:tcW w:w="506"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hint="eastAsia" w:eastAsia="仿宋_GB2312"/>
                <w:szCs w:val="21"/>
              </w:rPr>
            </w:pPr>
            <w:r>
              <w:rPr>
                <w:rFonts w:hint="eastAsia" w:eastAsia="仿宋_GB2312"/>
                <w:szCs w:val="21"/>
              </w:rPr>
              <w:t>童  健</w:t>
            </w:r>
          </w:p>
          <w:p>
            <w:pPr>
              <w:spacing w:line="240" w:lineRule="exact"/>
              <w:jc w:val="center"/>
              <w:rPr>
                <w:rFonts w:hint="eastAsia" w:eastAsia="仿宋_GB2312"/>
                <w:szCs w:val="21"/>
              </w:rPr>
            </w:pPr>
            <w:r>
              <w:rPr>
                <w:rFonts w:hint="eastAsia" w:eastAsia="仿宋_GB2312"/>
                <w:szCs w:val="21"/>
              </w:rPr>
              <w:t>陈  平</w:t>
            </w:r>
          </w:p>
          <w:p>
            <w:pPr>
              <w:spacing w:line="240" w:lineRule="exact"/>
              <w:jc w:val="center"/>
              <w:rPr>
                <w:rFonts w:hint="eastAsia" w:eastAsia="仿宋_GB2312"/>
                <w:szCs w:val="21"/>
              </w:rPr>
            </w:pPr>
            <w:r>
              <w:rPr>
                <w:rFonts w:hint="eastAsia" w:eastAsia="仿宋_GB2312"/>
                <w:szCs w:val="21"/>
              </w:rPr>
              <w:t>吴本辉</w:t>
            </w:r>
          </w:p>
          <w:p>
            <w:pPr>
              <w:spacing w:line="240" w:lineRule="exact"/>
              <w:jc w:val="center"/>
              <w:rPr>
                <w:rFonts w:hint="eastAsia" w:eastAsia="仿宋_GB2312"/>
                <w:szCs w:val="21"/>
              </w:rPr>
            </w:pPr>
            <w:r>
              <w:rPr>
                <w:rFonts w:hint="eastAsia" w:eastAsia="仿宋_GB2312"/>
                <w:szCs w:val="21"/>
              </w:rPr>
              <w:t>徐华明</w:t>
            </w:r>
          </w:p>
          <w:p>
            <w:pPr>
              <w:spacing w:line="240" w:lineRule="exact"/>
              <w:jc w:val="center"/>
              <w:rPr>
                <w:rFonts w:hint="eastAsia" w:eastAsia="仿宋_GB2312"/>
                <w:szCs w:val="21"/>
              </w:rPr>
            </w:pPr>
            <w:r>
              <w:rPr>
                <w:rFonts w:hint="eastAsia" w:eastAsia="仿宋_GB2312"/>
                <w:szCs w:val="21"/>
              </w:rPr>
              <w:t>吴其江</w:t>
            </w:r>
          </w:p>
          <w:p>
            <w:pPr>
              <w:spacing w:line="240" w:lineRule="exact"/>
              <w:jc w:val="center"/>
              <w:rPr>
                <w:rFonts w:hint="eastAsia" w:eastAsia="仿宋_GB2312"/>
                <w:szCs w:val="21"/>
              </w:rPr>
            </w:pPr>
            <w:r>
              <w:rPr>
                <w:rFonts w:hint="eastAsia" w:eastAsia="仿宋_GB2312"/>
                <w:szCs w:val="21"/>
              </w:rPr>
              <w:t>孙大明</w:t>
            </w:r>
          </w:p>
        </w:tc>
      </w:tr>
    </w:tbl>
    <w:p>
      <w:pPr>
        <w:spacing w:line="40" w:lineRule="exact"/>
      </w:pPr>
    </w:p>
    <w:p>
      <w:pPr>
        <w:spacing w:line="400" w:lineRule="exact"/>
        <w:sectPr>
          <w:pgSz w:w="16838" w:h="11906" w:orient="landscape"/>
          <w:pgMar w:top="1588" w:right="1247" w:bottom="1588" w:left="1985" w:header="851" w:footer="992" w:gutter="0"/>
          <w:cols w:space="720" w:num="1"/>
          <w:docGrid w:linePitch="312" w:charSpace="0"/>
        </w:sectPr>
      </w:pPr>
    </w:p>
    <w:p>
      <w:pPr>
        <w:spacing w:line="400" w:lineRule="exact"/>
        <w:ind w:right="640"/>
        <w:rPr>
          <w:rFonts w:hint="eastAsia" w:eastAsia="楷体_GB2312"/>
          <w:b/>
          <w:sz w:val="32"/>
          <w:szCs w:val="32"/>
        </w:rPr>
      </w:pPr>
    </w:p>
    <w:sectPr>
      <w:pgSz w:w="11906" w:h="16838"/>
      <w:pgMar w:top="1985" w:right="1701" w:bottom="1701" w:left="1701" w:header="851" w:footer="1361" w:gutter="0"/>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F1CDA4BB-7B18-440E-9C32-7AE30992E44B}"/>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auto"/>
    <w:pitch w:val="default"/>
    <w:sig w:usb0="800002BF" w:usb1="38CF7CFA" w:usb2="00000016" w:usb3="00000000" w:csb0="00040001" w:csb1="00000000"/>
  </w:font>
  <w:font w:name="方正楷体_GBK">
    <w:panose1 w:val="02000000000000000000"/>
    <w:charset w:val="86"/>
    <w:family w:val="script"/>
    <w:pitch w:val="default"/>
    <w:sig w:usb0="00000001" w:usb1="080E0000" w:usb2="00000000" w:usb3="00000000" w:csb0="00040000"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roman"/>
    <w:pitch w:val="default"/>
    <w:sig w:usb0="80000287" w:usb1="2ACF3C50" w:usb2="00000016" w:usb3="00000000" w:csb0="0004001F" w:csb1="00000000"/>
  </w:font>
  <w:font w:name="仿宋_GB2312">
    <w:altName w:val="仿宋"/>
    <w:panose1 w:val="02010609030101010101"/>
    <w:charset w:val="86"/>
    <w:family w:val="modern"/>
    <w:pitch w:val="default"/>
    <w:sig w:usb0="00000001" w:usb1="080E0000" w:usb2="00000010" w:usb3="00000000" w:csb0="00040000" w:csb1="00000000"/>
    <w:embedRegular r:id="rId2" w:fontKey="{47303E2E-090F-41AF-942C-43B0CD568046}"/>
  </w:font>
  <w:font w:name="楷体_GB2312">
    <w:altName w:val="楷体"/>
    <w:panose1 w:val="02010609030101010101"/>
    <w:charset w:val="86"/>
    <w:family w:val="modern"/>
    <w:pitch w:val="default"/>
    <w:sig w:usb0="00000001" w:usb1="080E0000" w:usb2="00000010" w:usb3="00000000" w:csb0="00040000" w:csb1="00000000"/>
    <w:embedRegular r:id="rId3" w:fontKey="{581A7D61-7A91-48CD-A1E3-2753581385A0}"/>
  </w:font>
  <w:font w:name="方正小标宋简体">
    <w:panose1 w:val="02000000000000000000"/>
    <w:charset w:val="86"/>
    <w:family w:val="script"/>
    <w:pitch w:val="default"/>
    <w:sig w:usb0="00000001" w:usb1="08000000" w:usb2="00000000" w:usb3="00000000" w:csb0="00040000" w:csb1="00000000"/>
    <w:embedRegular r:id="rId4" w:fontKey="{9ABE247A-71BB-4DEF-836D-7C27077D112E}"/>
  </w:font>
  <w:font w:name="方正小标宋_GBK">
    <w:panose1 w:val="02000000000000000000"/>
    <w:charset w:val="86"/>
    <w:family w:val="script"/>
    <w:pitch w:val="default"/>
    <w:sig w:usb0="00000001" w:usb1="080E0000" w:usb2="00000000" w:usb3="00000000" w:csb0="00040000" w:csb1="00000000"/>
    <w:embedRegular r:id="rId5" w:fontKey="{C140D188-C00A-44EA-A691-335517319DAC}"/>
  </w:font>
  <w:font w:name="楷体">
    <w:panose1 w:val="02010609060101010101"/>
    <w:charset w:val="86"/>
    <w:family w:val="auto"/>
    <w:pitch w:val="default"/>
    <w:sig w:usb0="800002BF" w:usb1="38CF7CFA" w:usb2="00000016" w:usb3="00000000" w:csb0="00040001" w:csb1="00000000"/>
    <w:embedRegular r:id="rId6" w:fontKey="{6E2D20FA-A54A-4892-895E-BD5071885B1B}"/>
  </w:font>
  <w:font w:name="Batang">
    <w:altName w:val="Malgun Gothic"/>
    <w:panose1 w:val="02030600000101010101"/>
    <w:charset w:val="81"/>
    <w:family w:val="auto"/>
    <w:pitch w:val="default"/>
    <w:sig w:usb0="00000001" w:usb1="09060000" w:usb2="00000010" w:usb3="00000000" w:csb0="00080000" w:csb1="00000000"/>
    <w:embedRegular r:id="rId7" w:fontKey="{FAEDDF79-5BBE-45E4-B673-183FCD3E7424}"/>
  </w:font>
  <w:font w:name="Malgun Gothic">
    <w:panose1 w:val="020B0503020000020004"/>
    <w:charset w:val="81"/>
    <w:family w:val="auto"/>
    <w:pitch w:val="default"/>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framePr w:wrap="around" w:vAnchor="text" w:hAnchor="margin" w:xAlign="center" w:y="1"/>
      <w:rPr>
        <w:rStyle w:val="29"/>
        <w:rFonts w:hint="eastAsia"/>
        <w:sz w:val="24"/>
        <w:szCs w:val="24"/>
      </w:rPr>
    </w:pPr>
    <w:r>
      <w:rPr>
        <w:rStyle w:val="29"/>
        <w:rFonts w:hint="eastAsia"/>
        <w:sz w:val="24"/>
        <w:szCs w:val="24"/>
      </w:rPr>
      <w:t xml:space="preserve">－ </w:t>
    </w:r>
    <w:r>
      <w:rPr>
        <w:rStyle w:val="29"/>
        <w:sz w:val="24"/>
        <w:szCs w:val="24"/>
      </w:rPr>
      <w:fldChar w:fldCharType="begin"/>
    </w:r>
    <w:r>
      <w:rPr>
        <w:rStyle w:val="29"/>
        <w:sz w:val="24"/>
        <w:szCs w:val="24"/>
      </w:rPr>
      <w:instrText xml:space="preserve">PAGE  </w:instrText>
    </w:r>
    <w:r>
      <w:rPr>
        <w:rStyle w:val="29"/>
        <w:sz w:val="24"/>
        <w:szCs w:val="24"/>
      </w:rPr>
      <w:fldChar w:fldCharType="separate"/>
    </w:r>
    <w:r>
      <w:rPr>
        <w:rStyle w:val="29"/>
        <w:sz w:val="24"/>
        <w:szCs w:val="24"/>
        <w:lang/>
      </w:rPr>
      <w:t>3</w:t>
    </w:r>
    <w:r>
      <w:rPr>
        <w:rStyle w:val="29"/>
        <w:sz w:val="24"/>
        <w:szCs w:val="24"/>
      </w:rPr>
      <w:fldChar w:fldCharType="end"/>
    </w:r>
    <w:r>
      <w:rPr>
        <w:rStyle w:val="29"/>
        <w:rFonts w:hint="eastAsia"/>
        <w:sz w:val="24"/>
        <w:szCs w:val="24"/>
      </w:rPr>
      <w:t xml:space="preserve"> －</w:t>
    </w:r>
  </w:p>
  <w:p>
    <w:pPr>
      <w:pStyle w:val="15"/>
      <w:ind w:right="360" w:firstLine="360"/>
      <w:rPr>
        <w:rFonts w:hint="eastAsia"/>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JlMzliYzcyMDJiYjQ1ZmYzNzQ3YTFlNTk3YjRlNmIifQ=="/>
  </w:docVars>
  <w:rsids>
    <w:rsidRoot w:val="00172A27"/>
    <w:rsid w:val="00000496"/>
    <w:rsid w:val="0000079C"/>
    <w:rsid w:val="00001D42"/>
    <w:rsid w:val="00001DBD"/>
    <w:rsid w:val="000022B9"/>
    <w:rsid w:val="00003A4B"/>
    <w:rsid w:val="00003B73"/>
    <w:rsid w:val="00004050"/>
    <w:rsid w:val="000040E8"/>
    <w:rsid w:val="000042F0"/>
    <w:rsid w:val="0000569F"/>
    <w:rsid w:val="00006EAB"/>
    <w:rsid w:val="000077A1"/>
    <w:rsid w:val="00007A3D"/>
    <w:rsid w:val="00007C5C"/>
    <w:rsid w:val="00007E6C"/>
    <w:rsid w:val="0001015F"/>
    <w:rsid w:val="00010327"/>
    <w:rsid w:val="000106B8"/>
    <w:rsid w:val="00010833"/>
    <w:rsid w:val="00011725"/>
    <w:rsid w:val="00011AC5"/>
    <w:rsid w:val="000120D3"/>
    <w:rsid w:val="00012DBC"/>
    <w:rsid w:val="00012F26"/>
    <w:rsid w:val="0001380A"/>
    <w:rsid w:val="00013C09"/>
    <w:rsid w:val="000149D0"/>
    <w:rsid w:val="00015123"/>
    <w:rsid w:val="00015296"/>
    <w:rsid w:val="000169A4"/>
    <w:rsid w:val="000169E6"/>
    <w:rsid w:val="00016A34"/>
    <w:rsid w:val="00016C3C"/>
    <w:rsid w:val="0001714E"/>
    <w:rsid w:val="00017800"/>
    <w:rsid w:val="00017BB6"/>
    <w:rsid w:val="00020FF7"/>
    <w:rsid w:val="00021521"/>
    <w:rsid w:val="00021988"/>
    <w:rsid w:val="000220B5"/>
    <w:rsid w:val="000222D7"/>
    <w:rsid w:val="0002284A"/>
    <w:rsid w:val="000233FD"/>
    <w:rsid w:val="000236C5"/>
    <w:rsid w:val="00023A28"/>
    <w:rsid w:val="00024896"/>
    <w:rsid w:val="00024C68"/>
    <w:rsid w:val="000254F4"/>
    <w:rsid w:val="00025A7E"/>
    <w:rsid w:val="00025FDD"/>
    <w:rsid w:val="00026385"/>
    <w:rsid w:val="00026A7C"/>
    <w:rsid w:val="00026A9D"/>
    <w:rsid w:val="00026C7A"/>
    <w:rsid w:val="00027C31"/>
    <w:rsid w:val="00027C8D"/>
    <w:rsid w:val="00027CCE"/>
    <w:rsid w:val="00027D01"/>
    <w:rsid w:val="0003020F"/>
    <w:rsid w:val="00030552"/>
    <w:rsid w:val="00032D8D"/>
    <w:rsid w:val="00032E0B"/>
    <w:rsid w:val="00032FF7"/>
    <w:rsid w:val="0003386F"/>
    <w:rsid w:val="00034066"/>
    <w:rsid w:val="00034561"/>
    <w:rsid w:val="000348BC"/>
    <w:rsid w:val="0003540A"/>
    <w:rsid w:val="00035F88"/>
    <w:rsid w:val="0003669C"/>
    <w:rsid w:val="0003693F"/>
    <w:rsid w:val="00037288"/>
    <w:rsid w:val="00037961"/>
    <w:rsid w:val="00037AC1"/>
    <w:rsid w:val="00037EC2"/>
    <w:rsid w:val="0004011B"/>
    <w:rsid w:val="00040D0E"/>
    <w:rsid w:val="00040EF1"/>
    <w:rsid w:val="00041226"/>
    <w:rsid w:val="000417E3"/>
    <w:rsid w:val="00041F26"/>
    <w:rsid w:val="00042293"/>
    <w:rsid w:val="000427C0"/>
    <w:rsid w:val="00042C36"/>
    <w:rsid w:val="00043C43"/>
    <w:rsid w:val="00043D3A"/>
    <w:rsid w:val="00044096"/>
    <w:rsid w:val="0004517F"/>
    <w:rsid w:val="00045759"/>
    <w:rsid w:val="00045828"/>
    <w:rsid w:val="000460BF"/>
    <w:rsid w:val="00046BBF"/>
    <w:rsid w:val="00047287"/>
    <w:rsid w:val="00047466"/>
    <w:rsid w:val="00047811"/>
    <w:rsid w:val="000479E1"/>
    <w:rsid w:val="00047C1A"/>
    <w:rsid w:val="00050207"/>
    <w:rsid w:val="0005023E"/>
    <w:rsid w:val="00050414"/>
    <w:rsid w:val="00050D83"/>
    <w:rsid w:val="00050F55"/>
    <w:rsid w:val="00051689"/>
    <w:rsid w:val="00051DCB"/>
    <w:rsid w:val="0005291C"/>
    <w:rsid w:val="00052C2C"/>
    <w:rsid w:val="00052F78"/>
    <w:rsid w:val="00052FED"/>
    <w:rsid w:val="0005434B"/>
    <w:rsid w:val="0005435F"/>
    <w:rsid w:val="00055886"/>
    <w:rsid w:val="00056F96"/>
    <w:rsid w:val="00057133"/>
    <w:rsid w:val="00060697"/>
    <w:rsid w:val="00060800"/>
    <w:rsid w:val="00060846"/>
    <w:rsid w:val="0006135F"/>
    <w:rsid w:val="0006176D"/>
    <w:rsid w:val="000627AA"/>
    <w:rsid w:val="0006311C"/>
    <w:rsid w:val="00063AAE"/>
    <w:rsid w:val="00063B31"/>
    <w:rsid w:val="000642CA"/>
    <w:rsid w:val="000642E7"/>
    <w:rsid w:val="00066115"/>
    <w:rsid w:val="00067A08"/>
    <w:rsid w:val="00070AE4"/>
    <w:rsid w:val="00070CD4"/>
    <w:rsid w:val="00070D33"/>
    <w:rsid w:val="00071425"/>
    <w:rsid w:val="000718D7"/>
    <w:rsid w:val="000719DD"/>
    <w:rsid w:val="00071B00"/>
    <w:rsid w:val="00071B69"/>
    <w:rsid w:val="0007279D"/>
    <w:rsid w:val="00072C6A"/>
    <w:rsid w:val="00072CEF"/>
    <w:rsid w:val="00073980"/>
    <w:rsid w:val="00073B25"/>
    <w:rsid w:val="00073CC3"/>
    <w:rsid w:val="0007407B"/>
    <w:rsid w:val="0007415D"/>
    <w:rsid w:val="00074B35"/>
    <w:rsid w:val="00074DC6"/>
    <w:rsid w:val="00075872"/>
    <w:rsid w:val="00076E74"/>
    <w:rsid w:val="0007718A"/>
    <w:rsid w:val="000773C1"/>
    <w:rsid w:val="000777BF"/>
    <w:rsid w:val="00077B67"/>
    <w:rsid w:val="000800C1"/>
    <w:rsid w:val="00080405"/>
    <w:rsid w:val="0008126C"/>
    <w:rsid w:val="000820EA"/>
    <w:rsid w:val="00082103"/>
    <w:rsid w:val="00082315"/>
    <w:rsid w:val="0008231B"/>
    <w:rsid w:val="00082759"/>
    <w:rsid w:val="00083264"/>
    <w:rsid w:val="0008360F"/>
    <w:rsid w:val="0008399F"/>
    <w:rsid w:val="0008411F"/>
    <w:rsid w:val="00084DD7"/>
    <w:rsid w:val="00084E84"/>
    <w:rsid w:val="00085E27"/>
    <w:rsid w:val="00085F54"/>
    <w:rsid w:val="000870AA"/>
    <w:rsid w:val="00087392"/>
    <w:rsid w:val="00087B94"/>
    <w:rsid w:val="00087F12"/>
    <w:rsid w:val="00090652"/>
    <w:rsid w:val="00090663"/>
    <w:rsid w:val="00090B30"/>
    <w:rsid w:val="00090CBE"/>
    <w:rsid w:val="000911EE"/>
    <w:rsid w:val="00092CF6"/>
    <w:rsid w:val="00093423"/>
    <w:rsid w:val="000939F8"/>
    <w:rsid w:val="00093B42"/>
    <w:rsid w:val="000951FD"/>
    <w:rsid w:val="000964BB"/>
    <w:rsid w:val="000970E7"/>
    <w:rsid w:val="0009716E"/>
    <w:rsid w:val="00097A66"/>
    <w:rsid w:val="00097D15"/>
    <w:rsid w:val="000A0A0E"/>
    <w:rsid w:val="000A13A6"/>
    <w:rsid w:val="000A180B"/>
    <w:rsid w:val="000A1D65"/>
    <w:rsid w:val="000A2544"/>
    <w:rsid w:val="000A2A05"/>
    <w:rsid w:val="000A2D60"/>
    <w:rsid w:val="000A3E2C"/>
    <w:rsid w:val="000A409F"/>
    <w:rsid w:val="000A428C"/>
    <w:rsid w:val="000A5690"/>
    <w:rsid w:val="000A579E"/>
    <w:rsid w:val="000A5AD2"/>
    <w:rsid w:val="000A666E"/>
    <w:rsid w:val="000A6C3C"/>
    <w:rsid w:val="000A6CE7"/>
    <w:rsid w:val="000A6D7E"/>
    <w:rsid w:val="000A74D5"/>
    <w:rsid w:val="000A7F94"/>
    <w:rsid w:val="000B02A8"/>
    <w:rsid w:val="000B16EF"/>
    <w:rsid w:val="000B1845"/>
    <w:rsid w:val="000B2350"/>
    <w:rsid w:val="000B2484"/>
    <w:rsid w:val="000B2ACF"/>
    <w:rsid w:val="000B31AD"/>
    <w:rsid w:val="000B459B"/>
    <w:rsid w:val="000B5078"/>
    <w:rsid w:val="000B591D"/>
    <w:rsid w:val="000B5EC8"/>
    <w:rsid w:val="000B5F1E"/>
    <w:rsid w:val="000B63FF"/>
    <w:rsid w:val="000B687A"/>
    <w:rsid w:val="000B68BC"/>
    <w:rsid w:val="000B6B4F"/>
    <w:rsid w:val="000B6DEC"/>
    <w:rsid w:val="000B73E2"/>
    <w:rsid w:val="000B78A6"/>
    <w:rsid w:val="000C0414"/>
    <w:rsid w:val="000C15F5"/>
    <w:rsid w:val="000C1C3B"/>
    <w:rsid w:val="000C27A6"/>
    <w:rsid w:val="000C5E92"/>
    <w:rsid w:val="000C6304"/>
    <w:rsid w:val="000C7F2C"/>
    <w:rsid w:val="000D0012"/>
    <w:rsid w:val="000D012D"/>
    <w:rsid w:val="000D01F3"/>
    <w:rsid w:val="000D0442"/>
    <w:rsid w:val="000D1383"/>
    <w:rsid w:val="000D1CCA"/>
    <w:rsid w:val="000D20EE"/>
    <w:rsid w:val="000D2103"/>
    <w:rsid w:val="000D247C"/>
    <w:rsid w:val="000D2B29"/>
    <w:rsid w:val="000D3043"/>
    <w:rsid w:val="000D32AF"/>
    <w:rsid w:val="000D3C69"/>
    <w:rsid w:val="000D3DC9"/>
    <w:rsid w:val="000D42EC"/>
    <w:rsid w:val="000D42FC"/>
    <w:rsid w:val="000D4824"/>
    <w:rsid w:val="000D4908"/>
    <w:rsid w:val="000D50AA"/>
    <w:rsid w:val="000D581A"/>
    <w:rsid w:val="000D5C03"/>
    <w:rsid w:val="000D6551"/>
    <w:rsid w:val="000D6661"/>
    <w:rsid w:val="000D7331"/>
    <w:rsid w:val="000D792E"/>
    <w:rsid w:val="000D7C0F"/>
    <w:rsid w:val="000D7E2D"/>
    <w:rsid w:val="000E02E9"/>
    <w:rsid w:val="000E0988"/>
    <w:rsid w:val="000E0BFF"/>
    <w:rsid w:val="000E1656"/>
    <w:rsid w:val="000E20D3"/>
    <w:rsid w:val="000E34C7"/>
    <w:rsid w:val="000E3CC7"/>
    <w:rsid w:val="000E5258"/>
    <w:rsid w:val="000E56D9"/>
    <w:rsid w:val="000E5802"/>
    <w:rsid w:val="000E5D64"/>
    <w:rsid w:val="000E6379"/>
    <w:rsid w:val="000E651F"/>
    <w:rsid w:val="000E69A4"/>
    <w:rsid w:val="000E72D8"/>
    <w:rsid w:val="000E7481"/>
    <w:rsid w:val="000E7C32"/>
    <w:rsid w:val="000F03C1"/>
    <w:rsid w:val="000F0694"/>
    <w:rsid w:val="000F0930"/>
    <w:rsid w:val="000F105F"/>
    <w:rsid w:val="000F2DC3"/>
    <w:rsid w:val="000F3307"/>
    <w:rsid w:val="000F3610"/>
    <w:rsid w:val="000F4885"/>
    <w:rsid w:val="000F4CBB"/>
    <w:rsid w:val="000F4CE7"/>
    <w:rsid w:val="000F68C8"/>
    <w:rsid w:val="000F6BF6"/>
    <w:rsid w:val="00100C28"/>
    <w:rsid w:val="0010104B"/>
    <w:rsid w:val="001016E2"/>
    <w:rsid w:val="001016E9"/>
    <w:rsid w:val="00101CB5"/>
    <w:rsid w:val="0010305D"/>
    <w:rsid w:val="00103257"/>
    <w:rsid w:val="001044DA"/>
    <w:rsid w:val="00104A4D"/>
    <w:rsid w:val="00105CB4"/>
    <w:rsid w:val="00105F83"/>
    <w:rsid w:val="00105FA8"/>
    <w:rsid w:val="00106525"/>
    <w:rsid w:val="00106648"/>
    <w:rsid w:val="001071BE"/>
    <w:rsid w:val="0010724C"/>
    <w:rsid w:val="001077B7"/>
    <w:rsid w:val="00110B84"/>
    <w:rsid w:val="00110D7F"/>
    <w:rsid w:val="001112E2"/>
    <w:rsid w:val="00112031"/>
    <w:rsid w:val="00113E04"/>
    <w:rsid w:val="00114FE8"/>
    <w:rsid w:val="00115603"/>
    <w:rsid w:val="00115ADD"/>
    <w:rsid w:val="001169BC"/>
    <w:rsid w:val="00116B81"/>
    <w:rsid w:val="00116BFB"/>
    <w:rsid w:val="0011794F"/>
    <w:rsid w:val="00117C7E"/>
    <w:rsid w:val="0012025A"/>
    <w:rsid w:val="0012109E"/>
    <w:rsid w:val="0012185D"/>
    <w:rsid w:val="00121861"/>
    <w:rsid w:val="00121A5C"/>
    <w:rsid w:val="001227FE"/>
    <w:rsid w:val="0012284F"/>
    <w:rsid w:val="00122AA2"/>
    <w:rsid w:val="00122EF4"/>
    <w:rsid w:val="00123331"/>
    <w:rsid w:val="00123E77"/>
    <w:rsid w:val="00124576"/>
    <w:rsid w:val="00124634"/>
    <w:rsid w:val="00124FAC"/>
    <w:rsid w:val="001252BD"/>
    <w:rsid w:val="00126418"/>
    <w:rsid w:val="00126723"/>
    <w:rsid w:val="001267F7"/>
    <w:rsid w:val="0012739A"/>
    <w:rsid w:val="00127EB3"/>
    <w:rsid w:val="00127FFE"/>
    <w:rsid w:val="00130E46"/>
    <w:rsid w:val="00131104"/>
    <w:rsid w:val="00131882"/>
    <w:rsid w:val="0013190A"/>
    <w:rsid w:val="00131B8E"/>
    <w:rsid w:val="00131E0D"/>
    <w:rsid w:val="00132750"/>
    <w:rsid w:val="00133077"/>
    <w:rsid w:val="00133245"/>
    <w:rsid w:val="0013336F"/>
    <w:rsid w:val="0013418E"/>
    <w:rsid w:val="00134510"/>
    <w:rsid w:val="00134711"/>
    <w:rsid w:val="001350BF"/>
    <w:rsid w:val="00135827"/>
    <w:rsid w:val="001364BE"/>
    <w:rsid w:val="00136745"/>
    <w:rsid w:val="00136E71"/>
    <w:rsid w:val="001376F9"/>
    <w:rsid w:val="00137BF4"/>
    <w:rsid w:val="001408C0"/>
    <w:rsid w:val="00140BA2"/>
    <w:rsid w:val="00140C33"/>
    <w:rsid w:val="00141A0B"/>
    <w:rsid w:val="001430F2"/>
    <w:rsid w:val="0014362D"/>
    <w:rsid w:val="0014394D"/>
    <w:rsid w:val="00143998"/>
    <w:rsid w:val="001439AE"/>
    <w:rsid w:val="00143A08"/>
    <w:rsid w:val="00143AF4"/>
    <w:rsid w:val="00143B0C"/>
    <w:rsid w:val="001442AA"/>
    <w:rsid w:val="00145461"/>
    <w:rsid w:val="001458AC"/>
    <w:rsid w:val="001459F0"/>
    <w:rsid w:val="001465A6"/>
    <w:rsid w:val="00146771"/>
    <w:rsid w:val="00146A32"/>
    <w:rsid w:val="00146D96"/>
    <w:rsid w:val="00147FD2"/>
    <w:rsid w:val="00150714"/>
    <w:rsid w:val="00150964"/>
    <w:rsid w:val="00151EE7"/>
    <w:rsid w:val="001520F2"/>
    <w:rsid w:val="00152129"/>
    <w:rsid w:val="001528F1"/>
    <w:rsid w:val="0015436B"/>
    <w:rsid w:val="001543FE"/>
    <w:rsid w:val="00154788"/>
    <w:rsid w:val="001547BF"/>
    <w:rsid w:val="001548B2"/>
    <w:rsid w:val="00154BEE"/>
    <w:rsid w:val="00155471"/>
    <w:rsid w:val="001564C5"/>
    <w:rsid w:val="001567DA"/>
    <w:rsid w:val="001579CF"/>
    <w:rsid w:val="00160E10"/>
    <w:rsid w:val="0016124B"/>
    <w:rsid w:val="00161924"/>
    <w:rsid w:val="00162147"/>
    <w:rsid w:val="00162C55"/>
    <w:rsid w:val="00163615"/>
    <w:rsid w:val="00163B5C"/>
    <w:rsid w:val="00164C95"/>
    <w:rsid w:val="00165163"/>
    <w:rsid w:val="00165F24"/>
    <w:rsid w:val="00166B34"/>
    <w:rsid w:val="00170A60"/>
    <w:rsid w:val="00170B3F"/>
    <w:rsid w:val="00170CB5"/>
    <w:rsid w:val="00171034"/>
    <w:rsid w:val="001711F9"/>
    <w:rsid w:val="001714BD"/>
    <w:rsid w:val="00171905"/>
    <w:rsid w:val="001719AA"/>
    <w:rsid w:val="00171DA9"/>
    <w:rsid w:val="00171E15"/>
    <w:rsid w:val="00171ED8"/>
    <w:rsid w:val="00171F8A"/>
    <w:rsid w:val="00172AC1"/>
    <w:rsid w:val="00172B94"/>
    <w:rsid w:val="001730DD"/>
    <w:rsid w:val="00173166"/>
    <w:rsid w:val="001734D7"/>
    <w:rsid w:val="0017473C"/>
    <w:rsid w:val="001747ED"/>
    <w:rsid w:val="001750FA"/>
    <w:rsid w:val="00175A68"/>
    <w:rsid w:val="00176CDC"/>
    <w:rsid w:val="001811D6"/>
    <w:rsid w:val="001816C4"/>
    <w:rsid w:val="001822D3"/>
    <w:rsid w:val="00182734"/>
    <w:rsid w:val="001834D1"/>
    <w:rsid w:val="00183AF2"/>
    <w:rsid w:val="0018479F"/>
    <w:rsid w:val="00184E76"/>
    <w:rsid w:val="0018503B"/>
    <w:rsid w:val="001855A7"/>
    <w:rsid w:val="0018589A"/>
    <w:rsid w:val="00185A7C"/>
    <w:rsid w:val="00185A82"/>
    <w:rsid w:val="00187D0A"/>
    <w:rsid w:val="00191690"/>
    <w:rsid w:val="00191AA1"/>
    <w:rsid w:val="0019211C"/>
    <w:rsid w:val="00192E2A"/>
    <w:rsid w:val="00193DEE"/>
    <w:rsid w:val="001946DF"/>
    <w:rsid w:val="00194A3E"/>
    <w:rsid w:val="001952FE"/>
    <w:rsid w:val="00195836"/>
    <w:rsid w:val="00196239"/>
    <w:rsid w:val="0019654F"/>
    <w:rsid w:val="0019768F"/>
    <w:rsid w:val="0019787F"/>
    <w:rsid w:val="00197924"/>
    <w:rsid w:val="001A130D"/>
    <w:rsid w:val="001A1B13"/>
    <w:rsid w:val="001A1C39"/>
    <w:rsid w:val="001A1EF9"/>
    <w:rsid w:val="001A3B46"/>
    <w:rsid w:val="001A469D"/>
    <w:rsid w:val="001A50AC"/>
    <w:rsid w:val="001A5AE8"/>
    <w:rsid w:val="001A5D8B"/>
    <w:rsid w:val="001A62B5"/>
    <w:rsid w:val="001A68CB"/>
    <w:rsid w:val="001A6A89"/>
    <w:rsid w:val="001A6D81"/>
    <w:rsid w:val="001A6FF4"/>
    <w:rsid w:val="001A7082"/>
    <w:rsid w:val="001A7214"/>
    <w:rsid w:val="001A75FB"/>
    <w:rsid w:val="001A7A69"/>
    <w:rsid w:val="001A7B7D"/>
    <w:rsid w:val="001B05C9"/>
    <w:rsid w:val="001B0E13"/>
    <w:rsid w:val="001B0EDD"/>
    <w:rsid w:val="001B1796"/>
    <w:rsid w:val="001B28BC"/>
    <w:rsid w:val="001B2EF1"/>
    <w:rsid w:val="001B3114"/>
    <w:rsid w:val="001B3735"/>
    <w:rsid w:val="001B3872"/>
    <w:rsid w:val="001B38AE"/>
    <w:rsid w:val="001B40B8"/>
    <w:rsid w:val="001B47F2"/>
    <w:rsid w:val="001B513E"/>
    <w:rsid w:val="001B5FC8"/>
    <w:rsid w:val="001B663B"/>
    <w:rsid w:val="001B69C5"/>
    <w:rsid w:val="001B6EC9"/>
    <w:rsid w:val="001B74D0"/>
    <w:rsid w:val="001B7ED0"/>
    <w:rsid w:val="001C07D8"/>
    <w:rsid w:val="001C0A49"/>
    <w:rsid w:val="001C0D2A"/>
    <w:rsid w:val="001C1B0D"/>
    <w:rsid w:val="001C22AC"/>
    <w:rsid w:val="001C2F37"/>
    <w:rsid w:val="001C3032"/>
    <w:rsid w:val="001C3427"/>
    <w:rsid w:val="001C36E8"/>
    <w:rsid w:val="001C3859"/>
    <w:rsid w:val="001C39AF"/>
    <w:rsid w:val="001C3BE8"/>
    <w:rsid w:val="001C3D41"/>
    <w:rsid w:val="001C3FDA"/>
    <w:rsid w:val="001C401C"/>
    <w:rsid w:val="001C4764"/>
    <w:rsid w:val="001C49A1"/>
    <w:rsid w:val="001C4A9A"/>
    <w:rsid w:val="001C4F20"/>
    <w:rsid w:val="001C520A"/>
    <w:rsid w:val="001C53B6"/>
    <w:rsid w:val="001C63CA"/>
    <w:rsid w:val="001C6541"/>
    <w:rsid w:val="001C67CE"/>
    <w:rsid w:val="001C712C"/>
    <w:rsid w:val="001C7413"/>
    <w:rsid w:val="001C752D"/>
    <w:rsid w:val="001C7AA3"/>
    <w:rsid w:val="001C7CE6"/>
    <w:rsid w:val="001C7EEC"/>
    <w:rsid w:val="001D0222"/>
    <w:rsid w:val="001D0F78"/>
    <w:rsid w:val="001D2877"/>
    <w:rsid w:val="001D2DE5"/>
    <w:rsid w:val="001D32F3"/>
    <w:rsid w:val="001D374F"/>
    <w:rsid w:val="001D388F"/>
    <w:rsid w:val="001D4693"/>
    <w:rsid w:val="001D46BB"/>
    <w:rsid w:val="001D47A2"/>
    <w:rsid w:val="001D4C30"/>
    <w:rsid w:val="001D5916"/>
    <w:rsid w:val="001D6C15"/>
    <w:rsid w:val="001D7150"/>
    <w:rsid w:val="001E0076"/>
    <w:rsid w:val="001E074C"/>
    <w:rsid w:val="001E0A1B"/>
    <w:rsid w:val="001E0AEA"/>
    <w:rsid w:val="001E0EC4"/>
    <w:rsid w:val="001E1249"/>
    <w:rsid w:val="001E132D"/>
    <w:rsid w:val="001E187A"/>
    <w:rsid w:val="001E1D8B"/>
    <w:rsid w:val="001E1DC8"/>
    <w:rsid w:val="001E1E8D"/>
    <w:rsid w:val="001E2B78"/>
    <w:rsid w:val="001E3614"/>
    <w:rsid w:val="001E4BEA"/>
    <w:rsid w:val="001E4E60"/>
    <w:rsid w:val="001E5715"/>
    <w:rsid w:val="001E5BD4"/>
    <w:rsid w:val="001E6381"/>
    <w:rsid w:val="001E6652"/>
    <w:rsid w:val="001E7EE6"/>
    <w:rsid w:val="001F02FC"/>
    <w:rsid w:val="001F040F"/>
    <w:rsid w:val="001F1215"/>
    <w:rsid w:val="001F199D"/>
    <w:rsid w:val="001F19F3"/>
    <w:rsid w:val="001F19F4"/>
    <w:rsid w:val="001F1A34"/>
    <w:rsid w:val="001F340A"/>
    <w:rsid w:val="001F44F8"/>
    <w:rsid w:val="001F4E17"/>
    <w:rsid w:val="001F4FC5"/>
    <w:rsid w:val="001F6569"/>
    <w:rsid w:val="001F6690"/>
    <w:rsid w:val="001F66CC"/>
    <w:rsid w:val="001F66E6"/>
    <w:rsid w:val="001F7369"/>
    <w:rsid w:val="0020086E"/>
    <w:rsid w:val="002011A4"/>
    <w:rsid w:val="002012DE"/>
    <w:rsid w:val="00201809"/>
    <w:rsid w:val="00201B2A"/>
    <w:rsid w:val="00201B93"/>
    <w:rsid w:val="00202103"/>
    <w:rsid w:val="00202616"/>
    <w:rsid w:val="00202B13"/>
    <w:rsid w:val="00202DC0"/>
    <w:rsid w:val="00203BF3"/>
    <w:rsid w:val="00204BF1"/>
    <w:rsid w:val="00205942"/>
    <w:rsid w:val="00205AF7"/>
    <w:rsid w:val="00206139"/>
    <w:rsid w:val="00206A89"/>
    <w:rsid w:val="00206CAD"/>
    <w:rsid w:val="002077D2"/>
    <w:rsid w:val="002079CC"/>
    <w:rsid w:val="00207D6C"/>
    <w:rsid w:val="00207DF7"/>
    <w:rsid w:val="0021023A"/>
    <w:rsid w:val="002106A5"/>
    <w:rsid w:val="00212077"/>
    <w:rsid w:val="002128FD"/>
    <w:rsid w:val="00212F70"/>
    <w:rsid w:val="00213188"/>
    <w:rsid w:val="0021321F"/>
    <w:rsid w:val="00213AFD"/>
    <w:rsid w:val="00213E36"/>
    <w:rsid w:val="002143FE"/>
    <w:rsid w:val="00214AC0"/>
    <w:rsid w:val="00214BB8"/>
    <w:rsid w:val="002151EE"/>
    <w:rsid w:val="0021636D"/>
    <w:rsid w:val="0021663A"/>
    <w:rsid w:val="00216B03"/>
    <w:rsid w:val="00216BB3"/>
    <w:rsid w:val="00216CB1"/>
    <w:rsid w:val="0021702F"/>
    <w:rsid w:val="00217C21"/>
    <w:rsid w:val="0022131A"/>
    <w:rsid w:val="00221D4B"/>
    <w:rsid w:val="00222616"/>
    <w:rsid w:val="00222E83"/>
    <w:rsid w:val="002236E8"/>
    <w:rsid w:val="00224504"/>
    <w:rsid w:val="00224800"/>
    <w:rsid w:val="002248CD"/>
    <w:rsid w:val="00224C9F"/>
    <w:rsid w:val="00224EF5"/>
    <w:rsid w:val="00224F34"/>
    <w:rsid w:val="0022597B"/>
    <w:rsid w:val="00225D4D"/>
    <w:rsid w:val="00226032"/>
    <w:rsid w:val="0022646E"/>
    <w:rsid w:val="0022660A"/>
    <w:rsid w:val="0022685E"/>
    <w:rsid w:val="00226952"/>
    <w:rsid w:val="002278DF"/>
    <w:rsid w:val="00227B21"/>
    <w:rsid w:val="00230115"/>
    <w:rsid w:val="00230443"/>
    <w:rsid w:val="00231ED6"/>
    <w:rsid w:val="002322D1"/>
    <w:rsid w:val="00232871"/>
    <w:rsid w:val="00232BDD"/>
    <w:rsid w:val="00232E72"/>
    <w:rsid w:val="00233047"/>
    <w:rsid w:val="00233E3E"/>
    <w:rsid w:val="00234BB1"/>
    <w:rsid w:val="00234CE6"/>
    <w:rsid w:val="00235A83"/>
    <w:rsid w:val="00235AA4"/>
    <w:rsid w:val="00236640"/>
    <w:rsid w:val="002369BA"/>
    <w:rsid w:val="00236BCB"/>
    <w:rsid w:val="00240418"/>
    <w:rsid w:val="00240D74"/>
    <w:rsid w:val="00240E58"/>
    <w:rsid w:val="002413C5"/>
    <w:rsid w:val="0024151B"/>
    <w:rsid w:val="00241E77"/>
    <w:rsid w:val="00242715"/>
    <w:rsid w:val="0024272F"/>
    <w:rsid w:val="00242A25"/>
    <w:rsid w:val="00243010"/>
    <w:rsid w:val="00243FE9"/>
    <w:rsid w:val="00244445"/>
    <w:rsid w:val="002446CD"/>
    <w:rsid w:val="00244ACA"/>
    <w:rsid w:val="0024504F"/>
    <w:rsid w:val="00245941"/>
    <w:rsid w:val="00245CC4"/>
    <w:rsid w:val="00246559"/>
    <w:rsid w:val="00247149"/>
    <w:rsid w:val="00247474"/>
    <w:rsid w:val="0025051C"/>
    <w:rsid w:val="00250805"/>
    <w:rsid w:val="00251168"/>
    <w:rsid w:val="00251A39"/>
    <w:rsid w:val="00251C6A"/>
    <w:rsid w:val="0025205B"/>
    <w:rsid w:val="002520CE"/>
    <w:rsid w:val="002526BF"/>
    <w:rsid w:val="002535C5"/>
    <w:rsid w:val="00253F7D"/>
    <w:rsid w:val="002541E0"/>
    <w:rsid w:val="0025460F"/>
    <w:rsid w:val="002546C0"/>
    <w:rsid w:val="00255609"/>
    <w:rsid w:val="002559FF"/>
    <w:rsid w:val="00255AD7"/>
    <w:rsid w:val="00255B03"/>
    <w:rsid w:val="00256094"/>
    <w:rsid w:val="0025611B"/>
    <w:rsid w:val="00256919"/>
    <w:rsid w:val="00256EBB"/>
    <w:rsid w:val="00261143"/>
    <w:rsid w:val="00262485"/>
    <w:rsid w:val="002626DE"/>
    <w:rsid w:val="0026299A"/>
    <w:rsid w:val="00262B05"/>
    <w:rsid w:val="00263920"/>
    <w:rsid w:val="00264172"/>
    <w:rsid w:val="002654B4"/>
    <w:rsid w:val="00266056"/>
    <w:rsid w:val="00266538"/>
    <w:rsid w:val="00267752"/>
    <w:rsid w:val="002677CC"/>
    <w:rsid w:val="00267C40"/>
    <w:rsid w:val="00267CEC"/>
    <w:rsid w:val="00270073"/>
    <w:rsid w:val="00270173"/>
    <w:rsid w:val="00270222"/>
    <w:rsid w:val="002702FB"/>
    <w:rsid w:val="00270479"/>
    <w:rsid w:val="002708CB"/>
    <w:rsid w:val="00270D2A"/>
    <w:rsid w:val="0027154C"/>
    <w:rsid w:val="00271695"/>
    <w:rsid w:val="002716CC"/>
    <w:rsid w:val="0027200F"/>
    <w:rsid w:val="002724C8"/>
    <w:rsid w:val="0027356F"/>
    <w:rsid w:val="002738C5"/>
    <w:rsid w:val="0027391E"/>
    <w:rsid w:val="00273A43"/>
    <w:rsid w:val="00273D1A"/>
    <w:rsid w:val="0027434E"/>
    <w:rsid w:val="00275888"/>
    <w:rsid w:val="00275930"/>
    <w:rsid w:val="00275A99"/>
    <w:rsid w:val="002760C9"/>
    <w:rsid w:val="002771D4"/>
    <w:rsid w:val="00277337"/>
    <w:rsid w:val="00277464"/>
    <w:rsid w:val="00281739"/>
    <w:rsid w:val="00281E15"/>
    <w:rsid w:val="00281E90"/>
    <w:rsid w:val="00281ED6"/>
    <w:rsid w:val="00282084"/>
    <w:rsid w:val="00282CFC"/>
    <w:rsid w:val="00282DCA"/>
    <w:rsid w:val="00282E6E"/>
    <w:rsid w:val="00282FAF"/>
    <w:rsid w:val="00283189"/>
    <w:rsid w:val="002832E8"/>
    <w:rsid w:val="002834F5"/>
    <w:rsid w:val="00283AA8"/>
    <w:rsid w:val="00283BEF"/>
    <w:rsid w:val="00283CA6"/>
    <w:rsid w:val="00283D1A"/>
    <w:rsid w:val="002848D2"/>
    <w:rsid w:val="0028548F"/>
    <w:rsid w:val="00286089"/>
    <w:rsid w:val="00286098"/>
    <w:rsid w:val="002860E5"/>
    <w:rsid w:val="002862DC"/>
    <w:rsid w:val="00286B59"/>
    <w:rsid w:val="00290A6A"/>
    <w:rsid w:val="002910D7"/>
    <w:rsid w:val="00291243"/>
    <w:rsid w:val="0029231A"/>
    <w:rsid w:val="00292357"/>
    <w:rsid w:val="00292613"/>
    <w:rsid w:val="00292B5D"/>
    <w:rsid w:val="002932C5"/>
    <w:rsid w:val="002943BA"/>
    <w:rsid w:val="00294F2D"/>
    <w:rsid w:val="0029547E"/>
    <w:rsid w:val="00295938"/>
    <w:rsid w:val="00296D49"/>
    <w:rsid w:val="00297811"/>
    <w:rsid w:val="00297812"/>
    <w:rsid w:val="00297E5D"/>
    <w:rsid w:val="002A00C2"/>
    <w:rsid w:val="002A0DDE"/>
    <w:rsid w:val="002A0FB3"/>
    <w:rsid w:val="002A145A"/>
    <w:rsid w:val="002A1845"/>
    <w:rsid w:val="002A1FDC"/>
    <w:rsid w:val="002A2333"/>
    <w:rsid w:val="002A2CD7"/>
    <w:rsid w:val="002A35A3"/>
    <w:rsid w:val="002A36CB"/>
    <w:rsid w:val="002A3D99"/>
    <w:rsid w:val="002A3E1B"/>
    <w:rsid w:val="002A40B8"/>
    <w:rsid w:val="002A41B9"/>
    <w:rsid w:val="002A42C5"/>
    <w:rsid w:val="002A4583"/>
    <w:rsid w:val="002A4BF2"/>
    <w:rsid w:val="002A4FAB"/>
    <w:rsid w:val="002A5A2C"/>
    <w:rsid w:val="002A6356"/>
    <w:rsid w:val="002A6797"/>
    <w:rsid w:val="002A6E1D"/>
    <w:rsid w:val="002A71B0"/>
    <w:rsid w:val="002A7513"/>
    <w:rsid w:val="002B023E"/>
    <w:rsid w:val="002B15C3"/>
    <w:rsid w:val="002B250A"/>
    <w:rsid w:val="002B3142"/>
    <w:rsid w:val="002B3699"/>
    <w:rsid w:val="002B43CC"/>
    <w:rsid w:val="002B4F7C"/>
    <w:rsid w:val="002B5540"/>
    <w:rsid w:val="002B5641"/>
    <w:rsid w:val="002B571C"/>
    <w:rsid w:val="002B58FE"/>
    <w:rsid w:val="002B65C2"/>
    <w:rsid w:val="002C06E4"/>
    <w:rsid w:val="002C0F82"/>
    <w:rsid w:val="002C1044"/>
    <w:rsid w:val="002C121C"/>
    <w:rsid w:val="002C1B0C"/>
    <w:rsid w:val="002C21DD"/>
    <w:rsid w:val="002C22FC"/>
    <w:rsid w:val="002C2514"/>
    <w:rsid w:val="002C2C97"/>
    <w:rsid w:val="002C3421"/>
    <w:rsid w:val="002C373B"/>
    <w:rsid w:val="002C3A22"/>
    <w:rsid w:val="002C44AF"/>
    <w:rsid w:val="002C4895"/>
    <w:rsid w:val="002C4BCB"/>
    <w:rsid w:val="002C584F"/>
    <w:rsid w:val="002C5A79"/>
    <w:rsid w:val="002C6714"/>
    <w:rsid w:val="002C672B"/>
    <w:rsid w:val="002C6EB7"/>
    <w:rsid w:val="002C7B6D"/>
    <w:rsid w:val="002C7CB4"/>
    <w:rsid w:val="002D023B"/>
    <w:rsid w:val="002D12D4"/>
    <w:rsid w:val="002D16B2"/>
    <w:rsid w:val="002D2679"/>
    <w:rsid w:val="002D3217"/>
    <w:rsid w:val="002D33C6"/>
    <w:rsid w:val="002D3DA2"/>
    <w:rsid w:val="002D3DCF"/>
    <w:rsid w:val="002D447C"/>
    <w:rsid w:val="002D4E65"/>
    <w:rsid w:val="002D546E"/>
    <w:rsid w:val="002D54A5"/>
    <w:rsid w:val="002D5983"/>
    <w:rsid w:val="002D5F39"/>
    <w:rsid w:val="002D6B62"/>
    <w:rsid w:val="002D6FD6"/>
    <w:rsid w:val="002D70AA"/>
    <w:rsid w:val="002D7FB3"/>
    <w:rsid w:val="002E0627"/>
    <w:rsid w:val="002E0721"/>
    <w:rsid w:val="002E1DDA"/>
    <w:rsid w:val="002E1EFF"/>
    <w:rsid w:val="002E2784"/>
    <w:rsid w:val="002E2AAB"/>
    <w:rsid w:val="002E2AD3"/>
    <w:rsid w:val="002E2D85"/>
    <w:rsid w:val="002E3B2D"/>
    <w:rsid w:val="002E4C6C"/>
    <w:rsid w:val="002E4F89"/>
    <w:rsid w:val="002E579E"/>
    <w:rsid w:val="002E5853"/>
    <w:rsid w:val="002E6045"/>
    <w:rsid w:val="002E6238"/>
    <w:rsid w:val="002E66F1"/>
    <w:rsid w:val="002E66F2"/>
    <w:rsid w:val="002E71BE"/>
    <w:rsid w:val="002E7DA1"/>
    <w:rsid w:val="002F0197"/>
    <w:rsid w:val="002F0EC4"/>
    <w:rsid w:val="002F1EC4"/>
    <w:rsid w:val="002F2655"/>
    <w:rsid w:val="002F2685"/>
    <w:rsid w:val="002F37CF"/>
    <w:rsid w:val="002F39DE"/>
    <w:rsid w:val="002F3B0A"/>
    <w:rsid w:val="002F3C37"/>
    <w:rsid w:val="002F5117"/>
    <w:rsid w:val="002F518F"/>
    <w:rsid w:val="002F552D"/>
    <w:rsid w:val="002F726F"/>
    <w:rsid w:val="002F74E1"/>
    <w:rsid w:val="002F7727"/>
    <w:rsid w:val="00300343"/>
    <w:rsid w:val="00301728"/>
    <w:rsid w:val="00301F37"/>
    <w:rsid w:val="003033AE"/>
    <w:rsid w:val="003033F3"/>
    <w:rsid w:val="00303651"/>
    <w:rsid w:val="00304DEF"/>
    <w:rsid w:val="003054F9"/>
    <w:rsid w:val="00305602"/>
    <w:rsid w:val="00305D1A"/>
    <w:rsid w:val="0030630A"/>
    <w:rsid w:val="0030707B"/>
    <w:rsid w:val="00307431"/>
    <w:rsid w:val="00307721"/>
    <w:rsid w:val="003077DA"/>
    <w:rsid w:val="00310C1B"/>
    <w:rsid w:val="00310E80"/>
    <w:rsid w:val="00312480"/>
    <w:rsid w:val="00312FAE"/>
    <w:rsid w:val="00314285"/>
    <w:rsid w:val="00314990"/>
    <w:rsid w:val="00315D84"/>
    <w:rsid w:val="00315E66"/>
    <w:rsid w:val="0031613C"/>
    <w:rsid w:val="003161EB"/>
    <w:rsid w:val="003164BB"/>
    <w:rsid w:val="00317220"/>
    <w:rsid w:val="00317CBB"/>
    <w:rsid w:val="00317D63"/>
    <w:rsid w:val="003206F0"/>
    <w:rsid w:val="00320A3B"/>
    <w:rsid w:val="00320C00"/>
    <w:rsid w:val="00321279"/>
    <w:rsid w:val="0032338D"/>
    <w:rsid w:val="00323831"/>
    <w:rsid w:val="0032420F"/>
    <w:rsid w:val="0032493B"/>
    <w:rsid w:val="00325669"/>
    <w:rsid w:val="00326363"/>
    <w:rsid w:val="00326A6D"/>
    <w:rsid w:val="003270E7"/>
    <w:rsid w:val="003271B5"/>
    <w:rsid w:val="0032744D"/>
    <w:rsid w:val="003276EB"/>
    <w:rsid w:val="003304E9"/>
    <w:rsid w:val="003306FD"/>
    <w:rsid w:val="00330E44"/>
    <w:rsid w:val="00332AFD"/>
    <w:rsid w:val="00333555"/>
    <w:rsid w:val="00333918"/>
    <w:rsid w:val="003339BC"/>
    <w:rsid w:val="00333B5F"/>
    <w:rsid w:val="00334369"/>
    <w:rsid w:val="00334937"/>
    <w:rsid w:val="00334F51"/>
    <w:rsid w:val="00336BB8"/>
    <w:rsid w:val="0033702E"/>
    <w:rsid w:val="003379F0"/>
    <w:rsid w:val="0034041E"/>
    <w:rsid w:val="003416CE"/>
    <w:rsid w:val="00342A5E"/>
    <w:rsid w:val="00343320"/>
    <w:rsid w:val="00344270"/>
    <w:rsid w:val="00344EDC"/>
    <w:rsid w:val="00345086"/>
    <w:rsid w:val="00346217"/>
    <w:rsid w:val="00346395"/>
    <w:rsid w:val="00347423"/>
    <w:rsid w:val="00347681"/>
    <w:rsid w:val="00347ACA"/>
    <w:rsid w:val="003503F0"/>
    <w:rsid w:val="0035049F"/>
    <w:rsid w:val="003504E3"/>
    <w:rsid w:val="00350526"/>
    <w:rsid w:val="00350563"/>
    <w:rsid w:val="003506C3"/>
    <w:rsid w:val="003513FA"/>
    <w:rsid w:val="003520FA"/>
    <w:rsid w:val="00353639"/>
    <w:rsid w:val="00353778"/>
    <w:rsid w:val="00354C74"/>
    <w:rsid w:val="00355CB9"/>
    <w:rsid w:val="0035602E"/>
    <w:rsid w:val="0035620A"/>
    <w:rsid w:val="00356CE3"/>
    <w:rsid w:val="003577DF"/>
    <w:rsid w:val="00357F02"/>
    <w:rsid w:val="00357F16"/>
    <w:rsid w:val="003602F3"/>
    <w:rsid w:val="00360AA8"/>
    <w:rsid w:val="00360BDB"/>
    <w:rsid w:val="00360F43"/>
    <w:rsid w:val="0036135C"/>
    <w:rsid w:val="003615CB"/>
    <w:rsid w:val="00361CE7"/>
    <w:rsid w:val="00362019"/>
    <w:rsid w:val="003627BA"/>
    <w:rsid w:val="00362B79"/>
    <w:rsid w:val="00362C6B"/>
    <w:rsid w:val="003630D0"/>
    <w:rsid w:val="003631F1"/>
    <w:rsid w:val="0036371F"/>
    <w:rsid w:val="003637F3"/>
    <w:rsid w:val="003639E2"/>
    <w:rsid w:val="00364459"/>
    <w:rsid w:val="00364576"/>
    <w:rsid w:val="00365D20"/>
    <w:rsid w:val="003672BD"/>
    <w:rsid w:val="0036781F"/>
    <w:rsid w:val="00370558"/>
    <w:rsid w:val="003705E8"/>
    <w:rsid w:val="00370708"/>
    <w:rsid w:val="00371246"/>
    <w:rsid w:val="00373396"/>
    <w:rsid w:val="0037342B"/>
    <w:rsid w:val="00374232"/>
    <w:rsid w:val="00374B2A"/>
    <w:rsid w:val="00375AEB"/>
    <w:rsid w:val="00375AF3"/>
    <w:rsid w:val="00376700"/>
    <w:rsid w:val="00376914"/>
    <w:rsid w:val="00376D10"/>
    <w:rsid w:val="00381BA6"/>
    <w:rsid w:val="00381D13"/>
    <w:rsid w:val="0038249A"/>
    <w:rsid w:val="003827E0"/>
    <w:rsid w:val="003827FA"/>
    <w:rsid w:val="00383AD7"/>
    <w:rsid w:val="00384635"/>
    <w:rsid w:val="0038465F"/>
    <w:rsid w:val="00384C8A"/>
    <w:rsid w:val="0038523B"/>
    <w:rsid w:val="0038527E"/>
    <w:rsid w:val="0038587F"/>
    <w:rsid w:val="00385CCF"/>
    <w:rsid w:val="00386412"/>
    <w:rsid w:val="00386850"/>
    <w:rsid w:val="00387225"/>
    <w:rsid w:val="00387728"/>
    <w:rsid w:val="00391679"/>
    <w:rsid w:val="003918C0"/>
    <w:rsid w:val="00391FA0"/>
    <w:rsid w:val="00392954"/>
    <w:rsid w:val="00392C00"/>
    <w:rsid w:val="00392E4E"/>
    <w:rsid w:val="00393508"/>
    <w:rsid w:val="003938E3"/>
    <w:rsid w:val="0039392E"/>
    <w:rsid w:val="00393A08"/>
    <w:rsid w:val="00393FE8"/>
    <w:rsid w:val="003957B1"/>
    <w:rsid w:val="00395C8B"/>
    <w:rsid w:val="0039677B"/>
    <w:rsid w:val="00396B05"/>
    <w:rsid w:val="00396C23"/>
    <w:rsid w:val="0039717A"/>
    <w:rsid w:val="00397520"/>
    <w:rsid w:val="00397F7F"/>
    <w:rsid w:val="003A06E2"/>
    <w:rsid w:val="003A0F19"/>
    <w:rsid w:val="003A12DA"/>
    <w:rsid w:val="003A1585"/>
    <w:rsid w:val="003A17EB"/>
    <w:rsid w:val="003A1843"/>
    <w:rsid w:val="003A1D3A"/>
    <w:rsid w:val="003A232B"/>
    <w:rsid w:val="003A26A9"/>
    <w:rsid w:val="003A2B25"/>
    <w:rsid w:val="003A2D7E"/>
    <w:rsid w:val="003A30B0"/>
    <w:rsid w:val="003A3338"/>
    <w:rsid w:val="003A3605"/>
    <w:rsid w:val="003A3AA5"/>
    <w:rsid w:val="003A4528"/>
    <w:rsid w:val="003A7342"/>
    <w:rsid w:val="003A73F0"/>
    <w:rsid w:val="003A7680"/>
    <w:rsid w:val="003A7DBB"/>
    <w:rsid w:val="003A7E5B"/>
    <w:rsid w:val="003A7E91"/>
    <w:rsid w:val="003A7F12"/>
    <w:rsid w:val="003B011F"/>
    <w:rsid w:val="003B0ABC"/>
    <w:rsid w:val="003B1339"/>
    <w:rsid w:val="003B1A97"/>
    <w:rsid w:val="003B1AEC"/>
    <w:rsid w:val="003B388D"/>
    <w:rsid w:val="003B3E8B"/>
    <w:rsid w:val="003B43C6"/>
    <w:rsid w:val="003B5338"/>
    <w:rsid w:val="003B6879"/>
    <w:rsid w:val="003B6BBF"/>
    <w:rsid w:val="003B7467"/>
    <w:rsid w:val="003B75C3"/>
    <w:rsid w:val="003B75CA"/>
    <w:rsid w:val="003B7822"/>
    <w:rsid w:val="003B782E"/>
    <w:rsid w:val="003B7A55"/>
    <w:rsid w:val="003C0488"/>
    <w:rsid w:val="003C0688"/>
    <w:rsid w:val="003C1648"/>
    <w:rsid w:val="003C22AF"/>
    <w:rsid w:val="003C251E"/>
    <w:rsid w:val="003C2837"/>
    <w:rsid w:val="003C2B00"/>
    <w:rsid w:val="003C2D59"/>
    <w:rsid w:val="003C2EAC"/>
    <w:rsid w:val="003C3538"/>
    <w:rsid w:val="003C3E28"/>
    <w:rsid w:val="003C3E77"/>
    <w:rsid w:val="003C4135"/>
    <w:rsid w:val="003C4E0D"/>
    <w:rsid w:val="003C4E22"/>
    <w:rsid w:val="003C6449"/>
    <w:rsid w:val="003C65CF"/>
    <w:rsid w:val="003C6692"/>
    <w:rsid w:val="003C6A68"/>
    <w:rsid w:val="003C6E6D"/>
    <w:rsid w:val="003C714C"/>
    <w:rsid w:val="003C7570"/>
    <w:rsid w:val="003D03F0"/>
    <w:rsid w:val="003D09DE"/>
    <w:rsid w:val="003D0C53"/>
    <w:rsid w:val="003D15CD"/>
    <w:rsid w:val="003D1889"/>
    <w:rsid w:val="003D2434"/>
    <w:rsid w:val="003D249F"/>
    <w:rsid w:val="003D2538"/>
    <w:rsid w:val="003D25F0"/>
    <w:rsid w:val="003D2947"/>
    <w:rsid w:val="003D2BF5"/>
    <w:rsid w:val="003D2CD5"/>
    <w:rsid w:val="003D2E30"/>
    <w:rsid w:val="003D340A"/>
    <w:rsid w:val="003D40C4"/>
    <w:rsid w:val="003D452C"/>
    <w:rsid w:val="003D475C"/>
    <w:rsid w:val="003D56D0"/>
    <w:rsid w:val="003D5797"/>
    <w:rsid w:val="003D57AB"/>
    <w:rsid w:val="003D5B0C"/>
    <w:rsid w:val="003D7C97"/>
    <w:rsid w:val="003E0137"/>
    <w:rsid w:val="003E0F49"/>
    <w:rsid w:val="003E2765"/>
    <w:rsid w:val="003E2B5B"/>
    <w:rsid w:val="003E2C2D"/>
    <w:rsid w:val="003E3FAB"/>
    <w:rsid w:val="003E41BA"/>
    <w:rsid w:val="003E4330"/>
    <w:rsid w:val="003E4366"/>
    <w:rsid w:val="003E467A"/>
    <w:rsid w:val="003E504C"/>
    <w:rsid w:val="003E6306"/>
    <w:rsid w:val="003E6C36"/>
    <w:rsid w:val="003E6EBD"/>
    <w:rsid w:val="003E71EA"/>
    <w:rsid w:val="003E72BE"/>
    <w:rsid w:val="003E7D6F"/>
    <w:rsid w:val="003F0303"/>
    <w:rsid w:val="003F0510"/>
    <w:rsid w:val="003F0F3D"/>
    <w:rsid w:val="003F106B"/>
    <w:rsid w:val="003F1229"/>
    <w:rsid w:val="003F126E"/>
    <w:rsid w:val="003F134F"/>
    <w:rsid w:val="003F1606"/>
    <w:rsid w:val="003F18BE"/>
    <w:rsid w:val="003F1C77"/>
    <w:rsid w:val="003F2594"/>
    <w:rsid w:val="003F25AA"/>
    <w:rsid w:val="003F2744"/>
    <w:rsid w:val="003F417F"/>
    <w:rsid w:val="003F485C"/>
    <w:rsid w:val="003F4954"/>
    <w:rsid w:val="003F51EA"/>
    <w:rsid w:val="003F5266"/>
    <w:rsid w:val="003F5877"/>
    <w:rsid w:val="003F598D"/>
    <w:rsid w:val="003F5F19"/>
    <w:rsid w:val="003F5FEC"/>
    <w:rsid w:val="003F655F"/>
    <w:rsid w:val="003F752C"/>
    <w:rsid w:val="003F77D3"/>
    <w:rsid w:val="0040088B"/>
    <w:rsid w:val="00400AD0"/>
    <w:rsid w:val="004010A0"/>
    <w:rsid w:val="00401139"/>
    <w:rsid w:val="004011A2"/>
    <w:rsid w:val="00401AB8"/>
    <w:rsid w:val="00402512"/>
    <w:rsid w:val="00402E89"/>
    <w:rsid w:val="004035F0"/>
    <w:rsid w:val="00403BDC"/>
    <w:rsid w:val="00403FFB"/>
    <w:rsid w:val="00404CAD"/>
    <w:rsid w:val="00405127"/>
    <w:rsid w:val="0040578F"/>
    <w:rsid w:val="00405AAE"/>
    <w:rsid w:val="00406114"/>
    <w:rsid w:val="00406F44"/>
    <w:rsid w:val="004078D3"/>
    <w:rsid w:val="00407C99"/>
    <w:rsid w:val="00407DC0"/>
    <w:rsid w:val="00410BF9"/>
    <w:rsid w:val="00411656"/>
    <w:rsid w:val="0041303A"/>
    <w:rsid w:val="0041348F"/>
    <w:rsid w:val="00413664"/>
    <w:rsid w:val="00413D0F"/>
    <w:rsid w:val="00413E39"/>
    <w:rsid w:val="00413EF4"/>
    <w:rsid w:val="004147E8"/>
    <w:rsid w:val="00414890"/>
    <w:rsid w:val="00414E14"/>
    <w:rsid w:val="004158F5"/>
    <w:rsid w:val="004164FD"/>
    <w:rsid w:val="00416E23"/>
    <w:rsid w:val="00417BC8"/>
    <w:rsid w:val="004207B1"/>
    <w:rsid w:val="00420869"/>
    <w:rsid w:val="0042121E"/>
    <w:rsid w:val="00421823"/>
    <w:rsid w:val="004218EE"/>
    <w:rsid w:val="0042265F"/>
    <w:rsid w:val="004228E6"/>
    <w:rsid w:val="00422FA1"/>
    <w:rsid w:val="0042300D"/>
    <w:rsid w:val="004230FB"/>
    <w:rsid w:val="00423C84"/>
    <w:rsid w:val="00423EBD"/>
    <w:rsid w:val="00425242"/>
    <w:rsid w:val="004259D6"/>
    <w:rsid w:val="00426F5F"/>
    <w:rsid w:val="00426FB1"/>
    <w:rsid w:val="004301F6"/>
    <w:rsid w:val="0043074F"/>
    <w:rsid w:val="0043104E"/>
    <w:rsid w:val="00431A74"/>
    <w:rsid w:val="00431EAF"/>
    <w:rsid w:val="00431FE2"/>
    <w:rsid w:val="004322AE"/>
    <w:rsid w:val="00432321"/>
    <w:rsid w:val="004327F9"/>
    <w:rsid w:val="00432B29"/>
    <w:rsid w:val="004336C4"/>
    <w:rsid w:val="00433EBB"/>
    <w:rsid w:val="00434A2F"/>
    <w:rsid w:val="00434F23"/>
    <w:rsid w:val="004353D4"/>
    <w:rsid w:val="00435899"/>
    <w:rsid w:val="00435CD2"/>
    <w:rsid w:val="00436432"/>
    <w:rsid w:val="00436D9B"/>
    <w:rsid w:val="00437511"/>
    <w:rsid w:val="00437544"/>
    <w:rsid w:val="004377A8"/>
    <w:rsid w:val="00440266"/>
    <w:rsid w:val="004402AA"/>
    <w:rsid w:val="00440928"/>
    <w:rsid w:val="0044097D"/>
    <w:rsid w:val="0044098C"/>
    <w:rsid w:val="00440AE6"/>
    <w:rsid w:val="00440E88"/>
    <w:rsid w:val="00441040"/>
    <w:rsid w:val="00441221"/>
    <w:rsid w:val="00441AFC"/>
    <w:rsid w:val="00441B6E"/>
    <w:rsid w:val="0044285C"/>
    <w:rsid w:val="00444B28"/>
    <w:rsid w:val="0044636C"/>
    <w:rsid w:val="004466B1"/>
    <w:rsid w:val="00446DD6"/>
    <w:rsid w:val="0044713E"/>
    <w:rsid w:val="00447589"/>
    <w:rsid w:val="00447B19"/>
    <w:rsid w:val="00447DC5"/>
    <w:rsid w:val="004500FB"/>
    <w:rsid w:val="00450C78"/>
    <w:rsid w:val="004510CC"/>
    <w:rsid w:val="004512C9"/>
    <w:rsid w:val="004514F9"/>
    <w:rsid w:val="00451843"/>
    <w:rsid w:val="00451BAD"/>
    <w:rsid w:val="00451EE5"/>
    <w:rsid w:val="00451F7B"/>
    <w:rsid w:val="00452385"/>
    <w:rsid w:val="004525E1"/>
    <w:rsid w:val="00452AC5"/>
    <w:rsid w:val="0045460C"/>
    <w:rsid w:val="00455039"/>
    <w:rsid w:val="00455462"/>
    <w:rsid w:val="00456309"/>
    <w:rsid w:val="00456ECA"/>
    <w:rsid w:val="00456F02"/>
    <w:rsid w:val="004570F8"/>
    <w:rsid w:val="00457E93"/>
    <w:rsid w:val="00457F0E"/>
    <w:rsid w:val="004609D0"/>
    <w:rsid w:val="00460E76"/>
    <w:rsid w:val="00461202"/>
    <w:rsid w:val="00461520"/>
    <w:rsid w:val="004622F0"/>
    <w:rsid w:val="00462746"/>
    <w:rsid w:val="00462A9B"/>
    <w:rsid w:val="0046351C"/>
    <w:rsid w:val="00464788"/>
    <w:rsid w:val="00465476"/>
    <w:rsid w:val="004662AB"/>
    <w:rsid w:val="00466F11"/>
    <w:rsid w:val="00467FC3"/>
    <w:rsid w:val="004703F5"/>
    <w:rsid w:val="004707E9"/>
    <w:rsid w:val="00470A43"/>
    <w:rsid w:val="00470B53"/>
    <w:rsid w:val="00470BBE"/>
    <w:rsid w:val="0047181B"/>
    <w:rsid w:val="00471BE9"/>
    <w:rsid w:val="00471DD1"/>
    <w:rsid w:val="004721FD"/>
    <w:rsid w:val="00472664"/>
    <w:rsid w:val="00472739"/>
    <w:rsid w:val="0047294C"/>
    <w:rsid w:val="00473B8B"/>
    <w:rsid w:val="0047422A"/>
    <w:rsid w:val="00474B82"/>
    <w:rsid w:val="004750B1"/>
    <w:rsid w:val="00476068"/>
    <w:rsid w:val="0047675E"/>
    <w:rsid w:val="004800BD"/>
    <w:rsid w:val="0048068A"/>
    <w:rsid w:val="004811F5"/>
    <w:rsid w:val="0048130F"/>
    <w:rsid w:val="004822AA"/>
    <w:rsid w:val="0048378B"/>
    <w:rsid w:val="00483A16"/>
    <w:rsid w:val="00484E92"/>
    <w:rsid w:val="00484F36"/>
    <w:rsid w:val="0048562D"/>
    <w:rsid w:val="00485C15"/>
    <w:rsid w:val="00486063"/>
    <w:rsid w:val="004868D8"/>
    <w:rsid w:val="00486916"/>
    <w:rsid w:val="00486CCE"/>
    <w:rsid w:val="00486E2B"/>
    <w:rsid w:val="0048708E"/>
    <w:rsid w:val="0048726E"/>
    <w:rsid w:val="00487522"/>
    <w:rsid w:val="0048773A"/>
    <w:rsid w:val="0049009E"/>
    <w:rsid w:val="004903A1"/>
    <w:rsid w:val="004903E5"/>
    <w:rsid w:val="00490457"/>
    <w:rsid w:val="00490592"/>
    <w:rsid w:val="00491BAB"/>
    <w:rsid w:val="004922E9"/>
    <w:rsid w:val="00492B8A"/>
    <w:rsid w:val="00492D3D"/>
    <w:rsid w:val="00493819"/>
    <w:rsid w:val="004940A3"/>
    <w:rsid w:val="00494E6D"/>
    <w:rsid w:val="00494EEA"/>
    <w:rsid w:val="00495F26"/>
    <w:rsid w:val="00495F6F"/>
    <w:rsid w:val="00496426"/>
    <w:rsid w:val="00496ADF"/>
    <w:rsid w:val="00496B3D"/>
    <w:rsid w:val="004971ED"/>
    <w:rsid w:val="00497629"/>
    <w:rsid w:val="004A149C"/>
    <w:rsid w:val="004A31E5"/>
    <w:rsid w:val="004A4637"/>
    <w:rsid w:val="004A46E9"/>
    <w:rsid w:val="004A4885"/>
    <w:rsid w:val="004A5607"/>
    <w:rsid w:val="004A578F"/>
    <w:rsid w:val="004A5DC3"/>
    <w:rsid w:val="004A5FB2"/>
    <w:rsid w:val="004A6DFE"/>
    <w:rsid w:val="004A7A72"/>
    <w:rsid w:val="004A7D9C"/>
    <w:rsid w:val="004B00EA"/>
    <w:rsid w:val="004B01B2"/>
    <w:rsid w:val="004B0B72"/>
    <w:rsid w:val="004B10D2"/>
    <w:rsid w:val="004B1977"/>
    <w:rsid w:val="004B3673"/>
    <w:rsid w:val="004B36A0"/>
    <w:rsid w:val="004B37AB"/>
    <w:rsid w:val="004B3C30"/>
    <w:rsid w:val="004B41C9"/>
    <w:rsid w:val="004B4F72"/>
    <w:rsid w:val="004B520C"/>
    <w:rsid w:val="004B5AC3"/>
    <w:rsid w:val="004B6857"/>
    <w:rsid w:val="004B6DB4"/>
    <w:rsid w:val="004B7320"/>
    <w:rsid w:val="004B736E"/>
    <w:rsid w:val="004B7B84"/>
    <w:rsid w:val="004B7E69"/>
    <w:rsid w:val="004B7F3C"/>
    <w:rsid w:val="004C08D9"/>
    <w:rsid w:val="004C0A08"/>
    <w:rsid w:val="004C0E41"/>
    <w:rsid w:val="004C16BD"/>
    <w:rsid w:val="004C1A39"/>
    <w:rsid w:val="004C1D51"/>
    <w:rsid w:val="004C1E9F"/>
    <w:rsid w:val="004C2523"/>
    <w:rsid w:val="004C29E7"/>
    <w:rsid w:val="004C2B8C"/>
    <w:rsid w:val="004C2C1A"/>
    <w:rsid w:val="004C2D5D"/>
    <w:rsid w:val="004C32D7"/>
    <w:rsid w:val="004C37BD"/>
    <w:rsid w:val="004C43EC"/>
    <w:rsid w:val="004C4A8B"/>
    <w:rsid w:val="004C50C7"/>
    <w:rsid w:val="004C57B1"/>
    <w:rsid w:val="004C5E40"/>
    <w:rsid w:val="004C6A9A"/>
    <w:rsid w:val="004C6B6F"/>
    <w:rsid w:val="004C7051"/>
    <w:rsid w:val="004D001A"/>
    <w:rsid w:val="004D09FB"/>
    <w:rsid w:val="004D1692"/>
    <w:rsid w:val="004D1825"/>
    <w:rsid w:val="004D1E66"/>
    <w:rsid w:val="004D2775"/>
    <w:rsid w:val="004D328B"/>
    <w:rsid w:val="004D4E6E"/>
    <w:rsid w:val="004D5C3D"/>
    <w:rsid w:val="004D5FDE"/>
    <w:rsid w:val="004D65EE"/>
    <w:rsid w:val="004D6726"/>
    <w:rsid w:val="004D70C1"/>
    <w:rsid w:val="004D7A38"/>
    <w:rsid w:val="004D7BA1"/>
    <w:rsid w:val="004D7BFF"/>
    <w:rsid w:val="004D7E91"/>
    <w:rsid w:val="004E03A5"/>
    <w:rsid w:val="004E0832"/>
    <w:rsid w:val="004E0925"/>
    <w:rsid w:val="004E14F9"/>
    <w:rsid w:val="004E2553"/>
    <w:rsid w:val="004E2815"/>
    <w:rsid w:val="004E3975"/>
    <w:rsid w:val="004E4585"/>
    <w:rsid w:val="004E4ADD"/>
    <w:rsid w:val="004E5628"/>
    <w:rsid w:val="004E5DCC"/>
    <w:rsid w:val="004E5E59"/>
    <w:rsid w:val="004E65B2"/>
    <w:rsid w:val="004E6ABF"/>
    <w:rsid w:val="004E6BC6"/>
    <w:rsid w:val="004E7C1B"/>
    <w:rsid w:val="004E7DAB"/>
    <w:rsid w:val="004E7DCB"/>
    <w:rsid w:val="004F001C"/>
    <w:rsid w:val="004F02D7"/>
    <w:rsid w:val="004F03B7"/>
    <w:rsid w:val="004F0D8F"/>
    <w:rsid w:val="004F1DC2"/>
    <w:rsid w:val="004F22A9"/>
    <w:rsid w:val="004F24C2"/>
    <w:rsid w:val="004F334F"/>
    <w:rsid w:val="004F393A"/>
    <w:rsid w:val="004F3B99"/>
    <w:rsid w:val="004F3CE8"/>
    <w:rsid w:val="004F3E64"/>
    <w:rsid w:val="004F417D"/>
    <w:rsid w:val="004F4ABF"/>
    <w:rsid w:val="004F4AF8"/>
    <w:rsid w:val="004F51B9"/>
    <w:rsid w:val="004F536A"/>
    <w:rsid w:val="004F65D1"/>
    <w:rsid w:val="004F6AF7"/>
    <w:rsid w:val="004F6FF9"/>
    <w:rsid w:val="004F725A"/>
    <w:rsid w:val="004F7285"/>
    <w:rsid w:val="004F735F"/>
    <w:rsid w:val="004F7AED"/>
    <w:rsid w:val="004F7C95"/>
    <w:rsid w:val="0050045D"/>
    <w:rsid w:val="00500C93"/>
    <w:rsid w:val="005013D7"/>
    <w:rsid w:val="005039A9"/>
    <w:rsid w:val="00504C9A"/>
    <w:rsid w:val="005051E7"/>
    <w:rsid w:val="00505322"/>
    <w:rsid w:val="0050645D"/>
    <w:rsid w:val="00506D66"/>
    <w:rsid w:val="00507EA2"/>
    <w:rsid w:val="005115DF"/>
    <w:rsid w:val="0051173F"/>
    <w:rsid w:val="00511D3D"/>
    <w:rsid w:val="00512348"/>
    <w:rsid w:val="00512392"/>
    <w:rsid w:val="005127E3"/>
    <w:rsid w:val="005133C4"/>
    <w:rsid w:val="00513783"/>
    <w:rsid w:val="00513940"/>
    <w:rsid w:val="00513C1F"/>
    <w:rsid w:val="005141CB"/>
    <w:rsid w:val="005142A2"/>
    <w:rsid w:val="00514D9C"/>
    <w:rsid w:val="00515380"/>
    <w:rsid w:val="00515690"/>
    <w:rsid w:val="00515B1C"/>
    <w:rsid w:val="00515F0B"/>
    <w:rsid w:val="00516299"/>
    <w:rsid w:val="00520795"/>
    <w:rsid w:val="005210F0"/>
    <w:rsid w:val="005212FC"/>
    <w:rsid w:val="0052164C"/>
    <w:rsid w:val="00522213"/>
    <w:rsid w:val="00523068"/>
    <w:rsid w:val="00525638"/>
    <w:rsid w:val="00526989"/>
    <w:rsid w:val="005269C7"/>
    <w:rsid w:val="00526FD8"/>
    <w:rsid w:val="0052795A"/>
    <w:rsid w:val="005279FB"/>
    <w:rsid w:val="00530022"/>
    <w:rsid w:val="00530AC1"/>
    <w:rsid w:val="00531050"/>
    <w:rsid w:val="00531504"/>
    <w:rsid w:val="00531BC0"/>
    <w:rsid w:val="00531EC6"/>
    <w:rsid w:val="00532788"/>
    <w:rsid w:val="005333C5"/>
    <w:rsid w:val="00533675"/>
    <w:rsid w:val="005347A7"/>
    <w:rsid w:val="00534F84"/>
    <w:rsid w:val="00535D93"/>
    <w:rsid w:val="00535EB0"/>
    <w:rsid w:val="0053621C"/>
    <w:rsid w:val="005372DA"/>
    <w:rsid w:val="00541CFA"/>
    <w:rsid w:val="005422A2"/>
    <w:rsid w:val="00542ADC"/>
    <w:rsid w:val="005434DF"/>
    <w:rsid w:val="005438C3"/>
    <w:rsid w:val="00543EEF"/>
    <w:rsid w:val="00544277"/>
    <w:rsid w:val="00544D6E"/>
    <w:rsid w:val="00544F55"/>
    <w:rsid w:val="00545238"/>
    <w:rsid w:val="005462A4"/>
    <w:rsid w:val="00546717"/>
    <w:rsid w:val="00546853"/>
    <w:rsid w:val="0054755B"/>
    <w:rsid w:val="00547FA1"/>
    <w:rsid w:val="00550A08"/>
    <w:rsid w:val="00550C16"/>
    <w:rsid w:val="005517E4"/>
    <w:rsid w:val="00551EF8"/>
    <w:rsid w:val="00552505"/>
    <w:rsid w:val="005537C5"/>
    <w:rsid w:val="0055390B"/>
    <w:rsid w:val="00554336"/>
    <w:rsid w:val="00555F0A"/>
    <w:rsid w:val="00556376"/>
    <w:rsid w:val="0055702E"/>
    <w:rsid w:val="0055765E"/>
    <w:rsid w:val="00557AF0"/>
    <w:rsid w:val="005601EB"/>
    <w:rsid w:val="00560770"/>
    <w:rsid w:val="00560790"/>
    <w:rsid w:val="00560B93"/>
    <w:rsid w:val="005614DD"/>
    <w:rsid w:val="005626D5"/>
    <w:rsid w:val="00563035"/>
    <w:rsid w:val="005638B7"/>
    <w:rsid w:val="00564762"/>
    <w:rsid w:val="00564BB6"/>
    <w:rsid w:val="00565B41"/>
    <w:rsid w:val="00565C7E"/>
    <w:rsid w:val="00566399"/>
    <w:rsid w:val="005663C6"/>
    <w:rsid w:val="005665AF"/>
    <w:rsid w:val="005665F8"/>
    <w:rsid w:val="005669A5"/>
    <w:rsid w:val="00566B34"/>
    <w:rsid w:val="00566BB1"/>
    <w:rsid w:val="005679BC"/>
    <w:rsid w:val="00567CF5"/>
    <w:rsid w:val="00567D21"/>
    <w:rsid w:val="00567FCE"/>
    <w:rsid w:val="0057063D"/>
    <w:rsid w:val="00570B6F"/>
    <w:rsid w:val="0057160D"/>
    <w:rsid w:val="00571EB3"/>
    <w:rsid w:val="0057253A"/>
    <w:rsid w:val="00572CD7"/>
    <w:rsid w:val="00572D20"/>
    <w:rsid w:val="005730EC"/>
    <w:rsid w:val="0057318A"/>
    <w:rsid w:val="005737A1"/>
    <w:rsid w:val="00573BD0"/>
    <w:rsid w:val="005741BA"/>
    <w:rsid w:val="0057496F"/>
    <w:rsid w:val="00574D5F"/>
    <w:rsid w:val="005764C4"/>
    <w:rsid w:val="005767ED"/>
    <w:rsid w:val="00576AA0"/>
    <w:rsid w:val="00576B35"/>
    <w:rsid w:val="00576EE4"/>
    <w:rsid w:val="005772DE"/>
    <w:rsid w:val="00577478"/>
    <w:rsid w:val="00577DF4"/>
    <w:rsid w:val="00577ECA"/>
    <w:rsid w:val="00580DDF"/>
    <w:rsid w:val="00580E93"/>
    <w:rsid w:val="005810DA"/>
    <w:rsid w:val="005815B2"/>
    <w:rsid w:val="00583757"/>
    <w:rsid w:val="005848A4"/>
    <w:rsid w:val="0058568E"/>
    <w:rsid w:val="005857A5"/>
    <w:rsid w:val="00585FDB"/>
    <w:rsid w:val="00587F65"/>
    <w:rsid w:val="005904D5"/>
    <w:rsid w:val="00590706"/>
    <w:rsid w:val="00590C91"/>
    <w:rsid w:val="00591BB9"/>
    <w:rsid w:val="00592229"/>
    <w:rsid w:val="00592319"/>
    <w:rsid w:val="00592731"/>
    <w:rsid w:val="00592D60"/>
    <w:rsid w:val="005936B0"/>
    <w:rsid w:val="005937EC"/>
    <w:rsid w:val="00593AA9"/>
    <w:rsid w:val="00593DDD"/>
    <w:rsid w:val="00595ACD"/>
    <w:rsid w:val="00595B23"/>
    <w:rsid w:val="00596FAB"/>
    <w:rsid w:val="00597059"/>
    <w:rsid w:val="005974C2"/>
    <w:rsid w:val="005A02C2"/>
    <w:rsid w:val="005A0D67"/>
    <w:rsid w:val="005A0DB7"/>
    <w:rsid w:val="005A1014"/>
    <w:rsid w:val="005A1256"/>
    <w:rsid w:val="005A15E7"/>
    <w:rsid w:val="005A1B09"/>
    <w:rsid w:val="005A1D7B"/>
    <w:rsid w:val="005A25EA"/>
    <w:rsid w:val="005A2915"/>
    <w:rsid w:val="005A2A80"/>
    <w:rsid w:val="005A2D8B"/>
    <w:rsid w:val="005A3493"/>
    <w:rsid w:val="005A4587"/>
    <w:rsid w:val="005A4627"/>
    <w:rsid w:val="005A4E2F"/>
    <w:rsid w:val="005A5381"/>
    <w:rsid w:val="005A53BE"/>
    <w:rsid w:val="005A5985"/>
    <w:rsid w:val="005A5B14"/>
    <w:rsid w:val="005A6124"/>
    <w:rsid w:val="005A63AF"/>
    <w:rsid w:val="005A6E6E"/>
    <w:rsid w:val="005A724A"/>
    <w:rsid w:val="005A7B20"/>
    <w:rsid w:val="005B13FF"/>
    <w:rsid w:val="005B1CD2"/>
    <w:rsid w:val="005B3EB3"/>
    <w:rsid w:val="005B4565"/>
    <w:rsid w:val="005B47A6"/>
    <w:rsid w:val="005B4D17"/>
    <w:rsid w:val="005B561B"/>
    <w:rsid w:val="005B5B63"/>
    <w:rsid w:val="005B6361"/>
    <w:rsid w:val="005B717C"/>
    <w:rsid w:val="005B735F"/>
    <w:rsid w:val="005B7EF2"/>
    <w:rsid w:val="005C04C6"/>
    <w:rsid w:val="005C0630"/>
    <w:rsid w:val="005C06A0"/>
    <w:rsid w:val="005C0C80"/>
    <w:rsid w:val="005C1BE8"/>
    <w:rsid w:val="005C1EDA"/>
    <w:rsid w:val="005C1FE9"/>
    <w:rsid w:val="005C3C25"/>
    <w:rsid w:val="005C3D82"/>
    <w:rsid w:val="005C5E51"/>
    <w:rsid w:val="005C5FCE"/>
    <w:rsid w:val="005C6254"/>
    <w:rsid w:val="005C63C5"/>
    <w:rsid w:val="005C707A"/>
    <w:rsid w:val="005C714A"/>
    <w:rsid w:val="005C7367"/>
    <w:rsid w:val="005C77D6"/>
    <w:rsid w:val="005D02B2"/>
    <w:rsid w:val="005D07B2"/>
    <w:rsid w:val="005D0A73"/>
    <w:rsid w:val="005D0D7C"/>
    <w:rsid w:val="005D1677"/>
    <w:rsid w:val="005D18B4"/>
    <w:rsid w:val="005D20FF"/>
    <w:rsid w:val="005D30FE"/>
    <w:rsid w:val="005D4743"/>
    <w:rsid w:val="005D4C24"/>
    <w:rsid w:val="005D4E6F"/>
    <w:rsid w:val="005D556B"/>
    <w:rsid w:val="005D6B71"/>
    <w:rsid w:val="005E0043"/>
    <w:rsid w:val="005E023A"/>
    <w:rsid w:val="005E04B1"/>
    <w:rsid w:val="005E0A25"/>
    <w:rsid w:val="005E0BBB"/>
    <w:rsid w:val="005E0C26"/>
    <w:rsid w:val="005E1804"/>
    <w:rsid w:val="005E20D9"/>
    <w:rsid w:val="005E2516"/>
    <w:rsid w:val="005E2DA5"/>
    <w:rsid w:val="005E2DF6"/>
    <w:rsid w:val="005E317A"/>
    <w:rsid w:val="005E3224"/>
    <w:rsid w:val="005E3335"/>
    <w:rsid w:val="005E35D6"/>
    <w:rsid w:val="005E46B4"/>
    <w:rsid w:val="005E4AE2"/>
    <w:rsid w:val="005E4E87"/>
    <w:rsid w:val="005E5729"/>
    <w:rsid w:val="005E5781"/>
    <w:rsid w:val="005E674A"/>
    <w:rsid w:val="005E74F6"/>
    <w:rsid w:val="005E789F"/>
    <w:rsid w:val="005E7EE1"/>
    <w:rsid w:val="005F01F2"/>
    <w:rsid w:val="005F05CB"/>
    <w:rsid w:val="005F0F49"/>
    <w:rsid w:val="005F139A"/>
    <w:rsid w:val="005F1C71"/>
    <w:rsid w:val="005F1D82"/>
    <w:rsid w:val="005F1FDC"/>
    <w:rsid w:val="005F248D"/>
    <w:rsid w:val="005F26B1"/>
    <w:rsid w:val="005F26E5"/>
    <w:rsid w:val="005F284A"/>
    <w:rsid w:val="005F2940"/>
    <w:rsid w:val="005F34E5"/>
    <w:rsid w:val="005F3785"/>
    <w:rsid w:val="005F398E"/>
    <w:rsid w:val="005F421A"/>
    <w:rsid w:val="005F4CF5"/>
    <w:rsid w:val="005F59CF"/>
    <w:rsid w:val="005F5D31"/>
    <w:rsid w:val="005F60D6"/>
    <w:rsid w:val="005F696E"/>
    <w:rsid w:val="005F75DC"/>
    <w:rsid w:val="005F773A"/>
    <w:rsid w:val="005F7BBA"/>
    <w:rsid w:val="005F7E15"/>
    <w:rsid w:val="005F7FC0"/>
    <w:rsid w:val="0060021C"/>
    <w:rsid w:val="00600881"/>
    <w:rsid w:val="006008AC"/>
    <w:rsid w:val="0060136E"/>
    <w:rsid w:val="00601816"/>
    <w:rsid w:val="00601A1B"/>
    <w:rsid w:val="00601A92"/>
    <w:rsid w:val="00601D3D"/>
    <w:rsid w:val="00602023"/>
    <w:rsid w:val="00603958"/>
    <w:rsid w:val="00604838"/>
    <w:rsid w:val="00604F78"/>
    <w:rsid w:val="00605391"/>
    <w:rsid w:val="00605D8C"/>
    <w:rsid w:val="00606BE2"/>
    <w:rsid w:val="00606E01"/>
    <w:rsid w:val="0060710C"/>
    <w:rsid w:val="00607921"/>
    <w:rsid w:val="006079E9"/>
    <w:rsid w:val="0061010E"/>
    <w:rsid w:val="00610996"/>
    <w:rsid w:val="00610CC9"/>
    <w:rsid w:val="00610CE0"/>
    <w:rsid w:val="00611710"/>
    <w:rsid w:val="006119C8"/>
    <w:rsid w:val="00611CAA"/>
    <w:rsid w:val="00611FD6"/>
    <w:rsid w:val="0061219B"/>
    <w:rsid w:val="006123B5"/>
    <w:rsid w:val="00612638"/>
    <w:rsid w:val="0061264B"/>
    <w:rsid w:val="00613212"/>
    <w:rsid w:val="0061373E"/>
    <w:rsid w:val="00613D99"/>
    <w:rsid w:val="00614560"/>
    <w:rsid w:val="006146D5"/>
    <w:rsid w:val="0061536E"/>
    <w:rsid w:val="006153F5"/>
    <w:rsid w:val="006154C5"/>
    <w:rsid w:val="00615AC2"/>
    <w:rsid w:val="0061640F"/>
    <w:rsid w:val="00616541"/>
    <w:rsid w:val="00616734"/>
    <w:rsid w:val="0061793A"/>
    <w:rsid w:val="00620AE0"/>
    <w:rsid w:val="00621CE1"/>
    <w:rsid w:val="00622346"/>
    <w:rsid w:val="006224EF"/>
    <w:rsid w:val="00622680"/>
    <w:rsid w:val="006232E0"/>
    <w:rsid w:val="006235E1"/>
    <w:rsid w:val="00623947"/>
    <w:rsid w:val="00624C9D"/>
    <w:rsid w:val="00624ECC"/>
    <w:rsid w:val="00625929"/>
    <w:rsid w:val="00626289"/>
    <w:rsid w:val="00626561"/>
    <w:rsid w:val="00626904"/>
    <w:rsid w:val="00626B29"/>
    <w:rsid w:val="0062749B"/>
    <w:rsid w:val="00630CDC"/>
    <w:rsid w:val="00630DF5"/>
    <w:rsid w:val="00630E11"/>
    <w:rsid w:val="0063214A"/>
    <w:rsid w:val="00632524"/>
    <w:rsid w:val="00632815"/>
    <w:rsid w:val="00632A6D"/>
    <w:rsid w:val="006334FF"/>
    <w:rsid w:val="00633A44"/>
    <w:rsid w:val="00633AA5"/>
    <w:rsid w:val="00633E24"/>
    <w:rsid w:val="006353B8"/>
    <w:rsid w:val="006356A5"/>
    <w:rsid w:val="006366C7"/>
    <w:rsid w:val="00636837"/>
    <w:rsid w:val="00636EF2"/>
    <w:rsid w:val="006405A8"/>
    <w:rsid w:val="0064091D"/>
    <w:rsid w:val="006409F1"/>
    <w:rsid w:val="00641529"/>
    <w:rsid w:val="006421E3"/>
    <w:rsid w:val="00642246"/>
    <w:rsid w:val="0064267F"/>
    <w:rsid w:val="00642D54"/>
    <w:rsid w:val="00643765"/>
    <w:rsid w:val="00643DDE"/>
    <w:rsid w:val="006443ED"/>
    <w:rsid w:val="0064448F"/>
    <w:rsid w:val="00644733"/>
    <w:rsid w:val="00644D75"/>
    <w:rsid w:val="00645BD3"/>
    <w:rsid w:val="00645D9B"/>
    <w:rsid w:val="00646434"/>
    <w:rsid w:val="00646A74"/>
    <w:rsid w:val="006470AC"/>
    <w:rsid w:val="006476D8"/>
    <w:rsid w:val="00647B6B"/>
    <w:rsid w:val="00650183"/>
    <w:rsid w:val="00651012"/>
    <w:rsid w:val="00651155"/>
    <w:rsid w:val="00651379"/>
    <w:rsid w:val="0065171E"/>
    <w:rsid w:val="006518CB"/>
    <w:rsid w:val="00651D3F"/>
    <w:rsid w:val="00651DF5"/>
    <w:rsid w:val="0065223D"/>
    <w:rsid w:val="006528A3"/>
    <w:rsid w:val="006531E8"/>
    <w:rsid w:val="00653241"/>
    <w:rsid w:val="00653560"/>
    <w:rsid w:val="00653AEC"/>
    <w:rsid w:val="006545ED"/>
    <w:rsid w:val="00654C7A"/>
    <w:rsid w:val="00654E38"/>
    <w:rsid w:val="00655880"/>
    <w:rsid w:val="006567CD"/>
    <w:rsid w:val="00656817"/>
    <w:rsid w:val="0066059E"/>
    <w:rsid w:val="00660CC1"/>
    <w:rsid w:val="00661625"/>
    <w:rsid w:val="0066171A"/>
    <w:rsid w:val="00661754"/>
    <w:rsid w:val="00661C53"/>
    <w:rsid w:val="00662186"/>
    <w:rsid w:val="006626B8"/>
    <w:rsid w:val="00663759"/>
    <w:rsid w:val="006639B0"/>
    <w:rsid w:val="00663AC8"/>
    <w:rsid w:val="00664312"/>
    <w:rsid w:val="006650E4"/>
    <w:rsid w:val="0066552A"/>
    <w:rsid w:val="00665969"/>
    <w:rsid w:val="0066649B"/>
    <w:rsid w:val="00666CB0"/>
    <w:rsid w:val="00667689"/>
    <w:rsid w:val="00667B48"/>
    <w:rsid w:val="00670B5D"/>
    <w:rsid w:val="00672C99"/>
    <w:rsid w:val="006731A8"/>
    <w:rsid w:val="006738CC"/>
    <w:rsid w:val="00673989"/>
    <w:rsid w:val="00674236"/>
    <w:rsid w:val="0067435A"/>
    <w:rsid w:val="00674697"/>
    <w:rsid w:val="0067564C"/>
    <w:rsid w:val="006756F0"/>
    <w:rsid w:val="00675D1E"/>
    <w:rsid w:val="00675D56"/>
    <w:rsid w:val="006768B0"/>
    <w:rsid w:val="00676A43"/>
    <w:rsid w:val="00677134"/>
    <w:rsid w:val="00677F6A"/>
    <w:rsid w:val="00680DAB"/>
    <w:rsid w:val="00680DD8"/>
    <w:rsid w:val="006815FE"/>
    <w:rsid w:val="00681B48"/>
    <w:rsid w:val="00681E3B"/>
    <w:rsid w:val="00682241"/>
    <w:rsid w:val="00682D83"/>
    <w:rsid w:val="00682DF0"/>
    <w:rsid w:val="00682FE7"/>
    <w:rsid w:val="00683D22"/>
    <w:rsid w:val="006843B8"/>
    <w:rsid w:val="00684E98"/>
    <w:rsid w:val="006855AC"/>
    <w:rsid w:val="006862EA"/>
    <w:rsid w:val="006863B6"/>
    <w:rsid w:val="006865F0"/>
    <w:rsid w:val="00686896"/>
    <w:rsid w:val="00686A58"/>
    <w:rsid w:val="006874C6"/>
    <w:rsid w:val="00687870"/>
    <w:rsid w:val="00691EDB"/>
    <w:rsid w:val="0069271A"/>
    <w:rsid w:val="0069282B"/>
    <w:rsid w:val="0069331D"/>
    <w:rsid w:val="00693CF7"/>
    <w:rsid w:val="006940D9"/>
    <w:rsid w:val="00695E49"/>
    <w:rsid w:val="00696216"/>
    <w:rsid w:val="006966B0"/>
    <w:rsid w:val="00696A86"/>
    <w:rsid w:val="0069797B"/>
    <w:rsid w:val="00697AFE"/>
    <w:rsid w:val="00697D20"/>
    <w:rsid w:val="006A09F9"/>
    <w:rsid w:val="006A10D3"/>
    <w:rsid w:val="006A12CD"/>
    <w:rsid w:val="006A172F"/>
    <w:rsid w:val="006A17E8"/>
    <w:rsid w:val="006A189E"/>
    <w:rsid w:val="006A1923"/>
    <w:rsid w:val="006A3456"/>
    <w:rsid w:val="006A3FCC"/>
    <w:rsid w:val="006A4984"/>
    <w:rsid w:val="006A4FBD"/>
    <w:rsid w:val="006A500C"/>
    <w:rsid w:val="006A582F"/>
    <w:rsid w:val="006A58B0"/>
    <w:rsid w:val="006A655C"/>
    <w:rsid w:val="006A68F5"/>
    <w:rsid w:val="006A6DB0"/>
    <w:rsid w:val="006A720D"/>
    <w:rsid w:val="006A7D6A"/>
    <w:rsid w:val="006B00AA"/>
    <w:rsid w:val="006B0A26"/>
    <w:rsid w:val="006B0C24"/>
    <w:rsid w:val="006B1090"/>
    <w:rsid w:val="006B2057"/>
    <w:rsid w:val="006B21DE"/>
    <w:rsid w:val="006B265E"/>
    <w:rsid w:val="006B2774"/>
    <w:rsid w:val="006B33CF"/>
    <w:rsid w:val="006B4699"/>
    <w:rsid w:val="006B48F3"/>
    <w:rsid w:val="006B4B92"/>
    <w:rsid w:val="006B56EC"/>
    <w:rsid w:val="006B5EE1"/>
    <w:rsid w:val="006B6918"/>
    <w:rsid w:val="006B6CFA"/>
    <w:rsid w:val="006B7368"/>
    <w:rsid w:val="006B7F1E"/>
    <w:rsid w:val="006C0207"/>
    <w:rsid w:val="006C0713"/>
    <w:rsid w:val="006C09ED"/>
    <w:rsid w:val="006C0CE0"/>
    <w:rsid w:val="006C0E1A"/>
    <w:rsid w:val="006C14A4"/>
    <w:rsid w:val="006C1C5B"/>
    <w:rsid w:val="006C2F70"/>
    <w:rsid w:val="006C337A"/>
    <w:rsid w:val="006C38E3"/>
    <w:rsid w:val="006C3ADD"/>
    <w:rsid w:val="006C3B4D"/>
    <w:rsid w:val="006C3BE3"/>
    <w:rsid w:val="006C3C37"/>
    <w:rsid w:val="006C450A"/>
    <w:rsid w:val="006C47CD"/>
    <w:rsid w:val="006C4864"/>
    <w:rsid w:val="006C4ED2"/>
    <w:rsid w:val="006C4EFE"/>
    <w:rsid w:val="006C55DF"/>
    <w:rsid w:val="006C68A6"/>
    <w:rsid w:val="006C7007"/>
    <w:rsid w:val="006C7140"/>
    <w:rsid w:val="006C73A3"/>
    <w:rsid w:val="006D032E"/>
    <w:rsid w:val="006D0840"/>
    <w:rsid w:val="006D0D51"/>
    <w:rsid w:val="006D19DD"/>
    <w:rsid w:val="006D1C14"/>
    <w:rsid w:val="006D20E4"/>
    <w:rsid w:val="006D2270"/>
    <w:rsid w:val="006D367C"/>
    <w:rsid w:val="006D3AFC"/>
    <w:rsid w:val="006D3B59"/>
    <w:rsid w:val="006D3CE5"/>
    <w:rsid w:val="006D3D44"/>
    <w:rsid w:val="006D4361"/>
    <w:rsid w:val="006D46D1"/>
    <w:rsid w:val="006D524C"/>
    <w:rsid w:val="006D5E05"/>
    <w:rsid w:val="006D5FC7"/>
    <w:rsid w:val="006D6926"/>
    <w:rsid w:val="006D748F"/>
    <w:rsid w:val="006D76E8"/>
    <w:rsid w:val="006D7B97"/>
    <w:rsid w:val="006E0826"/>
    <w:rsid w:val="006E0E68"/>
    <w:rsid w:val="006E3103"/>
    <w:rsid w:val="006E3DC8"/>
    <w:rsid w:val="006E41BE"/>
    <w:rsid w:val="006E4740"/>
    <w:rsid w:val="006E4A7C"/>
    <w:rsid w:val="006E5638"/>
    <w:rsid w:val="006E6512"/>
    <w:rsid w:val="006F079A"/>
    <w:rsid w:val="006F0C0B"/>
    <w:rsid w:val="006F1C9E"/>
    <w:rsid w:val="006F1D1A"/>
    <w:rsid w:val="006F1EA1"/>
    <w:rsid w:val="006F22C2"/>
    <w:rsid w:val="006F236E"/>
    <w:rsid w:val="006F246C"/>
    <w:rsid w:val="006F27C2"/>
    <w:rsid w:val="006F2F6F"/>
    <w:rsid w:val="006F349A"/>
    <w:rsid w:val="006F3B7B"/>
    <w:rsid w:val="006F3E8F"/>
    <w:rsid w:val="006F41B7"/>
    <w:rsid w:val="006F4580"/>
    <w:rsid w:val="006F536E"/>
    <w:rsid w:val="006F5CB8"/>
    <w:rsid w:val="006F62FA"/>
    <w:rsid w:val="006F64DA"/>
    <w:rsid w:val="006F73C3"/>
    <w:rsid w:val="006F78C8"/>
    <w:rsid w:val="007003A9"/>
    <w:rsid w:val="0070044F"/>
    <w:rsid w:val="0070068D"/>
    <w:rsid w:val="00700DCB"/>
    <w:rsid w:val="007024C0"/>
    <w:rsid w:val="007029EB"/>
    <w:rsid w:val="00703620"/>
    <w:rsid w:val="007037AA"/>
    <w:rsid w:val="00705913"/>
    <w:rsid w:val="00706146"/>
    <w:rsid w:val="0070639F"/>
    <w:rsid w:val="00706DC2"/>
    <w:rsid w:val="007077C7"/>
    <w:rsid w:val="00707FB4"/>
    <w:rsid w:val="00710CEA"/>
    <w:rsid w:val="00710E1A"/>
    <w:rsid w:val="0071133E"/>
    <w:rsid w:val="00711459"/>
    <w:rsid w:val="00712906"/>
    <w:rsid w:val="00712F7B"/>
    <w:rsid w:val="007132DF"/>
    <w:rsid w:val="00713ECC"/>
    <w:rsid w:val="007142CE"/>
    <w:rsid w:val="0071459D"/>
    <w:rsid w:val="00714966"/>
    <w:rsid w:val="00714DB6"/>
    <w:rsid w:val="007150BB"/>
    <w:rsid w:val="00715D2F"/>
    <w:rsid w:val="00715D4A"/>
    <w:rsid w:val="00716619"/>
    <w:rsid w:val="00716CFF"/>
    <w:rsid w:val="00717498"/>
    <w:rsid w:val="0071754E"/>
    <w:rsid w:val="00717784"/>
    <w:rsid w:val="00720FB9"/>
    <w:rsid w:val="0072185E"/>
    <w:rsid w:val="00721BCA"/>
    <w:rsid w:val="00721E9E"/>
    <w:rsid w:val="00722CE2"/>
    <w:rsid w:val="007232C5"/>
    <w:rsid w:val="00724587"/>
    <w:rsid w:val="0072485B"/>
    <w:rsid w:val="0072524E"/>
    <w:rsid w:val="007252C6"/>
    <w:rsid w:val="00725571"/>
    <w:rsid w:val="00725D05"/>
    <w:rsid w:val="00725D6B"/>
    <w:rsid w:val="007263C1"/>
    <w:rsid w:val="00726FD5"/>
    <w:rsid w:val="00727711"/>
    <w:rsid w:val="00730121"/>
    <w:rsid w:val="00730D7F"/>
    <w:rsid w:val="007315DC"/>
    <w:rsid w:val="0073195D"/>
    <w:rsid w:val="00731E5D"/>
    <w:rsid w:val="00732D43"/>
    <w:rsid w:val="0073311E"/>
    <w:rsid w:val="007335C3"/>
    <w:rsid w:val="00733766"/>
    <w:rsid w:val="00733E5D"/>
    <w:rsid w:val="007340A0"/>
    <w:rsid w:val="007340A6"/>
    <w:rsid w:val="0073536C"/>
    <w:rsid w:val="0073554D"/>
    <w:rsid w:val="00741635"/>
    <w:rsid w:val="00741A0F"/>
    <w:rsid w:val="00741CDB"/>
    <w:rsid w:val="00741F23"/>
    <w:rsid w:val="007427FE"/>
    <w:rsid w:val="00742E3D"/>
    <w:rsid w:val="007445C5"/>
    <w:rsid w:val="00744985"/>
    <w:rsid w:val="007451CB"/>
    <w:rsid w:val="00745596"/>
    <w:rsid w:val="00745986"/>
    <w:rsid w:val="0074617E"/>
    <w:rsid w:val="00746B38"/>
    <w:rsid w:val="00746C02"/>
    <w:rsid w:val="007471FF"/>
    <w:rsid w:val="00747A3B"/>
    <w:rsid w:val="00747E07"/>
    <w:rsid w:val="00750706"/>
    <w:rsid w:val="007507FC"/>
    <w:rsid w:val="00751318"/>
    <w:rsid w:val="007518C4"/>
    <w:rsid w:val="007519EE"/>
    <w:rsid w:val="007525B7"/>
    <w:rsid w:val="00752917"/>
    <w:rsid w:val="00752973"/>
    <w:rsid w:val="007531ED"/>
    <w:rsid w:val="00753296"/>
    <w:rsid w:val="00753611"/>
    <w:rsid w:val="007536D0"/>
    <w:rsid w:val="00753F9D"/>
    <w:rsid w:val="007546C2"/>
    <w:rsid w:val="00754C55"/>
    <w:rsid w:val="0075534F"/>
    <w:rsid w:val="00756C5B"/>
    <w:rsid w:val="00756F61"/>
    <w:rsid w:val="007574A9"/>
    <w:rsid w:val="0076105B"/>
    <w:rsid w:val="00761374"/>
    <w:rsid w:val="00761B68"/>
    <w:rsid w:val="00762178"/>
    <w:rsid w:val="007623E0"/>
    <w:rsid w:val="0076250D"/>
    <w:rsid w:val="00762764"/>
    <w:rsid w:val="00762FAF"/>
    <w:rsid w:val="007631D5"/>
    <w:rsid w:val="00763B78"/>
    <w:rsid w:val="007646D4"/>
    <w:rsid w:val="00764A1B"/>
    <w:rsid w:val="00765194"/>
    <w:rsid w:val="00765684"/>
    <w:rsid w:val="007663A6"/>
    <w:rsid w:val="00766C8D"/>
    <w:rsid w:val="00767484"/>
    <w:rsid w:val="0076771A"/>
    <w:rsid w:val="00767AB2"/>
    <w:rsid w:val="00770106"/>
    <w:rsid w:val="00772C1B"/>
    <w:rsid w:val="00772E20"/>
    <w:rsid w:val="0077330B"/>
    <w:rsid w:val="00773BA3"/>
    <w:rsid w:val="00773BB4"/>
    <w:rsid w:val="00773CA7"/>
    <w:rsid w:val="00773E7F"/>
    <w:rsid w:val="00774B53"/>
    <w:rsid w:val="00774F37"/>
    <w:rsid w:val="00775F87"/>
    <w:rsid w:val="00776400"/>
    <w:rsid w:val="00776750"/>
    <w:rsid w:val="00776A7E"/>
    <w:rsid w:val="00777AEB"/>
    <w:rsid w:val="0078047F"/>
    <w:rsid w:val="00780B36"/>
    <w:rsid w:val="00781342"/>
    <w:rsid w:val="00781BC9"/>
    <w:rsid w:val="00781F3E"/>
    <w:rsid w:val="007826F3"/>
    <w:rsid w:val="007835A3"/>
    <w:rsid w:val="00783EFE"/>
    <w:rsid w:val="007848C9"/>
    <w:rsid w:val="00785EDC"/>
    <w:rsid w:val="00785F83"/>
    <w:rsid w:val="00786CA4"/>
    <w:rsid w:val="00786DC9"/>
    <w:rsid w:val="007870F5"/>
    <w:rsid w:val="00787684"/>
    <w:rsid w:val="007901E3"/>
    <w:rsid w:val="00790A2E"/>
    <w:rsid w:val="00791DD5"/>
    <w:rsid w:val="007927CD"/>
    <w:rsid w:val="00792DB7"/>
    <w:rsid w:val="00793001"/>
    <w:rsid w:val="00793059"/>
    <w:rsid w:val="007930F0"/>
    <w:rsid w:val="0079322A"/>
    <w:rsid w:val="0079327E"/>
    <w:rsid w:val="007933C3"/>
    <w:rsid w:val="00793E49"/>
    <w:rsid w:val="007943F5"/>
    <w:rsid w:val="00795408"/>
    <w:rsid w:val="007957F9"/>
    <w:rsid w:val="007975E7"/>
    <w:rsid w:val="0079775B"/>
    <w:rsid w:val="007A06B0"/>
    <w:rsid w:val="007A2C21"/>
    <w:rsid w:val="007A3335"/>
    <w:rsid w:val="007A4223"/>
    <w:rsid w:val="007A4887"/>
    <w:rsid w:val="007A4CD6"/>
    <w:rsid w:val="007A74E8"/>
    <w:rsid w:val="007B03C6"/>
    <w:rsid w:val="007B0B00"/>
    <w:rsid w:val="007B0B6A"/>
    <w:rsid w:val="007B1360"/>
    <w:rsid w:val="007B1545"/>
    <w:rsid w:val="007B1F61"/>
    <w:rsid w:val="007B205C"/>
    <w:rsid w:val="007B2574"/>
    <w:rsid w:val="007B27A9"/>
    <w:rsid w:val="007B2849"/>
    <w:rsid w:val="007B2A79"/>
    <w:rsid w:val="007B2A8D"/>
    <w:rsid w:val="007B3C8F"/>
    <w:rsid w:val="007B3CCD"/>
    <w:rsid w:val="007B5216"/>
    <w:rsid w:val="007B5727"/>
    <w:rsid w:val="007B5842"/>
    <w:rsid w:val="007B5A66"/>
    <w:rsid w:val="007B6106"/>
    <w:rsid w:val="007B6177"/>
    <w:rsid w:val="007B639E"/>
    <w:rsid w:val="007B75B0"/>
    <w:rsid w:val="007B786B"/>
    <w:rsid w:val="007C0299"/>
    <w:rsid w:val="007C08E6"/>
    <w:rsid w:val="007C0973"/>
    <w:rsid w:val="007C1D7E"/>
    <w:rsid w:val="007C2414"/>
    <w:rsid w:val="007C277C"/>
    <w:rsid w:val="007C27AF"/>
    <w:rsid w:val="007C2EE0"/>
    <w:rsid w:val="007C38AC"/>
    <w:rsid w:val="007C4949"/>
    <w:rsid w:val="007C4AEC"/>
    <w:rsid w:val="007C5D01"/>
    <w:rsid w:val="007C5E72"/>
    <w:rsid w:val="007C65F5"/>
    <w:rsid w:val="007C6B7A"/>
    <w:rsid w:val="007C720E"/>
    <w:rsid w:val="007C7261"/>
    <w:rsid w:val="007D0E88"/>
    <w:rsid w:val="007D1036"/>
    <w:rsid w:val="007D1149"/>
    <w:rsid w:val="007D14D0"/>
    <w:rsid w:val="007D1C31"/>
    <w:rsid w:val="007D20B3"/>
    <w:rsid w:val="007D2484"/>
    <w:rsid w:val="007D254D"/>
    <w:rsid w:val="007D335D"/>
    <w:rsid w:val="007D35A7"/>
    <w:rsid w:val="007D3916"/>
    <w:rsid w:val="007D4558"/>
    <w:rsid w:val="007D6F9C"/>
    <w:rsid w:val="007D710C"/>
    <w:rsid w:val="007D77E4"/>
    <w:rsid w:val="007D7A7D"/>
    <w:rsid w:val="007D7CDB"/>
    <w:rsid w:val="007E0179"/>
    <w:rsid w:val="007E1CB2"/>
    <w:rsid w:val="007E261A"/>
    <w:rsid w:val="007E304A"/>
    <w:rsid w:val="007E31DA"/>
    <w:rsid w:val="007E3525"/>
    <w:rsid w:val="007E3BA7"/>
    <w:rsid w:val="007E4FB3"/>
    <w:rsid w:val="007E5F48"/>
    <w:rsid w:val="007E6571"/>
    <w:rsid w:val="007E665B"/>
    <w:rsid w:val="007E6BC2"/>
    <w:rsid w:val="007E7416"/>
    <w:rsid w:val="007E75EA"/>
    <w:rsid w:val="007E77F6"/>
    <w:rsid w:val="007F012B"/>
    <w:rsid w:val="007F0332"/>
    <w:rsid w:val="007F0981"/>
    <w:rsid w:val="007F0ABA"/>
    <w:rsid w:val="007F0BD4"/>
    <w:rsid w:val="007F0C70"/>
    <w:rsid w:val="007F0DFB"/>
    <w:rsid w:val="007F0EF8"/>
    <w:rsid w:val="007F0F92"/>
    <w:rsid w:val="007F1A0D"/>
    <w:rsid w:val="007F1A1E"/>
    <w:rsid w:val="007F1CAF"/>
    <w:rsid w:val="007F1E04"/>
    <w:rsid w:val="007F2E99"/>
    <w:rsid w:val="007F3686"/>
    <w:rsid w:val="007F4702"/>
    <w:rsid w:val="007F4D0B"/>
    <w:rsid w:val="007F5C99"/>
    <w:rsid w:val="007F5DBB"/>
    <w:rsid w:val="007F6560"/>
    <w:rsid w:val="007F65DC"/>
    <w:rsid w:val="007F6637"/>
    <w:rsid w:val="007F725B"/>
    <w:rsid w:val="007F772D"/>
    <w:rsid w:val="008000DF"/>
    <w:rsid w:val="00800333"/>
    <w:rsid w:val="00800870"/>
    <w:rsid w:val="00801197"/>
    <w:rsid w:val="00801C28"/>
    <w:rsid w:val="008022F2"/>
    <w:rsid w:val="00802EA1"/>
    <w:rsid w:val="00802FB4"/>
    <w:rsid w:val="00803C3D"/>
    <w:rsid w:val="00803F6B"/>
    <w:rsid w:val="008047F3"/>
    <w:rsid w:val="00804EC9"/>
    <w:rsid w:val="0080514D"/>
    <w:rsid w:val="008059FF"/>
    <w:rsid w:val="008068A0"/>
    <w:rsid w:val="00806A28"/>
    <w:rsid w:val="00806B16"/>
    <w:rsid w:val="00806E42"/>
    <w:rsid w:val="00806F4A"/>
    <w:rsid w:val="00807B3B"/>
    <w:rsid w:val="00810622"/>
    <w:rsid w:val="00810664"/>
    <w:rsid w:val="00810DFF"/>
    <w:rsid w:val="00811212"/>
    <w:rsid w:val="00811E75"/>
    <w:rsid w:val="008137D6"/>
    <w:rsid w:val="00813C99"/>
    <w:rsid w:val="008144B7"/>
    <w:rsid w:val="00814695"/>
    <w:rsid w:val="0081476F"/>
    <w:rsid w:val="008149DB"/>
    <w:rsid w:val="00814CE4"/>
    <w:rsid w:val="008155FB"/>
    <w:rsid w:val="00816D78"/>
    <w:rsid w:val="00817053"/>
    <w:rsid w:val="00817272"/>
    <w:rsid w:val="0081741F"/>
    <w:rsid w:val="00817B08"/>
    <w:rsid w:val="00820696"/>
    <w:rsid w:val="008210A3"/>
    <w:rsid w:val="00821147"/>
    <w:rsid w:val="0082133F"/>
    <w:rsid w:val="0082139C"/>
    <w:rsid w:val="008213B4"/>
    <w:rsid w:val="00821589"/>
    <w:rsid w:val="00821B9C"/>
    <w:rsid w:val="008228D6"/>
    <w:rsid w:val="00822F71"/>
    <w:rsid w:val="0082352A"/>
    <w:rsid w:val="00823881"/>
    <w:rsid w:val="0082391B"/>
    <w:rsid w:val="0082446E"/>
    <w:rsid w:val="00824F7C"/>
    <w:rsid w:val="00825209"/>
    <w:rsid w:val="00825AE7"/>
    <w:rsid w:val="00825FCD"/>
    <w:rsid w:val="0082699D"/>
    <w:rsid w:val="00826E77"/>
    <w:rsid w:val="008272B1"/>
    <w:rsid w:val="0083043A"/>
    <w:rsid w:val="00830593"/>
    <w:rsid w:val="00830C7E"/>
    <w:rsid w:val="008318F3"/>
    <w:rsid w:val="008324BD"/>
    <w:rsid w:val="00832962"/>
    <w:rsid w:val="00832E26"/>
    <w:rsid w:val="00832F9F"/>
    <w:rsid w:val="0083351F"/>
    <w:rsid w:val="00834E74"/>
    <w:rsid w:val="00835A64"/>
    <w:rsid w:val="00835B72"/>
    <w:rsid w:val="00835B80"/>
    <w:rsid w:val="00835C0E"/>
    <w:rsid w:val="008364D2"/>
    <w:rsid w:val="00837ADD"/>
    <w:rsid w:val="008402CB"/>
    <w:rsid w:val="0084092F"/>
    <w:rsid w:val="00840C4B"/>
    <w:rsid w:val="0084107F"/>
    <w:rsid w:val="00841099"/>
    <w:rsid w:val="0084125C"/>
    <w:rsid w:val="0084178C"/>
    <w:rsid w:val="00841C91"/>
    <w:rsid w:val="00841D34"/>
    <w:rsid w:val="00842734"/>
    <w:rsid w:val="0084291C"/>
    <w:rsid w:val="00843762"/>
    <w:rsid w:val="008440DC"/>
    <w:rsid w:val="008440EC"/>
    <w:rsid w:val="00844ECD"/>
    <w:rsid w:val="00847249"/>
    <w:rsid w:val="00847808"/>
    <w:rsid w:val="00847906"/>
    <w:rsid w:val="008479D4"/>
    <w:rsid w:val="00847DE9"/>
    <w:rsid w:val="00850728"/>
    <w:rsid w:val="008508AA"/>
    <w:rsid w:val="00850AD1"/>
    <w:rsid w:val="00850E88"/>
    <w:rsid w:val="00851C73"/>
    <w:rsid w:val="008527C4"/>
    <w:rsid w:val="00852D1E"/>
    <w:rsid w:val="00853237"/>
    <w:rsid w:val="00853428"/>
    <w:rsid w:val="00853696"/>
    <w:rsid w:val="00853968"/>
    <w:rsid w:val="00853969"/>
    <w:rsid w:val="00854257"/>
    <w:rsid w:val="00855426"/>
    <w:rsid w:val="00855786"/>
    <w:rsid w:val="008557A7"/>
    <w:rsid w:val="00855996"/>
    <w:rsid w:val="00855DDC"/>
    <w:rsid w:val="00855EBE"/>
    <w:rsid w:val="00855ECE"/>
    <w:rsid w:val="00856398"/>
    <w:rsid w:val="00856AB6"/>
    <w:rsid w:val="00856BBA"/>
    <w:rsid w:val="00856C40"/>
    <w:rsid w:val="00856CB8"/>
    <w:rsid w:val="00857405"/>
    <w:rsid w:val="008574C6"/>
    <w:rsid w:val="00857550"/>
    <w:rsid w:val="00860570"/>
    <w:rsid w:val="00860AEB"/>
    <w:rsid w:val="0086115F"/>
    <w:rsid w:val="00861D92"/>
    <w:rsid w:val="00862478"/>
    <w:rsid w:val="00863352"/>
    <w:rsid w:val="00863841"/>
    <w:rsid w:val="00864345"/>
    <w:rsid w:val="008646BC"/>
    <w:rsid w:val="00865180"/>
    <w:rsid w:val="00865DD1"/>
    <w:rsid w:val="0086662D"/>
    <w:rsid w:val="0086667E"/>
    <w:rsid w:val="00866E52"/>
    <w:rsid w:val="00870BB0"/>
    <w:rsid w:val="00870F86"/>
    <w:rsid w:val="0087117B"/>
    <w:rsid w:val="00871382"/>
    <w:rsid w:val="00871892"/>
    <w:rsid w:val="00872A55"/>
    <w:rsid w:val="00873322"/>
    <w:rsid w:val="008735C2"/>
    <w:rsid w:val="00873893"/>
    <w:rsid w:val="00874274"/>
    <w:rsid w:val="00874650"/>
    <w:rsid w:val="00874706"/>
    <w:rsid w:val="00874DBB"/>
    <w:rsid w:val="00875088"/>
    <w:rsid w:val="0087579D"/>
    <w:rsid w:val="00875A7C"/>
    <w:rsid w:val="008762FD"/>
    <w:rsid w:val="00877346"/>
    <w:rsid w:val="0088157B"/>
    <w:rsid w:val="008827C8"/>
    <w:rsid w:val="00883084"/>
    <w:rsid w:val="008842B2"/>
    <w:rsid w:val="0088472F"/>
    <w:rsid w:val="00884D19"/>
    <w:rsid w:val="00885603"/>
    <w:rsid w:val="00885BFC"/>
    <w:rsid w:val="00886E85"/>
    <w:rsid w:val="0088773D"/>
    <w:rsid w:val="00890016"/>
    <w:rsid w:val="008905C7"/>
    <w:rsid w:val="008908E2"/>
    <w:rsid w:val="00890BFD"/>
    <w:rsid w:val="00890E02"/>
    <w:rsid w:val="008910A2"/>
    <w:rsid w:val="0089112F"/>
    <w:rsid w:val="008927A4"/>
    <w:rsid w:val="00893050"/>
    <w:rsid w:val="00893381"/>
    <w:rsid w:val="008949DB"/>
    <w:rsid w:val="00895291"/>
    <w:rsid w:val="008958D5"/>
    <w:rsid w:val="008959C5"/>
    <w:rsid w:val="0089643F"/>
    <w:rsid w:val="00897CF3"/>
    <w:rsid w:val="00897EEC"/>
    <w:rsid w:val="008A01AB"/>
    <w:rsid w:val="008A0479"/>
    <w:rsid w:val="008A0671"/>
    <w:rsid w:val="008A09DC"/>
    <w:rsid w:val="008A1820"/>
    <w:rsid w:val="008A19CE"/>
    <w:rsid w:val="008A2492"/>
    <w:rsid w:val="008A29DD"/>
    <w:rsid w:val="008A2A9C"/>
    <w:rsid w:val="008A2D4D"/>
    <w:rsid w:val="008A3FED"/>
    <w:rsid w:val="008A4562"/>
    <w:rsid w:val="008A482B"/>
    <w:rsid w:val="008A4D5B"/>
    <w:rsid w:val="008A57C9"/>
    <w:rsid w:val="008A57D3"/>
    <w:rsid w:val="008A5A51"/>
    <w:rsid w:val="008A623A"/>
    <w:rsid w:val="008A6717"/>
    <w:rsid w:val="008A675C"/>
    <w:rsid w:val="008A690D"/>
    <w:rsid w:val="008A72CE"/>
    <w:rsid w:val="008B0AD6"/>
    <w:rsid w:val="008B1EFE"/>
    <w:rsid w:val="008B2ADD"/>
    <w:rsid w:val="008B349E"/>
    <w:rsid w:val="008B3F5D"/>
    <w:rsid w:val="008B4011"/>
    <w:rsid w:val="008B4AC2"/>
    <w:rsid w:val="008B4EAB"/>
    <w:rsid w:val="008B52A4"/>
    <w:rsid w:val="008B5839"/>
    <w:rsid w:val="008B58DC"/>
    <w:rsid w:val="008B5F13"/>
    <w:rsid w:val="008B67D5"/>
    <w:rsid w:val="008B6AF1"/>
    <w:rsid w:val="008B6F2E"/>
    <w:rsid w:val="008B721D"/>
    <w:rsid w:val="008B78E2"/>
    <w:rsid w:val="008B7C0E"/>
    <w:rsid w:val="008C012D"/>
    <w:rsid w:val="008C09CC"/>
    <w:rsid w:val="008C0D97"/>
    <w:rsid w:val="008C1651"/>
    <w:rsid w:val="008C1945"/>
    <w:rsid w:val="008C1B38"/>
    <w:rsid w:val="008C1C4F"/>
    <w:rsid w:val="008C2138"/>
    <w:rsid w:val="008C2186"/>
    <w:rsid w:val="008C3CA4"/>
    <w:rsid w:val="008C3E6F"/>
    <w:rsid w:val="008C5511"/>
    <w:rsid w:val="008C64A3"/>
    <w:rsid w:val="008C7086"/>
    <w:rsid w:val="008C7344"/>
    <w:rsid w:val="008C7B71"/>
    <w:rsid w:val="008D02D2"/>
    <w:rsid w:val="008D0505"/>
    <w:rsid w:val="008D0E22"/>
    <w:rsid w:val="008D1922"/>
    <w:rsid w:val="008D197E"/>
    <w:rsid w:val="008D1CE2"/>
    <w:rsid w:val="008D1F61"/>
    <w:rsid w:val="008D21F9"/>
    <w:rsid w:val="008D2EBE"/>
    <w:rsid w:val="008D3782"/>
    <w:rsid w:val="008D3CB9"/>
    <w:rsid w:val="008D4B13"/>
    <w:rsid w:val="008D5151"/>
    <w:rsid w:val="008D56F6"/>
    <w:rsid w:val="008D6259"/>
    <w:rsid w:val="008D62F2"/>
    <w:rsid w:val="008D715D"/>
    <w:rsid w:val="008E0456"/>
    <w:rsid w:val="008E0D33"/>
    <w:rsid w:val="008E1E13"/>
    <w:rsid w:val="008E2BF5"/>
    <w:rsid w:val="008E388E"/>
    <w:rsid w:val="008E5232"/>
    <w:rsid w:val="008E527C"/>
    <w:rsid w:val="008E56DC"/>
    <w:rsid w:val="008E5EFF"/>
    <w:rsid w:val="008E63D9"/>
    <w:rsid w:val="008F158D"/>
    <w:rsid w:val="008F1605"/>
    <w:rsid w:val="008F1A04"/>
    <w:rsid w:val="008F2576"/>
    <w:rsid w:val="008F2664"/>
    <w:rsid w:val="008F30E7"/>
    <w:rsid w:val="008F3BF2"/>
    <w:rsid w:val="008F46C6"/>
    <w:rsid w:val="008F478D"/>
    <w:rsid w:val="008F5286"/>
    <w:rsid w:val="008F5BC4"/>
    <w:rsid w:val="008F6D34"/>
    <w:rsid w:val="0090066A"/>
    <w:rsid w:val="00900AB7"/>
    <w:rsid w:val="00900E98"/>
    <w:rsid w:val="00902484"/>
    <w:rsid w:val="00902724"/>
    <w:rsid w:val="00902787"/>
    <w:rsid w:val="009041CA"/>
    <w:rsid w:val="00904298"/>
    <w:rsid w:val="00904517"/>
    <w:rsid w:val="0090474D"/>
    <w:rsid w:val="0090496C"/>
    <w:rsid w:val="00905CE7"/>
    <w:rsid w:val="00906056"/>
    <w:rsid w:val="009066C0"/>
    <w:rsid w:val="009102E7"/>
    <w:rsid w:val="00910610"/>
    <w:rsid w:val="00910C4B"/>
    <w:rsid w:val="0091188C"/>
    <w:rsid w:val="00911A7E"/>
    <w:rsid w:val="00911D7B"/>
    <w:rsid w:val="00912108"/>
    <w:rsid w:val="0091249A"/>
    <w:rsid w:val="00913626"/>
    <w:rsid w:val="0091383D"/>
    <w:rsid w:val="00913A82"/>
    <w:rsid w:val="00913C92"/>
    <w:rsid w:val="00913F06"/>
    <w:rsid w:val="009148B3"/>
    <w:rsid w:val="009154F4"/>
    <w:rsid w:val="00916B8A"/>
    <w:rsid w:val="0091741F"/>
    <w:rsid w:val="0091773E"/>
    <w:rsid w:val="00917CB2"/>
    <w:rsid w:val="00917F79"/>
    <w:rsid w:val="00920728"/>
    <w:rsid w:val="00920FE1"/>
    <w:rsid w:val="009210FB"/>
    <w:rsid w:val="00921285"/>
    <w:rsid w:val="00921B4C"/>
    <w:rsid w:val="009227F9"/>
    <w:rsid w:val="00922D70"/>
    <w:rsid w:val="00923AF7"/>
    <w:rsid w:val="00923D3F"/>
    <w:rsid w:val="009246F2"/>
    <w:rsid w:val="0092619B"/>
    <w:rsid w:val="0092670A"/>
    <w:rsid w:val="00926B98"/>
    <w:rsid w:val="009302D3"/>
    <w:rsid w:val="00930EB0"/>
    <w:rsid w:val="00931756"/>
    <w:rsid w:val="00931E32"/>
    <w:rsid w:val="00932157"/>
    <w:rsid w:val="0093215C"/>
    <w:rsid w:val="00932596"/>
    <w:rsid w:val="00932EA7"/>
    <w:rsid w:val="009334F0"/>
    <w:rsid w:val="00933E0B"/>
    <w:rsid w:val="00933E66"/>
    <w:rsid w:val="00934FF6"/>
    <w:rsid w:val="00935CA2"/>
    <w:rsid w:val="00935EB2"/>
    <w:rsid w:val="00936050"/>
    <w:rsid w:val="00936724"/>
    <w:rsid w:val="00937572"/>
    <w:rsid w:val="00940111"/>
    <w:rsid w:val="0094062F"/>
    <w:rsid w:val="009406A4"/>
    <w:rsid w:val="00940F1C"/>
    <w:rsid w:val="009429F8"/>
    <w:rsid w:val="00942AD7"/>
    <w:rsid w:val="00943528"/>
    <w:rsid w:val="009436AE"/>
    <w:rsid w:val="00943E42"/>
    <w:rsid w:val="00944437"/>
    <w:rsid w:val="00944712"/>
    <w:rsid w:val="00944DAB"/>
    <w:rsid w:val="0094556A"/>
    <w:rsid w:val="009463F7"/>
    <w:rsid w:val="00946B74"/>
    <w:rsid w:val="009479D1"/>
    <w:rsid w:val="0095000E"/>
    <w:rsid w:val="00950239"/>
    <w:rsid w:val="00950784"/>
    <w:rsid w:val="009509A4"/>
    <w:rsid w:val="0095120D"/>
    <w:rsid w:val="0095134B"/>
    <w:rsid w:val="009513C5"/>
    <w:rsid w:val="00951CE4"/>
    <w:rsid w:val="00951DA0"/>
    <w:rsid w:val="00951DC4"/>
    <w:rsid w:val="00951EC8"/>
    <w:rsid w:val="00951F56"/>
    <w:rsid w:val="00952BFB"/>
    <w:rsid w:val="00953DF7"/>
    <w:rsid w:val="0095428A"/>
    <w:rsid w:val="0095433E"/>
    <w:rsid w:val="009546A5"/>
    <w:rsid w:val="00954BFF"/>
    <w:rsid w:val="009552C7"/>
    <w:rsid w:val="009553CF"/>
    <w:rsid w:val="0095569C"/>
    <w:rsid w:val="00955852"/>
    <w:rsid w:val="0095630A"/>
    <w:rsid w:val="0095631D"/>
    <w:rsid w:val="0095653B"/>
    <w:rsid w:val="00956737"/>
    <w:rsid w:val="00956DC9"/>
    <w:rsid w:val="00960DAD"/>
    <w:rsid w:val="009612F2"/>
    <w:rsid w:val="00961F69"/>
    <w:rsid w:val="00961FEE"/>
    <w:rsid w:val="0096210A"/>
    <w:rsid w:val="0096279A"/>
    <w:rsid w:val="0096293E"/>
    <w:rsid w:val="00962D82"/>
    <w:rsid w:val="00963338"/>
    <w:rsid w:val="009635D9"/>
    <w:rsid w:val="00963B8C"/>
    <w:rsid w:val="00964B30"/>
    <w:rsid w:val="00964C65"/>
    <w:rsid w:val="00964D39"/>
    <w:rsid w:val="00964F71"/>
    <w:rsid w:val="00966842"/>
    <w:rsid w:val="009669B8"/>
    <w:rsid w:val="00966DE4"/>
    <w:rsid w:val="0096711D"/>
    <w:rsid w:val="0096793B"/>
    <w:rsid w:val="00967E2E"/>
    <w:rsid w:val="00970573"/>
    <w:rsid w:val="00970BC7"/>
    <w:rsid w:val="00970CEB"/>
    <w:rsid w:val="00970DDB"/>
    <w:rsid w:val="0097120D"/>
    <w:rsid w:val="00973B42"/>
    <w:rsid w:val="00973E3D"/>
    <w:rsid w:val="00974120"/>
    <w:rsid w:val="009742C1"/>
    <w:rsid w:val="00974BFD"/>
    <w:rsid w:val="00975150"/>
    <w:rsid w:val="009752BA"/>
    <w:rsid w:val="009758C9"/>
    <w:rsid w:val="00976AED"/>
    <w:rsid w:val="00976D10"/>
    <w:rsid w:val="00976DC7"/>
    <w:rsid w:val="009776EE"/>
    <w:rsid w:val="00977DBB"/>
    <w:rsid w:val="009802F3"/>
    <w:rsid w:val="00981045"/>
    <w:rsid w:val="009812D7"/>
    <w:rsid w:val="00981604"/>
    <w:rsid w:val="00982EE6"/>
    <w:rsid w:val="00983035"/>
    <w:rsid w:val="00983E72"/>
    <w:rsid w:val="009843A7"/>
    <w:rsid w:val="00984944"/>
    <w:rsid w:val="00984EC6"/>
    <w:rsid w:val="00984FA3"/>
    <w:rsid w:val="009853DA"/>
    <w:rsid w:val="009855A5"/>
    <w:rsid w:val="00985F83"/>
    <w:rsid w:val="00986155"/>
    <w:rsid w:val="00986527"/>
    <w:rsid w:val="00986AFC"/>
    <w:rsid w:val="00986C7F"/>
    <w:rsid w:val="00986FAC"/>
    <w:rsid w:val="0098759B"/>
    <w:rsid w:val="00987865"/>
    <w:rsid w:val="00990B3D"/>
    <w:rsid w:val="00991128"/>
    <w:rsid w:val="009920B8"/>
    <w:rsid w:val="00992BCA"/>
    <w:rsid w:val="00992E20"/>
    <w:rsid w:val="00992EE3"/>
    <w:rsid w:val="00993177"/>
    <w:rsid w:val="00994FCA"/>
    <w:rsid w:val="00995CA7"/>
    <w:rsid w:val="00995E2C"/>
    <w:rsid w:val="009960C3"/>
    <w:rsid w:val="00996B2C"/>
    <w:rsid w:val="00996BCF"/>
    <w:rsid w:val="00996C2B"/>
    <w:rsid w:val="009973FD"/>
    <w:rsid w:val="009975E1"/>
    <w:rsid w:val="009A04BC"/>
    <w:rsid w:val="009A04C4"/>
    <w:rsid w:val="009A08B0"/>
    <w:rsid w:val="009A11D6"/>
    <w:rsid w:val="009A1323"/>
    <w:rsid w:val="009A1B01"/>
    <w:rsid w:val="009A1DF6"/>
    <w:rsid w:val="009A2818"/>
    <w:rsid w:val="009A298C"/>
    <w:rsid w:val="009A2B22"/>
    <w:rsid w:val="009A3561"/>
    <w:rsid w:val="009A3D26"/>
    <w:rsid w:val="009A4412"/>
    <w:rsid w:val="009A56C6"/>
    <w:rsid w:val="009A5A84"/>
    <w:rsid w:val="009A5C2D"/>
    <w:rsid w:val="009A60BD"/>
    <w:rsid w:val="009A747A"/>
    <w:rsid w:val="009A7DD4"/>
    <w:rsid w:val="009B12C7"/>
    <w:rsid w:val="009B154D"/>
    <w:rsid w:val="009B1B0A"/>
    <w:rsid w:val="009B1F5D"/>
    <w:rsid w:val="009B204F"/>
    <w:rsid w:val="009B2098"/>
    <w:rsid w:val="009B2268"/>
    <w:rsid w:val="009B2838"/>
    <w:rsid w:val="009B2969"/>
    <w:rsid w:val="009B3607"/>
    <w:rsid w:val="009B40E0"/>
    <w:rsid w:val="009B49E1"/>
    <w:rsid w:val="009B5096"/>
    <w:rsid w:val="009B50F8"/>
    <w:rsid w:val="009B5363"/>
    <w:rsid w:val="009B58FA"/>
    <w:rsid w:val="009B5A75"/>
    <w:rsid w:val="009B6691"/>
    <w:rsid w:val="009B73DE"/>
    <w:rsid w:val="009B7681"/>
    <w:rsid w:val="009B78F1"/>
    <w:rsid w:val="009C07F6"/>
    <w:rsid w:val="009C100F"/>
    <w:rsid w:val="009C1C6F"/>
    <w:rsid w:val="009C2873"/>
    <w:rsid w:val="009C2963"/>
    <w:rsid w:val="009C300B"/>
    <w:rsid w:val="009C361A"/>
    <w:rsid w:val="009C3773"/>
    <w:rsid w:val="009C3F03"/>
    <w:rsid w:val="009C3FDA"/>
    <w:rsid w:val="009C415A"/>
    <w:rsid w:val="009C46CD"/>
    <w:rsid w:val="009C516B"/>
    <w:rsid w:val="009C5731"/>
    <w:rsid w:val="009C735E"/>
    <w:rsid w:val="009C7E69"/>
    <w:rsid w:val="009D03D5"/>
    <w:rsid w:val="009D098F"/>
    <w:rsid w:val="009D0D45"/>
    <w:rsid w:val="009D0F08"/>
    <w:rsid w:val="009D2671"/>
    <w:rsid w:val="009D3FCC"/>
    <w:rsid w:val="009D4621"/>
    <w:rsid w:val="009D46AC"/>
    <w:rsid w:val="009D4B55"/>
    <w:rsid w:val="009D56C5"/>
    <w:rsid w:val="009D5B31"/>
    <w:rsid w:val="009D5C8D"/>
    <w:rsid w:val="009D5F3F"/>
    <w:rsid w:val="009D7E6E"/>
    <w:rsid w:val="009E04B4"/>
    <w:rsid w:val="009E0511"/>
    <w:rsid w:val="009E0F22"/>
    <w:rsid w:val="009E1462"/>
    <w:rsid w:val="009E1994"/>
    <w:rsid w:val="009E20AD"/>
    <w:rsid w:val="009E2330"/>
    <w:rsid w:val="009E2928"/>
    <w:rsid w:val="009E4F08"/>
    <w:rsid w:val="009E5007"/>
    <w:rsid w:val="009E5197"/>
    <w:rsid w:val="009E551E"/>
    <w:rsid w:val="009E58D4"/>
    <w:rsid w:val="009E5BEF"/>
    <w:rsid w:val="009E6640"/>
    <w:rsid w:val="009E6683"/>
    <w:rsid w:val="009E69C4"/>
    <w:rsid w:val="009E69F1"/>
    <w:rsid w:val="009E786F"/>
    <w:rsid w:val="009E7A02"/>
    <w:rsid w:val="009E7F38"/>
    <w:rsid w:val="009F032E"/>
    <w:rsid w:val="009F092C"/>
    <w:rsid w:val="009F0C7A"/>
    <w:rsid w:val="009F1150"/>
    <w:rsid w:val="009F1448"/>
    <w:rsid w:val="009F1B86"/>
    <w:rsid w:val="009F2147"/>
    <w:rsid w:val="009F2290"/>
    <w:rsid w:val="009F2681"/>
    <w:rsid w:val="009F268A"/>
    <w:rsid w:val="009F2AFA"/>
    <w:rsid w:val="009F3858"/>
    <w:rsid w:val="009F3D45"/>
    <w:rsid w:val="009F479A"/>
    <w:rsid w:val="009F4C61"/>
    <w:rsid w:val="009F576D"/>
    <w:rsid w:val="009F5E2C"/>
    <w:rsid w:val="009F6190"/>
    <w:rsid w:val="009F6F50"/>
    <w:rsid w:val="009F7457"/>
    <w:rsid w:val="009F7B12"/>
    <w:rsid w:val="009F7C02"/>
    <w:rsid w:val="00A0000A"/>
    <w:rsid w:val="00A01056"/>
    <w:rsid w:val="00A0178D"/>
    <w:rsid w:val="00A019A8"/>
    <w:rsid w:val="00A01F3B"/>
    <w:rsid w:val="00A02B34"/>
    <w:rsid w:val="00A02E4D"/>
    <w:rsid w:val="00A02F01"/>
    <w:rsid w:val="00A039F5"/>
    <w:rsid w:val="00A03DA2"/>
    <w:rsid w:val="00A03F5D"/>
    <w:rsid w:val="00A0428F"/>
    <w:rsid w:val="00A07498"/>
    <w:rsid w:val="00A07530"/>
    <w:rsid w:val="00A0777B"/>
    <w:rsid w:val="00A079D0"/>
    <w:rsid w:val="00A07BDA"/>
    <w:rsid w:val="00A07FF5"/>
    <w:rsid w:val="00A10A92"/>
    <w:rsid w:val="00A11C9C"/>
    <w:rsid w:val="00A122BA"/>
    <w:rsid w:val="00A122BD"/>
    <w:rsid w:val="00A13C61"/>
    <w:rsid w:val="00A13CDC"/>
    <w:rsid w:val="00A14BAD"/>
    <w:rsid w:val="00A152A6"/>
    <w:rsid w:val="00A158B2"/>
    <w:rsid w:val="00A166B4"/>
    <w:rsid w:val="00A17077"/>
    <w:rsid w:val="00A17CE2"/>
    <w:rsid w:val="00A204D9"/>
    <w:rsid w:val="00A212BD"/>
    <w:rsid w:val="00A222A4"/>
    <w:rsid w:val="00A224F7"/>
    <w:rsid w:val="00A226C5"/>
    <w:rsid w:val="00A236C2"/>
    <w:rsid w:val="00A24017"/>
    <w:rsid w:val="00A24156"/>
    <w:rsid w:val="00A24A30"/>
    <w:rsid w:val="00A253DA"/>
    <w:rsid w:val="00A26C5E"/>
    <w:rsid w:val="00A26F84"/>
    <w:rsid w:val="00A27DD2"/>
    <w:rsid w:val="00A27E06"/>
    <w:rsid w:val="00A27E33"/>
    <w:rsid w:val="00A30202"/>
    <w:rsid w:val="00A30215"/>
    <w:rsid w:val="00A30501"/>
    <w:rsid w:val="00A30CA5"/>
    <w:rsid w:val="00A31447"/>
    <w:rsid w:val="00A31971"/>
    <w:rsid w:val="00A31D22"/>
    <w:rsid w:val="00A32408"/>
    <w:rsid w:val="00A3319F"/>
    <w:rsid w:val="00A333E2"/>
    <w:rsid w:val="00A33441"/>
    <w:rsid w:val="00A33D88"/>
    <w:rsid w:val="00A33E0E"/>
    <w:rsid w:val="00A36B5A"/>
    <w:rsid w:val="00A36DC2"/>
    <w:rsid w:val="00A36FD3"/>
    <w:rsid w:val="00A37B59"/>
    <w:rsid w:val="00A40BB6"/>
    <w:rsid w:val="00A416F7"/>
    <w:rsid w:val="00A41AE9"/>
    <w:rsid w:val="00A42115"/>
    <w:rsid w:val="00A42629"/>
    <w:rsid w:val="00A42FF3"/>
    <w:rsid w:val="00A43B3A"/>
    <w:rsid w:val="00A43D92"/>
    <w:rsid w:val="00A447BB"/>
    <w:rsid w:val="00A44972"/>
    <w:rsid w:val="00A44AAB"/>
    <w:rsid w:val="00A453D7"/>
    <w:rsid w:val="00A456AD"/>
    <w:rsid w:val="00A4625E"/>
    <w:rsid w:val="00A464CE"/>
    <w:rsid w:val="00A47036"/>
    <w:rsid w:val="00A47141"/>
    <w:rsid w:val="00A47870"/>
    <w:rsid w:val="00A47BB4"/>
    <w:rsid w:val="00A47F23"/>
    <w:rsid w:val="00A50F1D"/>
    <w:rsid w:val="00A53067"/>
    <w:rsid w:val="00A536A7"/>
    <w:rsid w:val="00A5397F"/>
    <w:rsid w:val="00A54578"/>
    <w:rsid w:val="00A556E3"/>
    <w:rsid w:val="00A55773"/>
    <w:rsid w:val="00A557A3"/>
    <w:rsid w:val="00A5589D"/>
    <w:rsid w:val="00A55DAE"/>
    <w:rsid w:val="00A566FB"/>
    <w:rsid w:val="00A56AA4"/>
    <w:rsid w:val="00A56D0A"/>
    <w:rsid w:val="00A56F9D"/>
    <w:rsid w:val="00A6011A"/>
    <w:rsid w:val="00A601F8"/>
    <w:rsid w:val="00A60230"/>
    <w:rsid w:val="00A60C33"/>
    <w:rsid w:val="00A61693"/>
    <w:rsid w:val="00A6176C"/>
    <w:rsid w:val="00A626FD"/>
    <w:rsid w:val="00A63050"/>
    <w:rsid w:val="00A631ED"/>
    <w:rsid w:val="00A64351"/>
    <w:rsid w:val="00A647E4"/>
    <w:rsid w:val="00A64D53"/>
    <w:rsid w:val="00A64EC4"/>
    <w:rsid w:val="00A65561"/>
    <w:rsid w:val="00A65E2A"/>
    <w:rsid w:val="00A66C4E"/>
    <w:rsid w:val="00A672D4"/>
    <w:rsid w:val="00A6762E"/>
    <w:rsid w:val="00A67C22"/>
    <w:rsid w:val="00A70011"/>
    <w:rsid w:val="00A70C74"/>
    <w:rsid w:val="00A70FC9"/>
    <w:rsid w:val="00A71B95"/>
    <w:rsid w:val="00A731B0"/>
    <w:rsid w:val="00A733E2"/>
    <w:rsid w:val="00A73670"/>
    <w:rsid w:val="00A73807"/>
    <w:rsid w:val="00A73E48"/>
    <w:rsid w:val="00A73EF8"/>
    <w:rsid w:val="00A73FE6"/>
    <w:rsid w:val="00A74AAA"/>
    <w:rsid w:val="00A75924"/>
    <w:rsid w:val="00A75A0E"/>
    <w:rsid w:val="00A75F39"/>
    <w:rsid w:val="00A76C02"/>
    <w:rsid w:val="00A76F58"/>
    <w:rsid w:val="00A76F76"/>
    <w:rsid w:val="00A774A5"/>
    <w:rsid w:val="00A7783F"/>
    <w:rsid w:val="00A80509"/>
    <w:rsid w:val="00A810BB"/>
    <w:rsid w:val="00A81AEE"/>
    <w:rsid w:val="00A81B7F"/>
    <w:rsid w:val="00A81D0E"/>
    <w:rsid w:val="00A82221"/>
    <w:rsid w:val="00A822AA"/>
    <w:rsid w:val="00A823E5"/>
    <w:rsid w:val="00A83027"/>
    <w:rsid w:val="00A8307D"/>
    <w:rsid w:val="00A836B9"/>
    <w:rsid w:val="00A83718"/>
    <w:rsid w:val="00A8410C"/>
    <w:rsid w:val="00A844B3"/>
    <w:rsid w:val="00A84F4D"/>
    <w:rsid w:val="00A852A9"/>
    <w:rsid w:val="00A85714"/>
    <w:rsid w:val="00A86415"/>
    <w:rsid w:val="00A87E9C"/>
    <w:rsid w:val="00A9002B"/>
    <w:rsid w:val="00A902AC"/>
    <w:rsid w:val="00A90FC6"/>
    <w:rsid w:val="00A91292"/>
    <w:rsid w:val="00A92561"/>
    <w:rsid w:val="00A92B40"/>
    <w:rsid w:val="00A92B61"/>
    <w:rsid w:val="00A92DF7"/>
    <w:rsid w:val="00A94840"/>
    <w:rsid w:val="00A951D4"/>
    <w:rsid w:val="00A95853"/>
    <w:rsid w:val="00A95D7F"/>
    <w:rsid w:val="00A95E8E"/>
    <w:rsid w:val="00A9660C"/>
    <w:rsid w:val="00A96A10"/>
    <w:rsid w:val="00AA0595"/>
    <w:rsid w:val="00AA0FE7"/>
    <w:rsid w:val="00AA159F"/>
    <w:rsid w:val="00AA1F41"/>
    <w:rsid w:val="00AA230B"/>
    <w:rsid w:val="00AA2F2C"/>
    <w:rsid w:val="00AA3B53"/>
    <w:rsid w:val="00AA4464"/>
    <w:rsid w:val="00AA5289"/>
    <w:rsid w:val="00AA6487"/>
    <w:rsid w:val="00AA6A0B"/>
    <w:rsid w:val="00AA6C71"/>
    <w:rsid w:val="00AA72DB"/>
    <w:rsid w:val="00AB05ED"/>
    <w:rsid w:val="00AB0A32"/>
    <w:rsid w:val="00AB0F85"/>
    <w:rsid w:val="00AB1699"/>
    <w:rsid w:val="00AB1A3A"/>
    <w:rsid w:val="00AB1B9A"/>
    <w:rsid w:val="00AB2013"/>
    <w:rsid w:val="00AB22C4"/>
    <w:rsid w:val="00AB2AE9"/>
    <w:rsid w:val="00AB3662"/>
    <w:rsid w:val="00AB36F4"/>
    <w:rsid w:val="00AB4668"/>
    <w:rsid w:val="00AB4A42"/>
    <w:rsid w:val="00AB4BCD"/>
    <w:rsid w:val="00AB4DC4"/>
    <w:rsid w:val="00AB5300"/>
    <w:rsid w:val="00AB7BB4"/>
    <w:rsid w:val="00AB7FEA"/>
    <w:rsid w:val="00AC01F7"/>
    <w:rsid w:val="00AC0980"/>
    <w:rsid w:val="00AC0F25"/>
    <w:rsid w:val="00AC1224"/>
    <w:rsid w:val="00AC1313"/>
    <w:rsid w:val="00AC17CD"/>
    <w:rsid w:val="00AC2166"/>
    <w:rsid w:val="00AC23AB"/>
    <w:rsid w:val="00AC249B"/>
    <w:rsid w:val="00AC33D4"/>
    <w:rsid w:val="00AC353D"/>
    <w:rsid w:val="00AC4357"/>
    <w:rsid w:val="00AC4A6F"/>
    <w:rsid w:val="00AC4C83"/>
    <w:rsid w:val="00AC4DF5"/>
    <w:rsid w:val="00AC4E6C"/>
    <w:rsid w:val="00AC5BC3"/>
    <w:rsid w:val="00AC5EEA"/>
    <w:rsid w:val="00AC6352"/>
    <w:rsid w:val="00AC6EED"/>
    <w:rsid w:val="00AC7226"/>
    <w:rsid w:val="00AD0C4F"/>
    <w:rsid w:val="00AD12EE"/>
    <w:rsid w:val="00AD1B7C"/>
    <w:rsid w:val="00AD2C9E"/>
    <w:rsid w:val="00AD3780"/>
    <w:rsid w:val="00AD37BF"/>
    <w:rsid w:val="00AD39FA"/>
    <w:rsid w:val="00AD3E07"/>
    <w:rsid w:val="00AD4BED"/>
    <w:rsid w:val="00AD4CED"/>
    <w:rsid w:val="00AD53E2"/>
    <w:rsid w:val="00AD596F"/>
    <w:rsid w:val="00AD6408"/>
    <w:rsid w:val="00AD66D5"/>
    <w:rsid w:val="00AD6AA5"/>
    <w:rsid w:val="00AD6FB3"/>
    <w:rsid w:val="00AD7A58"/>
    <w:rsid w:val="00AD7AC5"/>
    <w:rsid w:val="00AE0561"/>
    <w:rsid w:val="00AE0811"/>
    <w:rsid w:val="00AE0C8F"/>
    <w:rsid w:val="00AE1692"/>
    <w:rsid w:val="00AE188B"/>
    <w:rsid w:val="00AE2E48"/>
    <w:rsid w:val="00AE360A"/>
    <w:rsid w:val="00AE50FA"/>
    <w:rsid w:val="00AE578C"/>
    <w:rsid w:val="00AE5A3B"/>
    <w:rsid w:val="00AE5B28"/>
    <w:rsid w:val="00AE62B9"/>
    <w:rsid w:val="00AE6DC0"/>
    <w:rsid w:val="00AE7623"/>
    <w:rsid w:val="00AE7BDE"/>
    <w:rsid w:val="00AF0240"/>
    <w:rsid w:val="00AF0EFB"/>
    <w:rsid w:val="00AF185C"/>
    <w:rsid w:val="00AF1F00"/>
    <w:rsid w:val="00AF2142"/>
    <w:rsid w:val="00AF26EB"/>
    <w:rsid w:val="00AF294B"/>
    <w:rsid w:val="00AF2F50"/>
    <w:rsid w:val="00AF36E6"/>
    <w:rsid w:val="00AF3873"/>
    <w:rsid w:val="00AF39D1"/>
    <w:rsid w:val="00AF407B"/>
    <w:rsid w:val="00AF4A47"/>
    <w:rsid w:val="00AF4EAB"/>
    <w:rsid w:val="00AF5235"/>
    <w:rsid w:val="00AF531F"/>
    <w:rsid w:val="00AF5840"/>
    <w:rsid w:val="00AF5AFE"/>
    <w:rsid w:val="00AF6084"/>
    <w:rsid w:val="00AF6DFF"/>
    <w:rsid w:val="00AF6FD6"/>
    <w:rsid w:val="00AF774E"/>
    <w:rsid w:val="00AF7768"/>
    <w:rsid w:val="00AF7890"/>
    <w:rsid w:val="00AF7EA5"/>
    <w:rsid w:val="00B012EA"/>
    <w:rsid w:val="00B0131A"/>
    <w:rsid w:val="00B016D5"/>
    <w:rsid w:val="00B02004"/>
    <w:rsid w:val="00B02B0F"/>
    <w:rsid w:val="00B02E20"/>
    <w:rsid w:val="00B02F94"/>
    <w:rsid w:val="00B03A69"/>
    <w:rsid w:val="00B03E86"/>
    <w:rsid w:val="00B0409D"/>
    <w:rsid w:val="00B04574"/>
    <w:rsid w:val="00B04872"/>
    <w:rsid w:val="00B05B71"/>
    <w:rsid w:val="00B06BEF"/>
    <w:rsid w:val="00B07CBE"/>
    <w:rsid w:val="00B07E0B"/>
    <w:rsid w:val="00B1015D"/>
    <w:rsid w:val="00B10444"/>
    <w:rsid w:val="00B107DA"/>
    <w:rsid w:val="00B107E2"/>
    <w:rsid w:val="00B11CFF"/>
    <w:rsid w:val="00B120E4"/>
    <w:rsid w:val="00B12C73"/>
    <w:rsid w:val="00B12E86"/>
    <w:rsid w:val="00B13817"/>
    <w:rsid w:val="00B146F8"/>
    <w:rsid w:val="00B1516B"/>
    <w:rsid w:val="00B1517B"/>
    <w:rsid w:val="00B15AC0"/>
    <w:rsid w:val="00B172FC"/>
    <w:rsid w:val="00B203B6"/>
    <w:rsid w:val="00B211B3"/>
    <w:rsid w:val="00B217EE"/>
    <w:rsid w:val="00B21AD3"/>
    <w:rsid w:val="00B21C6C"/>
    <w:rsid w:val="00B22072"/>
    <w:rsid w:val="00B22542"/>
    <w:rsid w:val="00B225DE"/>
    <w:rsid w:val="00B226B6"/>
    <w:rsid w:val="00B22711"/>
    <w:rsid w:val="00B23FED"/>
    <w:rsid w:val="00B24162"/>
    <w:rsid w:val="00B24236"/>
    <w:rsid w:val="00B2450E"/>
    <w:rsid w:val="00B24FD3"/>
    <w:rsid w:val="00B25436"/>
    <w:rsid w:val="00B25C2C"/>
    <w:rsid w:val="00B25D5E"/>
    <w:rsid w:val="00B25F9E"/>
    <w:rsid w:val="00B265A7"/>
    <w:rsid w:val="00B26A82"/>
    <w:rsid w:val="00B26E30"/>
    <w:rsid w:val="00B26EED"/>
    <w:rsid w:val="00B2721C"/>
    <w:rsid w:val="00B275D4"/>
    <w:rsid w:val="00B27687"/>
    <w:rsid w:val="00B27867"/>
    <w:rsid w:val="00B279D2"/>
    <w:rsid w:val="00B279F7"/>
    <w:rsid w:val="00B300B1"/>
    <w:rsid w:val="00B31A69"/>
    <w:rsid w:val="00B32338"/>
    <w:rsid w:val="00B324C9"/>
    <w:rsid w:val="00B33923"/>
    <w:rsid w:val="00B340A7"/>
    <w:rsid w:val="00B34183"/>
    <w:rsid w:val="00B342F7"/>
    <w:rsid w:val="00B34918"/>
    <w:rsid w:val="00B34CB9"/>
    <w:rsid w:val="00B34F11"/>
    <w:rsid w:val="00B35364"/>
    <w:rsid w:val="00B37D2B"/>
    <w:rsid w:val="00B40133"/>
    <w:rsid w:val="00B40D3D"/>
    <w:rsid w:val="00B418BA"/>
    <w:rsid w:val="00B42085"/>
    <w:rsid w:val="00B42594"/>
    <w:rsid w:val="00B432AC"/>
    <w:rsid w:val="00B43939"/>
    <w:rsid w:val="00B43FB9"/>
    <w:rsid w:val="00B4576E"/>
    <w:rsid w:val="00B476A4"/>
    <w:rsid w:val="00B476A7"/>
    <w:rsid w:val="00B47C21"/>
    <w:rsid w:val="00B47E5A"/>
    <w:rsid w:val="00B47EC5"/>
    <w:rsid w:val="00B503CE"/>
    <w:rsid w:val="00B512D5"/>
    <w:rsid w:val="00B51572"/>
    <w:rsid w:val="00B51847"/>
    <w:rsid w:val="00B51A39"/>
    <w:rsid w:val="00B51EC6"/>
    <w:rsid w:val="00B5231E"/>
    <w:rsid w:val="00B53D75"/>
    <w:rsid w:val="00B554C2"/>
    <w:rsid w:val="00B55D57"/>
    <w:rsid w:val="00B56315"/>
    <w:rsid w:val="00B56701"/>
    <w:rsid w:val="00B5793C"/>
    <w:rsid w:val="00B6049D"/>
    <w:rsid w:val="00B611C9"/>
    <w:rsid w:val="00B612A5"/>
    <w:rsid w:val="00B61851"/>
    <w:rsid w:val="00B62480"/>
    <w:rsid w:val="00B624A4"/>
    <w:rsid w:val="00B62D80"/>
    <w:rsid w:val="00B6340F"/>
    <w:rsid w:val="00B6378E"/>
    <w:rsid w:val="00B63836"/>
    <w:rsid w:val="00B645E5"/>
    <w:rsid w:val="00B64A31"/>
    <w:rsid w:val="00B64DD2"/>
    <w:rsid w:val="00B6572E"/>
    <w:rsid w:val="00B65848"/>
    <w:rsid w:val="00B662F3"/>
    <w:rsid w:val="00B66512"/>
    <w:rsid w:val="00B6654D"/>
    <w:rsid w:val="00B67669"/>
    <w:rsid w:val="00B6771F"/>
    <w:rsid w:val="00B678AB"/>
    <w:rsid w:val="00B700E4"/>
    <w:rsid w:val="00B70D10"/>
    <w:rsid w:val="00B70EFD"/>
    <w:rsid w:val="00B7221D"/>
    <w:rsid w:val="00B72B2B"/>
    <w:rsid w:val="00B730D7"/>
    <w:rsid w:val="00B733FF"/>
    <w:rsid w:val="00B742C7"/>
    <w:rsid w:val="00B7485A"/>
    <w:rsid w:val="00B7502B"/>
    <w:rsid w:val="00B75808"/>
    <w:rsid w:val="00B76A73"/>
    <w:rsid w:val="00B76CBC"/>
    <w:rsid w:val="00B7701C"/>
    <w:rsid w:val="00B77028"/>
    <w:rsid w:val="00B770EC"/>
    <w:rsid w:val="00B777FB"/>
    <w:rsid w:val="00B77AB3"/>
    <w:rsid w:val="00B80658"/>
    <w:rsid w:val="00B80CB4"/>
    <w:rsid w:val="00B811B8"/>
    <w:rsid w:val="00B8131D"/>
    <w:rsid w:val="00B814BA"/>
    <w:rsid w:val="00B81991"/>
    <w:rsid w:val="00B82994"/>
    <w:rsid w:val="00B82EE3"/>
    <w:rsid w:val="00B8366F"/>
    <w:rsid w:val="00B836F4"/>
    <w:rsid w:val="00B83D5F"/>
    <w:rsid w:val="00B854C3"/>
    <w:rsid w:val="00B8551A"/>
    <w:rsid w:val="00B855DD"/>
    <w:rsid w:val="00B8664E"/>
    <w:rsid w:val="00B90072"/>
    <w:rsid w:val="00B9186D"/>
    <w:rsid w:val="00B919F4"/>
    <w:rsid w:val="00B91B72"/>
    <w:rsid w:val="00B922D8"/>
    <w:rsid w:val="00B9324C"/>
    <w:rsid w:val="00B934D5"/>
    <w:rsid w:val="00B93CEB"/>
    <w:rsid w:val="00B93E02"/>
    <w:rsid w:val="00B94187"/>
    <w:rsid w:val="00B946D3"/>
    <w:rsid w:val="00B94A97"/>
    <w:rsid w:val="00B952E5"/>
    <w:rsid w:val="00B95483"/>
    <w:rsid w:val="00B95B9C"/>
    <w:rsid w:val="00B95F25"/>
    <w:rsid w:val="00B95FA0"/>
    <w:rsid w:val="00B9645B"/>
    <w:rsid w:val="00B96855"/>
    <w:rsid w:val="00B96F61"/>
    <w:rsid w:val="00B9776B"/>
    <w:rsid w:val="00B97FBF"/>
    <w:rsid w:val="00BA042E"/>
    <w:rsid w:val="00BA06A2"/>
    <w:rsid w:val="00BA1263"/>
    <w:rsid w:val="00BA12AF"/>
    <w:rsid w:val="00BA1E8E"/>
    <w:rsid w:val="00BA1EEB"/>
    <w:rsid w:val="00BA2515"/>
    <w:rsid w:val="00BA295A"/>
    <w:rsid w:val="00BA29E3"/>
    <w:rsid w:val="00BA2CCA"/>
    <w:rsid w:val="00BA2F70"/>
    <w:rsid w:val="00BA338B"/>
    <w:rsid w:val="00BA41E2"/>
    <w:rsid w:val="00BA442B"/>
    <w:rsid w:val="00BA4611"/>
    <w:rsid w:val="00BA4AC6"/>
    <w:rsid w:val="00BA528D"/>
    <w:rsid w:val="00BA5EF7"/>
    <w:rsid w:val="00BA6254"/>
    <w:rsid w:val="00BA7043"/>
    <w:rsid w:val="00BA79DF"/>
    <w:rsid w:val="00BA7BB2"/>
    <w:rsid w:val="00BB1243"/>
    <w:rsid w:val="00BB1419"/>
    <w:rsid w:val="00BB2423"/>
    <w:rsid w:val="00BB2D16"/>
    <w:rsid w:val="00BB2DC2"/>
    <w:rsid w:val="00BB2F38"/>
    <w:rsid w:val="00BB335C"/>
    <w:rsid w:val="00BB335D"/>
    <w:rsid w:val="00BB3397"/>
    <w:rsid w:val="00BB3AB5"/>
    <w:rsid w:val="00BB57F8"/>
    <w:rsid w:val="00BB5D4E"/>
    <w:rsid w:val="00BB633E"/>
    <w:rsid w:val="00BB6411"/>
    <w:rsid w:val="00BB6848"/>
    <w:rsid w:val="00BB6B65"/>
    <w:rsid w:val="00BB72C3"/>
    <w:rsid w:val="00BC0525"/>
    <w:rsid w:val="00BC0848"/>
    <w:rsid w:val="00BC0CC1"/>
    <w:rsid w:val="00BC1570"/>
    <w:rsid w:val="00BC2133"/>
    <w:rsid w:val="00BC22BB"/>
    <w:rsid w:val="00BC2AC5"/>
    <w:rsid w:val="00BC2C2A"/>
    <w:rsid w:val="00BC2C70"/>
    <w:rsid w:val="00BC2CEC"/>
    <w:rsid w:val="00BC2DC3"/>
    <w:rsid w:val="00BC3193"/>
    <w:rsid w:val="00BC3B58"/>
    <w:rsid w:val="00BC442A"/>
    <w:rsid w:val="00BC4C7D"/>
    <w:rsid w:val="00BC4CC2"/>
    <w:rsid w:val="00BC6786"/>
    <w:rsid w:val="00BC7402"/>
    <w:rsid w:val="00BC7492"/>
    <w:rsid w:val="00BC7496"/>
    <w:rsid w:val="00BC7A57"/>
    <w:rsid w:val="00BD1468"/>
    <w:rsid w:val="00BD1D27"/>
    <w:rsid w:val="00BD1EC9"/>
    <w:rsid w:val="00BD280C"/>
    <w:rsid w:val="00BD2A2C"/>
    <w:rsid w:val="00BD2E95"/>
    <w:rsid w:val="00BD387E"/>
    <w:rsid w:val="00BD5141"/>
    <w:rsid w:val="00BD52AE"/>
    <w:rsid w:val="00BD58B9"/>
    <w:rsid w:val="00BD607B"/>
    <w:rsid w:val="00BD6F54"/>
    <w:rsid w:val="00BD76DC"/>
    <w:rsid w:val="00BE098B"/>
    <w:rsid w:val="00BE0E65"/>
    <w:rsid w:val="00BE22A0"/>
    <w:rsid w:val="00BE3148"/>
    <w:rsid w:val="00BE3898"/>
    <w:rsid w:val="00BE38DF"/>
    <w:rsid w:val="00BE4DF0"/>
    <w:rsid w:val="00BE4FC4"/>
    <w:rsid w:val="00BE51C4"/>
    <w:rsid w:val="00BE54A6"/>
    <w:rsid w:val="00BE578D"/>
    <w:rsid w:val="00BE5B0B"/>
    <w:rsid w:val="00BE5F50"/>
    <w:rsid w:val="00BE72C7"/>
    <w:rsid w:val="00BF1A0E"/>
    <w:rsid w:val="00BF1AD4"/>
    <w:rsid w:val="00BF1C45"/>
    <w:rsid w:val="00BF29D8"/>
    <w:rsid w:val="00BF331F"/>
    <w:rsid w:val="00BF332F"/>
    <w:rsid w:val="00BF3756"/>
    <w:rsid w:val="00BF45F1"/>
    <w:rsid w:val="00BF4BFA"/>
    <w:rsid w:val="00BF50F7"/>
    <w:rsid w:val="00BF538D"/>
    <w:rsid w:val="00BF5EC0"/>
    <w:rsid w:val="00BF6000"/>
    <w:rsid w:val="00BF601E"/>
    <w:rsid w:val="00BF6689"/>
    <w:rsid w:val="00BF67F7"/>
    <w:rsid w:val="00BF6E10"/>
    <w:rsid w:val="00BF6FA4"/>
    <w:rsid w:val="00C001A0"/>
    <w:rsid w:val="00C00482"/>
    <w:rsid w:val="00C01378"/>
    <w:rsid w:val="00C017D6"/>
    <w:rsid w:val="00C01963"/>
    <w:rsid w:val="00C03AE5"/>
    <w:rsid w:val="00C03F19"/>
    <w:rsid w:val="00C03F5D"/>
    <w:rsid w:val="00C043A1"/>
    <w:rsid w:val="00C0484F"/>
    <w:rsid w:val="00C052F1"/>
    <w:rsid w:val="00C05358"/>
    <w:rsid w:val="00C05451"/>
    <w:rsid w:val="00C05971"/>
    <w:rsid w:val="00C05B9E"/>
    <w:rsid w:val="00C05BD5"/>
    <w:rsid w:val="00C069BC"/>
    <w:rsid w:val="00C073E5"/>
    <w:rsid w:val="00C07636"/>
    <w:rsid w:val="00C07680"/>
    <w:rsid w:val="00C076F7"/>
    <w:rsid w:val="00C1257C"/>
    <w:rsid w:val="00C12C50"/>
    <w:rsid w:val="00C12DF0"/>
    <w:rsid w:val="00C12F51"/>
    <w:rsid w:val="00C12F80"/>
    <w:rsid w:val="00C13016"/>
    <w:rsid w:val="00C1314A"/>
    <w:rsid w:val="00C131D5"/>
    <w:rsid w:val="00C13206"/>
    <w:rsid w:val="00C14065"/>
    <w:rsid w:val="00C14EE9"/>
    <w:rsid w:val="00C15CB9"/>
    <w:rsid w:val="00C16094"/>
    <w:rsid w:val="00C173D9"/>
    <w:rsid w:val="00C17635"/>
    <w:rsid w:val="00C20557"/>
    <w:rsid w:val="00C228A9"/>
    <w:rsid w:val="00C23F4A"/>
    <w:rsid w:val="00C24774"/>
    <w:rsid w:val="00C24AED"/>
    <w:rsid w:val="00C251CE"/>
    <w:rsid w:val="00C25233"/>
    <w:rsid w:val="00C25F13"/>
    <w:rsid w:val="00C26167"/>
    <w:rsid w:val="00C26F3C"/>
    <w:rsid w:val="00C3057E"/>
    <w:rsid w:val="00C3059B"/>
    <w:rsid w:val="00C305D9"/>
    <w:rsid w:val="00C31FBF"/>
    <w:rsid w:val="00C31FDF"/>
    <w:rsid w:val="00C3227F"/>
    <w:rsid w:val="00C32B05"/>
    <w:rsid w:val="00C32EA2"/>
    <w:rsid w:val="00C32EF3"/>
    <w:rsid w:val="00C3311F"/>
    <w:rsid w:val="00C33DAA"/>
    <w:rsid w:val="00C33F37"/>
    <w:rsid w:val="00C34064"/>
    <w:rsid w:val="00C346B1"/>
    <w:rsid w:val="00C34F4C"/>
    <w:rsid w:val="00C35216"/>
    <w:rsid w:val="00C35832"/>
    <w:rsid w:val="00C35A43"/>
    <w:rsid w:val="00C35D11"/>
    <w:rsid w:val="00C3629E"/>
    <w:rsid w:val="00C370B7"/>
    <w:rsid w:val="00C3750F"/>
    <w:rsid w:val="00C375CD"/>
    <w:rsid w:val="00C37A6B"/>
    <w:rsid w:val="00C409B3"/>
    <w:rsid w:val="00C40D2D"/>
    <w:rsid w:val="00C4122E"/>
    <w:rsid w:val="00C41689"/>
    <w:rsid w:val="00C41B2C"/>
    <w:rsid w:val="00C41FD4"/>
    <w:rsid w:val="00C42238"/>
    <w:rsid w:val="00C426AB"/>
    <w:rsid w:val="00C42D4E"/>
    <w:rsid w:val="00C42E3F"/>
    <w:rsid w:val="00C432EF"/>
    <w:rsid w:val="00C43551"/>
    <w:rsid w:val="00C43DE9"/>
    <w:rsid w:val="00C44700"/>
    <w:rsid w:val="00C449FB"/>
    <w:rsid w:val="00C44A88"/>
    <w:rsid w:val="00C44FB9"/>
    <w:rsid w:val="00C45EC9"/>
    <w:rsid w:val="00C46B40"/>
    <w:rsid w:val="00C46E97"/>
    <w:rsid w:val="00C4750E"/>
    <w:rsid w:val="00C47AF0"/>
    <w:rsid w:val="00C47C44"/>
    <w:rsid w:val="00C50770"/>
    <w:rsid w:val="00C508CB"/>
    <w:rsid w:val="00C50B0A"/>
    <w:rsid w:val="00C50FC1"/>
    <w:rsid w:val="00C51368"/>
    <w:rsid w:val="00C51A92"/>
    <w:rsid w:val="00C52267"/>
    <w:rsid w:val="00C522C3"/>
    <w:rsid w:val="00C523DF"/>
    <w:rsid w:val="00C5301B"/>
    <w:rsid w:val="00C5331D"/>
    <w:rsid w:val="00C53741"/>
    <w:rsid w:val="00C53A81"/>
    <w:rsid w:val="00C53CEB"/>
    <w:rsid w:val="00C5476B"/>
    <w:rsid w:val="00C56D8C"/>
    <w:rsid w:val="00C57EE3"/>
    <w:rsid w:val="00C60472"/>
    <w:rsid w:val="00C60800"/>
    <w:rsid w:val="00C60E2F"/>
    <w:rsid w:val="00C61872"/>
    <w:rsid w:val="00C61ABF"/>
    <w:rsid w:val="00C62E82"/>
    <w:rsid w:val="00C6315B"/>
    <w:rsid w:val="00C63855"/>
    <w:rsid w:val="00C63AC4"/>
    <w:rsid w:val="00C63D66"/>
    <w:rsid w:val="00C63ED5"/>
    <w:rsid w:val="00C64670"/>
    <w:rsid w:val="00C66472"/>
    <w:rsid w:val="00C66C33"/>
    <w:rsid w:val="00C67873"/>
    <w:rsid w:val="00C7024B"/>
    <w:rsid w:val="00C70906"/>
    <w:rsid w:val="00C7096D"/>
    <w:rsid w:val="00C709D3"/>
    <w:rsid w:val="00C70B9B"/>
    <w:rsid w:val="00C71413"/>
    <w:rsid w:val="00C71FB2"/>
    <w:rsid w:val="00C7236E"/>
    <w:rsid w:val="00C73351"/>
    <w:rsid w:val="00C739FA"/>
    <w:rsid w:val="00C743B9"/>
    <w:rsid w:val="00C7442C"/>
    <w:rsid w:val="00C74568"/>
    <w:rsid w:val="00C745EE"/>
    <w:rsid w:val="00C746DC"/>
    <w:rsid w:val="00C7496B"/>
    <w:rsid w:val="00C75130"/>
    <w:rsid w:val="00C75639"/>
    <w:rsid w:val="00C75EF5"/>
    <w:rsid w:val="00C7629D"/>
    <w:rsid w:val="00C7665D"/>
    <w:rsid w:val="00C766DD"/>
    <w:rsid w:val="00C76C4A"/>
    <w:rsid w:val="00C7762C"/>
    <w:rsid w:val="00C80BB3"/>
    <w:rsid w:val="00C80D6F"/>
    <w:rsid w:val="00C8195F"/>
    <w:rsid w:val="00C81E08"/>
    <w:rsid w:val="00C8348F"/>
    <w:rsid w:val="00C83E4B"/>
    <w:rsid w:val="00C83F77"/>
    <w:rsid w:val="00C84CBF"/>
    <w:rsid w:val="00C84F6D"/>
    <w:rsid w:val="00C86147"/>
    <w:rsid w:val="00C86290"/>
    <w:rsid w:val="00C86930"/>
    <w:rsid w:val="00C869AA"/>
    <w:rsid w:val="00C87854"/>
    <w:rsid w:val="00C87D14"/>
    <w:rsid w:val="00C87E76"/>
    <w:rsid w:val="00C91580"/>
    <w:rsid w:val="00C91904"/>
    <w:rsid w:val="00C91A13"/>
    <w:rsid w:val="00C91C9A"/>
    <w:rsid w:val="00C92259"/>
    <w:rsid w:val="00C93900"/>
    <w:rsid w:val="00C94B5B"/>
    <w:rsid w:val="00C958F4"/>
    <w:rsid w:val="00C962BA"/>
    <w:rsid w:val="00C96A05"/>
    <w:rsid w:val="00C96C35"/>
    <w:rsid w:val="00C96DEE"/>
    <w:rsid w:val="00C976A1"/>
    <w:rsid w:val="00C976AB"/>
    <w:rsid w:val="00C97F51"/>
    <w:rsid w:val="00CA0363"/>
    <w:rsid w:val="00CA0762"/>
    <w:rsid w:val="00CA0839"/>
    <w:rsid w:val="00CA0857"/>
    <w:rsid w:val="00CA1301"/>
    <w:rsid w:val="00CA3105"/>
    <w:rsid w:val="00CA31F4"/>
    <w:rsid w:val="00CA38CC"/>
    <w:rsid w:val="00CA3DED"/>
    <w:rsid w:val="00CA4601"/>
    <w:rsid w:val="00CA4849"/>
    <w:rsid w:val="00CA4B9F"/>
    <w:rsid w:val="00CA4C1D"/>
    <w:rsid w:val="00CA4EDF"/>
    <w:rsid w:val="00CA4FE5"/>
    <w:rsid w:val="00CA569C"/>
    <w:rsid w:val="00CA5A81"/>
    <w:rsid w:val="00CA6174"/>
    <w:rsid w:val="00CA6945"/>
    <w:rsid w:val="00CA7367"/>
    <w:rsid w:val="00CA7508"/>
    <w:rsid w:val="00CA76AB"/>
    <w:rsid w:val="00CB02C5"/>
    <w:rsid w:val="00CB07BA"/>
    <w:rsid w:val="00CB0A66"/>
    <w:rsid w:val="00CB0EED"/>
    <w:rsid w:val="00CB121C"/>
    <w:rsid w:val="00CB1990"/>
    <w:rsid w:val="00CB22B9"/>
    <w:rsid w:val="00CB27EB"/>
    <w:rsid w:val="00CB2849"/>
    <w:rsid w:val="00CB2E8A"/>
    <w:rsid w:val="00CB31C9"/>
    <w:rsid w:val="00CB3573"/>
    <w:rsid w:val="00CB3A9C"/>
    <w:rsid w:val="00CB3CFD"/>
    <w:rsid w:val="00CB3D50"/>
    <w:rsid w:val="00CB4128"/>
    <w:rsid w:val="00CB41BA"/>
    <w:rsid w:val="00CB4256"/>
    <w:rsid w:val="00CB50B7"/>
    <w:rsid w:val="00CB5A06"/>
    <w:rsid w:val="00CB6276"/>
    <w:rsid w:val="00CC08EB"/>
    <w:rsid w:val="00CC1460"/>
    <w:rsid w:val="00CC3ACB"/>
    <w:rsid w:val="00CC3C2E"/>
    <w:rsid w:val="00CC47AA"/>
    <w:rsid w:val="00CC55BF"/>
    <w:rsid w:val="00CC6446"/>
    <w:rsid w:val="00CC734D"/>
    <w:rsid w:val="00CC766A"/>
    <w:rsid w:val="00CC7CBC"/>
    <w:rsid w:val="00CC7D7F"/>
    <w:rsid w:val="00CD01F5"/>
    <w:rsid w:val="00CD0CA6"/>
    <w:rsid w:val="00CD0D4F"/>
    <w:rsid w:val="00CD0F7C"/>
    <w:rsid w:val="00CD11E2"/>
    <w:rsid w:val="00CD11EC"/>
    <w:rsid w:val="00CD171D"/>
    <w:rsid w:val="00CD1765"/>
    <w:rsid w:val="00CD1F5B"/>
    <w:rsid w:val="00CD3279"/>
    <w:rsid w:val="00CD3CBF"/>
    <w:rsid w:val="00CD45D5"/>
    <w:rsid w:val="00CD49F4"/>
    <w:rsid w:val="00CD5300"/>
    <w:rsid w:val="00CD6A23"/>
    <w:rsid w:val="00CD6E7F"/>
    <w:rsid w:val="00CD70AA"/>
    <w:rsid w:val="00CD72CB"/>
    <w:rsid w:val="00CD7786"/>
    <w:rsid w:val="00CE14CA"/>
    <w:rsid w:val="00CE1C30"/>
    <w:rsid w:val="00CE1F37"/>
    <w:rsid w:val="00CE206E"/>
    <w:rsid w:val="00CE2349"/>
    <w:rsid w:val="00CE27D1"/>
    <w:rsid w:val="00CE295E"/>
    <w:rsid w:val="00CE2A7E"/>
    <w:rsid w:val="00CE3220"/>
    <w:rsid w:val="00CE4282"/>
    <w:rsid w:val="00CE620D"/>
    <w:rsid w:val="00CE63CA"/>
    <w:rsid w:val="00CE6C90"/>
    <w:rsid w:val="00CE786B"/>
    <w:rsid w:val="00CE7EE4"/>
    <w:rsid w:val="00CE7FD8"/>
    <w:rsid w:val="00CF0077"/>
    <w:rsid w:val="00CF0099"/>
    <w:rsid w:val="00CF1264"/>
    <w:rsid w:val="00CF174A"/>
    <w:rsid w:val="00CF3097"/>
    <w:rsid w:val="00CF3ECA"/>
    <w:rsid w:val="00CF4142"/>
    <w:rsid w:val="00CF4570"/>
    <w:rsid w:val="00CF45FF"/>
    <w:rsid w:val="00CF5081"/>
    <w:rsid w:val="00CF5AFA"/>
    <w:rsid w:val="00CF5E9C"/>
    <w:rsid w:val="00CF63E1"/>
    <w:rsid w:val="00CF64FC"/>
    <w:rsid w:val="00CF65DC"/>
    <w:rsid w:val="00CF681B"/>
    <w:rsid w:val="00D00047"/>
    <w:rsid w:val="00D0087C"/>
    <w:rsid w:val="00D00A0F"/>
    <w:rsid w:val="00D01207"/>
    <w:rsid w:val="00D015B5"/>
    <w:rsid w:val="00D0197A"/>
    <w:rsid w:val="00D01DAE"/>
    <w:rsid w:val="00D0215C"/>
    <w:rsid w:val="00D023E0"/>
    <w:rsid w:val="00D02C97"/>
    <w:rsid w:val="00D03027"/>
    <w:rsid w:val="00D03AC3"/>
    <w:rsid w:val="00D03EB5"/>
    <w:rsid w:val="00D04816"/>
    <w:rsid w:val="00D04EAD"/>
    <w:rsid w:val="00D05982"/>
    <w:rsid w:val="00D05B77"/>
    <w:rsid w:val="00D07065"/>
    <w:rsid w:val="00D07DC3"/>
    <w:rsid w:val="00D10337"/>
    <w:rsid w:val="00D1036C"/>
    <w:rsid w:val="00D10540"/>
    <w:rsid w:val="00D109E3"/>
    <w:rsid w:val="00D10E13"/>
    <w:rsid w:val="00D11227"/>
    <w:rsid w:val="00D113CE"/>
    <w:rsid w:val="00D11569"/>
    <w:rsid w:val="00D12B75"/>
    <w:rsid w:val="00D13E78"/>
    <w:rsid w:val="00D14758"/>
    <w:rsid w:val="00D14AAC"/>
    <w:rsid w:val="00D158B7"/>
    <w:rsid w:val="00D15999"/>
    <w:rsid w:val="00D15B22"/>
    <w:rsid w:val="00D15C10"/>
    <w:rsid w:val="00D168DE"/>
    <w:rsid w:val="00D16931"/>
    <w:rsid w:val="00D16ED1"/>
    <w:rsid w:val="00D16F47"/>
    <w:rsid w:val="00D1712E"/>
    <w:rsid w:val="00D1742B"/>
    <w:rsid w:val="00D175E1"/>
    <w:rsid w:val="00D1761F"/>
    <w:rsid w:val="00D1792C"/>
    <w:rsid w:val="00D17EA2"/>
    <w:rsid w:val="00D20636"/>
    <w:rsid w:val="00D21267"/>
    <w:rsid w:val="00D21B45"/>
    <w:rsid w:val="00D21BA0"/>
    <w:rsid w:val="00D222C7"/>
    <w:rsid w:val="00D229FD"/>
    <w:rsid w:val="00D2345E"/>
    <w:rsid w:val="00D23EFC"/>
    <w:rsid w:val="00D24885"/>
    <w:rsid w:val="00D25B4B"/>
    <w:rsid w:val="00D25EAD"/>
    <w:rsid w:val="00D26259"/>
    <w:rsid w:val="00D2639C"/>
    <w:rsid w:val="00D268FD"/>
    <w:rsid w:val="00D26B3A"/>
    <w:rsid w:val="00D277A3"/>
    <w:rsid w:val="00D27AC4"/>
    <w:rsid w:val="00D27BCE"/>
    <w:rsid w:val="00D27CE3"/>
    <w:rsid w:val="00D301C4"/>
    <w:rsid w:val="00D303DC"/>
    <w:rsid w:val="00D30690"/>
    <w:rsid w:val="00D30ADD"/>
    <w:rsid w:val="00D30E94"/>
    <w:rsid w:val="00D30F7E"/>
    <w:rsid w:val="00D3155A"/>
    <w:rsid w:val="00D31A43"/>
    <w:rsid w:val="00D3206B"/>
    <w:rsid w:val="00D3298F"/>
    <w:rsid w:val="00D32BAB"/>
    <w:rsid w:val="00D3306A"/>
    <w:rsid w:val="00D33822"/>
    <w:rsid w:val="00D34A6A"/>
    <w:rsid w:val="00D34AC3"/>
    <w:rsid w:val="00D35777"/>
    <w:rsid w:val="00D35E8B"/>
    <w:rsid w:val="00D36295"/>
    <w:rsid w:val="00D365E5"/>
    <w:rsid w:val="00D366BE"/>
    <w:rsid w:val="00D3679A"/>
    <w:rsid w:val="00D36AC3"/>
    <w:rsid w:val="00D36C8F"/>
    <w:rsid w:val="00D370FD"/>
    <w:rsid w:val="00D37149"/>
    <w:rsid w:val="00D37151"/>
    <w:rsid w:val="00D374CD"/>
    <w:rsid w:val="00D40423"/>
    <w:rsid w:val="00D40540"/>
    <w:rsid w:val="00D4091A"/>
    <w:rsid w:val="00D40A7E"/>
    <w:rsid w:val="00D40E76"/>
    <w:rsid w:val="00D41385"/>
    <w:rsid w:val="00D41A9A"/>
    <w:rsid w:val="00D42950"/>
    <w:rsid w:val="00D42A8B"/>
    <w:rsid w:val="00D42E88"/>
    <w:rsid w:val="00D42EAD"/>
    <w:rsid w:val="00D43735"/>
    <w:rsid w:val="00D43C95"/>
    <w:rsid w:val="00D44205"/>
    <w:rsid w:val="00D4430B"/>
    <w:rsid w:val="00D44E60"/>
    <w:rsid w:val="00D45583"/>
    <w:rsid w:val="00D45B1A"/>
    <w:rsid w:val="00D4636E"/>
    <w:rsid w:val="00D4645C"/>
    <w:rsid w:val="00D4659B"/>
    <w:rsid w:val="00D46820"/>
    <w:rsid w:val="00D46C1F"/>
    <w:rsid w:val="00D46D2A"/>
    <w:rsid w:val="00D46F18"/>
    <w:rsid w:val="00D472BF"/>
    <w:rsid w:val="00D475AB"/>
    <w:rsid w:val="00D50452"/>
    <w:rsid w:val="00D509FB"/>
    <w:rsid w:val="00D51A32"/>
    <w:rsid w:val="00D51B95"/>
    <w:rsid w:val="00D5248D"/>
    <w:rsid w:val="00D5277C"/>
    <w:rsid w:val="00D52E55"/>
    <w:rsid w:val="00D531F9"/>
    <w:rsid w:val="00D53757"/>
    <w:rsid w:val="00D53F37"/>
    <w:rsid w:val="00D5425B"/>
    <w:rsid w:val="00D5432A"/>
    <w:rsid w:val="00D5498D"/>
    <w:rsid w:val="00D54E41"/>
    <w:rsid w:val="00D55D8A"/>
    <w:rsid w:val="00D565AA"/>
    <w:rsid w:val="00D565CB"/>
    <w:rsid w:val="00D565FE"/>
    <w:rsid w:val="00D56AC8"/>
    <w:rsid w:val="00D56FA4"/>
    <w:rsid w:val="00D57557"/>
    <w:rsid w:val="00D57731"/>
    <w:rsid w:val="00D6071F"/>
    <w:rsid w:val="00D60A98"/>
    <w:rsid w:val="00D61262"/>
    <w:rsid w:val="00D615D0"/>
    <w:rsid w:val="00D63021"/>
    <w:rsid w:val="00D64AA7"/>
    <w:rsid w:val="00D64D10"/>
    <w:rsid w:val="00D64F99"/>
    <w:rsid w:val="00D650DF"/>
    <w:rsid w:val="00D65301"/>
    <w:rsid w:val="00D65EF5"/>
    <w:rsid w:val="00D6612B"/>
    <w:rsid w:val="00D666CA"/>
    <w:rsid w:val="00D67204"/>
    <w:rsid w:val="00D70091"/>
    <w:rsid w:val="00D72258"/>
    <w:rsid w:val="00D724EF"/>
    <w:rsid w:val="00D726CB"/>
    <w:rsid w:val="00D72F82"/>
    <w:rsid w:val="00D73BF8"/>
    <w:rsid w:val="00D73C9C"/>
    <w:rsid w:val="00D74000"/>
    <w:rsid w:val="00D742BF"/>
    <w:rsid w:val="00D74652"/>
    <w:rsid w:val="00D74C1C"/>
    <w:rsid w:val="00D757BA"/>
    <w:rsid w:val="00D75C08"/>
    <w:rsid w:val="00D76052"/>
    <w:rsid w:val="00D804CD"/>
    <w:rsid w:val="00D816ED"/>
    <w:rsid w:val="00D821BD"/>
    <w:rsid w:val="00D82259"/>
    <w:rsid w:val="00D82637"/>
    <w:rsid w:val="00D82A0A"/>
    <w:rsid w:val="00D82EC8"/>
    <w:rsid w:val="00D830D2"/>
    <w:rsid w:val="00D83137"/>
    <w:rsid w:val="00D83919"/>
    <w:rsid w:val="00D84D2F"/>
    <w:rsid w:val="00D84D33"/>
    <w:rsid w:val="00D84E5B"/>
    <w:rsid w:val="00D8579E"/>
    <w:rsid w:val="00D85B18"/>
    <w:rsid w:val="00D85D77"/>
    <w:rsid w:val="00D8613C"/>
    <w:rsid w:val="00D87251"/>
    <w:rsid w:val="00D8796C"/>
    <w:rsid w:val="00D87B03"/>
    <w:rsid w:val="00D87DD9"/>
    <w:rsid w:val="00D90AC0"/>
    <w:rsid w:val="00D90CFE"/>
    <w:rsid w:val="00D91353"/>
    <w:rsid w:val="00D914DC"/>
    <w:rsid w:val="00D91990"/>
    <w:rsid w:val="00D927C8"/>
    <w:rsid w:val="00D930D0"/>
    <w:rsid w:val="00D9361D"/>
    <w:rsid w:val="00D943F0"/>
    <w:rsid w:val="00D95090"/>
    <w:rsid w:val="00D95093"/>
    <w:rsid w:val="00D950BE"/>
    <w:rsid w:val="00D95E25"/>
    <w:rsid w:val="00D95E6A"/>
    <w:rsid w:val="00D967D2"/>
    <w:rsid w:val="00D978F2"/>
    <w:rsid w:val="00D979A6"/>
    <w:rsid w:val="00DA0F33"/>
    <w:rsid w:val="00DA1316"/>
    <w:rsid w:val="00DA1AFB"/>
    <w:rsid w:val="00DA3B4E"/>
    <w:rsid w:val="00DA4427"/>
    <w:rsid w:val="00DA498C"/>
    <w:rsid w:val="00DA4C62"/>
    <w:rsid w:val="00DA57C7"/>
    <w:rsid w:val="00DB084D"/>
    <w:rsid w:val="00DB107C"/>
    <w:rsid w:val="00DB1C5C"/>
    <w:rsid w:val="00DB349D"/>
    <w:rsid w:val="00DB34F1"/>
    <w:rsid w:val="00DB382D"/>
    <w:rsid w:val="00DB3CCF"/>
    <w:rsid w:val="00DB3F64"/>
    <w:rsid w:val="00DB4151"/>
    <w:rsid w:val="00DB50DB"/>
    <w:rsid w:val="00DB51A1"/>
    <w:rsid w:val="00DB554A"/>
    <w:rsid w:val="00DB5E8F"/>
    <w:rsid w:val="00DB6FB8"/>
    <w:rsid w:val="00DB712D"/>
    <w:rsid w:val="00DB7BD1"/>
    <w:rsid w:val="00DC1A04"/>
    <w:rsid w:val="00DC285D"/>
    <w:rsid w:val="00DC511C"/>
    <w:rsid w:val="00DC5692"/>
    <w:rsid w:val="00DC60EA"/>
    <w:rsid w:val="00DC6FA8"/>
    <w:rsid w:val="00DC71C5"/>
    <w:rsid w:val="00DC7C42"/>
    <w:rsid w:val="00DC7D3E"/>
    <w:rsid w:val="00DD02EE"/>
    <w:rsid w:val="00DD1DA2"/>
    <w:rsid w:val="00DD25B5"/>
    <w:rsid w:val="00DD25F1"/>
    <w:rsid w:val="00DD27A8"/>
    <w:rsid w:val="00DD3281"/>
    <w:rsid w:val="00DD3C68"/>
    <w:rsid w:val="00DD3C95"/>
    <w:rsid w:val="00DD3F07"/>
    <w:rsid w:val="00DD40FE"/>
    <w:rsid w:val="00DD44A8"/>
    <w:rsid w:val="00DD465B"/>
    <w:rsid w:val="00DD502F"/>
    <w:rsid w:val="00DD5411"/>
    <w:rsid w:val="00DD57A0"/>
    <w:rsid w:val="00DD5BA3"/>
    <w:rsid w:val="00DD64C1"/>
    <w:rsid w:val="00DD6B32"/>
    <w:rsid w:val="00DD7309"/>
    <w:rsid w:val="00DD7DAD"/>
    <w:rsid w:val="00DE02A8"/>
    <w:rsid w:val="00DE0F0F"/>
    <w:rsid w:val="00DE1203"/>
    <w:rsid w:val="00DE1349"/>
    <w:rsid w:val="00DE1723"/>
    <w:rsid w:val="00DE2376"/>
    <w:rsid w:val="00DE2D96"/>
    <w:rsid w:val="00DE2DA9"/>
    <w:rsid w:val="00DE306B"/>
    <w:rsid w:val="00DE34FC"/>
    <w:rsid w:val="00DE3DF5"/>
    <w:rsid w:val="00DE454E"/>
    <w:rsid w:val="00DE4BD7"/>
    <w:rsid w:val="00DE4E43"/>
    <w:rsid w:val="00DE4FC5"/>
    <w:rsid w:val="00DE5118"/>
    <w:rsid w:val="00DE5A20"/>
    <w:rsid w:val="00DE6401"/>
    <w:rsid w:val="00DE7598"/>
    <w:rsid w:val="00DF0A8F"/>
    <w:rsid w:val="00DF0DBE"/>
    <w:rsid w:val="00DF0DD4"/>
    <w:rsid w:val="00DF1C3C"/>
    <w:rsid w:val="00DF2E54"/>
    <w:rsid w:val="00DF33AC"/>
    <w:rsid w:val="00DF3536"/>
    <w:rsid w:val="00DF378F"/>
    <w:rsid w:val="00DF54D7"/>
    <w:rsid w:val="00DF5A5D"/>
    <w:rsid w:val="00DF5AA4"/>
    <w:rsid w:val="00DF6277"/>
    <w:rsid w:val="00DF64A3"/>
    <w:rsid w:val="00DF6A3F"/>
    <w:rsid w:val="00DF6B7F"/>
    <w:rsid w:val="00DF6DFB"/>
    <w:rsid w:val="00DF7A84"/>
    <w:rsid w:val="00DF7F3C"/>
    <w:rsid w:val="00E00050"/>
    <w:rsid w:val="00E001C1"/>
    <w:rsid w:val="00E007BE"/>
    <w:rsid w:val="00E00818"/>
    <w:rsid w:val="00E01C36"/>
    <w:rsid w:val="00E01F62"/>
    <w:rsid w:val="00E0235D"/>
    <w:rsid w:val="00E023A2"/>
    <w:rsid w:val="00E02A43"/>
    <w:rsid w:val="00E044EA"/>
    <w:rsid w:val="00E046DD"/>
    <w:rsid w:val="00E04F99"/>
    <w:rsid w:val="00E05737"/>
    <w:rsid w:val="00E0577A"/>
    <w:rsid w:val="00E05D52"/>
    <w:rsid w:val="00E061A7"/>
    <w:rsid w:val="00E06DFD"/>
    <w:rsid w:val="00E0776D"/>
    <w:rsid w:val="00E07DC6"/>
    <w:rsid w:val="00E10375"/>
    <w:rsid w:val="00E10973"/>
    <w:rsid w:val="00E10D5B"/>
    <w:rsid w:val="00E119CD"/>
    <w:rsid w:val="00E11A40"/>
    <w:rsid w:val="00E11B7A"/>
    <w:rsid w:val="00E11C94"/>
    <w:rsid w:val="00E11D2A"/>
    <w:rsid w:val="00E1206F"/>
    <w:rsid w:val="00E1247A"/>
    <w:rsid w:val="00E126D5"/>
    <w:rsid w:val="00E12BC9"/>
    <w:rsid w:val="00E13898"/>
    <w:rsid w:val="00E13E87"/>
    <w:rsid w:val="00E1465C"/>
    <w:rsid w:val="00E14C38"/>
    <w:rsid w:val="00E14DA8"/>
    <w:rsid w:val="00E16AD0"/>
    <w:rsid w:val="00E16C80"/>
    <w:rsid w:val="00E16E90"/>
    <w:rsid w:val="00E176EC"/>
    <w:rsid w:val="00E20632"/>
    <w:rsid w:val="00E20CEC"/>
    <w:rsid w:val="00E21480"/>
    <w:rsid w:val="00E21786"/>
    <w:rsid w:val="00E219A6"/>
    <w:rsid w:val="00E22A64"/>
    <w:rsid w:val="00E230BE"/>
    <w:rsid w:val="00E24230"/>
    <w:rsid w:val="00E24403"/>
    <w:rsid w:val="00E25920"/>
    <w:rsid w:val="00E25A5B"/>
    <w:rsid w:val="00E263B1"/>
    <w:rsid w:val="00E26516"/>
    <w:rsid w:val="00E26974"/>
    <w:rsid w:val="00E273C9"/>
    <w:rsid w:val="00E27C35"/>
    <w:rsid w:val="00E30284"/>
    <w:rsid w:val="00E30C68"/>
    <w:rsid w:val="00E31106"/>
    <w:rsid w:val="00E311A8"/>
    <w:rsid w:val="00E3126A"/>
    <w:rsid w:val="00E31994"/>
    <w:rsid w:val="00E31F9D"/>
    <w:rsid w:val="00E32202"/>
    <w:rsid w:val="00E340F4"/>
    <w:rsid w:val="00E346CA"/>
    <w:rsid w:val="00E34AE8"/>
    <w:rsid w:val="00E353DD"/>
    <w:rsid w:val="00E356B9"/>
    <w:rsid w:val="00E356CD"/>
    <w:rsid w:val="00E35764"/>
    <w:rsid w:val="00E3648E"/>
    <w:rsid w:val="00E366DC"/>
    <w:rsid w:val="00E368CE"/>
    <w:rsid w:val="00E372EE"/>
    <w:rsid w:val="00E3762D"/>
    <w:rsid w:val="00E4082E"/>
    <w:rsid w:val="00E4092D"/>
    <w:rsid w:val="00E40CDB"/>
    <w:rsid w:val="00E40D67"/>
    <w:rsid w:val="00E410D0"/>
    <w:rsid w:val="00E41437"/>
    <w:rsid w:val="00E41832"/>
    <w:rsid w:val="00E41C39"/>
    <w:rsid w:val="00E4234D"/>
    <w:rsid w:val="00E42EB8"/>
    <w:rsid w:val="00E43C0A"/>
    <w:rsid w:val="00E44BFE"/>
    <w:rsid w:val="00E467A5"/>
    <w:rsid w:val="00E47B30"/>
    <w:rsid w:val="00E47EF3"/>
    <w:rsid w:val="00E5068A"/>
    <w:rsid w:val="00E50728"/>
    <w:rsid w:val="00E51296"/>
    <w:rsid w:val="00E51A62"/>
    <w:rsid w:val="00E51B13"/>
    <w:rsid w:val="00E52010"/>
    <w:rsid w:val="00E521EB"/>
    <w:rsid w:val="00E5254E"/>
    <w:rsid w:val="00E5294C"/>
    <w:rsid w:val="00E530D5"/>
    <w:rsid w:val="00E53421"/>
    <w:rsid w:val="00E54D83"/>
    <w:rsid w:val="00E553BA"/>
    <w:rsid w:val="00E558E0"/>
    <w:rsid w:val="00E56124"/>
    <w:rsid w:val="00E56C2B"/>
    <w:rsid w:val="00E5756F"/>
    <w:rsid w:val="00E576F7"/>
    <w:rsid w:val="00E57B96"/>
    <w:rsid w:val="00E57E04"/>
    <w:rsid w:val="00E60324"/>
    <w:rsid w:val="00E60348"/>
    <w:rsid w:val="00E60A8C"/>
    <w:rsid w:val="00E62220"/>
    <w:rsid w:val="00E6479E"/>
    <w:rsid w:val="00E649CE"/>
    <w:rsid w:val="00E6550B"/>
    <w:rsid w:val="00E65632"/>
    <w:rsid w:val="00E6582B"/>
    <w:rsid w:val="00E65FD3"/>
    <w:rsid w:val="00E6601E"/>
    <w:rsid w:val="00E662F4"/>
    <w:rsid w:val="00E66863"/>
    <w:rsid w:val="00E67603"/>
    <w:rsid w:val="00E67BF0"/>
    <w:rsid w:val="00E67C50"/>
    <w:rsid w:val="00E67F35"/>
    <w:rsid w:val="00E70049"/>
    <w:rsid w:val="00E703DA"/>
    <w:rsid w:val="00E705F4"/>
    <w:rsid w:val="00E71059"/>
    <w:rsid w:val="00E7110C"/>
    <w:rsid w:val="00E71B32"/>
    <w:rsid w:val="00E71C29"/>
    <w:rsid w:val="00E71F3C"/>
    <w:rsid w:val="00E72054"/>
    <w:rsid w:val="00E72ECB"/>
    <w:rsid w:val="00E73AAA"/>
    <w:rsid w:val="00E744AB"/>
    <w:rsid w:val="00E7458A"/>
    <w:rsid w:val="00E74698"/>
    <w:rsid w:val="00E749E9"/>
    <w:rsid w:val="00E74AD9"/>
    <w:rsid w:val="00E7522C"/>
    <w:rsid w:val="00E757E2"/>
    <w:rsid w:val="00E75D20"/>
    <w:rsid w:val="00E75D64"/>
    <w:rsid w:val="00E7665A"/>
    <w:rsid w:val="00E766D9"/>
    <w:rsid w:val="00E7673A"/>
    <w:rsid w:val="00E7700F"/>
    <w:rsid w:val="00E77484"/>
    <w:rsid w:val="00E80361"/>
    <w:rsid w:val="00E80C1B"/>
    <w:rsid w:val="00E813F3"/>
    <w:rsid w:val="00E81CA7"/>
    <w:rsid w:val="00E8200A"/>
    <w:rsid w:val="00E82660"/>
    <w:rsid w:val="00E827CC"/>
    <w:rsid w:val="00E82F0F"/>
    <w:rsid w:val="00E84028"/>
    <w:rsid w:val="00E84758"/>
    <w:rsid w:val="00E84AA6"/>
    <w:rsid w:val="00E867A2"/>
    <w:rsid w:val="00E86A01"/>
    <w:rsid w:val="00E871C4"/>
    <w:rsid w:val="00E87220"/>
    <w:rsid w:val="00E87643"/>
    <w:rsid w:val="00E87F2A"/>
    <w:rsid w:val="00E9073B"/>
    <w:rsid w:val="00E90CE1"/>
    <w:rsid w:val="00E9108D"/>
    <w:rsid w:val="00E918CA"/>
    <w:rsid w:val="00E934DD"/>
    <w:rsid w:val="00E942AD"/>
    <w:rsid w:val="00E96640"/>
    <w:rsid w:val="00EA05D6"/>
    <w:rsid w:val="00EA0DB3"/>
    <w:rsid w:val="00EA17D4"/>
    <w:rsid w:val="00EA230D"/>
    <w:rsid w:val="00EA2AF4"/>
    <w:rsid w:val="00EA34DF"/>
    <w:rsid w:val="00EA36E3"/>
    <w:rsid w:val="00EA4405"/>
    <w:rsid w:val="00EA51CC"/>
    <w:rsid w:val="00EA69D3"/>
    <w:rsid w:val="00EA6D00"/>
    <w:rsid w:val="00EA6E59"/>
    <w:rsid w:val="00EA7029"/>
    <w:rsid w:val="00EA7CE3"/>
    <w:rsid w:val="00EB0996"/>
    <w:rsid w:val="00EB0E53"/>
    <w:rsid w:val="00EB1252"/>
    <w:rsid w:val="00EB1BC6"/>
    <w:rsid w:val="00EB2562"/>
    <w:rsid w:val="00EB2A37"/>
    <w:rsid w:val="00EB3154"/>
    <w:rsid w:val="00EB35D7"/>
    <w:rsid w:val="00EB3A87"/>
    <w:rsid w:val="00EB3AAD"/>
    <w:rsid w:val="00EB41D7"/>
    <w:rsid w:val="00EB5849"/>
    <w:rsid w:val="00EB5B95"/>
    <w:rsid w:val="00EB5CED"/>
    <w:rsid w:val="00EB635E"/>
    <w:rsid w:val="00EB688E"/>
    <w:rsid w:val="00EB7143"/>
    <w:rsid w:val="00EB76AD"/>
    <w:rsid w:val="00EC03D5"/>
    <w:rsid w:val="00EC0A26"/>
    <w:rsid w:val="00EC0B9F"/>
    <w:rsid w:val="00EC0DDD"/>
    <w:rsid w:val="00EC0EB8"/>
    <w:rsid w:val="00EC109D"/>
    <w:rsid w:val="00EC1827"/>
    <w:rsid w:val="00EC19C2"/>
    <w:rsid w:val="00EC2766"/>
    <w:rsid w:val="00EC29B6"/>
    <w:rsid w:val="00EC346B"/>
    <w:rsid w:val="00EC34FD"/>
    <w:rsid w:val="00EC3A9B"/>
    <w:rsid w:val="00EC4A6B"/>
    <w:rsid w:val="00EC4EC0"/>
    <w:rsid w:val="00EC5160"/>
    <w:rsid w:val="00EC5897"/>
    <w:rsid w:val="00EC674A"/>
    <w:rsid w:val="00EC6D43"/>
    <w:rsid w:val="00EC72C3"/>
    <w:rsid w:val="00EC739F"/>
    <w:rsid w:val="00EC7C33"/>
    <w:rsid w:val="00ED02CB"/>
    <w:rsid w:val="00ED0492"/>
    <w:rsid w:val="00ED0679"/>
    <w:rsid w:val="00ED071C"/>
    <w:rsid w:val="00ED1141"/>
    <w:rsid w:val="00ED17D6"/>
    <w:rsid w:val="00ED180E"/>
    <w:rsid w:val="00ED36BE"/>
    <w:rsid w:val="00ED38CB"/>
    <w:rsid w:val="00ED38CF"/>
    <w:rsid w:val="00ED3BA0"/>
    <w:rsid w:val="00ED4213"/>
    <w:rsid w:val="00ED423D"/>
    <w:rsid w:val="00ED432B"/>
    <w:rsid w:val="00ED437B"/>
    <w:rsid w:val="00ED5EE1"/>
    <w:rsid w:val="00ED5EE2"/>
    <w:rsid w:val="00ED630F"/>
    <w:rsid w:val="00ED66F7"/>
    <w:rsid w:val="00ED6E4A"/>
    <w:rsid w:val="00ED6F07"/>
    <w:rsid w:val="00ED7AE2"/>
    <w:rsid w:val="00EE03FC"/>
    <w:rsid w:val="00EE06A8"/>
    <w:rsid w:val="00EE0EE9"/>
    <w:rsid w:val="00EE0F3A"/>
    <w:rsid w:val="00EE213E"/>
    <w:rsid w:val="00EE3EB4"/>
    <w:rsid w:val="00EE3F81"/>
    <w:rsid w:val="00EE419D"/>
    <w:rsid w:val="00EE4302"/>
    <w:rsid w:val="00EE4C79"/>
    <w:rsid w:val="00EE53D6"/>
    <w:rsid w:val="00EE5B92"/>
    <w:rsid w:val="00EE5F6E"/>
    <w:rsid w:val="00EE65A3"/>
    <w:rsid w:val="00EE6AC0"/>
    <w:rsid w:val="00EF027D"/>
    <w:rsid w:val="00EF0C91"/>
    <w:rsid w:val="00EF1B0C"/>
    <w:rsid w:val="00EF26C7"/>
    <w:rsid w:val="00EF2941"/>
    <w:rsid w:val="00EF2B5A"/>
    <w:rsid w:val="00EF2BA4"/>
    <w:rsid w:val="00EF2C5D"/>
    <w:rsid w:val="00EF4284"/>
    <w:rsid w:val="00EF44FF"/>
    <w:rsid w:val="00EF47EE"/>
    <w:rsid w:val="00EF53B5"/>
    <w:rsid w:val="00EF54E6"/>
    <w:rsid w:val="00EF5F32"/>
    <w:rsid w:val="00EF73DC"/>
    <w:rsid w:val="00EF7B78"/>
    <w:rsid w:val="00EF7F45"/>
    <w:rsid w:val="00F008B1"/>
    <w:rsid w:val="00F008E7"/>
    <w:rsid w:val="00F00919"/>
    <w:rsid w:val="00F01467"/>
    <w:rsid w:val="00F01920"/>
    <w:rsid w:val="00F01C1C"/>
    <w:rsid w:val="00F01E68"/>
    <w:rsid w:val="00F02118"/>
    <w:rsid w:val="00F0220F"/>
    <w:rsid w:val="00F02967"/>
    <w:rsid w:val="00F02C09"/>
    <w:rsid w:val="00F03CEC"/>
    <w:rsid w:val="00F043CC"/>
    <w:rsid w:val="00F04EC2"/>
    <w:rsid w:val="00F056BE"/>
    <w:rsid w:val="00F0608E"/>
    <w:rsid w:val="00F071A4"/>
    <w:rsid w:val="00F105FB"/>
    <w:rsid w:val="00F108A7"/>
    <w:rsid w:val="00F10989"/>
    <w:rsid w:val="00F116EE"/>
    <w:rsid w:val="00F11775"/>
    <w:rsid w:val="00F11FFC"/>
    <w:rsid w:val="00F125FB"/>
    <w:rsid w:val="00F129AB"/>
    <w:rsid w:val="00F12A71"/>
    <w:rsid w:val="00F130A3"/>
    <w:rsid w:val="00F15223"/>
    <w:rsid w:val="00F154B7"/>
    <w:rsid w:val="00F1559B"/>
    <w:rsid w:val="00F15B7B"/>
    <w:rsid w:val="00F1794A"/>
    <w:rsid w:val="00F17F1C"/>
    <w:rsid w:val="00F203E5"/>
    <w:rsid w:val="00F2051A"/>
    <w:rsid w:val="00F20B07"/>
    <w:rsid w:val="00F21010"/>
    <w:rsid w:val="00F22336"/>
    <w:rsid w:val="00F22415"/>
    <w:rsid w:val="00F22ADA"/>
    <w:rsid w:val="00F22B3B"/>
    <w:rsid w:val="00F23302"/>
    <w:rsid w:val="00F235B4"/>
    <w:rsid w:val="00F240BA"/>
    <w:rsid w:val="00F242A0"/>
    <w:rsid w:val="00F2434C"/>
    <w:rsid w:val="00F248DC"/>
    <w:rsid w:val="00F24AE5"/>
    <w:rsid w:val="00F24E48"/>
    <w:rsid w:val="00F255B6"/>
    <w:rsid w:val="00F26856"/>
    <w:rsid w:val="00F273AF"/>
    <w:rsid w:val="00F30341"/>
    <w:rsid w:val="00F308D8"/>
    <w:rsid w:val="00F30AF1"/>
    <w:rsid w:val="00F3101D"/>
    <w:rsid w:val="00F31130"/>
    <w:rsid w:val="00F3118D"/>
    <w:rsid w:val="00F31228"/>
    <w:rsid w:val="00F3151D"/>
    <w:rsid w:val="00F31B65"/>
    <w:rsid w:val="00F32253"/>
    <w:rsid w:val="00F32446"/>
    <w:rsid w:val="00F3337B"/>
    <w:rsid w:val="00F34111"/>
    <w:rsid w:val="00F34A3B"/>
    <w:rsid w:val="00F366CF"/>
    <w:rsid w:val="00F36AC0"/>
    <w:rsid w:val="00F3775B"/>
    <w:rsid w:val="00F3784D"/>
    <w:rsid w:val="00F37FE7"/>
    <w:rsid w:val="00F42392"/>
    <w:rsid w:val="00F43136"/>
    <w:rsid w:val="00F436BC"/>
    <w:rsid w:val="00F4378A"/>
    <w:rsid w:val="00F44CB5"/>
    <w:rsid w:val="00F44CD8"/>
    <w:rsid w:val="00F45601"/>
    <w:rsid w:val="00F45C30"/>
    <w:rsid w:val="00F45F96"/>
    <w:rsid w:val="00F4693B"/>
    <w:rsid w:val="00F46E4E"/>
    <w:rsid w:val="00F473FC"/>
    <w:rsid w:val="00F47408"/>
    <w:rsid w:val="00F47F53"/>
    <w:rsid w:val="00F503C9"/>
    <w:rsid w:val="00F51633"/>
    <w:rsid w:val="00F5260B"/>
    <w:rsid w:val="00F52C71"/>
    <w:rsid w:val="00F5342F"/>
    <w:rsid w:val="00F5363C"/>
    <w:rsid w:val="00F53C45"/>
    <w:rsid w:val="00F53E72"/>
    <w:rsid w:val="00F54AF7"/>
    <w:rsid w:val="00F54C3F"/>
    <w:rsid w:val="00F555FA"/>
    <w:rsid w:val="00F559F8"/>
    <w:rsid w:val="00F55F09"/>
    <w:rsid w:val="00F5618E"/>
    <w:rsid w:val="00F5621D"/>
    <w:rsid w:val="00F57241"/>
    <w:rsid w:val="00F573EC"/>
    <w:rsid w:val="00F60481"/>
    <w:rsid w:val="00F60EF0"/>
    <w:rsid w:val="00F6128F"/>
    <w:rsid w:val="00F61FDA"/>
    <w:rsid w:val="00F6234B"/>
    <w:rsid w:val="00F63586"/>
    <w:rsid w:val="00F63BE1"/>
    <w:rsid w:val="00F64EE1"/>
    <w:rsid w:val="00F651A6"/>
    <w:rsid w:val="00F65300"/>
    <w:rsid w:val="00F6674B"/>
    <w:rsid w:val="00F66846"/>
    <w:rsid w:val="00F669B4"/>
    <w:rsid w:val="00F66ABF"/>
    <w:rsid w:val="00F66B1C"/>
    <w:rsid w:val="00F673C9"/>
    <w:rsid w:val="00F678A5"/>
    <w:rsid w:val="00F67F18"/>
    <w:rsid w:val="00F7092D"/>
    <w:rsid w:val="00F70D69"/>
    <w:rsid w:val="00F70EA8"/>
    <w:rsid w:val="00F71815"/>
    <w:rsid w:val="00F71D36"/>
    <w:rsid w:val="00F72137"/>
    <w:rsid w:val="00F72533"/>
    <w:rsid w:val="00F7260F"/>
    <w:rsid w:val="00F72797"/>
    <w:rsid w:val="00F72A69"/>
    <w:rsid w:val="00F72C1F"/>
    <w:rsid w:val="00F73210"/>
    <w:rsid w:val="00F7496A"/>
    <w:rsid w:val="00F751A4"/>
    <w:rsid w:val="00F76FE6"/>
    <w:rsid w:val="00F77062"/>
    <w:rsid w:val="00F771F9"/>
    <w:rsid w:val="00F773D9"/>
    <w:rsid w:val="00F779CF"/>
    <w:rsid w:val="00F77A34"/>
    <w:rsid w:val="00F802AA"/>
    <w:rsid w:val="00F80C8C"/>
    <w:rsid w:val="00F80E3D"/>
    <w:rsid w:val="00F81382"/>
    <w:rsid w:val="00F81871"/>
    <w:rsid w:val="00F822D3"/>
    <w:rsid w:val="00F829F2"/>
    <w:rsid w:val="00F82D4A"/>
    <w:rsid w:val="00F82EBB"/>
    <w:rsid w:val="00F8391A"/>
    <w:rsid w:val="00F845A9"/>
    <w:rsid w:val="00F84E52"/>
    <w:rsid w:val="00F858F1"/>
    <w:rsid w:val="00F85C07"/>
    <w:rsid w:val="00F85F25"/>
    <w:rsid w:val="00F8600D"/>
    <w:rsid w:val="00F86930"/>
    <w:rsid w:val="00F8700E"/>
    <w:rsid w:val="00F87380"/>
    <w:rsid w:val="00F87576"/>
    <w:rsid w:val="00F87C94"/>
    <w:rsid w:val="00F87CA4"/>
    <w:rsid w:val="00F87DC6"/>
    <w:rsid w:val="00F917E2"/>
    <w:rsid w:val="00F919C7"/>
    <w:rsid w:val="00F91A41"/>
    <w:rsid w:val="00F92A9D"/>
    <w:rsid w:val="00F93970"/>
    <w:rsid w:val="00F93F51"/>
    <w:rsid w:val="00F9405B"/>
    <w:rsid w:val="00F94AFA"/>
    <w:rsid w:val="00F94BE0"/>
    <w:rsid w:val="00F951D0"/>
    <w:rsid w:val="00F95AC3"/>
    <w:rsid w:val="00F95D74"/>
    <w:rsid w:val="00F96395"/>
    <w:rsid w:val="00F96620"/>
    <w:rsid w:val="00F967CD"/>
    <w:rsid w:val="00F96F4A"/>
    <w:rsid w:val="00F97924"/>
    <w:rsid w:val="00FA0915"/>
    <w:rsid w:val="00FA0963"/>
    <w:rsid w:val="00FA12D3"/>
    <w:rsid w:val="00FA1C22"/>
    <w:rsid w:val="00FA1C66"/>
    <w:rsid w:val="00FA1F70"/>
    <w:rsid w:val="00FA2708"/>
    <w:rsid w:val="00FA2C21"/>
    <w:rsid w:val="00FA2C5B"/>
    <w:rsid w:val="00FA2F23"/>
    <w:rsid w:val="00FA2F56"/>
    <w:rsid w:val="00FA31CB"/>
    <w:rsid w:val="00FA381D"/>
    <w:rsid w:val="00FA430F"/>
    <w:rsid w:val="00FA4B06"/>
    <w:rsid w:val="00FA4CF6"/>
    <w:rsid w:val="00FA4D2D"/>
    <w:rsid w:val="00FA53DA"/>
    <w:rsid w:val="00FA623F"/>
    <w:rsid w:val="00FA64CB"/>
    <w:rsid w:val="00FA6D70"/>
    <w:rsid w:val="00FA6F2F"/>
    <w:rsid w:val="00FA7409"/>
    <w:rsid w:val="00FA7495"/>
    <w:rsid w:val="00FA771C"/>
    <w:rsid w:val="00FA77D3"/>
    <w:rsid w:val="00FA7B93"/>
    <w:rsid w:val="00FA7E65"/>
    <w:rsid w:val="00FB0199"/>
    <w:rsid w:val="00FB1218"/>
    <w:rsid w:val="00FB1593"/>
    <w:rsid w:val="00FB1821"/>
    <w:rsid w:val="00FB188E"/>
    <w:rsid w:val="00FB1E55"/>
    <w:rsid w:val="00FB1E8B"/>
    <w:rsid w:val="00FB25A9"/>
    <w:rsid w:val="00FB2D8E"/>
    <w:rsid w:val="00FB30D0"/>
    <w:rsid w:val="00FB33B0"/>
    <w:rsid w:val="00FB42B0"/>
    <w:rsid w:val="00FB4451"/>
    <w:rsid w:val="00FB4722"/>
    <w:rsid w:val="00FB4F01"/>
    <w:rsid w:val="00FB54D7"/>
    <w:rsid w:val="00FB58C8"/>
    <w:rsid w:val="00FB5CDB"/>
    <w:rsid w:val="00FB607B"/>
    <w:rsid w:val="00FB62D6"/>
    <w:rsid w:val="00FB6E89"/>
    <w:rsid w:val="00FB75BF"/>
    <w:rsid w:val="00FB78FF"/>
    <w:rsid w:val="00FB7A22"/>
    <w:rsid w:val="00FC0399"/>
    <w:rsid w:val="00FC0561"/>
    <w:rsid w:val="00FC0781"/>
    <w:rsid w:val="00FC14FC"/>
    <w:rsid w:val="00FC1965"/>
    <w:rsid w:val="00FC19F3"/>
    <w:rsid w:val="00FC1B64"/>
    <w:rsid w:val="00FC1E04"/>
    <w:rsid w:val="00FC1E2A"/>
    <w:rsid w:val="00FC253E"/>
    <w:rsid w:val="00FC2AD6"/>
    <w:rsid w:val="00FC2FC6"/>
    <w:rsid w:val="00FC37E3"/>
    <w:rsid w:val="00FC3871"/>
    <w:rsid w:val="00FC3A21"/>
    <w:rsid w:val="00FC3EB7"/>
    <w:rsid w:val="00FC3EB8"/>
    <w:rsid w:val="00FC3F1E"/>
    <w:rsid w:val="00FC5833"/>
    <w:rsid w:val="00FC5A2F"/>
    <w:rsid w:val="00FC6AC8"/>
    <w:rsid w:val="00FC6FC6"/>
    <w:rsid w:val="00FC74B4"/>
    <w:rsid w:val="00FC7AE4"/>
    <w:rsid w:val="00FC7C27"/>
    <w:rsid w:val="00FD0268"/>
    <w:rsid w:val="00FD06C4"/>
    <w:rsid w:val="00FD19B4"/>
    <w:rsid w:val="00FD294A"/>
    <w:rsid w:val="00FD3267"/>
    <w:rsid w:val="00FD3FF6"/>
    <w:rsid w:val="00FD42B9"/>
    <w:rsid w:val="00FD542B"/>
    <w:rsid w:val="00FD6AE4"/>
    <w:rsid w:val="00FD6B31"/>
    <w:rsid w:val="00FD7594"/>
    <w:rsid w:val="00FD7732"/>
    <w:rsid w:val="00FD77ED"/>
    <w:rsid w:val="00FD78FA"/>
    <w:rsid w:val="00FE010B"/>
    <w:rsid w:val="00FE0D4C"/>
    <w:rsid w:val="00FE0F53"/>
    <w:rsid w:val="00FE1600"/>
    <w:rsid w:val="00FE1E7D"/>
    <w:rsid w:val="00FE1FEA"/>
    <w:rsid w:val="00FE2A9E"/>
    <w:rsid w:val="00FE2EF8"/>
    <w:rsid w:val="00FE31E4"/>
    <w:rsid w:val="00FE3A92"/>
    <w:rsid w:val="00FE3F18"/>
    <w:rsid w:val="00FE40FD"/>
    <w:rsid w:val="00FE4CE0"/>
    <w:rsid w:val="00FE4F7D"/>
    <w:rsid w:val="00FE523D"/>
    <w:rsid w:val="00FE59D3"/>
    <w:rsid w:val="00FE5A08"/>
    <w:rsid w:val="00FE5CD7"/>
    <w:rsid w:val="00FE755A"/>
    <w:rsid w:val="00FF0174"/>
    <w:rsid w:val="00FF04C8"/>
    <w:rsid w:val="00FF0D80"/>
    <w:rsid w:val="00FF2526"/>
    <w:rsid w:val="00FF310F"/>
    <w:rsid w:val="00FF47CE"/>
    <w:rsid w:val="00FF555C"/>
    <w:rsid w:val="00FF5671"/>
    <w:rsid w:val="00FF5D07"/>
    <w:rsid w:val="00FF66E6"/>
    <w:rsid w:val="00FF6CB4"/>
    <w:rsid w:val="00FF6FB0"/>
    <w:rsid w:val="250B60AE"/>
    <w:rsid w:val="631F6D97"/>
    <w:rsid w:val="7EA25B5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unhideWhenUsed="0" w:uiPriority="0" w:semiHidden="0" w:name="Normal Indent"/>
    <w:lsdException w:unhideWhenUsed="0" w:uiPriority="0" w:semiHidden="0" w:name="footnote text"/>
    <w:lsdException w:unhideWhenUsed="0" w:uiPriority="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link w:val="33"/>
    <w:qFormat/>
    <w:uiPriority w:val="0"/>
    <w:pPr>
      <w:keepNext/>
      <w:keepLines/>
      <w:spacing w:before="340" w:beforeLines="0" w:after="330" w:afterLines="0" w:line="578" w:lineRule="auto"/>
      <w:outlineLvl w:val="0"/>
    </w:pPr>
    <w:rPr>
      <w:b/>
      <w:bCs/>
      <w:kern w:val="44"/>
      <w:sz w:val="44"/>
      <w:szCs w:val="44"/>
    </w:rPr>
  </w:style>
  <w:style w:type="paragraph" w:styleId="3">
    <w:name w:val="heading 2"/>
    <w:basedOn w:val="1"/>
    <w:next w:val="1"/>
    <w:link w:val="34"/>
    <w:qFormat/>
    <w:uiPriority w:val="0"/>
    <w:pPr>
      <w:keepNext/>
      <w:keepLines/>
      <w:spacing w:before="260" w:beforeLines="0" w:after="260" w:afterLines="0" w:line="416" w:lineRule="auto"/>
      <w:outlineLvl w:val="1"/>
    </w:pPr>
    <w:rPr>
      <w:rFonts w:ascii="Arial" w:hAnsi="Arial" w:eastAsia="黑体"/>
      <w:b/>
      <w:bCs/>
      <w:sz w:val="32"/>
      <w:szCs w:val="32"/>
    </w:rPr>
  </w:style>
  <w:style w:type="paragraph" w:styleId="4">
    <w:name w:val="heading 3"/>
    <w:basedOn w:val="1"/>
    <w:next w:val="1"/>
    <w:link w:val="35"/>
    <w:qFormat/>
    <w:uiPriority w:val="0"/>
    <w:pPr>
      <w:keepNext/>
      <w:keepLines/>
      <w:spacing w:before="260" w:beforeLines="0" w:after="260" w:afterLines="0" w:line="416" w:lineRule="auto"/>
      <w:outlineLvl w:val="2"/>
    </w:pPr>
    <w:rPr>
      <w:b/>
      <w:bCs/>
      <w:sz w:val="32"/>
      <w:szCs w:val="32"/>
    </w:rPr>
  </w:style>
  <w:style w:type="paragraph" w:styleId="5">
    <w:name w:val="heading 4"/>
    <w:basedOn w:val="1"/>
    <w:next w:val="1"/>
    <w:qFormat/>
    <w:uiPriority w:val="0"/>
    <w:pPr>
      <w:keepNext/>
      <w:keepLines/>
      <w:spacing w:before="280" w:after="290" w:line="376" w:lineRule="auto"/>
      <w:outlineLvl w:val="3"/>
    </w:pPr>
    <w:rPr>
      <w:rFonts w:ascii="Arial" w:hAnsi="Arial" w:eastAsia="黑体"/>
      <w:b/>
      <w:bCs/>
      <w:sz w:val="28"/>
      <w:szCs w:val="28"/>
    </w:rPr>
  </w:style>
  <w:style w:type="character" w:default="1" w:styleId="26">
    <w:name w:val="Default Paragraph Font"/>
    <w:link w:val="27"/>
    <w:semiHidden/>
    <w:uiPriority w:val="0"/>
  </w:style>
  <w:style w:type="table" w:default="1" w:styleId="25">
    <w:name w:val="Normal Table"/>
    <w:semiHidden/>
    <w:uiPriority w:val="0"/>
    <w:tblPr>
      <w:tblStyle w:val="25"/>
      <w:tblCellMar>
        <w:top w:w="0" w:type="dxa"/>
        <w:left w:w="108" w:type="dxa"/>
        <w:bottom w:w="0" w:type="dxa"/>
        <w:right w:w="108" w:type="dxa"/>
      </w:tblCellMar>
    </w:tblPr>
  </w:style>
  <w:style w:type="paragraph" w:styleId="6">
    <w:name w:val="toc 7"/>
    <w:basedOn w:val="1"/>
    <w:next w:val="1"/>
    <w:uiPriority w:val="39"/>
    <w:pPr>
      <w:ind w:left="1260"/>
      <w:jc w:val="left"/>
    </w:pPr>
    <w:rPr>
      <w:rFonts w:ascii="Calibri" w:hAnsi="Calibri"/>
      <w:sz w:val="18"/>
      <w:szCs w:val="18"/>
    </w:rPr>
  </w:style>
  <w:style w:type="paragraph" w:styleId="7">
    <w:name w:val="Document Map"/>
    <w:basedOn w:val="1"/>
    <w:semiHidden/>
    <w:uiPriority w:val="0"/>
    <w:pPr>
      <w:shd w:val="clear" w:color="auto" w:fill="000080"/>
    </w:pPr>
  </w:style>
  <w:style w:type="paragraph" w:styleId="8">
    <w:name w:val="annotation text"/>
    <w:basedOn w:val="1"/>
    <w:semiHidden/>
    <w:uiPriority w:val="0"/>
    <w:pPr>
      <w:jc w:val="left"/>
    </w:pPr>
  </w:style>
  <w:style w:type="paragraph" w:styleId="9">
    <w:name w:val="Body Text Indent"/>
    <w:basedOn w:val="1"/>
    <w:semiHidden/>
    <w:uiPriority w:val="0"/>
    <w:pPr>
      <w:ind w:firstLine="600" w:firstLineChars="200"/>
    </w:pPr>
    <w:rPr>
      <w:rFonts w:ascii="仿宋" w:hAnsi="仿宋" w:eastAsia="仿宋"/>
      <w:sz w:val="30"/>
      <w:szCs w:val="30"/>
    </w:rPr>
  </w:style>
  <w:style w:type="paragraph" w:styleId="10">
    <w:name w:val="toc 5"/>
    <w:basedOn w:val="1"/>
    <w:next w:val="1"/>
    <w:uiPriority w:val="39"/>
    <w:pPr>
      <w:ind w:left="840"/>
      <w:jc w:val="left"/>
    </w:pPr>
    <w:rPr>
      <w:rFonts w:ascii="Calibri" w:hAnsi="Calibri"/>
      <w:sz w:val="18"/>
      <w:szCs w:val="18"/>
    </w:rPr>
  </w:style>
  <w:style w:type="paragraph" w:styleId="11">
    <w:name w:val="toc 3"/>
    <w:basedOn w:val="1"/>
    <w:next w:val="1"/>
    <w:uiPriority w:val="39"/>
    <w:pPr>
      <w:ind w:left="420"/>
      <w:jc w:val="left"/>
    </w:pPr>
    <w:rPr>
      <w:rFonts w:ascii="Calibri" w:hAnsi="Calibri"/>
      <w:i/>
      <w:iCs/>
      <w:sz w:val="20"/>
      <w:szCs w:val="20"/>
    </w:rPr>
  </w:style>
  <w:style w:type="paragraph" w:styleId="12">
    <w:name w:val="toc 8"/>
    <w:basedOn w:val="1"/>
    <w:next w:val="1"/>
    <w:uiPriority w:val="39"/>
    <w:pPr>
      <w:ind w:left="1470"/>
      <w:jc w:val="left"/>
    </w:pPr>
    <w:rPr>
      <w:rFonts w:ascii="Calibri" w:hAnsi="Calibri"/>
      <w:sz w:val="18"/>
      <w:szCs w:val="18"/>
    </w:rPr>
  </w:style>
  <w:style w:type="paragraph" w:styleId="13">
    <w:name w:val="Date"/>
    <w:basedOn w:val="1"/>
    <w:next w:val="1"/>
    <w:uiPriority w:val="0"/>
    <w:pPr>
      <w:ind w:left="100" w:leftChars="2500"/>
    </w:pPr>
  </w:style>
  <w:style w:type="paragraph" w:styleId="14">
    <w:name w:val="Balloon Text"/>
    <w:basedOn w:val="1"/>
    <w:semiHidden/>
    <w:uiPriority w:val="0"/>
    <w:rPr>
      <w:sz w:val="18"/>
      <w:szCs w:val="18"/>
    </w:rPr>
  </w:style>
  <w:style w:type="paragraph" w:styleId="15">
    <w:name w:val="footer"/>
    <w:basedOn w:val="1"/>
    <w:link w:val="36"/>
    <w:uiPriority w:val="0"/>
    <w:pPr>
      <w:tabs>
        <w:tab w:val="center" w:pos="4153"/>
        <w:tab w:val="right" w:pos="8306"/>
      </w:tabs>
      <w:snapToGrid w:val="0"/>
      <w:jc w:val="left"/>
    </w:pPr>
    <w:rPr>
      <w:sz w:val="18"/>
      <w:szCs w:val="18"/>
    </w:rPr>
  </w:style>
  <w:style w:type="paragraph" w:styleId="16">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7">
    <w:name w:val="toc 1"/>
    <w:basedOn w:val="1"/>
    <w:next w:val="1"/>
    <w:uiPriority w:val="39"/>
    <w:pPr>
      <w:spacing w:before="120" w:after="120"/>
      <w:jc w:val="left"/>
    </w:pPr>
    <w:rPr>
      <w:rFonts w:ascii="Calibri" w:hAnsi="Calibri"/>
      <w:b/>
      <w:bCs/>
      <w:caps/>
      <w:sz w:val="20"/>
      <w:szCs w:val="20"/>
    </w:rPr>
  </w:style>
  <w:style w:type="paragraph" w:styleId="18">
    <w:name w:val="toc 4"/>
    <w:basedOn w:val="1"/>
    <w:next w:val="1"/>
    <w:uiPriority w:val="39"/>
    <w:pPr>
      <w:ind w:left="630"/>
      <w:jc w:val="left"/>
    </w:pPr>
    <w:rPr>
      <w:rFonts w:ascii="Calibri" w:hAnsi="Calibri"/>
      <w:sz w:val="18"/>
      <w:szCs w:val="18"/>
    </w:rPr>
  </w:style>
  <w:style w:type="paragraph" w:styleId="19">
    <w:name w:val="toc 6"/>
    <w:basedOn w:val="1"/>
    <w:next w:val="1"/>
    <w:uiPriority w:val="39"/>
    <w:pPr>
      <w:ind w:left="1050"/>
      <w:jc w:val="left"/>
    </w:pPr>
    <w:rPr>
      <w:rFonts w:ascii="Calibri" w:hAnsi="Calibri"/>
      <w:sz w:val="18"/>
      <w:szCs w:val="18"/>
    </w:rPr>
  </w:style>
  <w:style w:type="paragraph" w:styleId="20">
    <w:name w:val="toc 2"/>
    <w:basedOn w:val="1"/>
    <w:next w:val="1"/>
    <w:uiPriority w:val="39"/>
    <w:pPr>
      <w:ind w:left="210"/>
      <w:jc w:val="left"/>
    </w:pPr>
    <w:rPr>
      <w:rFonts w:ascii="Calibri" w:hAnsi="Calibri"/>
      <w:smallCaps/>
      <w:sz w:val="20"/>
      <w:szCs w:val="20"/>
    </w:rPr>
  </w:style>
  <w:style w:type="paragraph" w:styleId="21">
    <w:name w:val="toc 9"/>
    <w:basedOn w:val="1"/>
    <w:next w:val="1"/>
    <w:uiPriority w:val="39"/>
    <w:pPr>
      <w:ind w:left="1680"/>
      <w:jc w:val="left"/>
    </w:pPr>
    <w:rPr>
      <w:rFonts w:ascii="Calibri" w:hAnsi="Calibri"/>
      <w:sz w:val="18"/>
      <w:szCs w:val="18"/>
    </w:rPr>
  </w:style>
  <w:style w:type="paragraph" w:styleId="22">
    <w:name w:val="HTML Preformatted"/>
    <w:basedOn w:val="1"/>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paragraph" w:styleId="23">
    <w:name w:val="Normal (Web)"/>
    <w:basedOn w:val="1"/>
    <w:uiPriority w:val="0"/>
    <w:pPr>
      <w:widowControl/>
      <w:spacing w:before="100" w:beforeLines="0" w:beforeAutospacing="1" w:after="100" w:afterLines="0" w:afterAutospacing="1"/>
      <w:jc w:val="left"/>
    </w:pPr>
    <w:rPr>
      <w:rFonts w:ascii="宋体" w:hAnsi="宋体" w:cs="宋体"/>
      <w:kern w:val="0"/>
      <w:sz w:val="24"/>
    </w:rPr>
  </w:style>
  <w:style w:type="paragraph" w:styleId="24">
    <w:name w:val="annotation subject"/>
    <w:basedOn w:val="8"/>
    <w:next w:val="8"/>
    <w:semiHidden/>
    <w:uiPriority w:val="0"/>
    <w:rPr>
      <w:b/>
      <w:bCs/>
    </w:rPr>
  </w:style>
  <w:style w:type="paragraph" w:customStyle="1" w:styleId="27">
    <w:name w:val="Char1 Char Char Char Char Char Char"/>
    <w:basedOn w:val="1"/>
    <w:link w:val="26"/>
    <w:uiPriority w:val="0"/>
    <w:pPr>
      <w:keepNext/>
      <w:widowControl/>
      <w:tabs>
        <w:tab w:val="left" w:pos="425"/>
      </w:tabs>
      <w:autoSpaceDE w:val="0"/>
      <w:autoSpaceDN w:val="0"/>
      <w:adjustRightInd w:val="0"/>
      <w:spacing w:before="80" w:after="80"/>
      <w:ind w:hanging="425"/>
    </w:pPr>
  </w:style>
  <w:style w:type="character" w:styleId="28">
    <w:name w:val="Strong"/>
    <w:qFormat/>
    <w:uiPriority w:val="0"/>
    <w:rPr>
      <w:b/>
      <w:bCs/>
    </w:rPr>
  </w:style>
  <w:style w:type="character" w:styleId="29">
    <w:name w:val="page number"/>
    <w:basedOn w:val="26"/>
    <w:uiPriority w:val="0"/>
  </w:style>
  <w:style w:type="character" w:styleId="30">
    <w:name w:val="Emphasis"/>
    <w:qFormat/>
    <w:uiPriority w:val="0"/>
    <w:rPr>
      <w:color w:val="CC0000"/>
    </w:rPr>
  </w:style>
  <w:style w:type="character" w:styleId="31">
    <w:name w:val="Hyperlink"/>
    <w:uiPriority w:val="99"/>
    <w:rPr>
      <w:color w:val="0000FF"/>
      <w:u w:val="single"/>
    </w:rPr>
  </w:style>
  <w:style w:type="character" w:styleId="32">
    <w:name w:val="annotation reference"/>
    <w:semiHidden/>
    <w:uiPriority w:val="0"/>
    <w:rPr>
      <w:sz w:val="21"/>
      <w:szCs w:val="21"/>
    </w:rPr>
  </w:style>
  <w:style w:type="character" w:customStyle="1" w:styleId="33">
    <w:name w:val=" Char Char2"/>
    <w:link w:val="2"/>
    <w:uiPriority w:val="0"/>
    <w:rPr>
      <w:rFonts w:eastAsia="宋体"/>
      <w:b/>
      <w:bCs/>
      <w:kern w:val="44"/>
      <w:sz w:val="44"/>
      <w:szCs w:val="44"/>
      <w:lang w:val="en-US" w:eastAsia="zh-CN" w:bidi="ar-SA"/>
    </w:rPr>
  </w:style>
  <w:style w:type="character" w:customStyle="1" w:styleId="34">
    <w:name w:val=" Char Char1"/>
    <w:link w:val="3"/>
    <w:uiPriority w:val="0"/>
    <w:rPr>
      <w:rFonts w:ascii="Arial" w:hAnsi="Arial" w:eastAsia="黑体"/>
      <w:b/>
      <w:bCs/>
      <w:kern w:val="2"/>
      <w:sz w:val="32"/>
      <w:szCs w:val="32"/>
      <w:lang w:val="en-US" w:eastAsia="zh-CN" w:bidi="ar-SA"/>
    </w:rPr>
  </w:style>
  <w:style w:type="character" w:customStyle="1" w:styleId="35">
    <w:name w:val="h3 Char"/>
    <w:aliases w:val="H3 Char,level_3 Char,PIM 3 Char,Level 3 Head Char,Heading 3 - old Char,sect1.2.3 Char,sect1.2.31 Char,sect1.2.32 Char,sect1.2.311 Char,sect1.2.33 Char,sect1.2.312 Char,Bold Head Char,bh Char,3rd level Char,3 Char,(A-3) Char,BOD 0 Char,l3 Char"/>
    <w:link w:val="4"/>
    <w:uiPriority w:val="0"/>
    <w:rPr>
      <w:rFonts w:eastAsia="宋体"/>
      <w:b/>
      <w:bCs/>
      <w:kern w:val="2"/>
      <w:sz w:val="32"/>
      <w:szCs w:val="32"/>
      <w:lang w:val="en-US" w:eastAsia="zh-CN" w:bidi="ar-SA"/>
    </w:rPr>
  </w:style>
  <w:style w:type="character" w:customStyle="1" w:styleId="36">
    <w:name w:val=" Char Char"/>
    <w:link w:val="15"/>
    <w:uiPriority w:val="0"/>
    <w:rPr>
      <w:rFonts w:eastAsia="宋体"/>
      <w:kern w:val="2"/>
      <w:sz w:val="18"/>
      <w:szCs w:val="18"/>
      <w:lang w:val="en-US" w:eastAsia="zh-CN" w:bidi="ar-SA"/>
    </w:rPr>
  </w:style>
  <w:style w:type="character" w:customStyle="1" w:styleId="37">
    <w:name w:val="标题2 Char Char"/>
    <w:link w:val="38"/>
    <w:uiPriority w:val="0"/>
    <w:rPr>
      <w:rFonts w:eastAsia="方正楷体_GBK"/>
      <w:snapToGrid w:val="0"/>
      <w:sz w:val="32"/>
      <w:lang w:val="en-US" w:eastAsia="zh-CN" w:bidi="ar-SA"/>
    </w:rPr>
  </w:style>
  <w:style w:type="paragraph" w:customStyle="1" w:styleId="38">
    <w:name w:val="标题2"/>
    <w:basedOn w:val="1"/>
    <w:next w:val="1"/>
    <w:link w:val="37"/>
    <w:uiPriority w:val="0"/>
    <w:pPr>
      <w:autoSpaceDE w:val="0"/>
      <w:autoSpaceDN w:val="0"/>
      <w:snapToGrid w:val="0"/>
      <w:spacing w:line="590" w:lineRule="atLeast"/>
      <w:jc w:val="center"/>
    </w:pPr>
    <w:rPr>
      <w:rFonts w:eastAsia="方正楷体_GBK"/>
      <w:snapToGrid w:val="0"/>
      <w:kern w:val="0"/>
      <w:sz w:val="32"/>
      <w:szCs w:val="20"/>
    </w:rPr>
  </w:style>
  <w:style w:type="paragraph" w:customStyle="1" w:styleId="39">
    <w:name w:val="Char1 Char Char Char"/>
    <w:basedOn w:val="1"/>
    <w:uiPriority w:val="0"/>
  </w:style>
  <w:style w:type="paragraph" w:customStyle="1" w:styleId="40">
    <w:name w:val="Char Char Char Char Char Char"/>
    <w:uiPriority w:val="0"/>
    <w:pPr>
      <w:widowControl w:val="0"/>
      <w:spacing w:line="360" w:lineRule="exact"/>
      <w:ind w:firstLine="480" w:firstLineChars="200"/>
      <w:jc w:val="both"/>
    </w:pPr>
    <w:rPr>
      <w:lang w:val="en-US" w:eastAsia="zh-CN" w:bidi="ar-SA"/>
    </w:rPr>
  </w:style>
  <w:style w:type="paragraph" w:customStyle="1" w:styleId="41">
    <w:name w:val=" Char2 Char Char Char"/>
    <w:basedOn w:val="1"/>
    <w:uiPriority w:val="0"/>
    <w:pPr>
      <w:tabs>
        <w:tab w:val="left" w:pos="1360"/>
      </w:tabs>
      <w:ind w:left="1360" w:hanging="720"/>
    </w:pPr>
    <w:rPr>
      <w:sz w:val="24"/>
    </w:rPr>
  </w:style>
  <w:style w:type="paragraph" w:customStyle="1" w:styleId="42">
    <w:name w:val="无间隔"/>
    <w:qFormat/>
    <w:uiPriority w:val="0"/>
    <w:pPr>
      <w:adjustRightInd w:val="0"/>
      <w:snapToGrid w:val="0"/>
    </w:pPr>
    <w:rPr>
      <w:rFonts w:ascii="Tahoma" w:hAnsi="Tahoma" w:eastAsia="微软雅黑"/>
      <w:sz w:val="22"/>
      <w:szCs w:val="22"/>
      <w:lang w:val="en-US" w:eastAsia="zh-CN" w:bidi="ar-SA"/>
    </w:rPr>
  </w:style>
  <w:style w:type="character" w:customStyle="1" w:styleId="43">
    <w:name w:val="常用格式 Char"/>
    <w:uiPriority w:val="0"/>
    <w:rPr>
      <w:rFonts w:ascii="仿宋_GB2312" w:hAnsi="Calibri" w:eastAsia="仿宋_GB2312"/>
      <w:kern w:val="2"/>
      <w:sz w:val="32"/>
      <w:szCs w:val="32"/>
      <w:lang w:val="en-US" w:eastAsia="zh-CN" w:bidi="ar-SA"/>
    </w:rPr>
  </w:style>
  <w:style w:type="paragraph" w:customStyle="1" w:styleId="44">
    <w:name w:val=" Char Char Char Char Char Char Char Char Char Char Char Char"/>
    <w:basedOn w:val="1"/>
    <w:uiPriority w:val="0"/>
    <w:pPr>
      <w:widowControl/>
      <w:spacing w:after="160" w:line="240" w:lineRule="exact"/>
      <w:jc w:val="left"/>
    </w:pPr>
  </w:style>
  <w:style w:type="paragraph" w:customStyle="1" w:styleId="45">
    <w:name w:val="p0"/>
    <w:basedOn w:val="1"/>
    <w:uiPriority w:val="0"/>
    <w:pPr>
      <w:widowControl/>
    </w:pPr>
    <w:rPr>
      <w:kern w:val="0"/>
      <w:szCs w:val="21"/>
    </w:rPr>
  </w:style>
  <w:style w:type="character" w:customStyle="1" w:styleId="46">
    <w:name w:val="15"/>
    <w:uiPriority w:val="0"/>
    <w:rPr>
      <w:rFonts w:hint="default" w:ascii="Times New Roman" w:hAnsi="Times New Roman" w:cs="Times New Roman"/>
      <w:sz w:val="20"/>
      <w:szCs w:val="20"/>
    </w:rPr>
  </w:style>
  <w:style w:type="paragraph" w:customStyle="1" w:styleId="47">
    <w:name w:val="Char"/>
    <w:basedOn w:val="7"/>
    <w:uiPriority w:val="0"/>
    <w:rPr>
      <w:rFonts w:ascii="Tahoma" w:hAnsi="Tahoma" w:eastAsia="仿宋_GB2312"/>
      <w:sz w:val="24"/>
      <w:szCs w:val="30"/>
    </w:rPr>
  </w:style>
  <w:style w:type="character" w:customStyle="1" w:styleId="48">
    <w:name w:val="标题2 Char"/>
    <w:uiPriority w:val="0"/>
    <w:rPr>
      <w:rFonts w:eastAsia="方正楷体_GBK"/>
      <w:snapToGrid w:val="0"/>
      <w:sz w:val="32"/>
      <w:lang w:val="en-US" w:eastAsia="zh-CN" w:bidi="ar-SA"/>
    </w:rPr>
  </w:style>
  <w:style w:type="paragraph" w:customStyle="1" w:styleId="49">
    <w:name w:val="reader-word-layer reader-word-s2-1"/>
    <w:basedOn w:val="1"/>
    <w:uiPriority w:val="0"/>
    <w:pPr>
      <w:widowControl/>
      <w:spacing w:before="100" w:beforeAutospacing="1" w:after="100" w:afterAutospacing="1"/>
      <w:jc w:val="left"/>
    </w:pPr>
    <w:rPr>
      <w:rFonts w:ascii="宋体" w:hAnsi="宋体" w:cs="宋体"/>
      <w:kern w:val="0"/>
      <w:sz w:val="24"/>
    </w:rPr>
  </w:style>
  <w:style w:type="paragraph" w:customStyle="1" w:styleId="50">
    <w:name w:val="reader-word-layer reader-word-s2-0"/>
    <w:basedOn w:val="1"/>
    <w:uiPriority w:val="0"/>
    <w:pPr>
      <w:widowControl/>
      <w:spacing w:before="100" w:beforeAutospacing="1" w:after="100" w:afterAutospacing="1"/>
      <w:jc w:val="left"/>
    </w:pPr>
    <w:rPr>
      <w:rFonts w:ascii="宋体" w:hAnsi="宋体" w:cs="宋体"/>
      <w:kern w:val="0"/>
      <w:sz w:val="24"/>
    </w:rPr>
  </w:style>
  <w:style w:type="paragraph" w:customStyle="1" w:styleId="51">
    <w:name w:val="样式 仿宋 黑色 首行缩进:  2 字符"/>
    <w:basedOn w:val="1"/>
    <w:uiPriority w:val="0"/>
    <w:pPr>
      <w:spacing w:line="360" w:lineRule="auto"/>
      <w:ind w:right="-107" w:rightChars="-51" w:firstLine="560"/>
      <w:jc w:val="left"/>
    </w:pPr>
    <w:rPr>
      <w:rFonts w:ascii="仿宋" w:hAnsi="仿宋" w:eastAsia="仿宋" w:cs="黑体"/>
      <w:kern w:val="0"/>
      <w:sz w:val="28"/>
      <w:szCs w:val="28"/>
    </w:rPr>
  </w:style>
  <w:style w:type="paragraph" w:customStyle="1" w:styleId="52">
    <w:name w:val="列出段落"/>
    <w:basedOn w:val="1"/>
    <w:qFormat/>
    <w:uiPriority w:val="0"/>
    <w:pPr>
      <w:widowControl/>
      <w:spacing w:line="360" w:lineRule="auto"/>
      <w:ind w:left="720"/>
      <w:contextualSpacing/>
      <w:jc w:val="left"/>
    </w:pPr>
    <w:rPr>
      <w:rFonts w:ascii="Calibri" w:hAnsi="Calibri" w:eastAsia="仿宋"/>
      <w:kern w:val="0"/>
      <w:sz w:val="32"/>
      <w:szCs w:val="22"/>
      <w:lang w:eastAsia="en-US" w:bidi="en-U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信念技术论坛</Company>
  <Pages>92</Pages>
  <Words>48348</Words>
  <Characters>50615</Characters>
  <Lines>369</Lines>
  <Paragraphs>104</Paragraphs>
  <TotalTime>0</TotalTime>
  <ScaleCrop>false</ScaleCrop>
  <LinksUpToDate>false</LinksUpToDate>
  <CharactersWithSpaces>50830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2013-12-03T01:49:00Z</dcterms:created>
  <dc:creator>微软用户</dc:creator>
  <cp:lastModifiedBy>夏华珍</cp:lastModifiedBy>
  <cp:lastPrinted>2013-12-19T07:30:00Z</cp:lastPrinted>
  <dcterms:modified xsi:type="dcterms:W3CDTF">2023-07-21T16:57:25Z</dcterms:modified>
  <dc:title>前    言</dc:title>
  <cp:revision>345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CF92AB6B04184B9E922966CF117F18B9_13</vt:lpwstr>
  </property>
</Properties>
</file>