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ind w:left="0" w:leftChars="0" w:firstLine="0" w:firstLineChars="0"/>
        <w:rPr>
          <w:rFonts w:hint="eastAsia" w:ascii="方正仿宋_GBK" w:eastAsia="方正仿宋_GBK"/>
          <w:szCs w:val="32"/>
        </w:rPr>
      </w:pPr>
    </w:p>
    <w:p>
      <w:pPr>
        <w:spacing w:line="580" w:lineRule="exact"/>
        <w:ind w:firstLine="0"/>
        <w:jc w:val="center"/>
        <w:rPr>
          <w:rFonts w:hint="eastAsia" w:ascii="方正小标宋_GBK" w:eastAsia="方正小标宋_GBK"/>
          <w:sz w:val="44"/>
          <w:szCs w:val="44"/>
        </w:rPr>
      </w:pPr>
      <w:bookmarkStart w:id="0" w:name="_GoBack"/>
      <w:r>
        <w:rPr>
          <w:rFonts w:hint="eastAsia" w:ascii="方正小标宋_GBK" w:eastAsia="方正小标宋_GBK"/>
          <w:sz w:val="44"/>
          <w:szCs w:val="44"/>
        </w:rPr>
        <w:t>泰州市金融业发展“十二五”专项规划</w:t>
      </w:r>
      <w:bookmarkEnd w:id="0"/>
    </w:p>
    <w:p>
      <w:pPr>
        <w:spacing w:line="540" w:lineRule="exact"/>
        <w:ind w:firstLine="640" w:firstLineChars="200"/>
        <w:rPr>
          <w:rFonts w:hint="eastAsia" w:ascii="方正仿宋_GBK" w:eastAsia="方正仿宋_GBK"/>
          <w:szCs w:val="32"/>
        </w:rPr>
      </w:pP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根据《泰州市国民经济和社会发展第十二个五年规划纲要》和国家、省关于银行业、证券业、保险业发展的总体要求，由中国人民银行泰州市中心支行牵头制定本规划。</w:t>
      </w:r>
    </w:p>
    <w:p>
      <w:pPr>
        <w:spacing w:line="540" w:lineRule="exact"/>
        <w:ind w:firstLine="640" w:firstLineChars="200"/>
        <w:rPr>
          <w:rFonts w:hint="eastAsia" w:ascii="方正黑体_GBK" w:eastAsia="方正黑体_GBK"/>
          <w:szCs w:val="32"/>
        </w:rPr>
      </w:pPr>
      <w:r>
        <w:rPr>
          <w:rFonts w:hint="eastAsia" w:ascii="方正黑体_GBK" w:eastAsia="方正黑体_GBK"/>
          <w:szCs w:val="32"/>
        </w:rPr>
        <w:t>一、发展现状</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“十一五”期间，泰州市积极贯彻落实科学发展观，强化“金融三区”建设，加快改革、开放和创新步伐，有效应对国际金融危机，为全市经济平稳较快增长提供了有力的支撑。</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（一）金融总量规模迅速扩张，金融体系不断完善。</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基本形成以人民银行为金融核心、银监局为银行业监管主体、各类银行业金融机构、保险机构、证券机构为主要经营机构的金融体系。全市银行业机构27家，储蓄所以上的银行网点714个，小额贷款公司22家，覆盖四市两区；证券营业部12家，期货营业部2家；产险公司19家，寿险公司19家。金融从业人员25604人，其中银行业10255人、证券业364人、保险业14985人。截止2010年末，全市银行业金融机构本外币存贷款余额为2359.8亿元和1531.1亿元，分别比“十五”末增加1523.3亿元和1077.1亿元，增长182.1%和237.26%，贷款余额占全省的份额比“十五”末提高25.07个百分点；实现金融业增加值51.7亿元，比“十五”末增长694.3%；实现税前利润39.03亿元、利息净收入59.76亿元、中间业务收入11.33亿元。全市累计股民达23.01万户，比“十五”末增加13.48万户，2010年实现证券交易总量2013.27亿元，是“十五”末的240倍。保险密度（人均保费）达546.4元，比“十五”末增长16.5%；2010年实现保费收入66.7亿元，其中产险收入13.08亿元、寿险收入53.62亿元，分别比“十五”末增长239.74%和165.31%。各保险机构共发生寿险理赔支出30.61亿元、产险理赔支出21.07亿元。工、农、中、建四大国有商业银行完成股份制改造，服务、效益、风险管控能力进一步提升。南京银行将全国第一家异地分行设在泰州；江苏银行、上海浦东发展银行、招商银行等股份制商业银行在泰州设立分支机构。农村信用社改革取得显著成效，3.42亿元央行专项票据全部兑付，5家农村法人金融机构有3家升级成农合行，1家升级成农商行；农业发展银行泰州市分行业务范围日益扩大；邮政储蓄机构正式成立为邮政储蓄银行；长江城市信用社成功转制为江苏长江商业银行，并在泰州设立首家分行。</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（二）货币信贷投入持续增长，服务经济成效显著。</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积极支持地方经济建设，充分满足资金需求。截止2010年末，全市中长期贷款余额为615.64亿元，较“十五”末增加528.53亿元，增长606.74%，占贷款新增总额的49.07%。中小企业贷款增幅显著。“十一五”期间，累计办理再贴现771笔、金额16.93亿元；积极提升应收账款质押融资业务量，应收账款质押融资余额达41亿元。各金融机构通过完善授权授信管理、简化审批流程，较好地满足了中小企业的金融需求，全市中小企业贷款余额达808.05亿元，占全部企业贷款总量（人民币）的85.2%。弱势群体信贷投入不断增长。完善小额担保贷款管理办法，积极放大小额担保贷款效应，优化创业、就业环境。截止2010年末，泰州市小额担保贷款累放额6.53亿元，居全省第一，直接带动全市1.62万人实现自主创业，间接带动6.48万余人实现就业、再就业。企业直接融资水平大幅提升。累计通过发行股票、债券募集资金32.81亿元，比“十五”期间多融资30.14亿元。全市共有境内外上市公司6家，另有一批上市后备企业。</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（三）金融创新能力不断增强，服务效能显著提高。</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主动适应市场需求，创新金融产品，综合服务能力进一步增强。金融创新明显加快。中小企业服务中心、个人理财产品、应收账款质押融资业务、农民合作经济组织融资通达工程等新型服务机构和服务产品的出现，为企业和居民提供了更为便捷的金融服务。支付清算体系日趋完善。小额批量支付系统、支票影像交换系统、集中代收付系统、电子商业汇票系统、银行本票业务、小额支付系统通存通兑业务上线运行。银行卡产业蓬勃发展。农民工银行卡特色服务、公务卡、金融IC卡等创新业务的推出，推动了银行卡的普及与应用。国库服务效能显著增强。建成市县横向联网系统，实现社保基金和政府性基金的直缴入库；出口退税快通工程系统实现无纸化办理出口退税；财政资金国库批量拨付系统实现农业开发区财政涉农补贴资金、经济开发区教师工资、海陵区城市低保补助资金由国库直接发放到个人账户。现金供应总量充足、结构合理。大力实施“人民币流通满意工程”，形成较为完善的人民币流通管理工作格局。2010年，全市累计现金投放6079亿元，回笼6124亿元，分别较2005年增长116.65%和117.87%。外汇管理与服务不断增强。实施进出口收付汇核销制度改革，开展本外币联动的银企对接活动，引导企业进一步适应人民币汇率形成机制改革的形势和要求，提高资金利用率，规避汇率风险。全市外汇指定银行达91家，外汇存款余额4.96亿美元，外汇贷款余额10.63亿美元，结售汇业务总量达到67.2亿美元；积极推进跨境人民币结算业务，2010年共办理跨境人民币结算业务11笔，金额7380.16万元。</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（四）金融稳定体系不断健全，发展环境明显改善。</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积极引导全市金融机构加强信贷管理、完善业务流程，金融发展环境得到明显改善。全市银行业金融机构五级分类不良贷款比例为2.12%，比“十五”末下降了23.7个百分点。建立了与工商、质监、税务、法院、海关、环保、社保、物价、公积金等单位的信用信息共享采集工作机制。建立相关部门组成的反洗钱社会协调机制，经济金融案件的情报交流和案件协查机制。银行业金融机构实现了数字监控系统、110报警系统明暗探头、二代身份证识别器等技防设施全覆盖、全监控；证券业全部安装了数字监控，红外报警等技防设施；保险业多数单位安装数字监控和红外报警系统。全市所有的银行机构、证券业全部达到“平安金融单位”创建要求；保险业已有14家通过“平安金融单位”验收。推进金融法制工作，拓展政务公开平台，实施金融消费者权益保护工程；制定《泰州市金融风险事件应急预案》，开展金融风险事件应急预案的演练，全市金融系统应对突发事件的协调配合和处置能力进一步提高。</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回顾“十一五”，我市金融发展还存在一些问题，主要有：金融创新产品不够丰富，金融机构之间服务水平存在一定差距；一些金融网点布局不尽合理，自助银行、ATM增长速度与一些地区和客户的综合性的金融服务需求仍有差距；各金融机构之间缺乏深化合作所需的金融环境和条件，以产品创新为支撑的金融服务体系建设有待加强；一些行业与企业受宏观调控的影响，缺乏有效的信贷风险补偿机制，金融风险防范的压力依然较大等。</w:t>
      </w:r>
    </w:p>
    <w:p>
      <w:pPr>
        <w:spacing w:line="540" w:lineRule="exact"/>
        <w:ind w:firstLine="640" w:firstLineChars="200"/>
        <w:rPr>
          <w:rFonts w:hint="eastAsia" w:ascii="方正黑体_GBK" w:eastAsia="方正黑体_GBK"/>
          <w:szCs w:val="32"/>
        </w:rPr>
      </w:pPr>
      <w:r>
        <w:rPr>
          <w:rFonts w:hint="eastAsia" w:ascii="方正黑体_GBK" w:eastAsia="方正黑体_GBK"/>
          <w:szCs w:val="32"/>
        </w:rPr>
        <w:t>二、发展环境</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“十二五”期间，泰州金融总体上处于加快发展的重大机遇期，主要体现在以下几个方面：</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（一）宏观政策持续向好，为金融发展提供了坚强的支撑。</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十二五”时期，宏观政策将更注重支持经济结构调整，重点扶持战略性新兴产业，信贷重点转向经济发展的重点产业部门，将有助于经济发展由投资驱动型向自主增长型转换。随着人民币汇率形成机制改革向纵深推进，人民币国际地位将不断提高，开放型经济发展将得到更加坚实的政策保障。金融市场宽度和厚度不断增加，市场功能日益深化，资源配置能力不断增强，为企业债券融资提供了有力的政策支持。支付结算体系的完善、金融IC卡的推广运用、投资理财产品的日益丰富，将进一步推进金融产品的跨行业运用和金融服务创新，为社会各经济主体的消费、投资、理财提供更加便捷的金融服务。</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（二）地区经济快速增长，为金融发展奠定了坚实的基础。</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泰州市经济发展势头良好，装备制造等传统优势产业继续稳定增长；生物医药、信息电子、新能源等新兴产业加快发展，纬创资通、葛兰素史克等重大项目成功落户，医药园区升格为国家级医药高新技术开发区。中心城市建设明显加快，一批重点工程和重大基础设施项目顺利建成；重点镇村建设向纵深推进。第三产业发展迅猛，社会消费零售总额快速增长，居民收入明显提高，消费能力、投资意识得到进一步增强。</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（三）金融规模迅速扩张，为金融发展创造了有利的条件。</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十一五”期间，泰州市贷款平均增速列全省第二；信贷总量列全省第7位，比“十五”末前移3位；证券交易、保费收入等主要指标增幅显著。金融总量明显扩张、信贷结构明显改善、金融创新明显加快、金融活力明显增强、金融贡献明显提升，金融服务体系不断健全、金融生态环境显著改善、信用体系建设取得突破进展、金融法制意识不断强化、银行业和非银行业金融机构长足发展，泰州市金融业正进入加速发展时期。</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（四）经济体制日趋完善，为金融发展提供了广阔的空间。</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十二五”时期，泰州市将加快建设服务型政府；加快优化资本、技术、土地、人力资源等要素配置；继续深化农村各项改革，加快小城镇发展改革步伐；不断提高城乡社会保障水平，深化体制改革；贯彻落实国家收入分配制度改革方案，逐步提高劳动报酬在初次分配中的比重。更加完善的经济体制将为金融机构赢得更为广阔的发展空间。</w:t>
      </w:r>
    </w:p>
    <w:p>
      <w:pPr>
        <w:spacing w:line="540" w:lineRule="exact"/>
        <w:ind w:firstLine="640" w:firstLineChars="200"/>
        <w:rPr>
          <w:rFonts w:hint="eastAsia" w:ascii="方正黑体_GBK" w:eastAsia="方正黑体_GBK"/>
          <w:szCs w:val="32"/>
        </w:rPr>
      </w:pPr>
      <w:r>
        <w:rPr>
          <w:rFonts w:hint="eastAsia" w:ascii="方正黑体_GBK" w:eastAsia="方正黑体_GBK"/>
          <w:szCs w:val="32"/>
        </w:rPr>
        <w:t>三、发展思路和主要目标</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（一）指导思想。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以邓小平理论和“三个代表”重要思想为指导，深入贯彻落实科学发展观，以“推进富民强市、建设美好泰州”为主题，坚持“服务经济、协调发展、创新驱动、开放合作、多方联动”五项原则，实施“金融体系不断完善、金融资源有效积聚、金融管理稳健高效、金融服务不断创新、证券保险长足发展”五大重点，着力提高我市金融的核心竞争力和区域竞争力，为全市转变经济发展方式、加快产业结构升级、全面建设更高水平小康社会提供坚强的金融支撑。</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（二）基本原则。</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坚持以服务经济发展为中心。准确把握发展新要求，服务于经济发展转变、服务于产业转型升级、服务于城乡结构调整、服务于中小企业，加大对新兴产业、基础设施建设、民生工程、中小企业、“三农”等领域的金融支持。</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坚持改革、发展、稳定相统一。金融改革的重点着眼于解决阻碍我市金融业健康发展的体制、机制问题；着眼于提高金融服务质量和效率以及金融安全问题。逐步建立有利于统筹协调金融业发展过程中改革、发展与稳定的关系的金融稳定工作机制、金融监管机制、金融协调沟通机制、信用体系建设机制，努力创造和谐稳定的金融生态环境。</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坚持以金融创新驱动为主线。强化创新意识，完善创新机制，着力推进与我市经济发展实际相适应，与金融监管水平相适应的金融创新，大力开展金融工具、金融服务、金融科技创新,研究出台壮大金融实力，服务地方经济发展的创新举措，不断增强我市金融的核心竞争力。</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4．坚持开放合作的金融发展战略。积极参与长三角地区金融合作，加强风险防范、信息交流、产业基金和金融环境建设等领域的交流合作，着力增强我市金融发展活力。</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5．坚持金融政策与其他政策协调配合。建立交流、协调、沟通机制，完善信用担保、信贷风险基金、小额贷款等长效机制，进一步提高信贷结构与地方产业结构的吻合度，增加有效信贷投放，增强落实宏观调控任务的联动效应。</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（三）发展目标。</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1．总体目标。</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（1）金融规模进一步壮大。全市金融业增加值占地区生产总值和服务业增加值的比重显著提高；金融机构本外币存贷款余额增幅继续保持全省领先水平；证券业务得到长足发展；保费收入逐年提高。</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信贷结构进一步优化。坚持有保有压、区别对待的信贷原则，进一步提高信贷政策与产业政策的吻合度，着力提高信贷资金在新兴产业、低碳经济、骨干企业、重大项目以及中小企业、“三农”等领域的投放比重。</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组织体系进一步完善。金融要素集聚能力显著提升，继续引进金融机构，争取农村合作金融机构全部改制为银行类机构，新型金融组织在乡镇的布局不断优化并规范发展，到“十二五”末，基本建立起股份制商业银行、城市商业银行、农村商业银行、村镇银行、证券公司、保险公司、担保公司等多层次的相互补充的金融体系。</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金融服务功能显著增强。小额贷款覆盖面进一步扩大；中小企业服务体系进一步健全；应收账款质押融资、中小企业集合债券、企业并购融资等新型融资方式得到创新发展；银行卡、农村快通工程、新型结算工具、国库服务、外汇管理等取得突破性进展。</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2．具体目标。</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金融体系。银行机构网点总数达到1200个左右，从业人员总数增加到21000人左右。争取引进全国性股份制银行5-8家；引进外资银行2-3家；争取每个乡镇设立小额贷款公司；加快推进村镇银行建设，规范发展农民资金互助社。新增证券机构3-4家，证券从业人员可望超过600人；保险公司总数达到50家左右，保险分支机构数量突破400家，保险从业人员达到2万人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货币信贷。存款和贷款规模总量明显增加，金融支持经济建设中的作用进一步突出，执行国家宏观调控政策的能力进一步增强。全市存款余额达5000亿元左右，年均增长16%以上。贷款余额达到3500亿元左右，年均增长19%以上。其中，市区贷款余额达到1300亿左右，年均增长20%左右；小企业贷款余额占全部企业贷款比例提高到45%左右；个人消费贷款余额达到500亿元左右，年均增长20%以上。</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金融监管。加快金融生态创建工作，力争实现全市创建工作“满堂红”。加强与政府执法部门、金融监管机构和外汇管理部门在信息共享和案件查处方面的合作，逐步建立情报会商、联合办案和案件通报制度。大力开展“平安金融”创建活动，强化金融科技管理和信息安全工作，优化金融运行环境，规范金融业务行为，提升金融经营水平。不良贷款(按五级分类)总额逐年下降，不良贷款率控制在2%之内；营业利润年均可比增长20%以上。</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金融服务。提高银行卡联网通用技术与服务水平，推进银行卡品种创新，大力发展金融IC卡，推进国库服务创新，加快个人理财、信贷产品创新，提升金融机构经营水平和可持续发展能力。到2015年，实现金融业增加值150亿元左右，年均增长15%以上；全市金融机构实现中间业务收入23亿元以上；累计现金投放、回笼年均增长8-10%，均达到1万亿元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5）证券保险。大力推进企业上市，力争上市公司达30家左右。全市保费总量达到110亿元左右，是“十一五”期末的1.6倍。其中财产险保费收入达21亿元，人身险保费收入达89亿元。保险深度（保费收入占GDP的比重）提高到4%左右，保险密度（人均保费）增长1.65倍左右。</w:t>
      </w:r>
    </w:p>
    <w:p>
      <w:pPr>
        <w:spacing w:line="540" w:lineRule="exact"/>
        <w:ind w:firstLine="640" w:firstLineChars="200"/>
        <w:rPr>
          <w:rFonts w:hint="eastAsia" w:ascii="方正黑体_GBK" w:eastAsia="方正黑体_GBK"/>
          <w:szCs w:val="32"/>
        </w:rPr>
      </w:pPr>
      <w:r>
        <w:rPr>
          <w:rFonts w:hint="eastAsia" w:ascii="方正黑体_GBK" w:eastAsia="方正黑体_GBK"/>
          <w:szCs w:val="32"/>
        </w:rPr>
        <w:t>四、重点任务</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（一）优化信贷资源配置。</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支持新兴产业发展。找准国家货币政策与地方产业发展规划的结合点，加强对生物医药、新能源、电子信息等新兴战略性产业的金融支持。抑制高耗能、高排放行业和产能过剩行业的发展，加大对符合国家产业政策的服务性行业、高新技术产业等产业以及生态环境保护、循环经济、新能源开发利用等方面的支持力度。争取上级行在授信额度和审批权限上的倾斜。加强与国开行、进出口银行的合作，积聚更多的长期开发性金融资源。大力推行银团贷款模式，吸引异地金融机构参与，满足优质企业、重点项目较大规模的融资需求。“十二五”期间，生物医药贷款年均增长超过30%；装备制造业贷款年均增长20%左右；信息电子产业贷款年均增长超过30%；新能源产业贷款年均增长25%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支持城镇化建设。引导金融资源向中心城市、重点城镇积聚，为基础设施建设提供金融支持。推动“平台”面向资本市场融资，形成包括间接融资和直接融资在内的多元化融资结构。督促商业银行加强“平台”贷款的风险监测，防范资金运作风险，引导金融机构用足用好用活政策，保持企业资金链不断。预计中长期贷款余额将达到1200亿元左右，年均增长15%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支持中小企业发展。以支持科技创新型、资源节约型、协作配套型、优势成长型、劳动密集型以及“小而精、小而专、小而特”中小企业的发展为重点，突出支持共建园区和产业集群中小企业的集约化发展。继续推进小企业专营机制，把小企业贷款作为新的增长点，提高审批效率，着重扩大商业银行基层行的信贷审批权限，精简贷款审核程序。探索建立中小企业融资服务中心，为全市中小企业提供全方位、多角度的融资服务与政策咨询，着力推动和强化中小企业组织领导、中介服务、财税扶持等优惠政策；加快中小企业信用实验区建设，建立中小企业信用档案征集、更新长效机制，加快企业信用信息的采集和更新，中小企业建档面达90%以上；强化金融业发展的正向激励机制，加大新型融资工具的创新力度，着力打造中小企业贷款“万企千亿”工程。全市金融机构中小企业贷款余额达1400亿元左右，年均增长20%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帮扶弱势群体。进一步完善小额担保贷款政策，加强对主办行业务开展的指导，放大小额担保贷款效应，争取在扶持全民创业方面有更大的突破。支持为增加就业而进行的培训、技术转移和社会就业体系的资金需求；充分运用金融手段促进劳动者素质的提高，为高素质人才引进、个人知识产权开发利用和个人创业提供资金支持；加大对妇女和大学生“村官”创业的支持，保持小额贷款业务规模在全省的领先地位；充分发挥农民合作经济组织“融资通达工程”的平台作用，满足现代高效农业发展的资金需求。“十二五”期间，小额担保贷款累放额达到10亿元以上。</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5．支持“三农”发展。推动地方法人金融机构改革进程，提高其经营能力；进一步发挥政策性和商业性金融的服务功能，推动和引导农发行、农业银行加大农村基础设施建设、农业产业结构性调整、农村产业化和城市化等方面的信贷支持力度；扩大邮政银行在农村的资金运用比例，发挥其网络优势和信息资源优势，大力发展农村小额信贷市场。大力推进金融产品创新，改进农村金融机构授权授信和担保机制，加快农村信用体系建设，大力发展涉农担保机构，解决农村居民、企业担保难的现状，增强金融机构“三农”信贷投入的信心；建立健全农业保险体系，充分发挥保险的经济补偿功能。重点加大对统筹城乡改革试验中的重点项目、重点企业的信贷支持力度，支持农村水、电、交通、通信等基础设施建设；支持科技含量高的农产品，促进农业科技进步；支持农产品市场体系建设。“十二五”期末，县域以下（包括农户）贷款余额达到1900亿元左右，年均增长20%左右。</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（二）不断完善金融体系。</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加快区域金融市场建设。大力支持泰州农村商业银行、长江商业银行加速扩张、延伸网络、尽快上市；扶持兴化、姜堰、泰兴农村合作银行加快发展，提升竞争能力，加强央行票据后续监测考核，做大做强本地金融业。推进银行机构向市（区）和重点乡镇延伸，加快推进小额贷款公司和村镇银行试点。进一步加强体制机制创新，建立有利于引导和推动企业直接融资产品创新的制度环境，大力推进银行间债券市场发展，加强征信、评级等企业直接融资过程中的中介服务，积极发展包括中期票据、短期融资券、中小企业集合债券在内的多种债券产品，多角度拓宽企业直接融资渠道。</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加强金融稳定机制建设。进一步加强市金融稳定协调小组各成员单位、各金融机构的联系和沟通，加大金融诈骗、非法集资、非法吸收公众存款等行为的打击力度，有效防范和化解金融风险，维护金融机构和广大人民群众的合法利益。将金融生态创建活动作为推动地方文明建设和经济发展的重要载体，深入开展金融机构开业管理、营业管理和综合执法、综合评价的“两管理、两综合”工作，着力优化金融生态。全面加强反洗钱合作机制建设，建立健全金融管理、外汇管理、公安、海关、安全、反贪等部门信息共享和案件查处合作机制，督促金融机构加强风险管理。深入推进“平安金融”创建活动，进一步完善创建机制，落实创建措施，狠抓创建达标，杜绝可防性案件、事故的发生。继续深入开展“平安证券”创建活动，加大非法证券打击力度，大力引导辖区内证券业机构优化布局、规范经营、良性竞争；切实抓好投资者风险教育、内部风险控制和应急处置等各项维稳工作，注重技防、物防和消防设施建设，维护证券业运行安全和社会稳定。进一步发挥保险行业协会职能作用，维护泰州保险市场的持续、稳定、健康发展。认真落实金融突发事件应急预案，完善应急处理机制，协调金融机构统一行动，妥善防范和化解重大风险。加强市金融办、人民银行与银监局等部门的协调，鼓励跨市场创新，防范跨市场金融风险，实现金融创新与金融监管的相互协调、相互促进。</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推进地方信用体系建设。积极推进信用建设，以服务政府、服务银行、服务经济为出发点，依托征信系统破解中小企业和农户融资难问题，完善中小企业信用体系试验区建设和农户信用档案建设长效机制，提高金融机构信贷决策能力。建立应收账款质押融资客户信息、需求信息、信用信息共享平台，力争到2015年底，应收账款、知识产权质押融资覆盖面达40%、融资总量达200亿元。探索市县政府、经济主管部门与综合执法部门、企业、银行及担保机构整体联动的信用信息采集共享工作机制，建立健全信用监管和失信惩戒制度，营造重信用、讲信用的社会风气。</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加快内部管理机制改革。不断优化股份制商业银行的业务和管理流程，实现向现代商业银行内在机制的转变。逐步健全地方法人金融机构法人治理结构，完善“三会一层”议事制度，健全决策程序，推进科学运作。实施邮储银行转型，加快现代银行的制度体系建设，按照股权结构多样化、投资主体多元化原则，进一步优化法人治理结构，建立激励与约束相结合的运行机制，激发发展的内在活力。加大科技支撑力度，建成涵盖客户关系管理、风险管理、财务管理、绩效管理、业务监控的决策支持应用体系。</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5．融入长三角金融一体化进程。积极与境内外各类金融及投资机构开展交流与合作。重点从风险防范、信息交流、金融产品研发推广、产业基金、公司上市和金融环境建设等方面加强与长三角其他城市的金融合作。推进长三角金融稳定信息交流机制、信用信息共享机制、系统性风险预警机制、反洗钱信息交流机制等方面的建设。加强产业投资基金合作，鼓励基金向专业化方向发展，吸引和鼓励基金投向新能源、船舶、信息电子、生物医药等关联度广、产业链条长、经济贡献大的行业。以沪、苏、浙三地共同签署《共建“信用长三角”合作备忘录》为契机，推动商业承兑汇票评级与运用，探索地方信用体系建设合作机制，开展信用评级机构区域业务合作。</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（三）推进金融服务创新。</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提高金融服务效能。加快服务手段创新。进一步引导金融机构树立和贯彻“以市场为导向，以客户为中心”的经营理念，强化服务意识，优化服务流程，细化服务标准，提高服务效能。大力发展中间业务。扩大企业债、短期融资券和资产支持证券等债券承销范围；大力发展信用卡、担保承诺、网上银行、外汇衍生产品等业务；积极推广代销保险、理财通、代收代付、本外币结构性理财等个人金融产品。加强信贷产品创新。对中长期的重点建设项目，通过银团贷款、联合贷款、信贷资产转让、委托贷款等合作模式有效筹集资金，实现金融机构在营销和资金上的优势互补。探索推动供应链金融发展，加强与各园区、商会合作，积极运用银行承兑汇票、贸易融资、动产融资等方式，解决中小企业资金回笼慢、融资难、担保难的问题。加强贷款担保机制创新。逐步扩大担保范围，将可担保抵押物由不动产拓展到船舶、大型融资设备、大型运输车等特殊动产和应收款项、土地权利、专利权等。大力发展表外信贷业务。积极推动融资性担保业务、海外代付业务、履约保函业务、商业承兑汇票业务。</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加快支付结算体系建设。大力发展电子交易渠道，鼓励和规范电子支付创新，改善电子支付环境，增加自助设备投放，不断提高支付服务效率，着力提高电子银行业务交易占比。稳步推进人民银行第二代支付系统建设，为商业银行提供灵活的接入选择。继续推广应用支付清算系统和非现金支付工具，不断提高人民银行小额批量支付系统和全国支票影像交换系统的利用率。加强支付体系监督管理，努力提高联网核查系统数据质量，切实落实银行账户实名制，为参与者提供更加丰富的流动性管理手段，降低结算成本，提高结算效率。</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推动银行卡产业持续健康发展。继续巩固和完善银行卡受理市场建设，扩大受理网络，发展特约商户，探索建立市场调节、行业自律、政策引导、银企双赢的银行卡市场化发展机制。逐步推进银行卡业务的对外开放，逐步实现全市所有POS终端的外卡受理及所有ATM机具的外卡取现和跨行转账，力争到2015年末，全市重点旅游景区及周边地区的商业服务网点、商业街区等全部可受理国际卡。提高银行卡联网通用技术与服务水平，推进银行卡品种创新，继续深化银行卡联网通用工作，加强农民工银行卡特色服务，扩大公务卡使用范围。加强银行卡风险管理，完善银行卡交易监测和大额可疑交易报告制度，健全与公安部门的协作机制，预防和打击伪卡犯罪、信用卡非法套现以及利用银行卡洗钱、跨境转移非法资金等违法犯罪活动。以科技创新为主线，继续推进金融IC卡试点。加强借记、贷记及电子钱包功能整合运用，推进餐饮、宾馆、商场、书店、药店、企业管理咨询等各个服务领域的金融POS改造。稳步推进公交、出租车、学校等特殊行业POS的技术改造，力争实现金融IC卡一卡多用，提高IC卡风险防范能力，为社会各经济主体提供便利、快捷、清洁的支付服务。</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确保现金供应科学合理。提高现金处理业务效能，建立人民银行、银行业金融机构、社会“三位一体”的现金清分工作机制；构建多层次、立体化的监测目标体系，提高现金投放预测的前瞻性、科学性和准确性。开展人民币现金收付标准化服务，加强现金出纳差错处理，推动柜面现金收付两条线管理。建成“人民币流通满意工程”示范市。加强惩、防、监、控一体化的反假体系建设；加大人民币反假宣传教育，全面提高社会公众主动识假防假技能；加快货币真伪鉴定师、货币真伪鉴别师、货币真伪识别师队伍建设，有效规范金融机构假币收缴、鉴定行为。“十二五”期间，净投放年均增速保持在10%以上，力争总量达到70亿元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5．增强国库服务效能。全面加入全国统一的财税库银横向联网系统（TIPS）。开发和运用银行卡刷卡缴税系统，实现税款快速划缴、自动对账、电子汇总及全程监控。探索数据一次录入、多环节使用的财政集中支付新模式，确保国库资金安全，提高财政资金使用效率。探索尝试通过财库行支出联网系统办理财政预算外资金支付清算新模式，提高对预算外资金的管理水平和使用效率，切实提高金融服务能力。</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6．创新发展科技金融。引导和促进金融机构创新金融产品和服务模式，促进科技型中小企业成长，力争形成多元化、多层次、多渠道的科技投融资体系。以省“科技金融创新发展试验区”试点为突破口，加大对科技金融的信贷支持，创新科技金融产品，不断提高科技型企业信贷投放量在全部信贷投放中的比重。积极筹建科技支行，进一步完善“科技金融服务专项管理办法”，对客户准入标准、信贷审批机制和风险控制等进行优化，提高科技支行的授信管理审批权限。</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7．大力发展直接债务融资。实施债务融资工具余额倍增计划，组建直接融资目标企业基本信息库和金融系统信贷客户经理帮办人才库，对目标企业实施一对一帮办，对直接融资产品、政策、条件、流程等提供义务教育、咨询服务，积极开展直接融资代理服务。实现所有具有主承销资格的金融机构直接债务融资业务全覆盖，争取直接债务融资工具发行成功，快速提升中小企业直接融资比重。组织直接债务融资的奖励补助资金申报。</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8．推进商业承兑汇票业务发展。加强业务宣传培训，探索发展电子商票再贴现，推动再贴现限额使用进一步向商票推广倾斜，为金融机构票据业务发展创新提供良好的政策支持。引导商票业务增量扩面，重点加大对涉农票据和中小企业尤其是小企业票据发展的支持。</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（四）加强外汇管理服务。</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促进投资贸易便利化。加强对外向型经济发展的服务。为符合贸易真实背景的交易创造宽松的外汇管理环境，为重大项目提供配套外汇管理服务。积极推进境外居民境内服务性收入境内投资外汇管理改革，制定《境外居民境内服务性收入境内投资外汇管理实施意见》，鼓励境外居民将境内服务性收入继续用于境内投资，扩大引进外资的来源渠道。“十二五”期末，力争全市外汇存贷款分别达到10亿美元和20亿美元左右，办理进出口核销100亿美元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支持和鼓励企业走出去。积极鼓励境内机构开展境外投资。加强与进出口企业、外商投资企业等重点企业的联系，作好外汇管理政策的解读。加强境外投资政策宣传与引导，大力支持经营状况良好的企业开展境外投资，充分利用“两个市场，两种资源”的优势，支持企业做大做强。积极推进跨境贸易人民币结算试点，逐步扩大试点企业范围，着力规避企业汇率风险、简化跨境贸易手续、降低交易成本，确保跨境贸易人民币结算额占当地同期进出口额的比例达到3%左右。</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加强外汇均衡管理。稳步推进出口核销制度改革，探索对贸易收入实行主体分类监管，建立区域异常跨境资金流动监管协调机制，充分利用外汇形势分析会和开放型经济联席会议制度，加强跨部门合作，密切关注异常跨境资金流动的变化趋势，科学判断其流动方向，理清其流动渠道和运作方式，有针对性地开展专项检查，重点加大对地下钱庄、网络炒汇等外汇违法违规行为的打击力度。加强信息沟通与政策协调，引导外汇资金流向政策允许及鼓励的行业，推动进出口结构的优化，促进国际收支平衡。</w:t>
      </w:r>
    </w:p>
    <w:p>
      <w:pPr>
        <w:spacing w:line="540" w:lineRule="exact"/>
        <w:ind w:firstLine="640" w:firstLineChars="200"/>
        <w:rPr>
          <w:rFonts w:hint="eastAsia" w:ascii="方正楷体_GBK" w:eastAsia="方正楷体_GBK"/>
          <w:szCs w:val="32"/>
        </w:rPr>
      </w:pPr>
      <w:r>
        <w:rPr>
          <w:rFonts w:hint="eastAsia" w:ascii="方正楷体_GBK" w:eastAsia="方正楷体_GBK"/>
          <w:szCs w:val="32"/>
        </w:rPr>
        <w:t>（五）加快推进企业上市。</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1．在转变思想观念上求突破。通过广泛宣传、知识培训、业务交流等多项措施，大力引导企业解放思想、更新观念，增强企业上市主动意识和紧迫意识。</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2．在引导企业规范上下功夫。积极推动企业加快公司制改造，完善公司法人治理结构，引导企业建立健全决策机制、内控机制和激励约束机制，从体制机制上夯实企业上市基础，坚持因企制宜、一企一策帮助企业切实解决历史遗留问题。</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3．在建立培育机制上求创新。按照培育一批、辅导一批、上市一批的思路，加强上市后备资源培育工作，积极推进“百企上市培育工程”，完善上市后备企业资料库、中介机构信息库和专家人才库，对进入资料库的企业给予资金、政策和人才支持，进一步降低企业改制上市成本。</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4．在优化服务环境上出实招。构建由政府总协调、上市主管部门总牵头、相关职能部门参与、各专业人士支持的企业上市服务体系，建立企业上市绿色通道，为拟上市企业提供便捷、优质、高效的服务。</w:t>
      </w:r>
    </w:p>
    <w:p>
      <w:pPr>
        <w:spacing w:line="540" w:lineRule="exact"/>
        <w:ind w:firstLine="640" w:firstLineChars="200"/>
        <w:rPr>
          <w:rFonts w:hint="eastAsia" w:ascii="方正黑体_GBK" w:eastAsia="方正黑体_GBK"/>
          <w:szCs w:val="32"/>
        </w:rPr>
      </w:pPr>
      <w:r>
        <w:rPr>
          <w:rFonts w:hint="eastAsia" w:ascii="方正黑体_GBK" w:eastAsia="方正黑体_GBK"/>
          <w:szCs w:val="32"/>
        </w:rPr>
        <w:t>五、保障措施</w:t>
      </w:r>
    </w:p>
    <w:p>
      <w:pPr>
        <w:spacing w:line="540" w:lineRule="exact"/>
        <w:ind w:firstLine="640" w:firstLineChars="200"/>
        <w:rPr>
          <w:rFonts w:hint="eastAsia" w:ascii="方正仿宋_GBK" w:eastAsia="方正仿宋_GBK"/>
          <w:szCs w:val="32"/>
        </w:rPr>
      </w:pPr>
      <w:r>
        <w:rPr>
          <w:rFonts w:hint="eastAsia" w:ascii="方正仿宋_GBK" w:eastAsia="方正仿宋_GBK"/>
          <w:szCs w:val="32"/>
        </w:rPr>
        <w:t>为确保金融“十二五”规划目标顺利实施，在加快发展、跨越发展的同时，坚持以市场为基本导向，加强组织领导，健全考核体系，加快法制建设，强化人才支撑，力争贷款增幅在全省继续保持领先地位，支持全市经济增长和结构调整目标的实现。</w:t>
      </w:r>
    </w:p>
    <w:p>
      <w:pPr>
        <w:spacing w:line="540" w:lineRule="exact"/>
        <w:ind w:firstLine="640" w:firstLineChars="200"/>
        <w:rPr>
          <w:rFonts w:hint="eastAsia" w:ascii="方正仿宋_GBK" w:eastAsia="方正仿宋_GBK"/>
          <w:szCs w:val="32"/>
        </w:rPr>
      </w:pPr>
      <w:r>
        <w:rPr>
          <w:rFonts w:hint="eastAsia" w:ascii="方正楷体_GBK" w:eastAsia="方正楷体_GBK"/>
          <w:szCs w:val="32"/>
        </w:rPr>
        <w:t>（一）加强组织领导。</w:t>
      </w:r>
      <w:r>
        <w:rPr>
          <w:rFonts w:hint="eastAsia" w:ascii="方正仿宋_GBK" w:eastAsia="方正仿宋_GBK"/>
          <w:szCs w:val="32"/>
        </w:rPr>
        <w:t>健全金融机构行长联席会、金融形势分析会和金融稳定协调会制度，进一步理顺各项管理体制、监管机制和协调机制，形成金融管理部门协调配合、分工协作的良好工作格局。进一步加强对全市金融业的监测和管理，完善金融机构执行政策情况评价体系，密切跟踪监测经济金融运行质态，分析研究资金供求和市场变化，研究解决制约金融业发展的全局性和关键性问题。</w:t>
      </w:r>
    </w:p>
    <w:p>
      <w:pPr>
        <w:spacing w:line="540" w:lineRule="exact"/>
        <w:ind w:firstLine="640" w:firstLineChars="200"/>
        <w:rPr>
          <w:rFonts w:hint="eastAsia" w:ascii="方正仿宋_GBK" w:eastAsia="方正仿宋_GBK"/>
          <w:szCs w:val="32"/>
        </w:rPr>
      </w:pPr>
      <w:r>
        <w:rPr>
          <w:rFonts w:hint="eastAsia" w:ascii="方正楷体_GBK" w:eastAsia="方正楷体_GBK"/>
          <w:szCs w:val="32"/>
        </w:rPr>
        <w:t>（二）健全考核体系。</w:t>
      </w:r>
      <w:r>
        <w:rPr>
          <w:rFonts w:hint="eastAsia" w:ascii="方正仿宋_GBK" w:eastAsia="方正仿宋_GBK"/>
          <w:szCs w:val="32"/>
        </w:rPr>
        <w:t>完善《泰州市银行系统工作目标考核办法》，强化对各金融机构工作绩效及发展状况的动态管理和考核评价，根据阶段性发展要求，明确金融业发展目标和服务要求，重点考核金融机构本外币存款实际净增额、市场份额、中小企业金融服务、小额担保贷款、直接债务融资、信贷资产质量、表外融资等方面。通过正向激励，推动金融机构创新产品，抢占市场，加快发展。</w:t>
      </w:r>
    </w:p>
    <w:p>
      <w:pPr>
        <w:spacing w:line="540" w:lineRule="exact"/>
        <w:ind w:firstLine="640" w:firstLineChars="200"/>
        <w:rPr>
          <w:rFonts w:hint="eastAsia" w:ascii="方正仿宋_GBK" w:eastAsia="方正仿宋_GBK"/>
          <w:szCs w:val="32"/>
        </w:rPr>
      </w:pPr>
      <w:r>
        <w:rPr>
          <w:rFonts w:hint="eastAsia" w:ascii="方正楷体_GBK" w:eastAsia="方正楷体_GBK"/>
          <w:szCs w:val="32"/>
        </w:rPr>
        <w:t>（三）加快法制建设。</w:t>
      </w:r>
      <w:r>
        <w:rPr>
          <w:rFonts w:hint="eastAsia" w:ascii="方正仿宋_GBK" w:eastAsia="方正仿宋_GBK"/>
          <w:szCs w:val="32"/>
        </w:rPr>
        <w:t>以便民、高效、透明为原则，切实提升依法行政效能。重点实施金融消费者权益保护工程，探索建立争端处理机制，畅通消费者投诉渠道。加大综合执法力度，实现对全市各金融机构检查的全覆盖，推进金融机构依法、合规、高效经营。引导金融机构增强法制观念，加强与外界签订的各种合同、协议,企业改制中债权保护等方面进行合法合规性审查。开展多形式、多途径金融知识和法制宣传普及工作，实现行政权力的实施和互动式公开，有效提升金融机构的社会影响力和公众满意度。</w:t>
      </w:r>
    </w:p>
    <w:p>
      <w:pPr>
        <w:spacing w:line="540" w:lineRule="exact"/>
        <w:ind w:firstLine="640" w:firstLineChars="200"/>
        <w:rPr>
          <w:rFonts w:hint="eastAsia"/>
        </w:rPr>
      </w:pPr>
      <w:r>
        <w:rPr>
          <w:rFonts w:hint="eastAsia" w:ascii="方正楷体_GBK" w:eastAsia="方正楷体_GBK"/>
          <w:szCs w:val="32"/>
        </w:rPr>
        <w:t>（四）强化人才支撑。</w:t>
      </w:r>
      <w:r>
        <w:rPr>
          <w:rFonts w:hint="eastAsia" w:ascii="方正仿宋_GBK" w:eastAsia="方正仿宋_GBK"/>
          <w:szCs w:val="32"/>
        </w:rPr>
        <w:t>加强对现有从业人员的培养，建立以业绩为导向、激励有效、约束有力的人力资源管理机制，优化人力资源配置，降低经营成本，激发经营活力，提高经营绩效。通过培训、业务竞赛等形式，提高金融从业人员的业务理论知识和工作技能。及时引进具有丰富管理经验、产品创新经验和理财服务经验的高级人才，努力形成多层次人才聚集、各类人力资本优化配置的“金字塔式”人才队伍，为我市金融业实现跨越发展提供坚实的人才资源支撑。</w:t>
      </w:r>
    </w:p>
    <w:sectPr>
      <w:footerReference r:id="rId5" w:type="default"/>
      <w:footerReference r:id="rId6" w:type="even"/>
      <w:pgSz w:w="11907" w:h="16840"/>
      <w:pgMar w:top="1701" w:right="1474" w:bottom="1701" w:left="1588" w:header="851" w:footer="1418" w:gutter="0"/>
      <w:cols w:space="720" w:num="1"/>
      <w:titlePg/>
      <w:docGrid w:linePitch="590" w:charSpace="-10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鼎简仿宋">
    <w:altName w:val="宋体"/>
    <w:panose1 w:val="02010609010101010101"/>
    <w:charset w:val="86"/>
    <w:family w:val="modern"/>
    <w:pitch w:val="default"/>
    <w:sig w:usb0="00000001" w:usb1="080E0000" w:usb2="00000010" w:usb3="00000000" w:csb0="00040000" w:csb1="00000000"/>
  </w:font>
  <w:font w:name="汉鼎简大宋">
    <w:altName w:val="华文细黑"/>
    <w:panose1 w:val="00000000000000000000"/>
    <w:charset w:val="86"/>
    <w:family w:val="modern"/>
    <w:pitch w:val="default"/>
    <w:sig w:usb0="00000085" w:usb1="080E0000" w:usb2="00000010" w:usb3="00000000" w:csb0="0004000A"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1" w:usb1="080E0000" w:usb2="00000000" w:usb3="00000000" w:csb0="00040000" w:csb1="00000000"/>
  </w:font>
  <w:font w:name="方正仿宋_GBK">
    <w:panose1 w:val="02000000000000000000"/>
    <w:charset w:val="86"/>
    <w:family w:val="script"/>
    <w:pitch w:val="default"/>
    <w:sig w:usb0="00000001" w:usb1="080E0000" w:usb2="00000000" w:usb3="00000000" w:csb0="00040000" w:csb1="00000000"/>
    <w:embedRegular r:id="rId1" w:fontKey="{2D2C1ECE-DD66-4C4A-9E17-35E27D19F956}"/>
  </w:font>
  <w:font w:name="Tahoma">
    <w:panose1 w:val="020B0604030504040204"/>
    <w:charset w:val="00"/>
    <w:family w:val="swiss"/>
    <w:pitch w:val="default"/>
    <w:sig w:usb0="E1002EFF" w:usb1="C000605B" w:usb2="00000029" w:usb3="00000000" w:csb0="200101FF" w:csb1="20280000"/>
  </w:font>
  <w:font w:name="汉鼎简楷体">
    <w:altName w:val="宋体"/>
    <w:panose1 w:val="00000000000000000000"/>
    <w:charset w:val="86"/>
    <w:family w:val="modern"/>
    <w:pitch w:val="default"/>
    <w:sig w:usb0="00000001" w:usb1="080E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汉鼎简黑体">
    <w:altName w:val="宋体"/>
    <w:panose1 w:val="02010609000101010101"/>
    <w:charset w:val="86"/>
    <w:family w:val="modern"/>
    <w:pitch w:val="default"/>
    <w:sig w:usb0="00000001" w:usb1="080E0000" w:usb2="00000010" w:usb3="00000000" w:csb0="00040000" w:csb1="00000000"/>
  </w:font>
  <w:font w:name="方正黑体_GBK">
    <w:panose1 w:val="03000509000000000000"/>
    <w:charset w:val="86"/>
    <w:family w:val="script"/>
    <w:pitch w:val="default"/>
    <w:sig w:usb0="00000001" w:usb1="080E0000" w:usb2="00000000" w:usb3="00000000" w:csb0="00040000" w:csb1="00000000"/>
    <w:embedRegular r:id="rId2" w:fontKey="{C30E2485-1FDB-42B6-B011-17E67B098684}"/>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方正小标宋_GBK">
    <w:panose1 w:val="02000000000000000000"/>
    <w:charset w:val="86"/>
    <w:family w:val="script"/>
    <w:pitch w:val="default"/>
    <w:sig w:usb0="00000001" w:usb1="080E0000" w:usb2="00000000" w:usb3="00000000" w:csb0="00040000" w:csb1="00000000"/>
    <w:embedRegular r:id="rId3" w:fontKey="{57CFD66C-EAF6-49FD-A702-E469DECCF61F}"/>
  </w:font>
  <w:font w:name="方正楷体_GBK">
    <w:panose1 w:val="02000000000000000000"/>
    <w:charset w:val="86"/>
    <w:family w:val="script"/>
    <w:pitch w:val="default"/>
    <w:sig w:usb0="00000001" w:usb1="080E0000" w:usb2="00000000" w:usb3="00000000" w:csb0="00040000" w:csb1="00000000"/>
    <w:embedRegular r:id="rId4" w:fontKey="{8FC8B092-AD89-432B-BEAF-6B100FC80C77}"/>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Style w:val="20"/>
        <w:sz w:val="24"/>
        <w:szCs w:val="24"/>
      </w:rPr>
    </w:pPr>
    <w:r>
      <w:rPr>
        <w:rStyle w:val="20"/>
        <w:sz w:val="24"/>
        <w:szCs w:val="24"/>
      </w:rPr>
      <w:fldChar w:fldCharType="begin"/>
    </w:r>
    <w:r>
      <w:rPr>
        <w:rStyle w:val="20"/>
        <w:sz w:val="24"/>
        <w:szCs w:val="24"/>
      </w:rPr>
      <w:instrText xml:space="preserve">PAGE  </w:instrText>
    </w:r>
    <w:r>
      <w:rPr>
        <w:rStyle w:val="20"/>
        <w:sz w:val="24"/>
        <w:szCs w:val="24"/>
      </w:rPr>
      <w:fldChar w:fldCharType="separate"/>
    </w:r>
    <w:r>
      <w:rPr>
        <w:rStyle w:val="20"/>
        <w:sz w:val="24"/>
        <w:szCs w:val="24"/>
      </w:rPr>
      <w:t>2</w:t>
    </w:r>
    <w:r>
      <w:rPr>
        <w:rStyle w:val="20"/>
        <w:sz w:val="24"/>
        <w:szCs w:val="24"/>
      </w:rPr>
      <w:fldChar w:fldCharType="end"/>
    </w:r>
  </w:p>
  <w:p>
    <w:pPr>
      <w:pStyle w:val="10"/>
      <w:framePr w:w="667" w:y="-122"/>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Style w:val="20"/>
      </w:rPr>
    </w:pPr>
    <w:r>
      <w:rPr>
        <w:rStyle w:val="20"/>
      </w:rPr>
      <w:fldChar w:fldCharType="begin"/>
    </w:r>
    <w:r>
      <w:rPr>
        <w:rStyle w:val="20"/>
      </w:rPr>
      <w:instrText xml:space="preserve">PAGE  </w:instrText>
    </w:r>
    <w:r>
      <w:rPr>
        <w:rStyle w:val="20"/>
      </w:rPr>
      <w:fldChar w:fldCharType="end"/>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315"/>
  <w:drawingGridVerticalSpacing w:val="295"/>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F21"/>
    <w:rsid w:val="000010B7"/>
    <w:rsid w:val="00001F25"/>
    <w:rsid w:val="00004B7F"/>
    <w:rsid w:val="0000528A"/>
    <w:rsid w:val="0000609C"/>
    <w:rsid w:val="00013CB9"/>
    <w:rsid w:val="000220BD"/>
    <w:rsid w:val="0002485A"/>
    <w:rsid w:val="00024D0F"/>
    <w:rsid w:val="00027832"/>
    <w:rsid w:val="00031BBF"/>
    <w:rsid w:val="000337C2"/>
    <w:rsid w:val="00035068"/>
    <w:rsid w:val="000358C7"/>
    <w:rsid w:val="00037311"/>
    <w:rsid w:val="0004134E"/>
    <w:rsid w:val="0004173D"/>
    <w:rsid w:val="00044A1B"/>
    <w:rsid w:val="00045CDA"/>
    <w:rsid w:val="00046C69"/>
    <w:rsid w:val="0005134A"/>
    <w:rsid w:val="000531D9"/>
    <w:rsid w:val="0006015D"/>
    <w:rsid w:val="0006035A"/>
    <w:rsid w:val="000606F9"/>
    <w:rsid w:val="00067F19"/>
    <w:rsid w:val="00070CEF"/>
    <w:rsid w:val="000732AE"/>
    <w:rsid w:val="00074139"/>
    <w:rsid w:val="00077B92"/>
    <w:rsid w:val="00080426"/>
    <w:rsid w:val="00084B35"/>
    <w:rsid w:val="00085415"/>
    <w:rsid w:val="00085CA6"/>
    <w:rsid w:val="00086E03"/>
    <w:rsid w:val="0008777C"/>
    <w:rsid w:val="000946F1"/>
    <w:rsid w:val="00097ACD"/>
    <w:rsid w:val="000A0DD6"/>
    <w:rsid w:val="000A79B8"/>
    <w:rsid w:val="000B17BA"/>
    <w:rsid w:val="000B49FF"/>
    <w:rsid w:val="000B6AAD"/>
    <w:rsid w:val="000C6570"/>
    <w:rsid w:val="000D0801"/>
    <w:rsid w:val="000D3814"/>
    <w:rsid w:val="000D4630"/>
    <w:rsid w:val="000D5252"/>
    <w:rsid w:val="000D6044"/>
    <w:rsid w:val="000E4614"/>
    <w:rsid w:val="000E5E69"/>
    <w:rsid w:val="000E5F6B"/>
    <w:rsid w:val="000F0E98"/>
    <w:rsid w:val="000F4312"/>
    <w:rsid w:val="00100C40"/>
    <w:rsid w:val="0010100C"/>
    <w:rsid w:val="001024DF"/>
    <w:rsid w:val="0011029E"/>
    <w:rsid w:val="00112679"/>
    <w:rsid w:val="001126ED"/>
    <w:rsid w:val="001139FE"/>
    <w:rsid w:val="001145C6"/>
    <w:rsid w:val="001257C7"/>
    <w:rsid w:val="0013653F"/>
    <w:rsid w:val="00142AB7"/>
    <w:rsid w:val="001466B5"/>
    <w:rsid w:val="00146996"/>
    <w:rsid w:val="0015320D"/>
    <w:rsid w:val="001543E1"/>
    <w:rsid w:val="001550F8"/>
    <w:rsid w:val="00155B4D"/>
    <w:rsid w:val="0016066D"/>
    <w:rsid w:val="001663A5"/>
    <w:rsid w:val="00166424"/>
    <w:rsid w:val="001674E3"/>
    <w:rsid w:val="00181279"/>
    <w:rsid w:val="00181829"/>
    <w:rsid w:val="00182330"/>
    <w:rsid w:val="00182485"/>
    <w:rsid w:val="00182888"/>
    <w:rsid w:val="00190E95"/>
    <w:rsid w:val="0019100C"/>
    <w:rsid w:val="001928F9"/>
    <w:rsid w:val="0019417D"/>
    <w:rsid w:val="00194437"/>
    <w:rsid w:val="001A4644"/>
    <w:rsid w:val="001B292D"/>
    <w:rsid w:val="001C0D3D"/>
    <w:rsid w:val="001C330C"/>
    <w:rsid w:val="001C43E8"/>
    <w:rsid w:val="001D11D6"/>
    <w:rsid w:val="001D1DF5"/>
    <w:rsid w:val="001D237D"/>
    <w:rsid w:val="001D3287"/>
    <w:rsid w:val="001D5024"/>
    <w:rsid w:val="001D6118"/>
    <w:rsid w:val="001D6194"/>
    <w:rsid w:val="001D734B"/>
    <w:rsid w:val="001D7D8D"/>
    <w:rsid w:val="001E01BF"/>
    <w:rsid w:val="001E3773"/>
    <w:rsid w:val="001E7CC6"/>
    <w:rsid w:val="002001BB"/>
    <w:rsid w:val="002001CC"/>
    <w:rsid w:val="002003CD"/>
    <w:rsid w:val="00203246"/>
    <w:rsid w:val="002068C7"/>
    <w:rsid w:val="00211561"/>
    <w:rsid w:val="002141E8"/>
    <w:rsid w:val="00217F60"/>
    <w:rsid w:val="00221CDF"/>
    <w:rsid w:val="002254C4"/>
    <w:rsid w:val="00234D20"/>
    <w:rsid w:val="00234D2E"/>
    <w:rsid w:val="002369A5"/>
    <w:rsid w:val="00243696"/>
    <w:rsid w:val="00244336"/>
    <w:rsid w:val="00244BB4"/>
    <w:rsid w:val="00251A92"/>
    <w:rsid w:val="00252F8B"/>
    <w:rsid w:val="00253B57"/>
    <w:rsid w:val="0026240D"/>
    <w:rsid w:val="0026359A"/>
    <w:rsid w:val="00266C81"/>
    <w:rsid w:val="002765ED"/>
    <w:rsid w:val="00276DFD"/>
    <w:rsid w:val="00277D01"/>
    <w:rsid w:val="002849F2"/>
    <w:rsid w:val="00284EDA"/>
    <w:rsid w:val="00293C14"/>
    <w:rsid w:val="002944E8"/>
    <w:rsid w:val="002958B4"/>
    <w:rsid w:val="002963E0"/>
    <w:rsid w:val="0029699A"/>
    <w:rsid w:val="00297A70"/>
    <w:rsid w:val="002A2455"/>
    <w:rsid w:val="002A43AC"/>
    <w:rsid w:val="002A7125"/>
    <w:rsid w:val="002A729D"/>
    <w:rsid w:val="002C223F"/>
    <w:rsid w:val="002C3385"/>
    <w:rsid w:val="002C44C2"/>
    <w:rsid w:val="002C49D6"/>
    <w:rsid w:val="002C624D"/>
    <w:rsid w:val="002D2F90"/>
    <w:rsid w:val="002D3202"/>
    <w:rsid w:val="002D6393"/>
    <w:rsid w:val="002D7B3C"/>
    <w:rsid w:val="002E36E6"/>
    <w:rsid w:val="002F1FC7"/>
    <w:rsid w:val="002F3461"/>
    <w:rsid w:val="002F4B82"/>
    <w:rsid w:val="002F4C5D"/>
    <w:rsid w:val="002F7C12"/>
    <w:rsid w:val="003023F9"/>
    <w:rsid w:val="00310733"/>
    <w:rsid w:val="00312AD8"/>
    <w:rsid w:val="00312F21"/>
    <w:rsid w:val="0031389C"/>
    <w:rsid w:val="00317F99"/>
    <w:rsid w:val="003253EA"/>
    <w:rsid w:val="003271E0"/>
    <w:rsid w:val="00331CCC"/>
    <w:rsid w:val="00334539"/>
    <w:rsid w:val="00336EAD"/>
    <w:rsid w:val="00342357"/>
    <w:rsid w:val="0034330D"/>
    <w:rsid w:val="003512C4"/>
    <w:rsid w:val="00353566"/>
    <w:rsid w:val="003575CE"/>
    <w:rsid w:val="0036694C"/>
    <w:rsid w:val="0036709A"/>
    <w:rsid w:val="00374AEA"/>
    <w:rsid w:val="00380F5C"/>
    <w:rsid w:val="00382298"/>
    <w:rsid w:val="00382841"/>
    <w:rsid w:val="00383CDD"/>
    <w:rsid w:val="003840E5"/>
    <w:rsid w:val="0038442E"/>
    <w:rsid w:val="0038514D"/>
    <w:rsid w:val="00386900"/>
    <w:rsid w:val="003876A2"/>
    <w:rsid w:val="0039078F"/>
    <w:rsid w:val="0039338F"/>
    <w:rsid w:val="003A13EA"/>
    <w:rsid w:val="003A18CA"/>
    <w:rsid w:val="003A2693"/>
    <w:rsid w:val="003A65BA"/>
    <w:rsid w:val="003B1BCE"/>
    <w:rsid w:val="003B1FC6"/>
    <w:rsid w:val="003C02D8"/>
    <w:rsid w:val="003D4735"/>
    <w:rsid w:val="003D4A18"/>
    <w:rsid w:val="003D7E4B"/>
    <w:rsid w:val="003E3481"/>
    <w:rsid w:val="003E36BE"/>
    <w:rsid w:val="003F3A4E"/>
    <w:rsid w:val="003F6D5C"/>
    <w:rsid w:val="0040039B"/>
    <w:rsid w:val="00403A4F"/>
    <w:rsid w:val="00404086"/>
    <w:rsid w:val="00406CC0"/>
    <w:rsid w:val="00410B46"/>
    <w:rsid w:val="00411AB5"/>
    <w:rsid w:val="00412A6A"/>
    <w:rsid w:val="004138CD"/>
    <w:rsid w:val="0041473A"/>
    <w:rsid w:val="00414F0C"/>
    <w:rsid w:val="00416F24"/>
    <w:rsid w:val="004242C1"/>
    <w:rsid w:val="00425467"/>
    <w:rsid w:val="004305B9"/>
    <w:rsid w:val="00431362"/>
    <w:rsid w:val="004326E0"/>
    <w:rsid w:val="00432D6C"/>
    <w:rsid w:val="0043393E"/>
    <w:rsid w:val="0043664E"/>
    <w:rsid w:val="00437969"/>
    <w:rsid w:val="00437E0C"/>
    <w:rsid w:val="00443F9C"/>
    <w:rsid w:val="0044554C"/>
    <w:rsid w:val="00451BAF"/>
    <w:rsid w:val="0045305D"/>
    <w:rsid w:val="00453586"/>
    <w:rsid w:val="0045530A"/>
    <w:rsid w:val="00464F6A"/>
    <w:rsid w:val="004650C3"/>
    <w:rsid w:val="00465BB0"/>
    <w:rsid w:val="00465D75"/>
    <w:rsid w:val="00466ADF"/>
    <w:rsid w:val="00470EE3"/>
    <w:rsid w:val="00473D96"/>
    <w:rsid w:val="004742B9"/>
    <w:rsid w:val="0047674E"/>
    <w:rsid w:val="00477554"/>
    <w:rsid w:val="004778D4"/>
    <w:rsid w:val="00480AFD"/>
    <w:rsid w:val="004827E7"/>
    <w:rsid w:val="00482F1B"/>
    <w:rsid w:val="0048357F"/>
    <w:rsid w:val="00485FF9"/>
    <w:rsid w:val="00490675"/>
    <w:rsid w:val="00491D6B"/>
    <w:rsid w:val="004922BC"/>
    <w:rsid w:val="004928DA"/>
    <w:rsid w:val="00493D94"/>
    <w:rsid w:val="00495C67"/>
    <w:rsid w:val="004A3CB7"/>
    <w:rsid w:val="004B4A92"/>
    <w:rsid w:val="004B77F6"/>
    <w:rsid w:val="004C25BE"/>
    <w:rsid w:val="004C2D38"/>
    <w:rsid w:val="004C4712"/>
    <w:rsid w:val="004C4C8A"/>
    <w:rsid w:val="004C63EF"/>
    <w:rsid w:val="004D00DC"/>
    <w:rsid w:val="004D037D"/>
    <w:rsid w:val="004D038B"/>
    <w:rsid w:val="004D0A6C"/>
    <w:rsid w:val="004D38D6"/>
    <w:rsid w:val="004D5E25"/>
    <w:rsid w:val="004E199B"/>
    <w:rsid w:val="004E56B0"/>
    <w:rsid w:val="004F36C5"/>
    <w:rsid w:val="004F51DF"/>
    <w:rsid w:val="004F6340"/>
    <w:rsid w:val="005047F4"/>
    <w:rsid w:val="0050592A"/>
    <w:rsid w:val="00510E36"/>
    <w:rsid w:val="005125CB"/>
    <w:rsid w:val="00512A10"/>
    <w:rsid w:val="00514335"/>
    <w:rsid w:val="005167D2"/>
    <w:rsid w:val="0051699D"/>
    <w:rsid w:val="00522D89"/>
    <w:rsid w:val="00523FFB"/>
    <w:rsid w:val="0052594C"/>
    <w:rsid w:val="00530523"/>
    <w:rsid w:val="00530899"/>
    <w:rsid w:val="005318B5"/>
    <w:rsid w:val="00533F39"/>
    <w:rsid w:val="00535D76"/>
    <w:rsid w:val="0053664F"/>
    <w:rsid w:val="0054185E"/>
    <w:rsid w:val="00542762"/>
    <w:rsid w:val="00542EA6"/>
    <w:rsid w:val="0054385E"/>
    <w:rsid w:val="00550B60"/>
    <w:rsid w:val="00552D62"/>
    <w:rsid w:val="00553C39"/>
    <w:rsid w:val="0056134A"/>
    <w:rsid w:val="00565BAE"/>
    <w:rsid w:val="00570F43"/>
    <w:rsid w:val="005718DD"/>
    <w:rsid w:val="00574B03"/>
    <w:rsid w:val="00580B27"/>
    <w:rsid w:val="00580DCC"/>
    <w:rsid w:val="005833A8"/>
    <w:rsid w:val="005856BE"/>
    <w:rsid w:val="00586142"/>
    <w:rsid w:val="005912BB"/>
    <w:rsid w:val="005917AB"/>
    <w:rsid w:val="00595163"/>
    <w:rsid w:val="005A0FFD"/>
    <w:rsid w:val="005A29BB"/>
    <w:rsid w:val="005B60B0"/>
    <w:rsid w:val="005C167A"/>
    <w:rsid w:val="005C2C0B"/>
    <w:rsid w:val="005C360E"/>
    <w:rsid w:val="005D04A4"/>
    <w:rsid w:val="005D426F"/>
    <w:rsid w:val="005D50D9"/>
    <w:rsid w:val="005D7FEC"/>
    <w:rsid w:val="005E19B8"/>
    <w:rsid w:val="005E3F32"/>
    <w:rsid w:val="005E5F3B"/>
    <w:rsid w:val="005E62A5"/>
    <w:rsid w:val="005F2D68"/>
    <w:rsid w:val="0060006D"/>
    <w:rsid w:val="00602F9E"/>
    <w:rsid w:val="0060311E"/>
    <w:rsid w:val="00607AF9"/>
    <w:rsid w:val="00614E80"/>
    <w:rsid w:val="0061670F"/>
    <w:rsid w:val="00623115"/>
    <w:rsid w:val="00633F5A"/>
    <w:rsid w:val="0063474C"/>
    <w:rsid w:val="0063480B"/>
    <w:rsid w:val="0063518B"/>
    <w:rsid w:val="0064422B"/>
    <w:rsid w:val="00645419"/>
    <w:rsid w:val="00645B56"/>
    <w:rsid w:val="00656207"/>
    <w:rsid w:val="006646B2"/>
    <w:rsid w:val="00670CA2"/>
    <w:rsid w:val="00671C35"/>
    <w:rsid w:val="00674381"/>
    <w:rsid w:val="006755CB"/>
    <w:rsid w:val="00680EE9"/>
    <w:rsid w:val="0068143C"/>
    <w:rsid w:val="006824B5"/>
    <w:rsid w:val="00682631"/>
    <w:rsid w:val="006828C4"/>
    <w:rsid w:val="0068580F"/>
    <w:rsid w:val="006863BC"/>
    <w:rsid w:val="00686C74"/>
    <w:rsid w:val="006878F8"/>
    <w:rsid w:val="006907C4"/>
    <w:rsid w:val="00690B6B"/>
    <w:rsid w:val="00691B93"/>
    <w:rsid w:val="00692EA3"/>
    <w:rsid w:val="00694B9F"/>
    <w:rsid w:val="006A1BBF"/>
    <w:rsid w:val="006A2812"/>
    <w:rsid w:val="006A379E"/>
    <w:rsid w:val="006A48B4"/>
    <w:rsid w:val="006A5011"/>
    <w:rsid w:val="006A5324"/>
    <w:rsid w:val="006A5357"/>
    <w:rsid w:val="006A722C"/>
    <w:rsid w:val="006B06AB"/>
    <w:rsid w:val="006B442B"/>
    <w:rsid w:val="006B76E2"/>
    <w:rsid w:val="006C0C75"/>
    <w:rsid w:val="006D1DB0"/>
    <w:rsid w:val="006D6006"/>
    <w:rsid w:val="006E0CB8"/>
    <w:rsid w:val="006E250F"/>
    <w:rsid w:val="006E3D87"/>
    <w:rsid w:val="006E3F7E"/>
    <w:rsid w:val="006E7C85"/>
    <w:rsid w:val="006F65D8"/>
    <w:rsid w:val="006F7FE5"/>
    <w:rsid w:val="007041C6"/>
    <w:rsid w:val="00707EA3"/>
    <w:rsid w:val="00710133"/>
    <w:rsid w:val="00713E19"/>
    <w:rsid w:val="00714787"/>
    <w:rsid w:val="00720839"/>
    <w:rsid w:val="00725984"/>
    <w:rsid w:val="0072658B"/>
    <w:rsid w:val="00726ACF"/>
    <w:rsid w:val="00727CA9"/>
    <w:rsid w:val="00730159"/>
    <w:rsid w:val="00735132"/>
    <w:rsid w:val="007351D1"/>
    <w:rsid w:val="0074097F"/>
    <w:rsid w:val="00742149"/>
    <w:rsid w:val="007422DA"/>
    <w:rsid w:val="00742FA6"/>
    <w:rsid w:val="007475B2"/>
    <w:rsid w:val="00750864"/>
    <w:rsid w:val="00754174"/>
    <w:rsid w:val="00755654"/>
    <w:rsid w:val="00755F08"/>
    <w:rsid w:val="007603AF"/>
    <w:rsid w:val="007626B2"/>
    <w:rsid w:val="00762ED0"/>
    <w:rsid w:val="00764F3B"/>
    <w:rsid w:val="00765364"/>
    <w:rsid w:val="00765AD1"/>
    <w:rsid w:val="007720EB"/>
    <w:rsid w:val="00773A3E"/>
    <w:rsid w:val="00781753"/>
    <w:rsid w:val="0078181C"/>
    <w:rsid w:val="0078265D"/>
    <w:rsid w:val="00782F09"/>
    <w:rsid w:val="0078364C"/>
    <w:rsid w:val="007935A6"/>
    <w:rsid w:val="007938AB"/>
    <w:rsid w:val="0079464F"/>
    <w:rsid w:val="007A2E5B"/>
    <w:rsid w:val="007A56DE"/>
    <w:rsid w:val="007A7ECA"/>
    <w:rsid w:val="007B42F1"/>
    <w:rsid w:val="007B49AA"/>
    <w:rsid w:val="007B7422"/>
    <w:rsid w:val="007B7C9A"/>
    <w:rsid w:val="007C407C"/>
    <w:rsid w:val="007D2042"/>
    <w:rsid w:val="007E435A"/>
    <w:rsid w:val="007E6C6B"/>
    <w:rsid w:val="007F2340"/>
    <w:rsid w:val="007F2C7B"/>
    <w:rsid w:val="007F7D16"/>
    <w:rsid w:val="0080336E"/>
    <w:rsid w:val="008033FF"/>
    <w:rsid w:val="008061FE"/>
    <w:rsid w:val="00811DD2"/>
    <w:rsid w:val="00822C7A"/>
    <w:rsid w:val="00827F31"/>
    <w:rsid w:val="00830532"/>
    <w:rsid w:val="0084591E"/>
    <w:rsid w:val="008471CD"/>
    <w:rsid w:val="0085146D"/>
    <w:rsid w:val="00854798"/>
    <w:rsid w:val="00857ABE"/>
    <w:rsid w:val="008603F8"/>
    <w:rsid w:val="00862435"/>
    <w:rsid w:val="00866186"/>
    <w:rsid w:val="00866CEA"/>
    <w:rsid w:val="0086720E"/>
    <w:rsid w:val="00871BB4"/>
    <w:rsid w:val="00874F71"/>
    <w:rsid w:val="00875715"/>
    <w:rsid w:val="00881BAD"/>
    <w:rsid w:val="00890CCD"/>
    <w:rsid w:val="00893A32"/>
    <w:rsid w:val="00893FAA"/>
    <w:rsid w:val="008A5750"/>
    <w:rsid w:val="008A5EFD"/>
    <w:rsid w:val="008B2751"/>
    <w:rsid w:val="008B3519"/>
    <w:rsid w:val="008B353B"/>
    <w:rsid w:val="008B6012"/>
    <w:rsid w:val="008B69C5"/>
    <w:rsid w:val="008C33AB"/>
    <w:rsid w:val="008C405A"/>
    <w:rsid w:val="008C5923"/>
    <w:rsid w:val="008C69EB"/>
    <w:rsid w:val="008D1966"/>
    <w:rsid w:val="008D5A90"/>
    <w:rsid w:val="008E1D59"/>
    <w:rsid w:val="008F0117"/>
    <w:rsid w:val="008F13F3"/>
    <w:rsid w:val="00905784"/>
    <w:rsid w:val="0091167B"/>
    <w:rsid w:val="00913982"/>
    <w:rsid w:val="00913F44"/>
    <w:rsid w:val="009202B4"/>
    <w:rsid w:val="00922B0E"/>
    <w:rsid w:val="009239DA"/>
    <w:rsid w:val="00924CE2"/>
    <w:rsid w:val="00930199"/>
    <w:rsid w:val="009304D4"/>
    <w:rsid w:val="00931B61"/>
    <w:rsid w:val="009343A5"/>
    <w:rsid w:val="009344DE"/>
    <w:rsid w:val="0093703F"/>
    <w:rsid w:val="009469D6"/>
    <w:rsid w:val="0095323D"/>
    <w:rsid w:val="00956545"/>
    <w:rsid w:val="00957190"/>
    <w:rsid w:val="00957225"/>
    <w:rsid w:val="009625C6"/>
    <w:rsid w:val="00963241"/>
    <w:rsid w:val="009653BB"/>
    <w:rsid w:val="00966504"/>
    <w:rsid w:val="00966A70"/>
    <w:rsid w:val="00971F18"/>
    <w:rsid w:val="0097459D"/>
    <w:rsid w:val="00975038"/>
    <w:rsid w:val="009762D8"/>
    <w:rsid w:val="00976967"/>
    <w:rsid w:val="00977B2B"/>
    <w:rsid w:val="00980DE7"/>
    <w:rsid w:val="009817FD"/>
    <w:rsid w:val="009858FE"/>
    <w:rsid w:val="009870F1"/>
    <w:rsid w:val="00990EF4"/>
    <w:rsid w:val="00997A89"/>
    <w:rsid w:val="009A1875"/>
    <w:rsid w:val="009A607A"/>
    <w:rsid w:val="009A7591"/>
    <w:rsid w:val="009B1174"/>
    <w:rsid w:val="009B3EA7"/>
    <w:rsid w:val="009B6B76"/>
    <w:rsid w:val="009B6F4D"/>
    <w:rsid w:val="009B726E"/>
    <w:rsid w:val="009C1C95"/>
    <w:rsid w:val="009C2741"/>
    <w:rsid w:val="009C4E86"/>
    <w:rsid w:val="009D1C7D"/>
    <w:rsid w:val="009D5498"/>
    <w:rsid w:val="009D5B4B"/>
    <w:rsid w:val="009D5E2C"/>
    <w:rsid w:val="009D6F10"/>
    <w:rsid w:val="009E0C72"/>
    <w:rsid w:val="009E1C70"/>
    <w:rsid w:val="009E3AA3"/>
    <w:rsid w:val="009E5707"/>
    <w:rsid w:val="009E5BD8"/>
    <w:rsid w:val="009E66D2"/>
    <w:rsid w:val="009E76E3"/>
    <w:rsid w:val="009F3BE0"/>
    <w:rsid w:val="009F5BFA"/>
    <w:rsid w:val="009F5C95"/>
    <w:rsid w:val="009F6F77"/>
    <w:rsid w:val="00A01BD6"/>
    <w:rsid w:val="00A05D9D"/>
    <w:rsid w:val="00A06979"/>
    <w:rsid w:val="00A1637D"/>
    <w:rsid w:val="00A20254"/>
    <w:rsid w:val="00A224E8"/>
    <w:rsid w:val="00A32D2A"/>
    <w:rsid w:val="00A35AA3"/>
    <w:rsid w:val="00A35E7E"/>
    <w:rsid w:val="00A37A5B"/>
    <w:rsid w:val="00A37AB5"/>
    <w:rsid w:val="00A45947"/>
    <w:rsid w:val="00A47EEB"/>
    <w:rsid w:val="00A542F7"/>
    <w:rsid w:val="00A6770C"/>
    <w:rsid w:val="00A711C5"/>
    <w:rsid w:val="00A714A4"/>
    <w:rsid w:val="00A71E27"/>
    <w:rsid w:val="00A80B0F"/>
    <w:rsid w:val="00A84835"/>
    <w:rsid w:val="00A84D62"/>
    <w:rsid w:val="00A87C87"/>
    <w:rsid w:val="00AA3C06"/>
    <w:rsid w:val="00AA490F"/>
    <w:rsid w:val="00AB1721"/>
    <w:rsid w:val="00AB4A75"/>
    <w:rsid w:val="00AB5967"/>
    <w:rsid w:val="00AC32CB"/>
    <w:rsid w:val="00AC45B7"/>
    <w:rsid w:val="00AD0547"/>
    <w:rsid w:val="00AD2711"/>
    <w:rsid w:val="00AD4015"/>
    <w:rsid w:val="00AD4967"/>
    <w:rsid w:val="00AD5C68"/>
    <w:rsid w:val="00AD6213"/>
    <w:rsid w:val="00AD6FE0"/>
    <w:rsid w:val="00AF0AFA"/>
    <w:rsid w:val="00AF3B86"/>
    <w:rsid w:val="00AF7A04"/>
    <w:rsid w:val="00B0018F"/>
    <w:rsid w:val="00B0097D"/>
    <w:rsid w:val="00B03876"/>
    <w:rsid w:val="00B06DD2"/>
    <w:rsid w:val="00B0739B"/>
    <w:rsid w:val="00B07AF2"/>
    <w:rsid w:val="00B10B00"/>
    <w:rsid w:val="00B13261"/>
    <w:rsid w:val="00B1400C"/>
    <w:rsid w:val="00B14990"/>
    <w:rsid w:val="00B2128B"/>
    <w:rsid w:val="00B218E9"/>
    <w:rsid w:val="00B22780"/>
    <w:rsid w:val="00B23FFF"/>
    <w:rsid w:val="00B263C5"/>
    <w:rsid w:val="00B27DC5"/>
    <w:rsid w:val="00B30BEB"/>
    <w:rsid w:val="00B356F5"/>
    <w:rsid w:val="00B37A15"/>
    <w:rsid w:val="00B41655"/>
    <w:rsid w:val="00B42A27"/>
    <w:rsid w:val="00B4372C"/>
    <w:rsid w:val="00B471E4"/>
    <w:rsid w:val="00B474B9"/>
    <w:rsid w:val="00B518B8"/>
    <w:rsid w:val="00B53D29"/>
    <w:rsid w:val="00B60235"/>
    <w:rsid w:val="00B809E1"/>
    <w:rsid w:val="00B80FC1"/>
    <w:rsid w:val="00B87ACD"/>
    <w:rsid w:val="00B90C7B"/>
    <w:rsid w:val="00B94474"/>
    <w:rsid w:val="00B954DF"/>
    <w:rsid w:val="00B95EED"/>
    <w:rsid w:val="00B965DE"/>
    <w:rsid w:val="00BA1BFC"/>
    <w:rsid w:val="00BA2782"/>
    <w:rsid w:val="00BA2C5C"/>
    <w:rsid w:val="00BA318C"/>
    <w:rsid w:val="00BA7884"/>
    <w:rsid w:val="00BA7D88"/>
    <w:rsid w:val="00BB2179"/>
    <w:rsid w:val="00BB27D7"/>
    <w:rsid w:val="00BB377C"/>
    <w:rsid w:val="00BB4517"/>
    <w:rsid w:val="00BB5C16"/>
    <w:rsid w:val="00BB63EA"/>
    <w:rsid w:val="00BC5B03"/>
    <w:rsid w:val="00BC5BBE"/>
    <w:rsid w:val="00BC6AD0"/>
    <w:rsid w:val="00BD51EA"/>
    <w:rsid w:val="00BD55A5"/>
    <w:rsid w:val="00BD5722"/>
    <w:rsid w:val="00BD751E"/>
    <w:rsid w:val="00BE307D"/>
    <w:rsid w:val="00BE3B46"/>
    <w:rsid w:val="00BE4368"/>
    <w:rsid w:val="00BE6921"/>
    <w:rsid w:val="00BF1064"/>
    <w:rsid w:val="00BF3D9E"/>
    <w:rsid w:val="00BF6B44"/>
    <w:rsid w:val="00BF7A2A"/>
    <w:rsid w:val="00C015E0"/>
    <w:rsid w:val="00C03537"/>
    <w:rsid w:val="00C06B97"/>
    <w:rsid w:val="00C1231F"/>
    <w:rsid w:val="00C1476B"/>
    <w:rsid w:val="00C14FFC"/>
    <w:rsid w:val="00C2070C"/>
    <w:rsid w:val="00C27B10"/>
    <w:rsid w:val="00C42B2C"/>
    <w:rsid w:val="00C42EAD"/>
    <w:rsid w:val="00C43B70"/>
    <w:rsid w:val="00C5027E"/>
    <w:rsid w:val="00C51976"/>
    <w:rsid w:val="00C53451"/>
    <w:rsid w:val="00C53DD4"/>
    <w:rsid w:val="00C55AC2"/>
    <w:rsid w:val="00C57703"/>
    <w:rsid w:val="00C577DC"/>
    <w:rsid w:val="00C60661"/>
    <w:rsid w:val="00C70255"/>
    <w:rsid w:val="00C704A6"/>
    <w:rsid w:val="00C70F61"/>
    <w:rsid w:val="00C76539"/>
    <w:rsid w:val="00C76580"/>
    <w:rsid w:val="00C90D75"/>
    <w:rsid w:val="00C91A2B"/>
    <w:rsid w:val="00C91B84"/>
    <w:rsid w:val="00C9429C"/>
    <w:rsid w:val="00C94CCA"/>
    <w:rsid w:val="00CA513A"/>
    <w:rsid w:val="00CA5406"/>
    <w:rsid w:val="00CC0DFC"/>
    <w:rsid w:val="00CC111F"/>
    <w:rsid w:val="00CC13A7"/>
    <w:rsid w:val="00CC250D"/>
    <w:rsid w:val="00CC2656"/>
    <w:rsid w:val="00CC3AD2"/>
    <w:rsid w:val="00CC5F25"/>
    <w:rsid w:val="00CD393F"/>
    <w:rsid w:val="00CE1F4D"/>
    <w:rsid w:val="00CE24DA"/>
    <w:rsid w:val="00CE38A6"/>
    <w:rsid w:val="00CF2CA2"/>
    <w:rsid w:val="00CF7D89"/>
    <w:rsid w:val="00D05DAC"/>
    <w:rsid w:val="00D12372"/>
    <w:rsid w:val="00D1241B"/>
    <w:rsid w:val="00D12B5D"/>
    <w:rsid w:val="00D152B5"/>
    <w:rsid w:val="00D15B5D"/>
    <w:rsid w:val="00D15DCC"/>
    <w:rsid w:val="00D168BD"/>
    <w:rsid w:val="00D200EE"/>
    <w:rsid w:val="00D213A0"/>
    <w:rsid w:val="00D27394"/>
    <w:rsid w:val="00D34918"/>
    <w:rsid w:val="00D34BD2"/>
    <w:rsid w:val="00D415F2"/>
    <w:rsid w:val="00D42A3E"/>
    <w:rsid w:val="00D50819"/>
    <w:rsid w:val="00D51DB9"/>
    <w:rsid w:val="00D5337B"/>
    <w:rsid w:val="00D55265"/>
    <w:rsid w:val="00D6147C"/>
    <w:rsid w:val="00D619E4"/>
    <w:rsid w:val="00D6490F"/>
    <w:rsid w:val="00D6546D"/>
    <w:rsid w:val="00D65BDC"/>
    <w:rsid w:val="00D66599"/>
    <w:rsid w:val="00D72E60"/>
    <w:rsid w:val="00D7577B"/>
    <w:rsid w:val="00D7591E"/>
    <w:rsid w:val="00D7643E"/>
    <w:rsid w:val="00D94C62"/>
    <w:rsid w:val="00DA3E0E"/>
    <w:rsid w:val="00DA4165"/>
    <w:rsid w:val="00DA7B0D"/>
    <w:rsid w:val="00DB0D80"/>
    <w:rsid w:val="00DB194D"/>
    <w:rsid w:val="00DB1B20"/>
    <w:rsid w:val="00DB5A4E"/>
    <w:rsid w:val="00DB73E9"/>
    <w:rsid w:val="00DC2779"/>
    <w:rsid w:val="00DD23F5"/>
    <w:rsid w:val="00DD330A"/>
    <w:rsid w:val="00DD6200"/>
    <w:rsid w:val="00DE16DD"/>
    <w:rsid w:val="00DE25A1"/>
    <w:rsid w:val="00DE5E1B"/>
    <w:rsid w:val="00DE60B6"/>
    <w:rsid w:val="00DF154B"/>
    <w:rsid w:val="00DF34A1"/>
    <w:rsid w:val="00DF37FD"/>
    <w:rsid w:val="00DF7456"/>
    <w:rsid w:val="00E00682"/>
    <w:rsid w:val="00E06AAA"/>
    <w:rsid w:val="00E11EEA"/>
    <w:rsid w:val="00E12DD0"/>
    <w:rsid w:val="00E16D09"/>
    <w:rsid w:val="00E21E88"/>
    <w:rsid w:val="00E2582B"/>
    <w:rsid w:val="00E264A1"/>
    <w:rsid w:val="00E2715E"/>
    <w:rsid w:val="00E305D0"/>
    <w:rsid w:val="00E323C6"/>
    <w:rsid w:val="00E32D56"/>
    <w:rsid w:val="00E42935"/>
    <w:rsid w:val="00E4466C"/>
    <w:rsid w:val="00E5061A"/>
    <w:rsid w:val="00E50DAB"/>
    <w:rsid w:val="00E50E39"/>
    <w:rsid w:val="00E52AD7"/>
    <w:rsid w:val="00E560E3"/>
    <w:rsid w:val="00E5665E"/>
    <w:rsid w:val="00E65805"/>
    <w:rsid w:val="00E66DD2"/>
    <w:rsid w:val="00E8544E"/>
    <w:rsid w:val="00E86A99"/>
    <w:rsid w:val="00E87EFD"/>
    <w:rsid w:val="00EA36AA"/>
    <w:rsid w:val="00EA650E"/>
    <w:rsid w:val="00EA7438"/>
    <w:rsid w:val="00EB0F0B"/>
    <w:rsid w:val="00EB6775"/>
    <w:rsid w:val="00EC0686"/>
    <w:rsid w:val="00EC2D19"/>
    <w:rsid w:val="00ED0A2E"/>
    <w:rsid w:val="00ED132C"/>
    <w:rsid w:val="00ED189C"/>
    <w:rsid w:val="00ED37C6"/>
    <w:rsid w:val="00ED452F"/>
    <w:rsid w:val="00ED6DD0"/>
    <w:rsid w:val="00EE2521"/>
    <w:rsid w:val="00EF5EC1"/>
    <w:rsid w:val="00EF71B1"/>
    <w:rsid w:val="00F01337"/>
    <w:rsid w:val="00F1228A"/>
    <w:rsid w:val="00F15BC6"/>
    <w:rsid w:val="00F160B5"/>
    <w:rsid w:val="00F17057"/>
    <w:rsid w:val="00F21240"/>
    <w:rsid w:val="00F23E54"/>
    <w:rsid w:val="00F25A0D"/>
    <w:rsid w:val="00F25C49"/>
    <w:rsid w:val="00F40F81"/>
    <w:rsid w:val="00F5642F"/>
    <w:rsid w:val="00F56EB8"/>
    <w:rsid w:val="00F6424D"/>
    <w:rsid w:val="00F663DD"/>
    <w:rsid w:val="00F76CCD"/>
    <w:rsid w:val="00F76D74"/>
    <w:rsid w:val="00F8293D"/>
    <w:rsid w:val="00F844E8"/>
    <w:rsid w:val="00F848CB"/>
    <w:rsid w:val="00F91666"/>
    <w:rsid w:val="00F940E5"/>
    <w:rsid w:val="00F941A1"/>
    <w:rsid w:val="00F976B8"/>
    <w:rsid w:val="00FA54A1"/>
    <w:rsid w:val="00FB1FBB"/>
    <w:rsid w:val="00FB2A3F"/>
    <w:rsid w:val="00FB4109"/>
    <w:rsid w:val="00FC223C"/>
    <w:rsid w:val="00FC2261"/>
    <w:rsid w:val="00FC36C3"/>
    <w:rsid w:val="00FC7CD0"/>
    <w:rsid w:val="00FD0BE2"/>
    <w:rsid w:val="00FD2065"/>
    <w:rsid w:val="00FD22D5"/>
    <w:rsid w:val="00FD40B4"/>
    <w:rsid w:val="00FD4D3A"/>
    <w:rsid w:val="00FD4ECE"/>
    <w:rsid w:val="00FD5F96"/>
    <w:rsid w:val="00FE330F"/>
    <w:rsid w:val="00FE4D44"/>
    <w:rsid w:val="00FE6713"/>
    <w:rsid w:val="00FF0BD6"/>
    <w:rsid w:val="00FF31A2"/>
    <w:rsid w:val="00FF33C4"/>
    <w:rsid w:val="00FF403C"/>
    <w:rsid w:val="00FF441D"/>
    <w:rsid w:val="48463A96"/>
    <w:rsid w:val="7F9804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napToGrid w:val="0"/>
      <w:spacing w:line="590" w:lineRule="atLeast"/>
      <w:ind w:firstLine="624"/>
      <w:jc w:val="both"/>
    </w:pPr>
    <w:rPr>
      <w:rFonts w:ascii="汉鼎简仿宋" w:eastAsia="汉鼎简仿宋"/>
      <w:snapToGrid w:val="0"/>
      <w:sz w:val="32"/>
      <w:lang w:val="en-US" w:eastAsia="zh-CN" w:bidi="ar-SA"/>
    </w:rPr>
  </w:style>
  <w:style w:type="paragraph" w:styleId="2">
    <w:name w:val="heading 1"/>
    <w:basedOn w:val="1"/>
    <w:next w:val="1"/>
    <w:qFormat/>
    <w:uiPriority w:val="0"/>
    <w:pPr>
      <w:keepNext/>
      <w:keepLines/>
      <w:spacing w:before="340" w:after="330" w:line="578" w:lineRule="atLeast"/>
      <w:outlineLvl w:val="0"/>
    </w:pPr>
    <w:rPr>
      <w:b/>
      <w:kern w:val="44"/>
      <w:sz w:val="44"/>
    </w:rPr>
  </w:style>
  <w:style w:type="character" w:default="1" w:styleId="18">
    <w:name w:val="Default Paragraph Font"/>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3">
    <w:name w:val="Normal Indent"/>
    <w:basedOn w:val="1"/>
    <w:next w:val="1"/>
    <w:uiPriority w:val="0"/>
    <w:pPr>
      <w:autoSpaceDE w:val="0"/>
      <w:autoSpaceDN w:val="0"/>
      <w:adjustRightInd w:val="0"/>
      <w:snapToGrid/>
      <w:ind w:firstLine="0"/>
      <w:jc w:val="left"/>
    </w:pPr>
    <w:rPr>
      <w:spacing w:val="-25"/>
      <w:kern w:val="0"/>
    </w:rPr>
  </w:style>
  <w:style w:type="paragraph" w:styleId="4">
    <w:name w:val="Body Text"/>
    <w:basedOn w:val="1"/>
    <w:uiPriority w:val="0"/>
    <w:pPr>
      <w:autoSpaceDE/>
      <w:autoSpaceDN/>
      <w:snapToGrid/>
      <w:spacing w:line="240" w:lineRule="auto"/>
      <w:ind w:firstLine="0"/>
      <w:jc w:val="center"/>
    </w:pPr>
    <w:rPr>
      <w:rFonts w:ascii="Times New Roman" w:eastAsia="汉鼎简大宋"/>
      <w:snapToGrid/>
      <w:kern w:val="2"/>
      <w:sz w:val="44"/>
      <w:szCs w:val="24"/>
    </w:rPr>
  </w:style>
  <w:style w:type="paragraph" w:styleId="5">
    <w:name w:val="Body Text Indent"/>
    <w:basedOn w:val="1"/>
    <w:uiPriority w:val="0"/>
    <w:pPr>
      <w:autoSpaceDE/>
      <w:autoSpaceDN/>
      <w:snapToGrid/>
      <w:spacing w:line="240" w:lineRule="auto"/>
      <w:ind w:firstLine="640" w:firstLineChars="200"/>
    </w:pPr>
    <w:rPr>
      <w:rFonts w:ascii="Times New Roman" w:eastAsia="黑体"/>
      <w:snapToGrid/>
      <w:kern w:val="2"/>
      <w:szCs w:val="24"/>
    </w:rPr>
  </w:style>
  <w:style w:type="paragraph" w:styleId="6">
    <w:name w:val="Plain Text"/>
    <w:basedOn w:val="1"/>
    <w:uiPriority w:val="0"/>
    <w:pPr>
      <w:autoSpaceDE/>
      <w:autoSpaceDN/>
      <w:snapToGrid/>
      <w:spacing w:line="240" w:lineRule="auto"/>
      <w:ind w:firstLine="0"/>
    </w:pPr>
    <w:rPr>
      <w:rFonts w:ascii="宋体" w:hAnsi="Courier New" w:eastAsia="宋体" w:cs="Courier New"/>
      <w:snapToGrid/>
      <w:kern w:val="2"/>
      <w:sz w:val="21"/>
      <w:szCs w:val="21"/>
    </w:rPr>
  </w:style>
  <w:style w:type="paragraph" w:styleId="7">
    <w:name w:val="Date"/>
    <w:basedOn w:val="1"/>
    <w:next w:val="1"/>
    <w:uiPriority w:val="0"/>
    <w:pPr>
      <w:autoSpaceDE/>
      <w:autoSpaceDN/>
      <w:snapToGrid/>
      <w:spacing w:line="240" w:lineRule="auto"/>
      <w:ind w:left="100" w:firstLine="0"/>
    </w:pPr>
    <w:rPr>
      <w:rFonts w:ascii="仿宋_GB2312" w:hAnsi="宋体" w:eastAsia="仿宋_GB2312"/>
      <w:snapToGrid/>
      <w:kern w:val="2"/>
      <w:sz w:val="30"/>
    </w:rPr>
  </w:style>
  <w:style w:type="paragraph" w:styleId="8">
    <w:name w:val="Body Text Indent 2"/>
    <w:basedOn w:val="1"/>
    <w:uiPriority w:val="0"/>
    <w:pPr>
      <w:spacing w:line="620" w:lineRule="exact"/>
      <w:ind w:firstLine="630" w:firstLineChars="200"/>
    </w:pPr>
    <w:rPr>
      <w:rFonts w:ascii="方正仿宋_GBK" w:eastAsia="方正仿宋_GBK"/>
    </w:rPr>
  </w:style>
  <w:style w:type="paragraph" w:styleId="9">
    <w:name w:val="Balloon Text"/>
    <w:basedOn w:val="1"/>
    <w:semiHidden/>
    <w:uiPriority w:val="0"/>
    <w:rPr>
      <w:sz w:val="18"/>
      <w:szCs w:val="18"/>
    </w:rPr>
  </w:style>
  <w:style w:type="paragraph" w:styleId="10">
    <w:name w:val="footer"/>
    <w:basedOn w:val="1"/>
    <w:uiPriority w:val="0"/>
    <w:pPr>
      <w:framePr w:wrap="around" w:vAnchor="text" w:hAnchor="margin" w:xAlign="center" w:y="1"/>
      <w:tabs>
        <w:tab w:val="center" w:pos="4153"/>
        <w:tab w:val="right" w:pos="8306"/>
      </w:tabs>
      <w:spacing w:line="400" w:lineRule="atLeast"/>
      <w:ind w:firstLine="0"/>
      <w:jc w:val="center"/>
    </w:pPr>
    <w:rPr>
      <w:rFonts w:ascii="方正仿宋_GBK" w:hAnsi="汉鼎简仿宋" w:eastAsia="方正仿宋_GBK"/>
      <w:sz w:val="28"/>
      <w:lang/>
    </w:rPr>
  </w:style>
  <w:style w:type="paragraph" w:styleId="11">
    <w:name w:val="header"/>
    <w:basedOn w:val="1"/>
    <w:uiPriority w:val="0"/>
    <w:pPr>
      <w:pBdr>
        <w:bottom w:val="single" w:color="auto" w:sz="6" w:space="1"/>
      </w:pBdr>
      <w:tabs>
        <w:tab w:val="center" w:pos="4153"/>
        <w:tab w:val="right" w:pos="8306"/>
      </w:tabs>
      <w:snapToGrid w:val="0"/>
      <w:spacing w:line="240" w:lineRule="atLeast"/>
      <w:jc w:val="center"/>
    </w:pPr>
    <w:rPr>
      <w:sz w:val="18"/>
    </w:rPr>
  </w:style>
  <w:style w:type="paragraph" w:styleId="12">
    <w:name w:val="Body Text Indent 3"/>
    <w:basedOn w:val="1"/>
    <w:uiPriority w:val="0"/>
    <w:pPr>
      <w:spacing w:line="660" w:lineRule="exact"/>
      <w:ind w:firstLine="4089"/>
    </w:pPr>
    <w:rPr>
      <w:rFonts w:ascii="仿宋_GB2312" w:eastAsia="仿宋_GB2312"/>
    </w:rPr>
  </w:style>
  <w:style w:type="paragraph" w:styleId="13">
    <w:name w:val="Body Text 2"/>
    <w:basedOn w:val="1"/>
    <w:uiPriority w:val="0"/>
    <w:pPr>
      <w:autoSpaceDE/>
      <w:autoSpaceDN/>
      <w:snapToGrid/>
      <w:spacing w:line="240" w:lineRule="auto"/>
      <w:ind w:firstLine="0"/>
      <w:jc w:val="center"/>
    </w:pPr>
    <w:rPr>
      <w:rFonts w:ascii="Times New Roman" w:eastAsia="方正仿宋_GBK"/>
      <w:snapToGrid/>
      <w:kern w:val="2"/>
      <w:sz w:val="36"/>
    </w:rPr>
  </w:style>
  <w:style w:type="paragraph" w:styleId="1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napToGrid/>
      <w:spacing w:line="240" w:lineRule="auto"/>
      <w:ind w:firstLine="0"/>
      <w:jc w:val="left"/>
    </w:pPr>
    <w:rPr>
      <w:rFonts w:ascii="宋体" w:hAnsi="宋体" w:eastAsia="宋体" w:cs="宋体"/>
      <w:snapToGrid/>
      <w:sz w:val="24"/>
      <w:szCs w:val="24"/>
    </w:rPr>
  </w:style>
  <w:style w:type="paragraph" w:styleId="15">
    <w:name w:val="Normal (Web)"/>
    <w:basedOn w:val="1"/>
    <w:uiPriority w:val="0"/>
    <w:pPr>
      <w:widowControl/>
      <w:autoSpaceDE/>
      <w:autoSpaceDN/>
      <w:snapToGrid/>
      <w:spacing w:before="100" w:beforeAutospacing="1" w:after="100" w:afterAutospacing="1" w:line="360" w:lineRule="auto"/>
      <w:ind w:firstLine="640"/>
    </w:pPr>
    <w:rPr>
      <w:rFonts w:ascii="仿宋_GB2312" w:hAnsi="宋体" w:eastAsia="仿宋_GB2312"/>
      <w:snapToGrid/>
    </w:rPr>
  </w:style>
  <w:style w:type="table" w:styleId="17">
    <w:name w:val="Table Grid"/>
    <w:basedOn w:val="16"/>
    <w:uiPriority w:val="0"/>
    <w:pPr>
      <w:widowControl w:val="0"/>
      <w:jc w:val="both"/>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basedOn w:val="18"/>
    <w:uiPriority w:val="0"/>
  </w:style>
  <w:style w:type="character" w:styleId="21">
    <w:name w:val="Emphasis"/>
    <w:basedOn w:val="18"/>
    <w:qFormat/>
    <w:uiPriority w:val="0"/>
    <w:rPr>
      <w:color w:val="CC0000"/>
    </w:rPr>
  </w:style>
  <w:style w:type="character" w:styleId="22">
    <w:name w:val="Hyperlink"/>
    <w:basedOn w:val="18"/>
    <w:uiPriority w:val="0"/>
    <w:rPr>
      <w:color w:val="0000FF"/>
      <w:u w:val="single"/>
    </w:rPr>
  </w:style>
  <w:style w:type="paragraph" w:customStyle="1" w:styleId="23">
    <w:name w:val=" Char"/>
    <w:basedOn w:val="1"/>
    <w:uiPriority w:val="0"/>
    <w:pPr>
      <w:autoSpaceDE/>
      <w:autoSpaceDN/>
      <w:snapToGrid/>
      <w:spacing w:line="240" w:lineRule="auto"/>
      <w:ind w:firstLine="0"/>
    </w:pPr>
    <w:rPr>
      <w:rFonts w:ascii="Tahoma" w:hAnsi="Tahoma" w:eastAsia="宋体"/>
      <w:snapToGrid/>
      <w:kern w:val="2"/>
      <w:sz w:val="24"/>
    </w:rPr>
  </w:style>
  <w:style w:type="paragraph" w:customStyle="1" w:styleId="24">
    <w:name w:val="标题1"/>
    <w:basedOn w:val="1"/>
    <w:next w:val="1"/>
    <w:uiPriority w:val="0"/>
    <w:pPr>
      <w:tabs>
        <w:tab w:val="left" w:pos="9193"/>
        <w:tab w:val="left" w:pos="9827"/>
      </w:tabs>
      <w:autoSpaceDE w:val="0"/>
      <w:autoSpaceDN w:val="0"/>
      <w:spacing w:line="700" w:lineRule="atLeast"/>
      <w:ind w:firstLine="0"/>
      <w:jc w:val="center"/>
    </w:pPr>
    <w:rPr>
      <w:rFonts w:ascii="汉鼎简大宋" w:eastAsia="汉鼎简大宋"/>
      <w:snapToGrid w:val="0"/>
      <w:kern w:val="0"/>
      <w:sz w:val="44"/>
    </w:rPr>
  </w:style>
  <w:style w:type="paragraph" w:customStyle="1" w:styleId="25">
    <w:name w:val="红线"/>
    <w:basedOn w:val="2"/>
    <w:uiPriority w:val="0"/>
    <w:pPr>
      <w:keepNext w:val="0"/>
      <w:keepLines w:val="0"/>
      <w:autoSpaceDE w:val="0"/>
      <w:autoSpaceDN w:val="0"/>
      <w:adjustRightInd w:val="0"/>
      <w:snapToGrid/>
      <w:spacing w:before="0" w:after="851" w:line="227" w:lineRule="atLeast"/>
      <w:ind w:right="-142" w:firstLine="0"/>
      <w:jc w:val="center"/>
      <w:outlineLvl w:val="9"/>
    </w:pPr>
    <w:rPr>
      <w:rFonts w:ascii="宋体" w:eastAsia="宋体"/>
      <w:spacing w:val="0"/>
      <w:kern w:val="0"/>
      <w:sz w:val="10"/>
    </w:rPr>
  </w:style>
  <w:style w:type="paragraph" w:customStyle="1" w:styleId="26">
    <w:name w:val="标题2"/>
    <w:basedOn w:val="1"/>
    <w:next w:val="1"/>
    <w:uiPriority w:val="0"/>
    <w:pPr>
      <w:autoSpaceDE w:val="0"/>
      <w:autoSpaceDN w:val="0"/>
      <w:ind w:firstLine="0"/>
      <w:jc w:val="center"/>
    </w:pPr>
    <w:rPr>
      <w:rFonts w:ascii="汉鼎简楷体" w:hAnsi="Book Antiqua" w:eastAsia="汉鼎简楷体"/>
      <w:snapToGrid w:val="0"/>
      <w:kern w:val="0"/>
    </w:rPr>
  </w:style>
  <w:style w:type="paragraph" w:customStyle="1" w:styleId="27">
    <w:name w:val="标题3"/>
    <w:basedOn w:val="1"/>
    <w:next w:val="1"/>
    <w:uiPriority w:val="0"/>
    <w:pPr>
      <w:autoSpaceDE w:val="0"/>
      <w:autoSpaceDN w:val="0"/>
    </w:pPr>
    <w:rPr>
      <w:rFonts w:ascii="汉鼎简黑体" w:eastAsia="汉鼎简黑体"/>
      <w:snapToGrid w:val="0"/>
      <w:kern w:val="0"/>
    </w:rPr>
  </w:style>
  <w:style w:type="paragraph" w:customStyle="1" w:styleId="28">
    <w:name w:val="密级"/>
    <w:basedOn w:val="1"/>
    <w:uiPriority w:val="0"/>
    <w:pPr>
      <w:autoSpaceDE w:val="0"/>
      <w:autoSpaceDN w:val="0"/>
      <w:adjustRightInd w:val="0"/>
      <w:snapToGrid/>
      <w:spacing w:line="425" w:lineRule="atLeast"/>
      <w:ind w:firstLine="0"/>
      <w:jc w:val="right"/>
    </w:pPr>
    <w:rPr>
      <w:rFonts w:ascii="黑体" w:eastAsia="黑体"/>
      <w:spacing w:val="0"/>
      <w:kern w:val="0"/>
      <w:sz w:val="30"/>
    </w:rPr>
  </w:style>
  <w:style w:type="paragraph" w:customStyle="1" w:styleId="29">
    <w:name w:val="主题词"/>
    <w:basedOn w:val="1"/>
    <w:uiPriority w:val="0"/>
    <w:pPr>
      <w:autoSpaceDE w:val="0"/>
      <w:autoSpaceDN w:val="0"/>
      <w:adjustRightInd w:val="0"/>
      <w:snapToGrid/>
      <w:spacing w:line="240" w:lineRule="atLeast"/>
      <w:ind w:firstLine="0"/>
      <w:jc w:val="left"/>
    </w:pPr>
    <w:rPr>
      <w:rFonts w:ascii="宋体" w:eastAsia="宋体"/>
      <w:b/>
      <w:spacing w:val="0"/>
      <w:kern w:val="0"/>
    </w:rPr>
  </w:style>
  <w:style w:type="paragraph" w:customStyle="1" w:styleId="30">
    <w:name w:val="抄送栏"/>
    <w:basedOn w:val="1"/>
    <w:uiPriority w:val="0"/>
    <w:pPr>
      <w:autoSpaceDE w:val="0"/>
      <w:autoSpaceDN w:val="0"/>
      <w:adjustRightInd w:val="0"/>
      <w:snapToGrid/>
      <w:spacing w:line="454" w:lineRule="atLeast"/>
      <w:ind w:left="851" w:hanging="851"/>
    </w:pPr>
    <w:rPr>
      <w:spacing w:val="0"/>
      <w:kern w:val="0"/>
      <w:sz w:val="28"/>
    </w:rPr>
  </w:style>
  <w:style w:type="paragraph" w:customStyle="1" w:styleId="31">
    <w:name w:val="线型"/>
    <w:basedOn w:val="30"/>
    <w:uiPriority w:val="0"/>
    <w:pPr>
      <w:spacing w:line="240" w:lineRule="auto"/>
      <w:ind w:left="0" w:firstLine="0"/>
      <w:jc w:val="center"/>
    </w:pPr>
    <w:rPr>
      <w:sz w:val="21"/>
    </w:rPr>
  </w:style>
  <w:style w:type="paragraph" w:customStyle="1" w:styleId="32">
    <w:name w:val="印发栏"/>
    <w:basedOn w:val="3"/>
    <w:uiPriority w:val="0"/>
    <w:pPr>
      <w:tabs>
        <w:tab w:val="left" w:pos="284"/>
        <w:tab w:val="left" w:pos="5387"/>
      </w:tabs>
      <w:spacing w:line="397" w:lineRule="atLeast"/>
    </w:pPr>
    <w:rPr>
      <w:spacing w:val="0"/>
      <w:sz w:val="28"/>
    </w:rPr>
  </w:style>
  <w:style w:type="paragraph" w:customStyle="1" w:styleId="33">
    <w:name w:val="印数"/>
    <w:basedOn w:val="32"/>
    <w:uiPriority w:val="0"/>
    <w:pPr>
      <w:jc w:val="right"/>
    </w:pPr>
  </w:style>
  <w:style w:type="paragraph" w:customStyle="1" w:styleId="34">
    <w:name w:val="附件栏"/>
    <w:basedOn w:val="1"/>
    <w:uiPriority w:val="0"/>
  </w:style>
  <w:style w:type="paragraph" w:customStyle="1" w:styleId="35">
    <w:name w:val="文头"/>
    <w:basedOn w:val="1"/>
    <w:uiPriority w:val="0"/>
    <w:pPr>
      <w:tabs>
        <w:tab w:val="left" w:pos="6663"/>
      </w:tabs>
      <w:spacing w:after="800" w:line="1500" w:lineRule="atLeast"/>
      <w:ind w:left="511" w:right="227" w:hanging="284"/>
      <w:jc w:val="distribute"/>
    </w:pPr>
    <w:rPr>
      <w:rFonts w:ascii="汉鼎简大宋" w:eastAsia="汉鼎简大宋"/>
      <w:b/>
      <w:color w:val="FF0000"/>
      <w:w w:val="62"/>
      <w:sz w:val="140"/>
    </w:rPr>
  </w:style>
  <w:style w:type="paragraph" w:customStyle="1" w:styleId="36">
    <w:name w:val="紧急程度"/>
    <w:basedOn w:val="28"/>
    <w:uiPriority w:val="0"/>
    <w:pPr>
      <w:spacing w:line="397" w:lineRule="atLeast"/>
    </w:pPr>
    <w:rPr>
      <w:rFonts w:ascii="汉鼎简黑体" w:hAnsi="汉鼎简黑体" w:eastAsia="汉鼎简黑体"/>
      <w:sz w:val="32"/>
    </w:rPr>
  </w:style>
  <w:style w:type="character" w:customStyle="1" w:styleId="37">
    <w:name w:val="ziti21"/>
    <w:basedOn w:val="18"/>
    <w:uiPriority w:val="0"/>
  </w:style>
  <w:style w:type="character" w:customStyle="1" w:styleId="38">
    <w:name w:val="font161"/>
    <w:basedOn w:val="18"/>
    <w:uiPriority w:val="0"/>
    <w:rPr>
      <w:sz w:val="24"/>
      <w:szCs w:val="24"/>
      <w:u w:val="none"/>
    </w:rPr>
  </w:style>
  <w:style w:type="character" w:customStyle="1" w:styleId="39">
    <w:name w:val="p141"/>
    <w:basedOn w:val="18"/>
    <w:uiPriority w:val="0"/>
    <w:rPr>
      <w:sz w:val="21"/>
      <w:szCs w:val="21"/>
    </w:rPr>
  </w:style>
  <w:style w:type="character" w:customStyle="1" w:styleId="40">
    <w:name w:val="标题3 Char"/>
    <w:basedOn w:val="18"/>
    <w:uiPriority w:val="0"/>
    <w:rPr>
      <w:rFonts w:hint="eastAsia" w:ascii="方正黑体_GBK" w:eastAsia="方正黑体_GBK"/>
      <w:snapToGrid w:val="0"/>
      <w:sz w:val="32"/>
      <w:lang w:val="en-US" w:eastAsia="zh-CN" w:bidi="ar-SA"/>
    </w:rPr>
  </w:style>
  <w:style w:type="paragraph" w:customStyle="1" w:styleId="41">
    <w:name w:val="xl28"/>
    <w:basedOn w:val="1"/>
    <w:uiPriority w:val="0"/>
    <w:pPr>
      <w:widowControl/>
      <w:pBdr>
        <w:bottom w:val="single" w:color="auto" w:sz="4" w:space="0"/>
        <w:right w:val="single" w:color="auto" w:sz="4" w:space="0"/>
      </w:pBdr>
      <w:autoSpaceDE/>
      <w:autoSpaceDN/>
      <w:snapToGrid/>
      <w:spacing w:before="100" w:beforeAutospacing="1" w:after="100" w:afterAutospacing="1" w:line="240" w:lineRule="auto"/>
      <w:ind w:firstLine="0"/>
      <w:jc w:val="center"/>
    </w:pPr>
    <w:rPr>
      <w:rFonts w:ascii="Times New Roman" w:eastAsia="宋体"/>
      <w:snapToGrid/>
      <w:sz w:val="21"/>
      <w:szCs w:val="21"/>
    </w:rPr>
  </w:style>
  <w:style w:type="paragraph" w:customStyle="1" w:styleId="42">
    <w:name w:val="普通(Web)11"/>
    <w:basedOn w:val="1"/>
    <w:uiPriority w:val="0"/>
    <w:pPr>
      <w:widowControl/>
      <w:autoSpaceDE/>
      <w:autoSpaceDN/>
      <w:snapToGrid/>
      <w:spacing w:before="90" w:after="90" w:line="240" w:lineRule="auto"/>
      <w:ind w:firstLine="0"/>
      <w:jc w:val="left"/>
    </w:pPr>
    <w:rPr>
      <w:rFonts w:ascii="宋体" w:hAnsi="宋体" w:eastAsia="宋体"/>
      <w:snapToGrid/>
      <w:sz w:val="24"/>
    </w:rPr>
  </w:style>
  <w:style w:type="paragraph" w:customStyle="1" w:styleId="43">
    <w:name w:val="Char"/>
    <w:basedOn w:val="1"/>
    <w:uiPriority w:val="0"/>
    <w:pPr>
      <w:autoSpaceDE/>
      <w:autoSpaceDN/>
      <w:snapToGrid/>
      <w:spacing w:line="240" w:lineRule="auto"/>
      <w:ind w:firstLine="0"/>
    </w:pPr>
    <w:rPr>
      <w:rFonts w:ascii="Times New Roman" w:eastAsia="宋体"/>
      <w:snapToGrid/>
      <w:kern w:val="2"/>
      <w:sz w:val="21"/>
    </w:rPr>
  </w:style>
  <w:style w:type="character" w:customStyle="1" w:styleId="44">
    <w:name w:val="ca-11"/>
    <w:basedOn w:val="18"/>
    <w:uiPriority w:val="0"/>
    <w:rPr>
      <w:rFonts w:hint="eastAsia" w:ascii="仿宋_GB2312" w:eastAsia="仿宋_GB2312"/>
      <w:sz w:val="32"/>
      <w:szCs w:val="32"/>
    </w:rPr>
  </w:style>
  <w:style w:type="paragraph" w:customStyle="1" w:styleId="45">
    <w:name w:val="Char Char Char Char Char Char Char Char Char"/>
    <w:basedOn w:val="1"/>
    <w:uiPriority w:val="0"/>
    <w:pPr>
      <w:autoSpaceDE/>
      <w:autoSpaceDN/>
      <w:snapToGrid/>
      <w:spacing w:line="240" w:lineRule="auto"/>
      <w:ind w:firstLine="0"/>
    </w:pPr>
    <w:rPr>
      <w:rFonts w:ascii="Times New Roman" w:eastAsia="宋体"/>
      <w:snapToGrid/>
      <w:kern w:val="2"/>
      <w:sz w:val="21"/>
      <w:szCs w:val="21"/>
    </w:rPr>
  </w:style>
  <w:style w:type="character" w:customStyle="1" w:styleId="46">
    <w:name w:val="正文一"/>
    <w:basedOn w:val="18"/>
    <w:uiPriority w:val="0"/>
    <w:rPr>
      <w:rFonts w:ascii="Times New Roman" w:hAnsi="Times New Roman" w:eastAsia="黑体"/>
      <w:color w:val="000000"/>
      <w:kern w:val="0"/>
      <w:sz w:val="32"/>
    </w:rPr>
  </w:style>
  <w:style w:type="character" w:customStyle="1" w:styleId="47">
    <w:name w:val="black16btxt1"/>
    <w:basedOn w:val="18"/>
    <w:uiPriority w:val="0"/>
    <w:rPr>
      <w:rFonts w:hint="default" w:ascii="Arial" w:hAnsi="Arial" w:cs="Arial"/>
      <w:b/>
      <w:bCs/>
      <w:color w:val="000000"/>
      <w:sz w:val="24"/>
      <w:szCs w:val="24"/>
    </w:rPr>
  </w:style>
  <w:style w:type="character" w:customStyle="1" w:styleId="48">
    <w:name w:val="hd"/>
    <w:basedOn w:val="18"/>
    <w:uiPriority w:val="0"/>
  </w:style>
  <w:style w:type="paragraph" w:customStyle="1" w:styleId="49">
    <w:name w:val=" Char Char Char Char Char Char Char Char Char"/>
    <w:basedOn w:val="1"/>
    <w:uiPriority w:val="0"/>
    <w:pPr>
      <w:widowControl/>
      <w:autoSpaceDE/>
      <w:autoSpaceDN/>
      <w:snapToGrid/>
      <w:spacing w:after="160" w:line="240" w:lineRule="exact"/>
      <w:ind w:firstLine="0"/>
      <w:jc w:val="left"/>
    </w:pPr>
    <w:rPr>
      <w:rFonts w:ascii="Verdana" w:hAnsi="Verdana" w:eastAsia="仿宋_GB2312"/>
      <w:snapToGrid/>
      <w:sz w:val="24"/>
      <w:lang w:eastAsia="en-US"/>
    </w:rPr>
  </w:style>
  <w:style w:type="paragraph" w:customStyle="1" w:styleId="50">
    <w:name w:val=" Char Char Char Char"/>
    <w:basedOn w:val="1"/>
    <w:uiPriority w:val="0"/>
    <w:pPr>
      <w:autoSpaceDE/>
      <w:autoSpaceDN/>
      <w:snapToGrid/>
      <w:spacing w:line="240" w:lineRule="auto"/>
      <w:ind w:firstLine="0"/>
    </w:pPr>
    <w:rPr>
      <w:rFonts w:ascii="Tahoma" w:hAnsi="Tahoma" w:eastAsia="宋体"/>
      <w:snapToGrid/>
      <w:kern w:val="2"/>
      <w:sz w:val="24"/>
    </w:rPr>
  </w:style>
  <w:style w:type="paragraph" w:customStyle="1" w:styleId="51">
    <w:name w:val="默认段落字体 Para Char Char Char Char"/>
    <w:basedOn w:val="1"/>
    <w:uiPriority w:val="0"/>
    <w:pPr>
      <w:autoSpaceDE/>
      <w:autoSpaceDN/>
      <w:snapToGrid/>
      <w:spacing w:line="240" w:lineRule="auto"/>
      <w:ind w:firstLine="0"/>
    </w:pPr>
    <w:rPr>
      <w:rFonts w:ascii="Times New Roman" w:eastAsia="宋体"/>
      <w:snapToGrid/>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20844;&#25991;\A4mb\&#19979;&#34892;&#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下行文.dot</Template>
  <Company>wyk</Company>
  <Pages>21</Pages>
  <Words>12671</Words>
  <Characters>13059</Characters>
  <Lines>870</Lines>
  <Paragraphs>754</Paragraphs>
  <TotalTime>0</TotalTime>
  <ScaleCrop>false</ScaleCrop>
  <LinksUpToDate>false</LinksUpToDate>
  <CharactersWithSpaces>13059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2021-11-01T02:32:00Z</dcterms:created>
  <dc:creator>111</dc:creator>
  <cp:lastModifiedBy>夏华珍</cp:lastModifiedBy>
  <cp:lastPrinted>2011-10-10T01:23:00Z</cp:lastPrinted>
  <dcterms:modified xsi:type="dcterms:W3CDTF">2023-07-22T16:04:14Z</dcterms:modified>
  <dc:title>下行文（平行文）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A3EE43321FBE4D30A5A3D69290E01332_13</vt:lpwstr>
  </property>
</Properties>
</file>