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60" w:lineRule="exact"/>
        <w:jc w:val="center"/>
        <w:rPr>
          <w:rFonts w:eastAsia="方正小标宋简体"/>
          <w:sz w:val="44"/>
          <w:szCs w:val="44"/>
        </w:rPr>
      </w:pPr>
    </w:p>
    <w:p>
      <w:pPr>
        <w:spacing w:line="660" w:lineRule="exact"/>
        <w:jc w:val="center"/>
        <w:rPr>
          <w:rFonts w:eastAsia="方正小标宋简体"/>
          <w:sz w:val="44"/>
          <w:szCs w:val="44"/>
        </w:rPr>
      </w:pPr>
    </w:p>
    <w:p>
      <w:pPr>
        <w:spacing w:line="660" w:lineRule="exact"/>
        <w:jc w:val="center"/>
        <w:rPr>
          <w:rFonts w:eastAsia="方正小标宋简体"/>
          <w:sz w:val="44"/>
          <w:szCs w:val="44"/>
        </w:rPr>
      </w:pPr>
    </w:p>
    <w:p>
      <w:pPr>
        <w:spacing w:line="600" w:lineRule="exact"/>
        <w:jc w:val="center"/>
        <w:rPr>
          <w:rFonts w:hint="eastAsia" w:ascii="方正楷体_GBK" w:hAnsi="宋体" w:eastAsia="方正楷体_GBK"/>
          <w:sz w:val="32"/>
          <w:szCs w:val="32"/>
        </w:rPr>
      </w:pPr>
      <w:bookmarkStart w:id="4" w:name="_GoBack"/>
      <w:bookmarkEnd w:id="4"/>
      <w:r>
        <w:rPr>
          <w:rFonts w:hint="eastAsia" w:ascii="方正小标宋_GBK" w:eastAsia="方正小标宋_GBK"/>
          <w:sz w:val="44"/>
          <w:szCs w:val="44"/>
        </w:rPr>
        <w:t>盐城市国际友城</w:t>
      </w:r>
      <w:r>
        <w:rPr>
          <w:rFonts w:hint="eastAsia" w:eastAsia="方正仿宋_GBK"/>
          <w:sz w:val="44"/>
          <w:szCs w:val="44"/>
        </w:rPr>
        <w:t>2014—2018</w:t>
      </w:r>
      <w:r>
        <w:rPr>
          <w:rFonts w:hint="eastAsia" w:ascii="方正小标宋_GBK" w:eastAsia="方正小标宋_GBK"/>
          <w:sz w:val="44"/>
          <w:szCs w:val="44"/>
        </w:rPr>
        <w:t>年工作规划</w:t>
      </w:r>
    </w:p>
    <w:p>
      <w:pPr>
        <w:spacing w:line="560" w:lineRule="exact"/>
        <w:ind w:firstLine="640" w:firstLineChars="200"/>
        <w:rPr>
          <w:rFonts w:hint="eastAsia" w:ascii="仿宋_GB2312" w:hAnsi="宋体" w:eastAsia="仿宋_GB2312"/>
          <w:sz w:val="32"/>
          <w:szCs w:val="32"/>
        </w:rPr>
      </w:pPr>
    </w:p>
    <w:p>
      <w:pPr>
        <w:spacing w:line="560" w:lineRule="exact"/>
        <w:ind w:firstLine="640" w:firstLineChars="200"/>
        <w:rPr>
          <w:rFonts w:hint="eastAsia" w:ascii="方正仿宋_GBK" w:hAnsi="宋体" w:eastAsia="方正仿宋_GBK"/>
          <w:sz w:val="32"/>
          <w:szCs w:val="32"/>
        </w:rPr>
      </w:pPr>
      <w:r>
        <w:rPr>
          <w:rFonts w:hint="eastAsia" w:ascii="方正仿宋_GBK" w:hAnsi="宋体" w:eastAsia="方正仿宋_GBK"/>
          <w:sz w:val="32"/>
          <w:szCs w:val="32"/>
        </w:rPr>
        <w:t>国际友城是国家总体外交的重要组成部分，是民间外交的有效途径，也是地方对外交往的重要载体和实施“走出去”战略的重要渠道。加强国际友城工作，促进对外交流合作，对于扩大对外开放，加快我市经济全球化和城市国际化步伐，打造开放型经济升级版，具有重要意义。市委六届四次全会确立的建设“四城”目标、加快“六个发展”战略，为我市今后一段时期的经济社会发展和对外开放工作指明了方向。为加强对友城工作的统筹指导，推动友城工作又好又快发展，特制定本规划。</w:t>
      </w:r>
    </w:p>
    <w:p>
      <w:pPr>
        <w:numPr>
          <w:ilvl w:val="0"/>
          <w:numId w:val="1"/>
        </w:numPr>
        <w:spacing w:line="560" w:lineRule="exact"/>
        <w:rPr>
          <w:rFonts w:hint="eastAsia" w:ascii="方正黑体_GBK" w:hAnsi="黑体" w:eastAsia="方正黑体_GBK"/>
          <w:sz w:val="32"/>
          <w:szCs w:val="32"/>
        </w:rPr>
      </w:pPr>
      <w:r>
        <w:rPr>
          <w:rFonts w:hint="eastAsia" w:ascii="方正黑体_GBK" w:hAnsi="黑体" w:eastAsia="方正黑体_GBK"/>
          <w:sz w:val="32"/>
          <w:szCs w:val="32"/>
        </w:rPr>
        <w:t>指导思想</w:t>
      </w:r>
    </w:p>
    <w:p>
      <w:pPr>
        <w:spacing w:line="560" w:lineRule="exact"/>
        <w:ind w:firstLine="640" w:firstLineChars="200"/>
        <w:rPr>
          <w:rFonts w:hint="eastAsia" w:ascii="方正仿宋_GBK" w:hAnsi="宋体" w:eastAsia="方正仿宋_GBK"/>
          <w:sz w:val="32"/>
          <w:szCs w:val="32"/>
        </w:rPr>
      </w:pPr>
      <w:r>
        <w:rPr>
          <w:rFonts w:hint="eastAsia" w:ascii="方正仿宋_GBK" w:hAnsi="宋体" w:eastAsia="方正仿宋_GBK"/>
          <w:sz w:val="32"/>
          <w:szCs w:val="32"/>
        </w:rPr>
        <w:t>坚持以邓小平理论、“三个代表”重要思想、科学发展观和习近平总书记关于新时期外交工作的重要指示为指导，全面贯彻落实党的十八大、十八届三中全会精神，秉承</w:t>
      </w:r>
      <w:bookmarkStart w:id="0" w:name="OLE_LINK1"/>
      <w:bookmarkStart w:id="1" w:name="OLE_LINK2"/>
      <w:r>
        <w:rPr>
          <w:rFonts w:hint="eastAsia" w:ascii="方正仿宋_GBK" w:hAnsi="宋体" w:eastAsia="方正仿宋_GBK"/>
          <w:sz w:val="32"/>
          <w:szCs w:val="32"/>
        </w:rPr>
        <w:t>“</w:t>
      </w:r>
      <w:bookmarkStart w:id="2" w:name="OLE_LINK3"/>
      <w:bookmarkStart w:id="3" w:name="OLE_LINK4"/>
      <w:r>
        <w:rPr>
          <w:rFonts w:hint="eastAsia" w:ascii="方正仿宋_GBK" w:hAnsi="宋体" w:eastAsia="方正仿宋_GBK"/>
          <w:sz w:val="32"/>
          <w:szCs w:val="32"/>
        </w:rPr>
        <w:t>态度积极，步骤稳妥，友好当先，注重实效</w:t>
      </w:r>
      <w:bookmarkEnd w:id="2"/>
      <w:bookmarkEnd w:id="3"/>
      <w:r>
        <w:rPr>
          <w:rFonts w:hint="eastAsia" w:ascii="方正仿宋_GBK" w:hAnsi="宋体" w:eastAsia="方正仿宋_GBK"/>
          <w:sz w:val="32"/>
          <w:szCs w:val="32"/>
        </w:rPr>
        <w:t>”</w:t>
      </w:r>
      <w:bookmarkEnd w:id="0"/>
      <w:bookmarkEnd w:id="1"/>
      <w:r>
        <w:rPr>
          <w:rFonts w:hint="eastAsia" w:ascii="方正仿宋_GBK" w:hAnsi="宋体" w:eastAsia="方正仿宋_GBK"/>
          <w:sz w:val="32"/>
          <w:szCs w:val="32"/>
        </w:rPr>
        <w:t>的友城工作方针，坚持“讲友谊，讲互利，讲实效”的友城交往原则，积极、稳妥推进国际友城工作，全力服务中央总体外交和我市经济社会发展。</w:t>
      </w:r>
    </w:p>
    <w:p>
      <w:pPr>
        <w:spacing w:line="560" w:lineRule="exact"/>
        <w:ind w:left="640"/>
        <w:rPr>
          <w:rFonts w:hint="eastAsia" w:ascii="方正黑体_GBK" w:hAnsi="黑体" w:eastAsia="方正黑体_GBK"/>
          <w:sz w:val="32"/>
          <w:szCs w:val="32"/>
        </w:rPr>
      </w:pPr>
      <w:r>
        <w:rPr>
          <w:rFonts w:hint="eastAsia" w:ascii="方正黑体_GBK" w:hAnsi="黑体" w:eastAsia="方正黑体_GBK"/>
          <w:sz w:val="32"/>
          <w:szCs w:val="32"/>
        </w:rPr>
        <w:t xml:space="preserve">二、目标任务 </w:t>
      </w:r>
    </w:p>
    <w:p>
      <w:pPr>
        <w:spacing w:line="560" w:lineRule="exact"/>
        <w:ind w:firstLine="640" w:firstLineChars="200"/>
        <w:rPr>
          <w:rFonts w:hint="eastAsia" w:ascii="方正仿宋_GBK" w:hAnsi="宋体" w:eastAsia="方正仿宋_GBK"/>
          <w:sz w:val="32"/>
          <w:szCs w:val="32"/>
        </w:rPr>
      </w:pPr>
      <w:r>
        <w:rPr>
          <w:rFonts w:hint="eastAsia" w:ascii="方正仿宋_GBK" w:hAnsi="宋体" w:eastAsia="方正仿宋_GBK"/>
          <w:sz w:val="32"/>
          <w:szCs w:val="32"/>
        </w:rPr>
        <w:t>今后五年的国际友城工作，要突出友城数量的增加和质量的提升；要科学谋划，合理安排友城布局；要注重友好交往的实效性，以项目为抓手，推动友城交往；要不断丰富交流领域，让友城工作惠民、利民；要统筹全局力量，引导全市各个领域参与友城工作。</w:t>
      </w:r>
    </w:p>
    <w:p>
      <w:pPr>
        <w:spacing w:line="560" w:lineRule="exact"/>
        <w:ind w:firstLine="640" w:firstLineChars="200"/>
        <w:rPr>
          <w:rFonts w:hint="eastAsia" w:ascii="方正楷体_GBK" w:hAnsi="宋体" w:eastAsia="方正楷体_GBK"/>
          <w:sz w:val="32"/>
          <w:szCs w:val="32"/>
        </w:rPr>
      </w:pPr>
      <w:r>
        <w:rPr>
          <w:rFonts w:hint="eastAsia" w:ascii="方正楷体_GBK" w:hAnsi="宋体" w:eastAsia="方正楷体_GBK"/>
          <w:sz w:val="32"/>
          <w:szCs w:val="32"/>
        </w:rPr>
        <w:t>（一）具体目标</w:t>
      </w:r>
    </w:p>
    <w:p>
      <w:pPr>
        <w:spacing w:line="560" w:lineRule="exact"/>
        <w:ind w:firstLine="643" w:firstLineChars="200"/>
        <w:rPr>
          <w:rFonts w:hint="eastAsia" w:ascii="方正仿宋_GBK" w:hAnsi="宋体" w:eastAsia="方正仿宋_GBK"/>
          <w:sz w:val="32"/>
          <w:szCs w:val="32"/>
        </w:rPr>
      </w:pPr>
      <w:r>
        <w:rPr>
          <w:rFonts w:hint="eastAsia" w:ascii="方正仿宋_GBK" w:hAnsi="宋体" w:eastAsia="方正仿宋_GBK"/>
          <w:b/>
          <w:sz w:val="32"/>
          <w:szCs w:val="32"/>
        </w:rPr>
        <w:t>1．友城数量与质量“两手抓”。</w:t>
      </w:r>
      <w:r>
        <w:rPr>
          <w:rFonts w:hint="eastAsia" w:ascii="方正仿宋_GBK" w:hAnsi="宋体" w:eastAsia="方正仿宋_GBK"/>
          <w:sz w:val="32"/>
          <w:szCs w:val="32"/>
        </w:rPr>
        <w:t>基于“交往活跃、关系稳固、合作持久”的结好标准，力争至2018年底，全市友城数量实现倍增。即在现有10对友城的基础上，新增正式友城10对，新发展友好合作交流城市10对。其中，市本级新增正式友城5对，发展友好合作交流城市5对；县（市、区）新增正式友城5对，发展友好合作交流城市5对。</w:t>
      </w:r>
    </w:p>
    <w:p>
      <w:pPr>
        <w:spacing w:line="560" w:lineRule="exact"/>
        <w:ind w:firstLine="643" w:firstLineChars="200"/>
        <w:rPr>
          <w:rFonts w:hint="eastAsia" w:ascii="方正仿宋_GBK" w:hAnsi="宋体" w:eastAsia="方正仿宋_GBK"/>
          <w:sz w:val="32"/>
          <w:szCs w:val="32"/>
        </w:rPr>
      </w:pPr>
      <w:r>
        <w:rPr>
          <w:rFonts w:hint="eastAsia" w:ascii="方正仿宋_GBK" w:hAnsi="宋体" w:eastAsia="方正仿宋_GBK"/>
          <w:b/>
          <w:sz w:val="32"/>
          <w:szCs w:val="32"/>
        </w:rPr>
        <w:t>2．友城布局更加科学合理。</w:t>
      </w:r>
      <w:r>
        <w:rPr>
          <w:rFonts w:hint="eastAsia" w:ascii="方正仿宋_GBK" w:hAnsi="宋体" w:eastAsia="方正仿宋_GBK"/>
          <w:sz w:val="32"/>
          <w:szCs w:val="32"/>
        </w:rPr>
        <w:t>围绕国家总体战略，立足我市产业发展特点，把握均衡布点原则，在友城布局上既借重发达国家，同时兼顾发展中国家；既要服务经贸往来，又要注重科技、文化、体育、医疗卫生等各个领域的交流；既要突出市情相似性，又要兼顾互补原则。新增友城的具体布局为：以西欧、北美、东亚为重点率先突破，兼顾其他地区稳步推进。力争在东北亚地区（重点在日本、韩国）、东南亚地区（重点在新加坡、泰国）、北美地区（重点在美国、加拿大）、南美地区（重点在巴西、智利、阿根廷）、大洋洲地区（重点在澳大利亚、新西兰）、北欧地区（重点在瑞典、芬兰、挪威）、西欧地区（重点在德国、意大利、法国、瑞士）、东欧地区（重点在俄罗斯）和非洲地区（重点在南非、埃塞俄比亚）各发展友好城市或友好合作交流城市1对以上。</w:t>
      </w:r>
    </w:p>
    <w:p>
      <w:pPr>
        <w:spacing w:line="560" w:lineRule="exact"/>
        <w:ind w:firstLine="643" w:firstLineChars="200"/>
        <w:rPr>
          <w:rFonts w:hint="eastAsia" w:ascii="方正仿宋_GBK" w:hAnsi="宋体" w:eastAsia="方正仿宋_GBK"/>
          <w:sz w:val="32"/>
          <w:szCs w:val="32"/>
        </w:rPr>
      </w:pPr>
      <w:r>
        <w:rPr>
          <w:rFonts w:hint="eastAsia" w:ascii="方正仿宋_GBK" w:hAnsi="宋体" w:eastAsia="方正仿宋_GBK"/>
          <w:b/>
          <w:sz w:val="32"/>
          <w:szCs w:val="32"/>
        </w:rPr>
        <w:t>3．交往内容务求实效。</w:t>
      </w:r>
      <w:r>
        <w:rPr>
          <w:rFonts w:hint="eastAsia" w:ascii="方正仿宋_GBK" w:hAnsi="宋体" w:eastAsia="方正仿宋_GBK"/>
          <w:sz w:val="32"/>
          <w:szCs w:val="32"/>
        </w:rPr>
        <w:t>以友城交往为平台，推动双方开展实质性的交流与合作。合作不局限于经济领域，应涵盖社会的各个方面，不搭空架子，不搞形式主义，务必开展实质性的交流，并取得一定成果。至2018年底，力争与每个新增友城达成2-3个合作项目，其中至少要有1个项目可以代表我市友城交往水平，且在全省友城合作项目中名列前茅。</w:t>
      </w:r>
    </w:p>
    <w:p>
      <w:pPr>
        <w:spacing w:line="560" w:lineRule="exact"/>
        <w:ind w:firstLine="643" w:firstLineChars="200"/>
        <w:rPr>
          <w:rFonts w:hint="eastAsia" w:ascii="方正仿宋_GBK" w:hAnsi="宋体" w:eastAsia="方正仿宋_GBK"/>
          <w:sz w:val="32"/>
          <w:szCs w:val="32"/>
        </w:rPr>
      </w:pPr>
      <w:r>
        <w:rPr>
          <w:rFonts w:hint="eastAsia" w:ascii="方正仿宋_GBK" w:hAnsi="宋体" w:eastAsia="方正仿宋_GBK"/>
          <w:b/>
          <w:sz w:val="32"/>
          <w:szCs w:val="32"/>
        </w:rPr>
        <w:t>4．交流领域不断拓展。</w:t>
      </w:r>
      <w:r>
        <w:rPr>
          <w:rFonts w:hint="eastAsia" w:ascii="方正仿宋_GBK" w:hAnsi="宋体" w:eastAsia="方正仿宋_GBK"/>
          <w:sz w:val="32"/>
          <w:szCs w:val="32"/>
        </w:rPr>
        <w:t>在加强人员与经贸往来的同时，不断拓宽交流领域，大力推进在文化、体育、卫生、环保、宣传等各个领域的合作，提升友城交往的整体水平，拓宽交往层面，力争遍地开花，全面结果。</w:t>
      </w:r>
    </w:p>
    <w:p>
      <w:pPr>
        <w:spacing w:line="560" w:lineRule="exact"/>
        <w:ind w:firstLine="643" w:firstLineChars="200"/>
        <w:rPr>
          <w:rFonts w:hint="eastAsia" w:ascii="方正仿宋_GBK" w:hAnsi="宋体" w:eastAsia="方正仿宋_GBK"/>
          <w:sz w:val="32"/>
          <w:szCs w:val="32"/>
        </w:rPr>
      </w:pPr>
      <w:r>
        <w:rPr>
          <w:rFonts w:hint="eastAsia" w:ascii="方正仿宋_GBK" w:hAnsi="宋体" w:eastAsia="方正仿宋_GBK"/>
          <w:b/>
          <w:sz w:val="32"/>
          <w:szCs w:val="32"/>
        </w:rPr>
        <w:t>5．交流主体更加多元。</w:t>
      </w:r>
      <w:r>
        <w:rPr>
          <w:rFonts w:hint="eastAsia" w:ascii="方正仿宋_GBK" w:hAnsi="宋体" w:eastAsia="方正仿宋_GBK"/>
          <w:sz w:val="32"/>
          <w:szCs w:val="32"/>
        </w:rPr>
        <w:t>站在全市高度，摒弃本位思想，鼓励政府及民间各方面力量共同参与友城工作，推进友城交流合作。盘活现有资源，根据对外交流合作需要，分类制定计划，由不同部门、不同行业组织实施。</w:t>
      </w:r>
    </w:p>
    <w:p>
      <w:pPr>
        <w:spacing w:line="560" w:lineRule="exact"/>
        <w:ind w:firstLine="640" w:firstLineChars="200"/>
        <w:rPr>
          <w:rFonts w:hint="eastAsia" w:ascii="方正楷体_GBK" w:hAnsi="黑体" w:eastAsia="方正楷体_GBK"/>
          <w:sz w:val="32"/>
          <w:szCs w:val="32"/>
        </w:rPr>
      </w:pPr>
      <w:r>
        <w:rPr>
          <w:rFonts w:hint="eastAsia" w:ascii="方正楷体_GBK" w:hAnsi="黑体" w:eastAsia="方正楷体_GBK"/>
          <w:sz w:val="32"/>
          <w:szCs w:val="32"/>
        </w:rPr>
        <w:t>（二）主要任务</w:t>
      </w:r>
    </w:p>
    <w:p>
      <w:pPr>
        <w:spacing w:line="560" w:lineRule="exact"/>
        <w:ind w:firstLine="643" w:firstLineChars="200"/>
        <w:rPr>
          <w:rFonts w:hint="eastAsia" w:ascii="方正仿宋_GBK" w:hAnsi="宋体" w:eastAsia="方正仿宋_GBK"/>
          <w:sz w:val="32"/>
          <w:szCs w:val="32"/>
        </w:rPr>
      </w:pPr>
      <w:r>
        <w:rPr>
          <w:rFonts w:hint="eastAsia" w:ascii="方正仿宋_GBK" w:hAnsi="宋体" w:eastAsia="方正仿宋_GBK"/>
          <w:b/>
          <w:sz w:val="32"/>
          <w:szCs w:val="32"/>
        </w:rPr>
        <w:t>1．加快友城结好步伐，构筑全方位对外交往格局。</w:t>
      </w:r>
      <w:r>
        <w:rPr>
          <w:rFonts w:hint="eastAsia" w:ascii="方正仿宋_GBK" w:hAnsi="宋体" w:eastAsia="方正仿宋_GBK"/>
          <w:sz w:val="32"/>
          <w:szCs w:val="32"/>
        </w:rPr>
        <w:t xml:space="preserve">要紧紧围绕我市“六大发展”战略和“主攻日韩，拓展欧美”的外资突破工作要求，以更加开阔的胸襟和眼界，继续巩固和加强与亚洲周边国家传统合作关系，积极发展与美国、欧盟、澳大利亚等发达国家的友城关系，不断加强与俄罗斯、巴西、新西兰、南非等具有市场和资源开发潜力的发展中国家的友城关系，积极构建“大友城”格局，为扩大对外开放创造良好的外部条件。 </w:t>
      </w:r>
    </w:p>
    <w:p>
      <w:pPr>
        <w:spacing w:line="560" w:lineRule="exact"/>
        <w:rPr>
          <w:rFonts w:hint="eastAsia" w:ascii="方正仿宋_GBK" w:hAnsi="宋体" w:eastAsia="方正仿宋_GBK"/>
          <w:sz w:val="32"/>
          <w:szCs w:val="32"/>
        </w:rPr>
      </w:pPr>
      <w:r>
        <w:rPr>
          <w:rFonts w:hint="eastAsia" w:ascii="方正仿宋_GBK" w:hAnsi="宋体" w:eastAsia="方正仿宋_GBK"/>
          <w:sz w:val="32"/>
          <w:szCs w:val="32"/>
        </w:rPr>
        <w:t xml:space="preserve">    首先，要巩固和发展与现有友城间的实质性交流与合作。对于实质性交往较为频繁的友城，要进一步挖掘潜力，提高合作的层次和水平，增强友城的辐射能力；对于实质性交流不多的友城，要疏通交流渠道，拓展双边合作领域；对双边关系暂时处于停滞状态的友城，要采取措施激活交流渠道，进一步充实友好交往内容。 </w:t>
      </w:r>
    </w:p>
    <w:p>
      <w:pPr>
        <w:spacing w:line="560" w:lineRule="exact"/>
        <w:rPr>
          <w:rFonts w:hint="eastAsia" w:ascii="方正仿宋_GBK" w:hAnsi="宋体" w:eastAsia="方正仿宋_GBK"/>
          <w:sz w:val="32"/>
          <w:szCs w:val="32"/>
        </w:rPr>
      </w:pPr>
      <w:r>
        <w:rPr>
          <w:rFonts w:hint="eastAsia" w:ascii="方正仿宋_GBK" w:hAnsi="宋体" w:eastAsia="方正仿宋_GBK"/>
          <w:sz w:val="32"/>
          <w:szCs w:val="32"/>
        </w:rPr>
        <w:t xml:space="preserve">    其次，要继续扩大友城结好数量，积极调整友城布局，构筑全方位、多元化、强辐射的国际友城交往格局。一是巩固亚洲友城。亚洲周边国家是我市对外经贸的主要地区，也是我市推动“引进来”和“走出去”战略的重要地区，要在我市与日韩现有3对友城的基础上，推进与日本、韩国，新加坡、泰国等国家建立友城关系，多形式地开展与这些国家城市间的友好交流与合作，通过民间交往密切与亚洲国家经济文化的联系。二是发展欧美友城。围绕“有利于引进人才、技术、管理和资本，有利于实施‘引进来’”的总体思路，发展友城，服务全市产业结构调整和技术升级换代。三是拓展与俄罗斯、澳大利亚、新西兰等国城市的友好关系。进一步加强与这些地区的交往，推动“走出去”战略，开拓全方位、多层次、宽领域的对外交往渠道，促进全方位友城格局形成。 </w:t>
      </w:r>
    </w:p>
    <w:p>
      <w:pPr>
        <w:spacing w:line="560" w:lineRule="exact"/>
        <w:ind w:firstLine="645"/>
        <w:rPr>
          <w:rFonts w:hint="eastAsia" w:ascii="方正仿宋_GBK" w:hAnsi="宋体" w:eastAsia="方正仿宋_GBK"/>
          <w:sz w:val="32"/>
          <w:szCs w:val="32"/>
        </w:rPr>
      </w:pPr>
      <w:r>
        <w:rPr>
          <w:rFonts w:hint="eastAsia" w:ascii="方正仿宋_GBK" w:hAnsi="宋体" w:eastAsia="方正仿宋_GBK"/>
          <w:sz w:val="32"/>
          <w:szCs w:val="32"/>
        </w:rPr>
        <w:t>再次，要巩固和开辟有助于友城发展的交往渠道。注重巩固和开辟：我驻外国和外国驻我国使领馆；我市领导和外国政府层面互访；国内外社会名人和热心人士；海外华侨华人社团和我民间社团组织；海外学子和海归学子；国内“三资”企业、我驻外大型国有企业和在盐外方人员等六大主要渠道，通过这些渠道，与拟交流城市建立官方、民间等各个层面的联系，从而推进友城结好工作。</w:t>
      </w:r>
    </w:p>
    <w:p>
      <w:pPr>
        <w:spacing w:line="560" w:lineRule="exact"/>
        <w:ind w:firstLine="645"/>
        <w:rPr>
          <w:rFonts w:hint="eastAsia" w:ascii="方正仿宋_GBK" w:hAnsi="宋体" w:eastAsia="方正仿宋_GBK"/>
          <w:sz w:val="32"/>
          <w:szCs w:val="32"/>
        </w:rPr>
      </w:pPr>
      <w:r>
        <w:rPr>
          <w:rFonts w:hint="eastAsia" w:ascii="方正仿宋_GBK" w:hAnsi="宋体" w:eastAsia="方正仿宋_GBK"/>
          <w:b/>
          <w:sz w:val="32"/>
          <w:szCs w:val="32"/>
        </w:rPr>
        <w:t>2．充分利用友城关系，聚焦全市“六大发展”战略。</w:t>
      </w:r>
      <w:r>
        <w:rPr>
          <w:rFonts w:hint="eastAsia" w:ascii="方正仿宋_GBK" w:hAnsi="宋体" w:eastAsia="方正仿宋_GBK"/>
          <w:sz w:val="32"/>
          <w:szCs w:val="32"/>
        </w:rPr>
        <w:t xml:space="preserve">友城工作要聚焦 “六大发展”战略，增强服务意识，创新服务形式，提高服务水平：一要加大提供牵线搭桥服务的力度。进一步加强与中外友城工商组织和企业的联系，提高牵线搭桥的成功率。二要加大提供信息服务的力度。向全市各地、有关部门、企业和社会团体提供友城发展、友城间举办活动以及友城涉外法规、礼仪、风俗等信息咨询服务。三要加大提供平台服务的力度。选择条件较好的友城作为本市企业开拓国际市场的依托，发挥友城桥梁与企业实体的各自优势，联手实施“请进来”与“走出去”战略，协同开拓国际市场。利用友好城市关系，在互利互惠的基础上，开展以“增进了解、加强合作、促进共同发展”为主要内容的友好城市交流活动，建立双边合作关系，在经济、科技、教育、文化、卫生、体育和城市建设与管理及生态环境保护、产业结构调整等领域开展互利合作。四要加大提供人才培养服务的力度。继续利用友城、国际友好组织等渠道引进国外专家，选派留学生、研修生和国际交流员，探索在条件成熟时设立国际人才交流基金，积极鼓励上述人才开展交流。 </w:t>
      </w:r>
    </w:p>
    <w:p>
      <w:pPr>
        <w:spacing w:line="560" w:lineRule="exact"/>
        <w:ind w:firstLine="645"/>
        <w:rPr>
          <w:rFonts w:hint="eastAsia" w:ascii="方正仿宋_GBK" w:hAnsi="宋体" w:eastAsia="方正仿宋_GBK"/>
          <w:sz w:val="32"/>
          <w:szCs w:val="32"/>
        </w:rPr>
      </w:pPr>
      <w:r>
        <w:rPr>
          <w:rFonts w:hint="eastAsia" w:ascii="方正仿宋_GBK" w:hAnsi="宋体" w:eastAsia="方正仿宋_GBK"/>
          <w:b/>
          <w:sz w:val="32"/>
          <w:szCs w:val="32"/>
        </w:rPr>
        <w:t>3．动员社会各方力量，积极参与友城间交往合作。</w:t>
      </w:r>
      <w:r>
        <w:rPr>
          <w:rFonts w:hint="eastAsia" w:ascii="方正仿宋_GBK" w:hAnsi="宋体" w:eastAsia="方正仿宋_GBK"/>
          <w:sz w:val="32"/>
          <w:szCs w:val="32"/>
        </w:rPr>
        <w:t>动员社会力量，整合社会资源，发挥特有优势，构筑友城交流共享平台，做到优势互补，渠道共用，资讯共享，一方结好，多方受益，实现“大友城”工作的辐射作用和整体效应。进一步活跃全市民间对外交往活动，主动邀请国际知名人士和民间友好人士来访，发挥他们的影响力和牵线搭桥作用，带动盐城民间对外交往，推进交流与合作。在开展民间对外交往中，因地制宜，注意经贸和文化并重，友好和合作并举，全方位推进盐城与世界各国友城之间民间友好往来。按照全市对外交往的布局，友城工作要把建立对外交往渠道、推进实质性的交流与合作、增进友好发展合作，推动建设和谐世界放到更加突出的位置。各地、各单位在开展对外交流过程中，要认真贯彻中央对外战略方针，积极探索与世界各地民间友好组织建立工作联系，积极发展两城市之间的友好城市关系及基层单位的友好合作关系。在市外办统一指导和协调下，开拓更好更多的对外交往渠道，为盐城对外开放、经济建设、社会发展与世界和平和谐做出更多更大的贡献。</w:t>
      </w:r>
    </w:p>
    <w:p>
      <w:pPr>
        <w:spacing w:line="560" w:lineRule="exact"/>
        <w:ind w:firstLine="640" w:firstLineChars="200"/>
        <w:rPr>
          <w:rFonts w:hint="eastAsia" w:ascii="方正黑体_GBK" w:hAnsi="黑体" w:eastAsia="方正黑体_GBK"/>
          <w:sz w:val="32"/>
          <w:szCs w:val="32"/>
        </w:rPr>
      </w:pPr>
      <w:r>
        <w:rPr>
          <w:rFonts w:hint="eastAsia" w:ascii="方正黑体_GBK" w:hAnsi="黑体" w:eastAsia="方正黑体_GBK"/>
          <w:sz w:val="32"/>
          <w:szCs w:val="32"/>
        </w:rPr>
        <w:t>三、主要措施</w:t>
      </w:r>
    </w:p>
    <w:p>
      <w:pPr>
        <w:spacing w:line="560" w:lineRule="exact"/>
        <w:ind w:firstLine="640" w:firstLineChars="200"/>
        <w:rPr>
          <w:rFonts w:hint="eastAsia" w:ascii="方正仿宋_GBK" w:hAnsi="宋体" w:eastAsia="方正仿宋_GBK"/>
          <w:sz w:val="32"/>
          <w:szCs w:val="32"/>
        </w:rPr>
      </w:pPr>
      <w:r>
        <w:rPr>
          <w:rFonts w:hint="eastAsia" w:ascii="方正楷体_GBK" w:hAnsi="宋体" w:eastAsia="方正楷体_GBK"/>
          <w:sz w:val="32"/>
          <w:szCs w:val="32"/>
        </w:rPr>
        <w:t>（一）转变观念，努力构建“大友城”格局。</w:t>
      </w:r>
      <w:r>
        <w:rPr>
          <w:rFonts w:hint="eastAsia" w:ascii="方正仿宋_GBK" w:hAnsi="宋体" w:eastAsia="方正仿宋_GBK"/>
          <w:sz w:val="32"/>
          <w:szCs w:val="32"/>
        </w:rPr>
        <w:t>一要全面理解和释放友城工作内涵和作用，裂变友城工作能量。改变传统友城工作由外事部门“单打独斗”，交往内容相对单一的做法，转变为整合全市资源，把“搭台”和“唱戏”有机结合起来，加强各部门、行业之间的相互沟通协调和互动，实现友城资源的合理流动和高效利用，使传统友城迎来送往的礼节性交往，逐步向经济、科技、教育、文化等层面的实质性交往转变，使友城工作成果真正得以转化为实实在在的经济和社会效益。二要积极探索和建立友城工作联席会议制度，协调各方力量，整合各方资源，参与友城交往工作，定期会商友城活动计划，交流友城工作进展，使友城工作由过去的外事部门“一元化”管理，变为 “多元化”参与，既能扩大友城工作的影响力，又能推动友城工作深入、全面开展。三要充分发挥友协作用，以官引民，以民促官，官民并举，共同推进友城交往工作。积极引导普通民众参与友城工作，共享友城工作成果。</w:t>
      </w:r>
    </w:p>
    <w:p>
      <w:pPr>
        <w:spacing w:line="560" w:lineRule="exact"/>
        <w:ind w:firstLine="640" w:firstLineChars="200"/>
        <w:rPr>
          <w:rFonts w:hint="eastAsia" w:ascii="方正仿宋_GBK" w:hAnsi="宋体" w:eastAsia="方正仿宋_GBK"/>
          <w:sz w:val="32"/>
          <w:szCs w:val="32"/>
        </w:rPr>
      </w:pPr>
      <w:r>
        <w:rPr>
          <w:rFonts w:hint="eastAsia" w:ascii="方正楷体_GBK" w:hAnsi="宋体" w:eastAsia="方正楷体_GBK"/>
          <w:sz w:val="32"/>
          <w:szCs w:val="32"/>
        </w:rPr>
        <w:t>（二）建立健全机制，保证友城资源有效运作。</w:t>
      </w:r>
      <w:r>
        <w:rPr>
          <w:rFonts w:hint="eastAsia" w:ascii="方正仿宋_GBK" w:hAnsi="宋体" w:eastAsia="方正仿宋_GBK"/>
          <w:sz w:val="32"/>
          <w:szCs w:val="32"/>
        </w:rPr>
        <w:t>要建立友城间友好合作的机制，健全相应工作机构，充实工作力量，组织双方领导人定期互访，充分沟通、增强互信、优势互补，推进友好城市交往与合作。要建立跟踪服务机制。友城工作既要重结好，更要重成效，应扎实抓好友城协议签定以后的大量跟踪服务工作，做到既管“种”又管“收”，自始至终引导友城活动安全、有序、健康发展;要建立年度交流机制，定期召开会议，交流信息、总结过去、谋划未来，以达到整体推进友城工作，共同提高的目的。</w:t>
      </w:r>
    </w:p>
    <w:p>
      <w:pPr>
        <w:spacing w:line="560" w:lineRule="exact"/>
        <w:ind w:firstLine="640" w:firstLineChars="200"/>
        <w:rPr>
          <w:rFonts w:hint="eastAsia" w:ascii="方正仿宋_GBK" w:hAnsi="宋体" w:eastAsia="方正仿宋_GBK"/>
          <w:sz w:val="32"/>
          <w:szCs w:val="32"/>
        </w:rPr>
      </w:pPr>
      <w:r>
        <w:rPr>
          <w:rFonts w:hint="eastAsia" w:ascii="方正楷体_GBK" w:hAnsi="宋体" w:eastAsia="方正楷体_GBK"/>
          <w:sz w:val="32"/>
          <w:szCs w:val="32"/>
        </w:rPr>
        <w:t>（三）注重落实，确保交往成果落地开花。</w:t>
      </w:r>
      <w:r>
        <w:rPr>
          <w:rFonts w:hint="eastAsia" w:ascii="方正仿宋_GBK" w:hAnsi="宋体" w:eastAsia="方正仿宋_GBK"/>
          <w:sz w:val="32"/>
          <w:szCs w:val="32"/>
        </w:rPr>
        <w:t>一是建立友城间正常联络机制，明确交往窗口和联络人，专门负责已签订协议的进度沟通，项目落实以及日常事务的处理，做到签订协议有落实，意向项目有回音，日常工作有联系。二是建立项目信息数据库。由外事部门牵头整理，各相关部门、单位共同参与提供信息。项目信息按照有价值信息、可跟踪联络信息、一般参考信息进行分类，数据库内容供全市各部门共享，由外事部门统一扎口，保证有效信息不遗漏，合作项目有跟踪，跟踪主体不重复；三是加强项目承接载体建设。友城交往信息涉及经济社会各个方面，要有与之匹配的承接载体。要按照国际化城市要求，加强可以承接国际经济合作、文化交流、青少年互访等各个层面的载体建设。</w:t>
      </w:r>
    </w:p>
    <w:p>
      <w:pPr>
        <w:spacing w:line="560" w:lineRule="exact"/>
        <w:ind w:firstLine="640" w:firstLineChars="200"/>
        <w:rPr>
          <w:rFonts w:hint="eastAsia" w:ascii="方正仿宋_GBK" w:hAnsi="宋体" w:eastAsia="方正仿宋_GBK"/>
          <w:sz w:val="32"/>
          <w:szCs w:val="32"/>
        </w:rPr>
      </w:pPr>
      <w:r>
        <w:rPr>
          <w:rFonts w:hint="eastAsia" w:ascii="方正楷体_GBK" w:hAnsi="宋体" w:eastAsia="方正楷体_GBK"/>
          <w:sz w:val="32"/>
          <w:szCs w:val="32"/>
        </w:rPr>
        <w:t>（四）加强调研，把握友城工作主动权。</w:t>
      </w:r>
      <w:r>
        <w:rPr>
          <w:rFonts w:hint="eastAsia" w:ascii="方正仿宋_GBK" w:hAnsi="宋体" w:eastAsia="方正仿宋_GBK"/>
          <w:sz w:val="32"/>
          <w:szCs w:val="32"/>
        </w:rPr>
        <w:t>一是正确认识我市友城工作的现状和优势，定期收集、整理、分析友城工作中出现的新情况、新问题、存在的隐患和可以总结的经验，不断调整完善工作思路；二是注重从外交部、全国友协、省外办等上级部门、国内兄弟市外事系统，以及在各类外事出访和接待中捕捉到的有价值友城工作信息，以他山之石，改进和提高我市友城工作水平；三是加强与各市兄弟部门及县（市、区）外事部门的交流与联络，定期以座谈会、上门走访等形式，互通有关信息，听取各方面建议，不断完善和改进友城工作；四是跳出盐城看盐城，走出国门看友城，在对外交往活动中，主动展开友城方面的调研工作，站在对方的视角，审视我市的友城工作。五是要</w:t>
      </w:r>
      <w:r>
        <w:rPr>
          <w:rFonts w:hint="eastAsia" w:ascii="方正仿宋_GBK" w:eastAsia="方正仿宋_GBK"/>
          <w:sz w:val="32"/>
          <w:szCs w:val="32"/>
        </w:rPr>
        <w:t>认真研究中外文化的差异和国际交往规则，不断赋予友城友好交往以务实可行的合作内容和鲜活生动的交流方式，拓展更大范围，更多数量，更高质量的友城友好交往平台，努力把国际友城打造成稳定、可靠、可持续的对外友好合作与交流的“航母”。</w:t>
      </w:r>
    </w:p>
    <w:p>
      <w:pPr>
        <w:spacing w:line="560" w:lineRule="exact"/>
        <w:ind w:firstLine="640" w:firstLineChars="200"/>
        <w:rPr>
          <w:rFonts w:hint="eastAsia" w:ascii="方正仿宋_GBK" w:hAnsi="宋体" w:eastAsia="方正仿宋_GBK"/>
          <w:sz w:val="32"/>
          <w:szCs w:val="32"/>
        </w:rPr>
      </w:pPr>
      <w:r>
        <w:rPr>
          <w:rFonts w:hint="eastAsia" w:ascii="方正楷体_GBK" w:hAnsi="宋体" w:eastAsia="方正楷体_GBK"/>
          <w:sz w:val="32"/>
          <w:szCs w:val="32"/>
        </w:rPr>
        <w:t>（五）集聚人脉，夯实友城工作基础。</w:t>
      </w:r>
      <w:r>
        <w:rPr>
          <w:rFonts w:hint="eastAsia" w:ascii="方正仿宋_GBK" w:hAnsi="宋体" w:eastAsia="方正仿宋_GBK"/>
          <w:sz w:val="32"/>
          <w:szCs w:val="32"/>
        </w:rPr>
        <w:t>一是借助出访、来访接待等平台，拜访老朋友，结识新朋友，不断维护和扩大人脉资源；二是加强宣传，引导更多关注盐城发展的国际友人和热心人士，成为我们潜在人脉；三是注重荣誉引导，开展“荣誉市民”评比和参评活动，聘请“经济顾问”、“发展顾问”等，提升外国友人的荣誉感，引导更多外国人参与我市经济社会建设；四是依托友好协会、外国商会、国际经贸友好机构等组织发展友好力量，</w:t>
      </w:r>
      <w:r>
        <w:rPr>
          <w:rFonts w:hint="eastAsia" w:ascii="方正仿宋_GBK" w:eastAsia="方正仿宋_GBK"/>
          <w:sz w:val="32"/>
          <w:szCs w:val="32"/>
        </w:rPr>
        <w:t>通过频繁的友好往来，加深感情，积攒人脉</w:t>
      </w:r>
      <w:r>
        <w:rPr>
          <w:rFonts w:hint="eastAsia" w:ascii="方正仿宋_GBK" w:hAnsi="宋体" w:eastAsia="方正仿宋_GBK"/>
          <w:sz w:val="32"/>
          <w:szCs w:val="32"/>
        </w:rPr>
        <w:t>；五是组织外国人才艺大赛、外国友人看盐城等活动，提升外国友人对我市的融入度和参与度。</w:t>
      </w:r>
    </w:p>
    <w:p>
      <w:pPr>
        <w:spacing w:line="560" w:lineRule="exact"/>
        <w:ind w:firstLine="640" w:firstLineChars="200"/>
        <w:rPr>
          <w:rFonts w:hint="eastAsia" w:ascii="方正仿宋_GBK" w:hAnsi="宋体" w:eastAsia="方正仿宋_GBK"/>
          <w:sz w:val="32"/>
          <w:szCs w:val="32"/>
        </w:rPr>
      </w:pPr>
      <w:r>
        <w:rPr>
          <w:rFonts w:hint="eastAsia" w:ascii="方正楷体_GBK" w:hAnsi="宋体" w:eastAsia="方正楷体_GBK"/>
          <w:sz w:val="32"/>
          <w:szCs w:val="32"/>
        </w:rPr>
        <w:t>（六）发挥优势，推进友城间的经贸与文化交流。</w:t>
      </w:r>
      <w:r>
        <w:rPr>
          <w:rFonts w:hint="eastAsia" w:ascii="方正仿宋_GBK" w:hAnsi="宋体" w:eastAsia="方正仿宋_GBK"/>
          <w:sz w:val="32"/>
          <w:szCs w:val="32"/>
        </w:rPr>
        <w:t>在开展友城工作中，要针对不同国家城市的不同特点开展工作，寻求合作的共同点、兴奋点，确保持久合作、收到实效。在经贸交往方面，要利用畅通的友城渠道，积极邀请外宾、外商参加我市经贸洽谈会、丹顶鹤湿地文化艺术节、海盐文化艺术节等重大经贸文化活动，扩大我市影响，拓展合作发展空间，推进友城企业与我市企业对接。要积极鼓励那些热心我市经济社会发展人士多做贡献，聘请他们中的杰出代表担任我市“经济顾问”或“经贸代表”，通过他们邀请国内外社团、组织、优秀企业家，参与招商引资。在文化交流方面，一要体现特色。充分发掘我市富有特色的地方文化资源，积极开展多层次、多渠道、多形式、全方位对外文化交流，传播优秀传统文化，不断提高文化影响力。二要注重运作。切实把文化“走出去”工作与城市外交、经贸、教育、旅游、体育等工作结合起来，借助各种国际性的艺术节、书展、博览会等平台，提升我市文化走向世界的起点和层次，要着力培育一批有实力的对外文化交流骨干企业、中介机构，增强我市文化“走出去”的策划、组织和经营能力。三要提高水平。利用友城渠道，邀请外国优秀文化艺术团体来盐交流，加强文化的相互借鉴与提高。要以项目为支撑，大力推介盐城优秀文化产品，实现由友好性的交流向实质性的交往转变，实现经贸与文化交流相动共赢的局面。</w:t>
      </w:r>
    </w:p>
    <w:p>
      <w:pPr>
        <w:spacing w:line="560" w:lineRule="exact"/>
        <w:ind w:firstLine="640" w:firstLineChars="200"/>
        <w:rPr>
          <w:rFonts w:hint="eastAsia" w:ascii="方正仿宋_GBK" w:hAnsi="宋体" w:eastAsia="方正仿宋_GBK"/>
          <w:sz w:val="32"/>
          <w:szCs w:val="32"/>
        </w:rPr>
      </w:pPr>
    </w:p>
    <w:p>
      <w:pPr>
        <w:spacing w:line="560" w:lineRule="exact"/>
        <w:ind w:firstLine="640" w:firstLineChars="200"/>
        <w:rPr>
          <w:rFonts w:hint="eastAsia" w:ascii="方正仿宋_GBK" w:hAnsi="宋体" w:eastAsia="方正仿宋_GBK"/>
          <w:sz w:val="32"/>
          <w:szCs w:val="32"/>
        </w:rPr>
      </w:pPr>
    </w:p>
    <w:p>
      <w:pPr>
        <w:spacing w:line="560" w:lineRule="exact"/>
        <w:ind w:firstLine="640" w:firstLineChars="200"/>
        <w:rPr>
          <w:rFonts w:hint="eastAsia" w:ascii="方正仿宋_GBK" w:hAnsi="宋体" w:eastAsia="方正仿宋_GBK"/>
          <w:sz w:val="32"/>
          <w:szCs w:val="32"/>
        </w:rPr>
      </w:pPr>
    </w:p>
    <w:p>
      <w:pPr>
        <w:spacing w:line="560" w:lineRule="exact"/>
        <w:ind w:firstLine="640" w:firstLineChars="200"/>
        <w:rPr>
          <w:rFonts w:hint="eastAsia" w:ascii="方正仿宋_GBK" w:hAnsi="宋体" w:eastAsia="方正仿宋_GBK"/>
          <w:sz w:val="32"/>
          <w:szCs w:val="32"/>
        </w:rPr>
      </w:pPr>
    </w:p>
    <w:p>
      <w:pPr>
        <w:spacing w:line="560" w:lineRule="exact"/>
        <w:ind w:firstLine="640" w:firstLineChars="200"/>
        <w:rPr>
          <w:rFonts w:hint="eastAsia" w:ascii="方正仿宋_GBK" w:hAnsi="宋体" w:eastAsia="方正仿宋_GBK"/>
          <w:sz w:val="32"/>
          <w:szCs w:val="32"/>
        </w:rPr>
      </w:pPr>
    </w:p>
    <w:p>
      <w:pPr>
        <w:spacing w:line="560" w:lineRule="exact"/>
        <w:ind w:firstLine="640" w:firstLineChars="200"/>
        <w:rPr>
          <w:rFonts w:hint="eastAsia" w:ascii="方正仿宋_GBK" w:hAnsi="宋体" w:eastAsia="方正仿宋_GBK"/>
          <w:sz w:val="32"/>
          <w:szCs w:val="32"/>
        </w:rPr>
      </w:pPr>
    </w:p>
    <w:p>
      <w:pPr>
        <w:spacing w:line="560" w:lineRule="exact"/>
        <w:ind w:firstLine="640" w:firstLineChars="200"/>
        <w:rPr>
          <w:rFonts w:hint="eastAsia" w:ascii="方正仿宋_GBK" w:hAnsi="宋体" w:eastAsia="方正仿宋_GBK"/>
          <w:sz w:val="32"/>
          <w:szCs w:val="32"/>
        </w:rPr>
      </w:pPr>
    </w:p>
    <w:p>
      <w:pPr>
        <w:spacing w:line="560" w:lineRule="exact"/>
        <w:ind w:firstLine="640" w:firstLineChars="200"/>
        <w:rPr>
          <w:rFonts w:hint="eastAsia" w:ascii="方正仿宋_GBK" w:hAnsi="宋体" w:eastAsia="方正仿宋_GBK"/>
          <w:sz w:val="32"/>
          <w:szCs w:val="32"/>
        </w:rPr>
      </w:pPr>
    </w:p>
    <w:p>
      <w:pPr>
        <w:spacing w:line="560" w:lineRule="exact"/>
        <w:ind w:firstLine="640" w:firstLineChars="200"/>
        <w:rPr>
          <w:rFonts w:hint="eastAsia" w:ascii="方正仿宋_GBK" w:hAnsi="宋体" w:eastAsia="方正仿宋_GBK"/>
          <w:sz w:val="32"/>
          <w:szCs w:val="32"/>
        </w:rPr>
      </w:pPr>
    </w:p>
    <w:p>
      <w:pPr>
        <w:spacing w:line="560" w:lineRule="exact"/>
        <w:ind w:firstLine="640" w:firstLineChars="200"/>
        <w:rPr>
          <w:rFonts w:hint="eastAsia" w:ascii="方正仿宋_GBK" w:hAnsi="宋体" w:eastAsia="方正仿宋_GBK"/>
          <w:sz w:val="32"/>
          <w:szCs w:val="32"/>
        </w:rPr>
      </w:pPr>
    </w:p>
    <w:p>
      <w:pPr>
        <w:spacing w:line="560" w:lineRule="exact"/>
        <w:ind w:firstLine="640" w:firstLineChars="200"/>
        <w:rPr>
          <w:rFonts w:hint="eastAsia" w:ascii="方正仿宋_GBK" w:hAnsi="宋体" w:eastAsia="方正仿宋_GBK"/>
          <w:sz w:val="32"/>
          <w:szCs w:val="32"/>
        </w:rPr>
      </w:pPr>
    </w:p>
    <w:p>
      <w:pPr>
        <w:spacing w:line="560" w:lineRule="exact"/>
        <w:ind w:firstLine="640" w:firstLineChars="200"/>
        <w:rPr>
          <w:rFonts w:hint="eastAsia" w:ascii="方正仿宋_GBK" w:hAnsi="宋体" w:eastAsia="方正仿宋_GBK"/>
          <w:sz w:val="32"/>
          <w:szCs w:val="32"/>
        </w:rPr>
      </w:pPr>
    </w:p>
    <w:p>
      <w:pPr>
        <w:spacing w:line="560" w:lineRule="exact"/>
        <w:ind w:firstLine="640" w:firstLineChars="200"/>
        <w:rPr>
          <w:rFonts w:hint="eastAsia" w:ascii="方正仿宋_GBK" w:hAnsi="宋体" w:eastAsia="方正仿宋_GBK"/>
          <w:sz w:val="32"/>
          <w:szCs w:val="32"/>
        </w:rPr>
      </w:pPr>
    </w:p>
    <w:p>
      <w:pPr>
        <w:spacing w:line="560" w:lineRule="exact"/>
        <w:ind w:firstLine="160" w:firstLineChars="50"/>
        <w:rPr>
          <w:rFonts w:eastAsia="方正仿宋_GBK"/>
          <w:sz w:val="32"/>
          <w:szCs w:val="32"/>
        </w:rPr>
      </w:pPr>
      <w:r>
        <w:rPr>
          <w:rFonts w:eastAsia="方正仿宋_GBK"/>
          <w:sz w:val="32"/>
          <w:szCs w:val="32"/>
          <w:lang/>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358140</wp:posOffset>
                </wp:positionV>
                <wp:extent cx="5600700" cy="0"/>
                <wp:effectExtent l="0" t="0" r="0" b="0"/>
                <wp:wrapNone/>
                <wp:docPr id="2" name="直线 13"/>
                <wp:cNvGraphicFramePr/>
                <a:graphic xmlns:a="http://schemas.openxmlformats.org/drawingml/2006/main">
                  <a:graphicData uri="http://schemas.microsoft.com/office/word/2010/wordprocessingShape">
                    <wps:wsp>
                      <wps:cNvSpPr/>
                      <wps:spPr>
                        <a:xfrm>
                          <a:off x="0" y="0"/>
                          <a:ext cx="5600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3" o:spid="_x0000_s1026" o:spt="20" style="position:absolute;left:0pt;margin-left:0pt;margin-top:28.2pt;height:0pt;width:441pt;z-index:251660288;mso-width-relative:page;mso-height-relative:page;" filled="f" stroked="t" coordsize="21600,21600" o:gfxdata="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ZDYgAdMAAAAG&#10;AQAADwAAAAAAAAABACAAAAAiAAAAZHJzL2Rvd25yZXYueG1sUEsBAhQAFAAAAAgAh07iQKF8dKXo&#10;AQAA3AMAAA4AAAAAAAAAAQAgAAAAIgEAAGRycy9lMm9Eb2MueG1sUEsFBgAAAAAGAAYAWQEAAHwF&#10;AAAAAA==&#10;">
                <v:fill on="f" focussize="0,0"/>
                <v:stroke color="#000000" joinstyle="round"/>
                <v:imagedata o:title=""/>
                <o:lock v:ext="edit" aspectratio="f"/>
              </v:line>
            </w:pict>
          </mc:Fallback>
        </mc:AlternateContent>
      </w:r>
      <w:r>
        <w:rPr>
          <w:rFonts w:eastAsia="方正仿宋_GBK"/>
          <w:sz w:val="32"/>
          <w:szCs w:val="32"/>
          <w:lang/>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20320</wp:posOffset>
                </wp:positionV>
                <wp:extent cx="5600700" cy="0"/>
                <wp:effectExtent l="0" t="0" r="0" b="0"/>
                <wp:wrapNone/>
                <wp:docPr id="1" name="直线 12"/>
                <wp:cNvGraphicFramePr/>
                <a:graphic xmlns:a="http://schemas.openxmlformats.org/drawingml/2006/main">
                  <a:graphicData uri="http://schemas.microsoft.com/office/word/2010/wordprocessingShape">
                    <wps:wsp>
                      <wps:cNvSpPr/>
                      <wps:spPr>
                        <a:xfrm>
                          <a:off x="0" y="0"/>
                          <a:ext cx="5600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margin-left:0pt;margin-top:1.6pt;height:0pt;width:441pt;z-index:251659264;mso-width-relative:page;mso-height-relative:page;" filled="f" stroked="t" coordsize="21600,21600" o:gfxdata="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XCi07RAAAABAEA&#10;AA8AAAAAAAAAAQAgAAAAIgAAAGRycy9kb3ducmV2LnhtbFBLAQIUABQAAAAIAIdO4kCXxhAx6AEA&#10;ANwDAAAOAAAAAAAAAAEAIAAAACABAABkcnMvZTJvRG9jLnhtbFBLBQYAAAAABgAGAFkBAAB6BQAA&#10;AAA=&#10;">
                <v:fill on="f" focussize="0,0"/>
                <v:stroke color="#000000" joinstyle="round"/>
                <v:imagedata o:title=""/>
                <o:lock v:ext="edit" aspectratio="f"/>
              </v:line>
            </w:pict>
          </mc:Fallback>
        </mc:AlternateContent>
      </w:r>
      <w:r>
        <w:rPr>
          <w:rFonts w:eastAsia="方正仿宋_GBK"/>
          <w:sz w:val="32"/>
          <w:szCs w:val="32"/>
        </w:rPr>
        <w:t xml:space="preserve">盐城市人民政府外事办公室  </w:t>
      </w:r>
      <w:r>
        <w:rPr>
          <w:rFonts w:hint="eastAsia" w:eastAsia="方正仿宋_GBK"/>
          <w:sz w:val="32"/>
          <w:szCs w:val="32"/>
        </w:rPr>
        <w:t xml:space="preserve">      </w:t>
      </w:r>
      <w:r>
        <w:rPr>
          <w:rFonts w:eastAsia="方正仿宋_GBK"/>
          <w:sz w:val="32"/>
          <w:szCs w:val="32"/>
        </w:rPr>
        <w:t>2014年7月</w:t>
      </w:r>
      <w:r>
        <w:rPr>
          <w:rFonts w:hint="eastAsia" w:eastAsia="方正仿宋_GBK"/>
          <w:sz w:val="32"/>
          <w:szCs w:val="32"/>
        </w:rPr>
        <w:t>18</w:t>
      </w:r>
      <w:r>
        <w:rPr>
          <w:rFonts w:eastAsia="方正仿宋_GBK"/>
          <w:sz w:val="32"/>
          <w:szCs w:val="32"/>
        </w:rPr>
        <w:t>日印发</w:t>
      </w:r>
    </w:p>
    <w:sectPr>
      <w:footerReference r:id="rId3" w:type="default"/>
      <w:footerReference r:id="rId4" w:type="even"/>
      <w:pgSz w:w="11906" w:h="16838"/>
      <w:pgMar w:top="2098" w:right="1474" w:bottom="1985" w:left="1588" w:header="851" w:footer="1588" w:gutter="0"/>
      <w:pgNumType w:fmt="decimalFullWidth"/>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E9E0BE2-1B35-4AE9-85C9-1228134EFC3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汉鼎简大宋">
    <w:altName w:val="宋体"/>
    <w:panose1 w:val="02010609010101010101"/>
    <w:charset w:val="86"/>
    <w:family w:val="modern"/>
    <w:pitch w:val="default"/>
    <w:sig w:usb0="00000001" w:usb1="080E0000" w:usb2="00000010" w:usb3="00000000" w:csb0="00040000" w:csb1="00000000"/>
  </w:font>
  <w:font w:name="方正小标宋简体">
    <w:panose1 w:val="02000000000000000000"/>
    <w:charset w:val="86"/>
    <w:family w:val="script"/>
    <w:pitch w:val="default"/>
    <w:sig w:usb0="00000001" w:usb1="08000000" w:usb2="00000000" w:usb3="00000000" w:csb0="00040000" w:csb1="00000000"/>
    <w:embedRegular r:id="rId2" w:fontKey="{DC4C6129-DB93-4681-BAFE-95C3BC12CA59}"/>
  </w:font>
  <w:font w:name="方正仿宋_GBK">
    <w:panose1 w:val="02000000000000000000"/>
    <w:charset w:val="86"/>
    <w:family w:val="script"/>
    <w:pitch w:val="default"/>
    <w:sig w:usb0="00000001" w:usb1="080E0000" w:usb2="00000000" w:usb3="00000000" w:csb0="00040000" w:csb1="00000000"/>
    <w:embedRegular r:id="rId3" w:fontKey="{72BF9B98-EF43-4270-B439-054CAEAA0488}"/>
  </w:font>
  <w:font w:name="方正小标宋_GBK">
    <w:panose1 w:val="02000000000000000000"/>
    <w:charset w:val="86"/>
    <w:family w:val="script"/>
    <w:pitch w:val="default"/>
    <w:sig w:usb0="00000001" w:usb1="080E0000" w:usb2="00000000" w:usb3="00000000" w:csb0="00040000" w:csb1="00000000"/>
    <w:embedRegular r:id="rId4" w:fontKey="{BB8D32C9-5431-42B5-8F60-9F50399E00CF}"/>
  </w:font>
  <w:font w:name="仿宋_GB2312">
    <w:altName w:val="仿宋"/>
    <w:panose1 w:val="02010609030101010101"/>
    <w:charset w:val="86"/>
    <w:family w:val="modern"/>
    <w:pitch w:val="default"/>
    <w:sig w:usb0="00000001" w:usb1="080E0000" w:usb2="00000010" w:usb3="00000000" w:csb0="00040000" w:csb1="00000000"/>
    <w:embedRegular r:id="rId5" w:fontKey="{3DFB762C-F1C8-43FE-AF93-C6DBD5B3D161}"/>
  </w:font>
  <w:font w:name="方正楷体_GBK">
    <w:panose1 w:val="02000000000000000000"/>
    <w:charset w:val="86"/>
    <w:family w:val="script"/>
    <w:pitch w:val="default"/>
    <w:sig w:usb0="00000001" w:usb1="080E0000" w:usb2="00000000" w:usb3="00000000" w:csb0="00040000" w:csb1="00000000"/>
    <w:embedRegular r:id="rId6" w:fontKey="{986E7D7A-B6A0-4410-B291-1724820A8737}"/>
  </w:font>
  <w:font w:name="方正黑体_GBK">
    <w:panose1 w:val="03000509000000000000"/>
    <w:charset w:val="86"/>
    <w:family w:val="script"/>
    <w:pitch w:val="default"/>
    <w:sig w:usb0="00000001" w:usb1="080E0000" w:usb2="00000000" w:usb3="00000000" w:csb0="00040000" w:csb1="00000000"/>
    <w:embedRegular r:id="rId7" w:fontKey="{0C69E43B-FA1E-49AA-9971-11B1DA6C4FBC}"/>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9"/>
        <w:rFonts w:hint="eastAsia"/>
        <w:sz w:val="28"/>
        <w:szCs w:val="28"/>
      </w:rPr>
    </w:pPr>
    <w:r>
      <w:rPr>
        <w:rStyle w:val="9"/>
        <w:rFonts w:hint="eastAsia"/>
        <w:sz w:val="28"/>
        <w:szCs w:val="28"/>
      </w:rPr>
      <w:t>—</w:t>
    </w:r>
    <w:r>
      <w:rPr>
        <w:rStyle w:val="9"/>
        <w:sz w:val="28"/>
        <w:szCs w:val="28"/>
      </w:rPr>
      <w:fldChar w:fldCharType="begin"/>
    </w:r>
    <w:r>
      <w:rPr>
        <w:rStyle w:val="9"/>
        <w:sz w:val="28"/>
        <w:szCs w:val="28"/>
      </w:rPr>
      <w:instrText xml:space="preserve">PAGE  </w:instrText>
    </w:r>
    <w:r>
      <w:rPr>
        <w:rStyle w:val="9"/>
        <w:sz w:val="28"/>
        <w:szCs w:val="28"/>
      </w:rPr>
      <w:fldChar w:fldCharType="separate"/>
    </w:r>
    <w:r>
      <w:rPr>
        <w:rStyle w:val="9"/>
        <w:rFonts w:hint="eastAsia"/>
        <w:sz w:val="28"/>
        <w:szCs w:val="28"/>
        <w:lang/>
      </w:rPr>
      <w:t>１１</w:t>
    </w:r>
    <w:r>
      <w:rPr>
        <w:rStyle w:val="9"/>
        <w:sz w:val="28"/>
        <w:szCs w:val="28"/>
      </w:rPr>
      <w:fldChar w:fldCharType="end"/>
    </w:r>
    <w:r>
      <w:rPr>
        <w:rStyle w:val="9"/>
        <w:rFonts w:hint="eastAsia"/>
        <w:sz w:val="28"/>
        <w:szCs w:val="28"/>
      </w:rPr>
      <w:t>—</w:t>
    </w:r>
  </w:p>
  <w:p>
    <w:pPr>
      <w:pStyle w:val="4"/>
      <w:ind w:right="360"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9"/>
        <w:rFonts w:hint="eastAsia"/>
        <w:sz w:val="28"/>
        <w:szCs w:val="28"/>
      </w:rPr>
    </w:pPr>
    <w:r>
      <w:rPr>
        <w:rStyle w:val="9"/>
        <w:rFonts w:hint="eastAsia"/>
        <w:sz w:val="28"/>
        <w:szCs w:val="28"/>
      </w:rPr>
      <w:t>—</w:t>
    </w:r>
    <w:r>
      <w:rPr>
        <w:rStyle w:val="9"/>
        <w:sz w:val="28"/>
        <w:szCs w:val="28"/>
      </w:rPr>
      <w:fldChar w:fldCharType="begin"/>
    </w:r>
    <w:r>
      <w:rPr>
        <w:rStyle w:val="9"/>
        <w:sz w:val="28"/>
        <w:szCs w:val="28"/>
      </w:rPr>
      <w:instrText xml:space="preserve">PAGE  </w:instrText>
    </w:r>
    <w:r>
      <w:rPr>
        <w:rStyle w:val="9"/>
        <w:sz w:val="28"/>
        <w:szCs w:val="28"/>
      </w:rPr>
      <w:fldChar w:fldCharType="separate"/>
    </w:r>
    <w:r>
      <w:rPr>
        <w:rStyle w:val="9"/>
        <w:rFonts w:hint="eastAsia"/>
        <w:sz w:val="28"/>
        <w:szCs w:val="28"/>
        <w:lang/>
      </w:rPr>
      <w:t>１０</w:t>
    </w:r>
    <w:r>
      <w:rPr>
        <w:rStyle w:val="9"/>
        <w:sz w:val="28"/>
        <w:szCs w:val="28"/>
      </w:rPr>
      <w:fldChar w:fldCharType="end"/>
    </w:r>
    <w:r>
      <w:rPr>
        <w:rStyle w:val="9"/>
        <w:rFonts w:hint="eastAsia"/>
        <w:sz w:val="28"/>
        <w:szCs w:val="28"/>
      </w:rPr>
      <w:t>—</w:t>
    </w:r>
  </w:p>
  <w:p>
    <w:pPr>
      <w:pStyle w:val="4"/>
      <w:ind w:right="360" w:firstLine="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5744AB"/>
    <w:multiLevelType w:val="multilevel"/>
    <w:tmpl w:val="035744AB"/>
    <w:lvl w:ilvl="0" w:tentative="0">
      <w:start w:val="1"/>
      <w:numFmt w:val="japaneseCounting"/>
      <w:lvlText w:val="%1、"/>
      <w:lvlJc w:val="left"/>
      <w:pPr>
        <w:tabs>
          <w:tab w:val="left" w:pos="1360"/>
        </w:tabs>
        <w:ind w:left="1360" w:hanging="720"/>
      </w:pPr>
      <w:rPr>
        <w:rFonts w:hint="default"/>
      </w:rPr>
    </w:lvl>
    <w:lvl w:ilvl="1" w:tentative="0">
      <w:start w:val="1"/>
      <w:numFmt w:val="lowerLetter"/>
      <w:lvlText w:val="%2)"/>
      <w:lvlJc w:val="left"/>
      <w:pPr>
        <w:tabs>
          <w:tab w:val="left" w:pos="1480"/>
        </w:tabs>
        <w:ind w:left="1480" w:hanging="420"/>
      </w:pPr>
    </w:lvl>
    <w:lvl w:ilvl="2" w:tentative="0">
      <w:start w:val="1"/>
      <w:numFmt w:val="lowerRoman"/>
      <w:lvlText w:val="%3."/>
      <w:lvlJc w:val="right"/>
      <w:pPr>
        <w:tabs>
          <w:tab w:val="left" w:pos="1900"/>
        </w:tabs>
        <w:ind w:left="1900" w:hanging="420"/>
      </w:pPr>
    </w:lvl>
    <w:lvl w:ilvl="3" w:tentative="0">
      <w:start w:val="1"/>
      <w:numFmt w:val="decimal"/>
      <w:lvlText w:val="%4."/>
      <w:lvlJc w:val="left"/>
      <w:pPr>
        <w:tabs>
          <w:tab w:val="left" w:pos="2320"/>
        </w:tabs>
        <w:ind w:left="2320" w:hanging="420"/>
      </w:pPr>
    </w:lvl>
    <w:lvl w:ilvl="4" w:tentative="0">
      <w:start w:val="1"/>
      <w:numFmt w:val="lowerLetter"/>
      <w:lvlText w:val="%5)"/>
      <w:lvlJc w:val="left"/>
      <w:pPr>
        <w:tabs>
          <w:tab w:val="left" w:pos="2740"/>
        </w:tabs>
        <w:ind w:left="2740" w:hanging="420"/>
      </w:pPr>
    </w:lvl>
    <w:lvl w:ilvl="5" w:tentative="0">
      <w:start w:val="1"/>
      <w:numFmt w:val="lowerRoman"/>
      <w:lvlText w:val="%6."/>
      <w:lvlJc w:val="right"/>
      <w:pPr>
        <w:tabs>
          <w:tab w:val="left" w:pos="3160"/>
        </w:tabs>
        <w:ind w:left="3160" w:hanging="420"/>
      </w:pPr>
    </w:lvl>
    <w:lvl w:ilvl="6" w:tentative="0">
      <w:start w:val="1"/>
      <w:numFmt w:val="decimal"/>
      <w:lvlText w:val="%7."/>
      <w:lvlJc w:val="left"/>
      <w:pPr>
        <w:tabs>
          <w:tab w:val="left" w:pos="3580"/>
        </w:tabs>
        <w:ind w:left="3580" w:hanging="420"/>
      </w:pPr>
    </w:lvl>
    <w:lvl w:ilvl="7" w:tentative="0">
      <w:start w:val="1"/>
      <w:numFmt w:val="lowerLetter"/>
      <w:lvlText w:val="%8)"/>
      <w:lvlJc w:val="left"/>
      <w:pPr>
        <w:tabs>
          <w:tab w:val="left" w:pos="4000"/>
        </w:tabs>
        <w:ind w:left="4000" w:hanging="420"/>
      </w:pPr>
    </w:lvl>
    <w:lvl w:ilvl="8" w:tentative="0">
      <w:start w:val="1"/>
      <w:numFmt w:val="lowerRoman"/>
      <w:lvlText w:val="%9."/>
      <w:lvlJc w:val="right"/>
      <w:pPr>
        <w:tabs>
          <w:tab w:val="left" w:pos="4420"/>
        </w:tabs>
        <w:ind w:left="442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2MmRkM2NjNjk0MTA3NjVmYjcyZWY1NDg5MTM3NDQifQ=="/>
  </w:docVars>
  <w:rsids>
    <w:rsidRoot w:val="005548AF"/>
    <w:rsid w:val="00002EE7"/>
    <w:rsid w:val="0001207A"/>
    <w:rsid w:val="00024E96"/>
    <w:rsid w:val="0002687C"/>
    <w:rsid w:val="00035C04"/>
    <w:rsid w:val="000370E1"/>
    <w:rsid w:val="00054B42"/>
    <w:rsid w:val="0006750C"/>
    <w:rsid w:val="000675D7"/>
    <w:rsid w:val="00071178"/>
    <w:rsid w:val="000801C2"/>
    <w:rsid w:val="00084C42"/>
    <w:rsid w:val="000A05AB"/>
    <w:rsid w:val="000A1297"/>
    <w:rsid w:val="000B1D9B"/>
    <w:rsid w:val="000B23E5"/>
    <w:rsid w:val="000D35B5"/>
    <w:rsid w:val="000D5EE8"/>
    <w:rsid w:val="000D752C"/>
    <w:rsid w:val="000E0181"/>
    <w:rsid w:val="000E39E3"/>
    <w:rsid w:val="000E5F88"/>
    <w:rsid w:val="00106647"/>
    <w:rsid w:val="00112724"/>
    <w:rsid w:val="00113CB5"/>
    <w:rsid w:val="00114834"/>
    <w:rsid w:val="00131CA2"/>
    <w:rsid w:val="001369F4"/>
    <w:rsid w:val="001524A2"/>
    <w:rsid w:val="00152E85"/>
    <w:rsid w:val="001677FF"/>
    <w:rsid w:val="001736BB"/>
    <w:rsid w:val="00175E94"/>
    <w:rsid w:val="001857CA"/>
    <w:rsid w:val="00195303"/>
    <w:rsid w:val="001A61F5"/>
    <w:rsid w:val="001B5DAA"/>
    <w:rsid w:val="001C0DEA"/>
    <w:rsid w:val="001C2093"/>
    <w:rsid w:val="001C71EB"/>
    <w:rsid w:val="001D023D"/>
    <w:rsid w:val="001E2008"/>
    <w:rsid w:val="001E2856"/>
    <w:rsid w:val="00211D66"/>
    <w:rsid w:val="00221766"/>
    <w:rsid w:val="002501B1"/>
    <w:rsid w:val="0026390A"/>
    <w:rsid w:val="002A355D"/>
    <w:rsid w:val="002A54D9"/>
    <w:rsid w:val="002C0EE3"/>
    <w:rsid w:val="002C360C"/>
    <w:rsid w:val="002C6899"/>
    <w:rsid w:val="002E5D68"/>
    <w:rsid w:val="002F2F2E"/>
    <w:rsid w:val="00300BEC"/>
    <w:rsid w:val="00326D99"/>
    <w:rsid w:val="00327208"/>
    <w:rsid w:val="0032744D"/>
    <w:rsid w:val="00334D25"/>
    <w:rsid w:val="00340B2E"/>
    <w:rsid w:val="003417E1"/>
    <w:rsid w:val="00344E35"/>
    <w:rsid w:val="00350543"/>
    <w:rsid w:val="00350A9F"/>
    <w:rsid w:val="00365F2D"/>
    <w:rsid w:val="00381366"/>
    <w:rsid w:val="003821A8"/>
    <w:rsid w:val="003828C8"/>
    <w:rsid w:val="0038767B"/>
    <w:rsid w:val="00396EBA"/>
    <w:rsid w:val="003A7399"/>
    <w:rsid w:val="003B7A7A"/>
    <w:rsid w:val="003C0EB2"/>
    <w:rsid w:val="003C3552"/>
    <w:rsid w:val="003C7251"/>
    <w:rsid w:val="003D4510"/>
    <w:rsid w:val="003F258A"/>
    <w:rsid w:val="0040476A"/>
    <w:rsid w:val="00413F0E"/>
    <w:rsid w:val="0043367A"/>
    <w:rsid w:val="00455A78"/>
    <w:rsid w:val="00467FCA"/>
    <w:rsid w:val="00482777"/>
    <w:rsid w:val="00492F34"/>
    <w:rsid w:val="004A0638"/>
    <w:rsid w:val="004B3005"/>
    <w:rsid w:val="004D5DE2"/>
    <w:rsid w:val="004E6F0A"/>
    <w:rsid w:val="00511628"/>
    <w:rsid w:val="00514F05"/>
    <w:rsid w:val="00553A38"/>
    <w:rsid w:val="005548AF"/>
    <w:rsid w:val="005554A9"/>
    <w:rsid w:val="005562AF"/>
    <w:rsid w:val="005627DE"/>
    <w:rsid w:val="005645B8"/>
    <w:rsid w:val="00567277"/>
    <w:rsid w:val="00592FF3"/>
    <w:rsid w:val="005A4F44"/>
    <w:rsid w:val="005D21A3"/>
    <w:rsid w:val="005D3F4C"/>
    <w:rsid w:val="005E68F3"/>
    <w:rsid w:val="00605F19"/>
    <w:rsid w:val="00637E30"/>
    <w:rsid w:val="00641EC5"/>
    <w:rsid w:val="00671FA1"/>
    <w:rsid w:val="00693116"/>
    <w:rsid w:val="006C1ABC"/>
    <w:rsid w:val="006C2944"/>
    <w:rsid w:val="006D13D1"/>
    <w:rsid w:val="006D4A0F"/>
    <w:rsid w:val="006F4283"/>
    <w:rsid w:val="0070519F"/>
    <w:rsid w:val="00716209"/>
    <w:rsid w:val="00720B49"/>
    <w:rsid w:val="00722897"/>
    <w:rsid w:val="00734088"/>
    <w:rsid w:val="00745043"/>
    <w:rsid w:val="00745958"/>
    <w:rsid w:val="00770E78"/>
    <w:rsid w:val="00770FA6"/>
    <w:rsid w:val="007744E8"/>
    <w:rsid w:val="007955AF"/>
    <w:rsid w:val="007A02C1"/>
    <w:rsid w:val="007A32A3"/>
    <w:rsid w:val="007B2D14"/>
    <w:rsid w:val="007B5818"/>
    <w:rsid w:val="007B5C77"/>
    <w:rsid w:val="007C2F0F"/>
    <w:rsid w:val="007D1A55"/>
    <w:rsid w:val="007D2EE5"/>
    <w:rsid w:val="007D46E3"/>
    <w:rsid w:val="007D710C"/>
    <w:rsid w:val="007E06F1"/>
    <w:rsid w:val="007F00C0"/>
    <w:rsid w:val="00815982"/>
    <w:rsid w:val="00816CD4"/>
    <w:rsid w:val="008220D7"/>
    <w:rsid w:val="008252FB"/>
    <w:rsid w:val="00825A72"/>
    <w:rsid w:val="0083588F"/>
    <w:rsid w:val="008503BB"/>
    <w:rsid w:val="008542EE"/>
    <w:rsid w:val="00865C03"/>
    <w:rsid w:val="00872037"/>
    <w:rsid w:val="00875E46"/>
    <w:rsid w:val="008763CD"/>
    <w:rsid w:val="0088292A"/>
    <w:rsid w:val="008B5CE1"/>
    <w:rsid w:val="008B6B90"/>
    <w:rsid w:val="008B7745"/>
    <w:rsid w:val="008C02D2"/>
    <w:rsid w:val="008C6B89"/>
    <w:rsid w:val="008D6097"/>
    <w:rsid w:val="008D6D2F"/>
    <w:rsid w:val="008E7D68"/>
    <w:rsid w:val="00923844"/>
    <w:rsid w:val="009315F0"/>
    <w:rsid w:val="00940AD8"/>
    <w:rsid w:val="00954091"/>
    <w:rsid w:val="00955682"/>
    <w:rsid w:val="0096700C"/>
    <w:rsid w:val="009A47F5"/>
    <w:rsid w:val="009A7144"/>
    <w:rsid w:val="009B0F47"/>
    <w:rsid w:val="009C3E2A"/>
    <w:rsid w:val="009D4C5E"/>
    <w:rsid w:val="009D7E13"/>
    <w:rsid w:val="009F17BA"/>
    <w:rsid w:val="00A02212"/>
    <w:rsid w:val="00A10676"/>
    <w:rsid w:val="00A200A6"/>
    <w:rsid w:val="00A57A00"/>
    <w:rsid w:val="00A60CE3"/>
    <w:rsid w:val="00A61C3D"/>
    <w:rsid w:val="00A7074E"/>
    <w:rsid w:val="00A74D97"/>
    <w:rsid w:val="00A82841"/>
    <w:rsid w:val="00A916DB"/>
    <w:rsid w:val="00AA60D7"/>
    <w:rsid w:val="00AA6FA8"/>
    <w:rsid w:val="00AB74C9"/>
    <w:rsid w:val="00AC0418"/>
    <w:rsid w:val="00AC36AF"/>
    <w:rsid w:val="00AF1171"/>
    <w:rsid w:val="00AF5F56"/>
    <w:rsid w:val="00B25887"/>
    <w:rsid w:val="00B4305C"/>
    <w:rsid w:val="00B51BF2"/>
    <w:rsid w:val="00B71D39"/>
    <w:rsid w:val="00B7791B"/>
    <w:rsid w:val="00B84777"/>
    <w:rsid w:val="00B9600E"/>
    <w:rsid w:val="00BB2E85"/>
    <w:rsid w:val="00BB7158"/>
    <w:rsid w:val="00BC632D"/>
    <w:rsid w:val="00BF63B9"/>
    <w:rsid w:val="00C10C76"/>
    <w:rsid w:val="00C23D5A"/>
    <w:rsid w:val="00C50033"/>
    <w:rsid w:val="00C547AC"/>
    <w:rsid w:val="00C65685"/>
    <w:rsid w:val="00C72F71"/>
    <w:rsid w:val="00C82437"/>
    <w:rsid w:val="00C83935"/>
    <w:rsid w:val="00C83D15"/>
    <w:rsid w:val="00CC3FE8"/>
    <w:rsid w:val="00CD060D"/>
    <w:rsid w:val="00CD19D0"/>
    <w:rsid w:val="00CE21F4"/>
    <w:rsid w:val="00CF0219"/>
    <w:rsid w:val="00D31DC4"/>
    <w:rsid w:val="00D33504"/>
    <w:rsid w:val="00D35BC8"/>
    <w:rsid w:val="00D467DC"/>
    <w:rsid w:val="00D47ACE"/>
    <w:rsid w:val="00D76846"/>
    <w:rsid w:val="00D77276"/>
    <w:rsid w:val="00D8103C"/>
    <w:rsid w:val="00D84CA6"/>
    <w:rsid w:val="00DA34C2"/>
    <w:rsid w:val="00DC1995"/>
    <w:rsid w:val="00DC510E"/>
    <w:rsid w:val="00DD68FD"/>
    <w:rsid w:val="00DE6482"/>
    <w:rsid w:val="00DF0AB6"/>
    <w:rsid w:val="00DF3499"/>
    <w:rsid w:val="00E02A39"/>
    <w:rsid w:val="00E248C6"/>
    <w:rsid w:val="00E43A4E"/>
    <w:rsid w:val="00E47968"/>
    <w:rsid w:val="00E558B7"/>
    <w:rsid w:val="00E63860"/>
    <w:rsid w:val="00E64C4E"/>
    <w:rsid w:val="00E86968"/>
    <w:rsid w:val="00E958D0"/>
    <w:rsid w:val="00EC0A5B"/>
    <w:rsid w:val="00ED184C"/>
    <w:rsid w:val="00ED2398"/>
    <w:rsid w:val="00ED42A9"/>
    <w:rsid w:val="00EF2968"/>
    <w:rsid w:val="00EF7A8F"/>
    <w:rsid w:val="00F123CE"/>
    <w:rsid w:val="00F2392D"/>
    <w:rsid w:val="00F45563"/>
    <w:rsid w:val="00F54D7D"/>
    <w:rsid w:val="00F5623E"/>
    <w:rsid w:val="00F60D15"/>
    <w:rsid w:val="00F71DF0"/>
    <w:rsid w:val="00F71F48"/>
    <w:rsid w:val="00F743C5"/>
    <w:rsid w:val="00F84ADB"/>
    <w:rsid w:val="00F90AF1"/>
    <w:rsid w:val="00FC04CD"/>
    <w:rsid w:val="00FC18CD"/>
    <w:rsid w:val="00FC27DA"/>
    <w:rsid w:val="00FC78B1"/>
    <w:rsid w:val="00FD0EE6"/>
    <w:rsid w:val="00FD6C58"/>
    <w:rsid w:val="00FE309C"/>
    <w:rsid w:val="00FE5AF6"/>
    <w:rsid w:val="00FF0DE5"/>
    <w:rsid w:val="00FF2FA0"/>
    <w:rsid w:val="27641506"/>
    <w:rsid w:val="45DB74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character" w:default="1" w:styleId="8">
    <w:name w:val="Default Paragraph Font"/>
    <w:semiHidden/>
    <w:uiPriority w:val="0"/>
  </w:style>
  <w:style w:type="table" w:default="1" w:styleId="6">
    <w:name w:val="Normal Table"/>
    <w:semiHidden/>
    <w:uiPriority w:val="0"/>
    <w:tblPr>
      <w:tblStyle w:val="6"/>
      <w:tblCellMar>
        <w:top w:w="0" w:type="dxa"/>
        <w:left w:w="108" w:type="dxa"/>
        <w:bottom w:w="0" w:type="dxa"/>
        <w:right w:w="108" w:type="dxa"/>
      </w:tblCellMar>
    </w:tblPr>
  </w:style>
  <w:style w:type="paragraph" w:styleId="2">
    <w:name w:val="Date"/>
    <w:basedOn w:val="1"/>
    <w:next w:val="1"/>
    <w:uiPriority w:val="0"/>
    <w:pPr>
      <w:ind w:left="100" w:leftChars="2500"/>
    </w:pPr>
  </w:style>
  <w:style w:type="paragraph" w:styleId="3">
    <w:name w:val="Balloon Text"/>
    <w:basedOn w:val="1"/>
    <w:semiHidden/>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0"/>
    <w:pPr>
      <w:widowControl w:val="0"/>
      <w:jc w:val="both"/>
    </w:pPr>
    <w:tblPr>
      <w:tblStyle w:val="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uiPriority w:val="0"/>
  </w:style>
  <w:style w:type="character" w:styleId="10">
    <w:name w:val="Emphasis"/>
    <w:basedOn w:val="8"/>
    <w:uiPriority w:val="0"/>
    <w:rPr>
      <w:i/>
      <w:iCs/>
    </w:rPr>
  </w:style>
  <w:style w:type="character" w:styleId="11">
    <w:name w:val="Hyperlink"/>
    <w:basedOn w:val="8"/>
    <w:uiPriority w:val="0"/>
    <w:rPr>
      <w:color w:val="0000FF"/>
      <w:u w:val="single"/>
    </w:rPr>
  </w:style>
  <w:style w:type="paragraph" w:customStyle="1" w:styleId="12">
    <w:name w:val=" Char Char1 Char Char Char Char Char Char Char"/>
    <w:basedOn w:val="1"/>
    <w:uiPriority w:val="0"/>
    <w:pPr>
      <w:widowControl/>
      <w:spacing w:after="160" w:line="240" w:lineRule="exact"/>
      <w:jc w:val="left"/>
    </w:pPr>
    <w:rPr>
      <w:rFonts w:ascii="Tahoma" w:hAnsi="Tahoma" w:eastAsia="Times New Roman" w:cs="Tahoma"/>
      <w:kern w:val="0"/>
      <w:sz w:val="20"/>
      <w:szCs w:val="20"/>
      <w:lang w:eastAsia="en-US"/>
    </w:rPr>
  </w:style>
  <w:style w:type="paragraph" w:customStyle="1" w:styleId="13">
    <w:name w:val="标题1"/>
    <w:basedOn w:val="1"/>
    <w:next w:val="1"/>
    <w:uiPriority w:val="0"/>
    <w:pPr>
      <w:tabs>
        <w:tab w:val="left" w:pos="9193"/>
        <w:tab w:val="left" w:pos="9827"/>
      </w:tabs>
      <w:autoSpaceDE w:val="0"/>
      <w:autoSpaceDN w:val="0"/>
      <w:snapToGrid w:val="0"/>
      <w:spacing w:line="700" w:lineRule="atLeast"/>
      <w:jc w:val="center"/>
    </w:pPr>
    <w:rPr>
      <w:rFonts w:ascii="汉鼎简大宋" w:eastAsia="汉鼎简大宋"/>
      <w:sz w:val="44"/>
      <w:szCs w:val="20"/>
    </w:rPr>
  </w:style>
  <w:style w:type="character" w:customStyle="1" w:styleId="14">
    <w:name w:val="pubflights_nx flight_name"/>
    <w:basedOn w:val="8"/>
    <w:uiPriority w:val="0"/>
  </w:style>
  <w:style w:type="character" w:customStyle="1" w:styleId="15">
    <w:name w:val="flight_airline2"/>
    <w:basedOn w:val="8"/>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www.ftpdown.com</Company>
  <Pages>11</Pages>
  <Words>5447</Words>
  <Characters>5488</Characters>
  <Lines>39</Lines>
  <Paragraphs>11</Paragraphs>
  <TotalTime>0</TotalTime>
  <ScaleCrop>false</ScaleCrop>
  <LinksUpToDate>false</LinksUpToDate>
  <CharactersWithSpaces>5538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2014-06-10T02:33:00Z</dcterms:created>
  <dc:creator>User</dc:creator>
  <cp:lastModifiedBy>夏华珍</cp:lastModifiedBy>
  <cp:lastPrinted>2014-09-25T01:16:00Z</cp:lastPrinted>
  <dcterms:modified xsi:type="dcterms:W3CDTF">2023-07-21T16:34:07Z</dcterms:modified>
  <dc:title>关于我市组团赴香港、澳门、深圳</dc:title>
  <cp:revision>125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38BE8F6938414E4A97571444C6CBDD0B_13</vt:lpwstr>
  </property>
</Properties>
</file>