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500" w:lineRule="exact"/>
        <w:jc w:val="center"/>
        <w:rPr>
          <w:rFonts w:hint="eastAsia" w:eastAsia="方正小标宋简体"/>
          <w:sz w:val="44"/>
          <w:szCs w:val="44"/>
          <w:highlight w:val="none"/>
        </w:rPr>
      </w:pPr>
      <w:bookmarkStart w:id="0" w:name="_Toc63173855"/>
      <w:bookmarkStart w:id="1" w:name="_Toc17322"/>
      <w:bookmarkStart w:id="2" w:name="_Toc63173773"/>
      <w:bookmarkStart w:id="3" w:name="_Toc63155668"/>
    </w:p>
    <w:p>
      <w:pPr>
        <w:jc w:val="center"/>
        <w:rPr>
          <w:rFonts w:eastAsia="方正小标宋简体"/>
          <w:sz w:val="44"/>
          <w:szCs w:val="44"/>
          <w:highlight w:val="none"/>
        </w:rPr>
      </w:pPr>
    </w:p>
    <w:p>
      <w:pPr>
        <w:jc w:val="center"/>
        <w:rPr>
          <w:rFonts w:eastAsia="方正小标宋简体"/>
          <w:sz w:val="44"/>
          <w:szCs w:val="44"/>
          <w:highlight w:val="none"/>
        </w:rPr>
      </w:pPr>
    </w:p>
    <w:p>
      <w:pPr>
        <w:jc w:val="center"/>
        <w:rPr>
          <w:rFonts w:eastAsia="方正小标宋简体"/>
          <w:sz w:val="44"/>
          <w:szCs w:val="44"/>
          <w:highlight w:val="none"/>
        </w:rPr>
      </w:pPr>
    </w:p>
    <w:p>
      <w:pPr>
        <w:jc w:val="center"/>
        <w:rPr>
          <w:rFonts w:eastAsia="方正小标宋简体"/>
          <w:sz w:val="44"/>
          <w:szCs w:val="44"/>
          <w:highlight w:val="none"/>
        </w:rPr>
      </w:pPr>
      <w:r>
        <w:rPr>
          <w:rFonts w:eastAsia="方正小标宋简体"/>
          <w:sz w:val="44"/>
          <w:szCs w:val="44"/>
          <w:highlight w:val="none"/>
        </w:rPr>
        <w:t>丽水市教育事业发展“十四五”规划</w:t>
      </w:r>
    </w:p>
    <w:p>
      <w:pPr>
        <w:jc w:val="center"/>
        <w:rPr>
          <w:rFonts w:eastAsia="方正小标宋简体"/>
          <w:sz w:val="44"/>
          <w:szCs w:val="44"/>
          <w:highlight w:val="none"/>
        </w:rPr>
      </w:pPr>
    </w:p>
    <w:p>
      <w:pPr>
        <w:jc w:val="center"/>
        <w:rPr>
          <w:rFonts w:eastAsia="方正小标宋简体"/>
          <w:sz w:val="44"/>
          <w:szCs w:val="44"/>
          <w:highlight w:val="none"/>
        </w:rPr>
      </w:pPr>
    </w:p>
    <w:p>
      <w:pPr>
        <w:jc w:val="center"/>
        <w:rPr>
          <w:rFonts w:eastAsia="方正小标宋简体"/>
          <w:sz w:val="44"/>
          <w:szCs w:val="44"/>
          <w:highlight w:val="none"/>
        </w:rPr>
      </w:pPr>
    </w:p>
    <w:p>
      <w:pPr>
        <w:jc w:val="center"/>
        <w:rPr>
          <w:rFonts w:eastAsia="方正小标宋简体"/>
          <w:sz w:val="44"/>
          <w:szCs w:val="44"/>
          <w:highlight w:val="none"/>
        </w:rPr>
      </w:pPr>
    </w:p>
    <w:p>
      <w:pPr>
        <w:jc w:val="center"/>
        <w:rPr>
          <w:rFonts w:eastAsia="方正小标宋简体"/>
          <w:sz w:val="44"/>
          <w:szCs w:val="44"/>
          <w:highlight w:val="none"/>
        </w:rPr>
      </w:pPr>
    </w:p>
    <w:p>
      <w:pPr>
        <w:jc w:val="center"/>
        <w:rPr>
          <w:rFonts w:eastAsia="方正小标宋简体"/>
          <w:sz w:val="44"/>
          <w:szCs w:val="44"/>
          <w:highlight w:val="none"/>
        </w:rPr>
      </w:pPr>
    </w:p>
    <w:p>
      <w:pPr>
        <w:jc w:val="center"/>
        <w:rPr>
          <w:rFonts w:eastAsia="方正小标宋简体"/>
          <w:sz w:val="44"/>
          <w:szCs w:val="44"/>
          <w:highlight w:val="none"/>
        </w:rPr>
      </w:pPr>
    </w:p>
    <w:p>
      <w:pPr>
        <w:jc w:val="center"/>
        <w:rPr>
          <w:rFonts w:eastAsia="方正小标宋简体"/>
          <w:sz w:val="44"/>
          <w:szCs w:val="44"/>
          <w:highlight w:val="none"/>
        </w:rPr>
      </w:pPr>
    </w:p>
    <w:p>
      <w:pPr>
        <w:jc w:val="center"/>
        <w:rPr>
          <w:rFonts w:eastAsia="方正小标宋简体"/>
          <w:sz w:val="44"/>
          <w:szCs w:val="44"/>
          <w:highlight w:val="none"/>
        </w:rPr>
      </w:pPr>
    </w:p>
    <w:p>
      <w:pPr>
        <w:jc w:val="center"/>
        <w:rPr>
          <w:rFonts w:eastAsia="方正小标宋简体"/>
          <w:sz w:val="44"/>
          <w:szCs w:val="44"/>
          <w:highlight w:val="none"/>
        </w:rPr>
      </w:pPr>
    </w:p>
    <w:p>
      <w:pPr>
        <w:jc w:val="center"/>
        <w:rPr>
          <w:rFonts w:eastAsia="方正小标宋简体"/>
          <w:sz w:val="44"/>
          <w:szCs w:val="44"/>
          <w:highlight w:val="none"/>
        </w:rPr>
      </w:pPr>
    </w:p>
    <w:p>
      <w:pPr>
        <w:jc w:val="center"/>
        <w:rPr>
          <w:rFonts w:eastAsia="方正小标宋简体"/>
          <w:sz w:val="44"/>
          <w:szCs w:val="44"/>
          <w:highlight w:val="none"/>
        </w:rPr>
      </w:pPr>
    </w:p>
    <w:p>
      <w:pPr>
        <w:jc w:val="center"/>
        <w:rPr>
          <w:rFonts w:ascii="楷体_GB2312" w:eastAsia="楷体_GB2312"/>
          <w:sz w:val="32"/>
          <w:szCs w:val="32"/>
          <w:highlight w:val="none"/>
        </w:rPr>
      </w:pPr>
      <w:r>
        <w:rPr>
          <w:rFonts w:hint="eastAsia" w:ascii="楷体_GB2312" w:eastAsia="楷体_GB2312"/>
          <w:sz w:val="32"/>
          <w:szCs w:val="32"/>
          <w:highlight w:val="none"/>
        </w:rPr>
        <w:t>丽水市教育局</w:t>
      </w:r>
    </w:p>
    <w:p>
      <w:pPr>
        <w:jc w:val="center"/>
        <w:rPr>
          <w:rFonts w:ascii="楷体_GB2312" w:eastAsia="楷体_GB2312"/>
          <w:sz w:val="32"/>
          <w:szCs w:val="32"/>
          <w:highlight w:val="none"/>
        </w:rPr>
      </w:pPr>
      <w:r>
        <w:rPr>
          <w:rFonts w:hint="eastAsia" w:ascii="楷体_GB2312" w:eastAsia="楷体_GB2312"/>
          <w:sz w:val="32"/>
          <w:szCs w:val="32"/>
          <w:highlight w:val="none"/>
        </w:rPr>
        <w:t>2021年1</w:t>
      </w:r>
      <w:r>
        <w:rPr>
          <w:rFonts w:hint="eastAsia" w:ascii="楷体_GB2312" w:eastAsia="楷体_GB2312"/>
          <w:sz w:val="32"/>
          <w:szCs w:val="32"/>
          <w:highlight w:val="none"/>
          <w:lang w:val="en-US" w:eastAsia="zh-CN"/>
        </w:rPr>
        <w:t>2</w:t>
      </w:r>
      <w:r>
        <w:rPr>
          <w:rFonts w:hint="eastAsia" w:ascii="楷体_GB2312" w:eastAsia="楷体_GB2312"/>
          <w:sz w:val="32"/>
          <w:szCs w:val="32"/>
          <w:highlight w:val="none"/>
        </w:rPr>
        <w:t>月</w:t>
      </w:r>
    </w:p>
    <w:p>
      <w:pPr>
        <w:jc w:val="center"/>
        <w:rPr>
          <w:rFonts w:eastAsia="方正小标宋简体"/>
          <w:sz w:val="44"/>
          <w:szCs w:val="44"/>
          <w:highlight w:val="none"/>
        </w:rPr>
      </w:pPr>
    </w:p>
    <w:p>
      <w:pPr>
        <w:jc w:val="center"/>
        <w:rPr>
          <w:rFonts w:eastAsia="方正小标宋简体"/>
          <w:sz w:val="44"/>
          <w:szCs w:val="44"/>
          <w:highlight w:val="none"/>
        </w:rPr>
      </w:pPr>
    </w:p>
    <w:p>
      <w:pPr>
        <w:jc w:val="center"/>
        <w:rPr>
          <w:rFonts w:eastAsia="方正小标宋简体"/>
          <w:sz w:val="36"/>
          <w:szCs w:val="36"/>
          <w:highlight w:val="none"/>
        </w:rPr>
      </w:pPr>
    </w:p>
    <w:p>
      <w:pPr>
        <w:jc w:val="center"/>
        <w:rPr>
          <w:rFonts w:eastAsia="方正小标宋简体"/>
          <w:sz w:val="36"/>
          <w:szCs w:val="36"/>
          <w:highlight w:val="none"/>
        </w:rPr>
      </w:pPr>
      <w:r>
        <w:rPr>
          <w:rFonts w:hint="eastAsia" w:eastAsia="方正小标宋简体"/>
          <w:sz w:val="36"/>
          <w:szCs w:val="36"/>
          <w:highlight w:val="none"/>
        </w:rPr>
        <w:t>目  录</w:t>
      </w:r>
    </w:p>
    <w:p>
      <w:pPr>
        <w:spacing w:line="240" w:lineRule="exact"/>
        <w:jc w:val="center"/>
        <w:rPr>
          <w:rFonts w:eastAsia="方正小标宋简体"/>
          <w:sz w:val="44"/>
          <w:szCs w:val="44"/>
          <w:highlight w:val="none"/>
        </w:rPr>
      </w:pPr>
    </w:p>
    <w:p>
      <w:pPr>
        <w:pStyle w:val="11"/>
        <w:tabs>
          <w:tab w:val="right" w:leader="dot" w:pos="8296"/>
        </w:tabs>
        <w:spacing w:line="460" w:lineRule="exact"/>
        <w:rPr>
          <w:rFonts w:asciiTheme="minorHAnsi" w:hAnsiTheme="minorHAnsi" w:eastAsiaTheme="minorEastAsia" w:cstheme="minorBidi"/>
          <w:sz w:val="28"/>
          <w:szCs w:val="28"/>
          <w:highlight w:val="none"/>
        </w:rPr>
      </w:pPr>
      <w:r>
        <w:rPr>
          <w:rFonts w:eastAsia="方正小标宋简体"/>
          <w:sz w:val="28"/>
          <w:szCs w:val="28"/>
          <w:highlight w:val="none"/>
        </w:rPr>
        <w:fldChar w:fldCharType="begin"/>
      </w:r>
      <w:r>
        <w:rPr>
          <w:rFonts w:eastAsia="方正小标宋简体"/>
          <w:sz w:val="28"/>
          <w:szCs w:val="28"/>
          <w:highlight w:val="none"/>
        </w:rPr>
        <w:instrText xml:space="preserve"> </w:instrText>
      </w:r>
      <w:r>
        <w:rPr>
          <w:rFonts w:hint="eastAsia" w:eastAsia="方正小标宋简体"/>
          <w:sz w:val="28"/>
          <w:szCs w:val="28"/>
          <w:highlight w:val="none"/>
        </w:rPr>
        <w:instrText xml:space="preserve">TOC \o "1-2" \h \z \u</w:instrText>
      </w:r>
      <w:r>
        <w:rPr>
          <w:rFonts w:eastAsia="方正小标宋简体"/>
          <w:sz w:val="28"/>
          <w:szCs w:val="28"/>
          <w:highlight w:val="none"/>
        </w:rPr>
        <w:instrText xml:space="preserve"> </w:instrText>
      </w:r>
      <w:r>
        <w:rPr>
          <w:rFonts w:eastAsia="方正小标宋简体"/>
          <w:sz w:val="28"/>
          <w:szCs w:val="28"/>
          <w:highlight w:val="none"/>
        </w:rPr>
        <w:fldChar w:fldCharType="separate"/>
      </w:r>
      <w:r>
        <w:rPr>
          <w:highlight w:val="none"/>
        </w:rPr>
        <w:fldChar w:fldCharType="begin"/>
      </w:r>
      <w:r>
        <w:rPr>
          <w:highlight w:val="none"/>
        </w:rPr>
        <w:instrText xml:space="preserve"> HYPERLINK \l "_Toc85116768" </w:instrText>
      </w:r>
      <w:r>
        <w:rPr>
          <w:highlight w:val="none"/>
        </w:rPr>
        <w:fldChar w:fldCharType="separate"/>
      </w:r>
      <w:r>
        <w:rPr>
          <w:rStyle w:val="20"/>
          <w:rFonts w:hint="eastAsia" w:eastAsia="黑体"/>
          <w:color w:val="auto"/>
          <w:sz w:val="28"/>
          <w:szCs w:val="28"/>
          <w:highlight w:val="none"/>
        </w:rPr>
        <w:t>一、现实基础和面临形势</w:t>
      </w:r>
      <w:r>
        <w:rPr>
          <w:sz w:val="28"/>
          <w:szCs w:val="28"/>
          <w:highlight w:val="none"/>
        </w:rPr>
        <w:tab/>
      </w:r>
      <w:r>
        <w:rPr>
          <w:sz w:val="28"/>
          <w:szCs w:val="28"/>
          <w:highlight w:val="none"/>
        </w:rPr>
        <w:fldChar w:fldCharType="begin"/>
      </w:r>
      <w:r>
        <w:rPr>
          <w:sz w:val="28"/>
          <w:szCs w:val="28"/>
          <w:highlight w:val="none"/>
        </w:rPr>
        <w:instrText xml:space="preserve"> PAGEREF _Toc85116768 \h </w:instrText>
      </w:r>
      <w:r>
        <w:rPr>
          <w:sz w:val="28"/>
          <w:szCs w:val="28"/>
          <w:highlight w:val="none"/>
        </w:rPr>
        <w:fldChar w:fldCharType="separate"/>
      </w:r>
      <w:r>
        <w:rPr>
          <w:sz w:val="28"/>
          <w:szCs w:val="28"/>
          <w:highlight w:val="none"/>
        </w:rPr>
        <w:t>1</w:t>
      </w:r>
      <w:r>
        <w:rPr>
          <w:sz w:val="28"/>
          <w:szCs w:val="28"/>
          <w:highlight w:val="none"/>
        </w:rPr>
        <w:fldChar w:fldCharType="end"/>
      </w:r>
      <w:r>
        <w:rPr>
          <w:sz w:val="28"/>
          <w:szCs w:val="28"/>
          <w:highlight w:val="none"/>
        </w:rPr>
        <w:fldChar w:fldCharType="end"/>
      </w:r>
    </w:p>
    <w:p>
      <w:pPr>
        <w:pStyle w:val="11"/>
        <w:tabs>
          <w:tab w:val="right" w:leader="dot" w:pos="8296"/>
        </w:tabs>
        <w:spacing w:line="460" w:lineRule="exact"/>
        <w:rPr>
          <w:rFonts w:asciiTheme="minorHAnsi" w:hAnsiTheme="minorHAnsi" w:eastAsiaTheme="minorEastAsia" w:cstheme="minorBidi"/>
          <w:sz w:val="28"/>
          <w:szCs w:val="28"/>
          <w:highlight w:val="none"/>
        </w:rPr>
      </w:pPr>
      <w:r>
        <w:rPr>
          <w:highlight w:val="none"/>
        </w:rPr>
        <w:fldChar w:fldCharType="begin"/>
      </w:r>
      <w:r>
        <w:rPr>
          <w:highlight w:val="none"/>
        </w:rPr>
        <w:instrText xml:space="preserve"> HYPERLINK \l "_Toc85116769" </w:instrText>
      </w:r>
      <w:r>
        <w:rPr>
          <w:highlight w:val="none"/>
        </w:rPr>
        <w:fldChar w:fldCharType="separate"/>
      </w:r>
      <w:r>
        <w:rPr>
          <w:rStyle w:val="20"/>
          <w:rFonts w:hint="eastAsia" w:eastAsia="黑体"/>
          <w:color w:val="auto"/>
          <w:sz w:val="28"/>
          <w:szCs w:val="28"/>
          <w:highlight w:val="none"/>
        </w:rPr>
        <w:t>二、总体要求</w:t>
      </w:r>
      <w:r>
        <w:rPr>
          <w:sz w:val="28"/>
          <w:szCs w:val="28"/>
          <w:highlight w:val="none"/>
        </w:rPr>
        <w:tab/>
      </w:r>
      <w:r>
        <w:rPr>
          <w:sz w:val="28"/>
          <w:szCs w:val="28"/>
          <w:highlight w:val="none"/>
        </w:rPr>
        <w:fldChar w:fldCharType="begin"/>
      </w:r>
      <w:r>
        <w:rPr>
          <w:sz w:val="28"/>
          <w:szCs w:val="28"/>
          <w:highlight w:val="none"/>
        </w:rPr>
        <w:instrText xml:space="preserve"> PAGEREF _Toc85116769 \h </w:instrText>
      </w:r>
      <w:r>
        <w:rPr>
          <w:sz w:val="28"/>
          <w:szCs w:val="28"/>
          <w:highlight w:val="none"/>
        </w:rPr>
        <w:fldChar w:fldCharType="separate"/>
      </w:r>
      <w:r>
        <w:rPr>
          <w:sz w:val="28"/>
          <w:szCs w:val="28"/>
          <w:highlight w:val="none"/>
        </w:rPr>
        <w:t>5</w:t>
      </w:r>
      <w:r>
        <w:rPr>
          <w:sz w:val="28"/>
          <w:szCs w:val="28"/>
          <w:highlight w:val="none"/>
        </w:rPr>
        <w:fldChar w:fldCharType="end"/>
      </w:r>
      <w:r>
        <w:rPr>
          <w:sz w:val="28"/>
          <w:szCs w:val="28"/>
          <w:highlight w:val="none"/>
        </w:rPr>
        <w:fldChar w:fldCharType="end"/>
      </w:r>
    </w:p>
    <w:p>
      <w:pPr>
        <w:pStyle w:val="12"/>
        <w:tabs>
          <w:tab w:val="right" w:leader="dot" w:pos="8296"/>
        </w:tabs>
        <w:spacing w:line="460" w:lineRule="exact"/>
        <w:rPr>
          <w:rFonts w:asciiTheme="minorHAnsi" w:hAnsiTheme="minorHAnsi" w:eastAsiaTheme="minorEastAsia" w:cstheme="minorBidi"/>
          <w:sz w:val="28"/>
          <w:szCs w:val="28"/>
          <w:highlight w:val="none"/>
        </w:rPr>
      </w:pPr>
      <w:r>
        <w:rPr>
          <w:highlight w:val="none"/>
        </w:rPr>
        <w:fldChar w:fldCharType="begin"/>
      </w:r>
      <w:r>
        <w:rPr>
          <w:highlight w:val="none"/>
        </w:rPr>
        <w:instrText xml:space="preserve"> HYPERLINK \l "_Toc85116770" </w:instrText>
      </w:r>
      <w:r>
        <w:rPr>
          <w:highlight w:val="none"/>
        </w:rPr>
        <w:fldChar w:fldCharType="separate"/>
      </w:r>
      <w:r>
        <w:rPr>
          <w:rStyle w:val="20"/>
          <w:rFonts w:hint="eastAsia" w:eastAsia="楷体_GB2312"/>
          <w:color w:val="auto"/>
          <w:sz w:val="28"/>
          <w:szCs w:val="28"/>
          <w:highlight w:val="none"/>
        </w:rPr>
        <w:t>（一）指导思想</w:t>
      </w:r>
      <w:r>
        <w:rPr>
          <w:sz w:val="28"/>
          <w:szCs w:val="28"/>
          <w:highlight w:val="none"/>
        </w:rPr>
        <w:tab/>
      </w:r>
      <w:r>
        <w:rPr>
          <w:sz w:val="28"/>
          <w:szCs w:val="28"/>
          <w:highlight w:val="none"/>
        </w:rPr>
        <w:fldChar w:fldCharType="begin"/>
      </w:r>
      <w:r>
        <w:rPr>
          <w:sz w:val="28"/>
          <w:szCs w:val="28"/>
          <w:highlight w:val="none"/>
        </w:rPr>
        <w:instrText xml:space="preserve"> PAGEREF _Toc85116770 \h </w:instrText>
      </w:r>
      <w:r>
        <w:rPr>
          <w:sz w:val="28"/>
          <w:szCs w:val="28"/>
          <w:highlight w:val="none"/>
        </w:rPr>
        <w:fldChar w:fldCharType="separate"/>
      </w:r>
      <w:r>
        <w:rPr>
          <w:sz w:val="28"/>
          <w:szCs w:val="28"/>
          <w:highlight w:val="none"/>
        </w:rPr>
        <w:t>5</w:t>
      </w:r>
      <w:r>
        <w:rPr>
          <w:sz w:val="28"/>
          <w:szCs w:val="28"/>
          <w:highlight w:val="none"/>
        </w:rPr>
        <w:fldChar w:fldCharType="end"/>
      </w:r>
      <w:r>
        <w:rPr>
          <w:sz w:val="28"/>
          <w:szCs w:val="28"/>
          <w:highlight w:val="none"/>
        </w:rPr>
        <w:fldChar w:fldCharType="end"/>
      </w:r>
    </w:p>
    <w:p>
      <w:pPr>
        <w:pStyle w:val="12"/>
        <w:tabs>
          <w:tab w:val="right" w:leader="dot" w:pos="8296"/>
        </w:tabs>
        <w:spacing w:line="460" w:lineRule="exact"/>
        <w:rPr>
          <w:rFonts w:asciiTheme="minorHAnsi" w:hAnsiTheme="minorHAnsi" w:eastAsiaTheme="minorEastAsia" w:cstheme="minorBidi"/>
          <w:sz w:val="28"/>
          <w:szCs w:val="28"/>
          <w:highlight w:val="none"/>
        </w:rPr>
      </w:pPr>
      <w:r>
        <w:rPr>
          <w:highlight w:val="none"/>
        </w:rPr>
        <w:fldChar w:fldCharType="begin"/>
      </w:r>
      <w:r>
        <w:rPr>
          <w:highlight w:val="none"/>
        </w:rPr>
        <w:instrText xml:space="preserve"> HYPERLINK \l "_Toc85116771" </w:instrText>
      </w:r>
      <w:r>
        <w:rPr>
          <w:highlight w:val="none"/>
        </w:rPr>
        <w:fldChar w:fldCharType="separate"/>
      </w:r>
      <w:r>
        <w:rPr>
          <w:rStyle w:val="20"/>
          <w:rFonts w:hint="eastAsia" w:eastAsia="楷体_GB2312"/>
          <w:color w:val="auto"/>
          <w:sz w:val="28"/>
          <w:szCs w:val="28"/>
          <w:highlight w:val="none"/>
        </w:rPr>
        <w:t>（二）基本原则</w:t>
      </w:r>
      <w:r>
        <w:rPr>
          <w:sz w:val="28"/>
          <w:szCs w:val="28"/>
          <w:highlight w:val="none"/>
        </w:rPr>
        <w:tab/>
      </w:r>
      <w:r>
        <w:rPr>
          <w:sz w:val="28"/>
          <w:szCs w:val="28"/>
          <w:highlight w:val="none"/>
        </w:rPr>
        <w:fldChar w:fldCharType="begin"/>
      </w:r>
      <w:r>
        <w:rPr>
          <w:sz w:val="28"/>
          <w:szCs w:val="28"/>
          <w:highlight w:val="none"/>
        </w:rPr>
        <w:instrText xml:space="preserve"> PAGEREF _Toc85116771 \h </w:instrText>
      </w:r>
      <w:r>
        <w:rPr>
          <w:sz w:val="28"/>
          <w:szCs w:val="28"/>
          <w:highlight w:val="none"/>
        </w:rPr>
        <w:fldChar w:fldCharType="separate"/>
      </w:r>
      <w:r>
        <w:rPr>
          <w:sz w:val="28"/>
          <w:szCs w:val="28"/>
          <w:highlight w:val="none"/>
        </w:rPr>
        <w:t>5</w:t>
      </w:r>
      <w:r>
        <w:rPr>
          <w:sz w:val="28"/>
          <w:szCs w:val="28"/>
          <w:highlight w:val="none"/>
        </w:rPr>
        <w:fldChar w:fldCharType="end"/>
      </w:r>
      <w:r>
        <w:rPr>
          <w:sz w:val="28"/>
          <w:szCs w:val="28"/>
          <w:highlight w:val="none"/>
        </w:rPr>
        <w:fldChar w:fldCharType="end"/>
      </w:r>
    </w:p>
    <w:p>
      <w:pPr>
        <w:pStyle w:val="12"/>
        <w:tabs>
          <w:tab w:val="right" w:leader="dot" w:pos="8296"/>
        </w:tabs>
        <w:spacing w:line="460" w:lineRule="exact"/>
        <w:rPr>
          <w:rFonts w:asciiTheme="minorHAnsi" w:hAnsiTheme="minorHAnsi" w:eastAsiaTheme="minorEastAsia" w:cstheme="minorBidi"/>
          <w:sz w:val="28"/>
          <w:szCs w:val="28"/>
          <w:highlight w:val="none"/>
        </w:rPr>
      </w:pPr>
      <w:r>
        <w:rPr>
          <w:highlight w:val="none"/>
        </w:rPr>
        <w:fldChar w:fldCharType="begin"/>
      </w:r>
      <w:r>
        <w:rPr>
          <w:highlight w:val="none"/>
        </w:rPr>
        <w:instrText xml:space="preserve"> HYPERLINK \l "_Toc85116772" </w:instrText>
      </w:r>
      <w:r>
        <w:rPr>
          <w:highlight w:val="none"/>
        </w:rPr>
        <w:fldChar w:fldCharType="separate"/>
      </w:r>
      <w:r>
        <w:rPr>
          <w:rStyle w:val="20"/>
          <w:rFonts w:hint="eastAsia" w:eastAsia="楷体_GB2312"/>
          <w:color w:val="auto"/>
          <w:sz w:val="28"/>
          <w:szCs w:val="28"/>
          <w:highlight w:val="none"/>
        </w:rPr>
        <w:t>（三）总体目标</w:t>
      </w:r>
      <w:r>
        <w:rPr>
          <w:sz w:val="28"/>
          <w:szCs w:val="28"/>
          <w:highlight w:val="none"/>
        </w:rPr>
        <w:tab/>
      </w:r>
      <w:r>
        <w:rPr>
          <w:sz w:val="28"/>
          <w:szCs w:val="28"/>
          <w:highlight w:val="none"/>
        </w:rPr>
        <w:fldChar w:fldCharType="begin"/>
      </w:r>
      <w:r>
        <w:rPr>
          <w:sz w:val="28"/>
          <w:szCs w:val="28"/>
          <w:highlight w:val="none"/>
        </w:rPr>
        <w:instrText xml:space="preserve"> PAGEREF _Toc85116772 \h </w:instrText>
      </w:r>
      <w:r>
        <w:rPr>
          <w:sz w:val="28"/>
          <w:szCs w:val="28"/>
          <w:highlight w:val="none"/>
        </w:rPr>
        <w:fldChar w:fldCharType="separate"/>
      </w:r>
      <w:r>
        <w:rPr>
          <w:sz w:val="28"/>
          <w:szCs w:val="28"/>
          <w:highlight w:val="none"/>
        </w:rPr>
        <w:t>7</w:t>
      </w:r>
      <w:r>
        <w:rPr>
          <w:sz w:val="28"/>
          <w:szCs w:val="28"/>
          <w:highlight w:val="none"/>
        </w:rPr>
        <w:fldChar w:fldCharType="end"/>
      </w:r>
      <w:r>
        <w:rPr>
          <w:sz w:val="28"/>
          <w:szCs w:val="28"/>
          <w:highlight w:val="none"/>
        </w:rPr>
        <w:fldChar w:fldCharType="end"/>
      </w:r>
    </w:p>
    <w:p>
      <w:pPr>
        <w:pStyle w:val="11"/>
        <w:tabs>
          <w:tab w:val="right" w:leader="dot" w:pos="8296"/>
        </w:tabs>
        <w:spacing w:line="460" w:lineRule="exact"/>
        <w:rPr>
          <w:rFonts w:asciiTheme="minorHAnsi" w:hAnsiTheme="minorHAnsi" w:eastAsiaTheme="minorEastAsia" w:cstheme="minorBidi"/>
          <w:sz w:val="28"/>
          <w:szCs w:val="28"/>
          <w:highlight w:val="none"/>
        </w:rPr>
      </w:pPr>
      <w:r>
        <w:rPr>
          <w:highlight w:val="none"/>
        </w:rPr>
        <w:fldChar w:fldCharType="begin"/>
      </w:r>
      <w:r>
        <w:rPr>
          <w:highlight w:val="none"/>
        </w:rPr>
        <w:instrText xml:space="preserve"> HYPERLINK \l "_Toc85116773" </w:instrText>
      </w:r>
      <w:r>
        <w:rPr>
          <w:highlight w:val="none"/>
        </w:rPr>
        <w:fldChar w:fldCharType="separate"/>
      </w:r>
      <w:r>
        <w:rPr>
          <w:rStyle w:val="20"/>
          <w:rFonts w:hint="eastAsia" w:eastAsia="黑体"/>
          <w:color w:val="auto"/>
          <w:sz w:val="28"/>
          <w:szCs w:val="28"/>
          <w:highlight w:val="none"/>
        </w:rPr>
        <w:t>三、主要任务</w:t>
      </w:r>
      <w:r>
        <w:rPr>
          <w:sz w:val="28"/>
          <w:szCs w:val="28"/>
          <w:highlight w:val="none"/>
        </w:rPr>
        <w:tab/>
      </w:r>
      <w:r>
        <w:rPr>
          <w:sz w:val="28"/>
          <w:szCs w:val="28"/>
          <w:highlight w:val="none"/>
        </w:rPr>
        <w:fldChar w:fldCharType="begin"/>
      </w:r>
      <w:r>
        <w:rPr>
          <w:sz w:val="28"/>
          <w:szCs w:val="28"/>
          <w:highlight w:val="none"/>
        </w:rPr>
        <w:instrText xml:space="preserve"> PAGEREF _Toc85116773 \h </w:instrText>
      </w:r>
      <w:r>
        <w:rPr>
          <w:sz w:val="28"/>
          <w:szCs w:val="28"/>
          <w:highlight w:val="none"/>
        </w:rPr>
        <w:fldChar w:fldCharType="separate"/>
      </w:r>
      <w:r>
        <w:rPr>
          <w:sz w:val="28"/>
          <w:szCs w:val="28"/>
          <w:highlight w:val="none"/>
        </w:rPr>
        <w:t>13</w:t>
      </w:r>
      <w:r>
        <w:rPr>
          <w:sz w:val="28"/>
          <w:szCs w:val="28"/>
          <w:highlight w:val="none"/>
        </w:rPr>
        <w:fldChar w:fldCharType="end"/>
      </w:r>
      <w:r>
        <w:rPr>
          <w:sz w:val="28"/>
          <w:szCs w:val="28"/>
          <w:highlight w:val="none"/>
        </w:rPr>
        <w:fldChar w:fldCharType="end"/>
      </w:r>
    </w:p>
    <w:p>
      <w:pPr>
        <w:pStyle w:val="12"/>
        <w:tabs>
          <w:tab w:val="right" w:leader="dot" w:pos="8296"/>
        </w:tabs>
        <w:spacing w:line="460" w:lineRule="exact"/>
        <w:rPr>
          <w:rFonts w:asciiTheme="minorHAnsi" w:hAnsiTheme="minorHAnsi" w:eastAsiaTheme="minorEastAsia" w:cstheme="minorBidi"/>
          <w:sz w:val="28"/>
          <w:szCs w:val="28"/>
          <w:highlight w:val="none"/>
        </w:rPr>
      </w:pPr>
      <w:r>
        <w:rPr>
          <w:highlight w:val="none"/>
        </w:rPr>
        <w:fldChar w:fldCharType="begin"/>
      </w:r>
      <w:r>
        <w:rPr>
          <w:highlight w:val="none"/>
        </w:rPr>
        <w:instrText xml:space="preserve"> HYPERLINK \l "_Toc85116774" </w:instrText>
      </w:r>
      <w:r>
        <w:rPr>
          <w:highlight w:val="none"/>
        </w:rPr>
        <w:fldChar w:fldCharType="separate"/>
      </w:r>
      <w:r>
        <w:rPr>
          <w:rStyle w:val="20"/>
          <w:rFonts w:hint="eastAsia" w:eastAsia="楷体_GB2312"/>
          <w:color w:val="auto"/>
          <w:sz w:val="28"/>
          <w:szCs w:val="28"/>
          <w:highlight w:val="none"/>
        </w:rPr>
        <w:t>（一）健全</w:t>
      </w:r>
      <w:r>
        <w:rPr>
          <w:rStyle w:val="20"/>
          <w:rFonts w:eastAsia="楷体_GB2312"/>
          <w:color w:val="auto"/>
          <w:sz w:val="28"/>
          <w:szCs w:val="28"/>
          <w:highlight w:val="none"/>
        </w:rPr>
        <w:t>“</w:t>
      </w:r>
      <w:r>
        <w:rPr>
          <w:rStyle w:val="20"/>
          <w:rFonts w:hint="eastAsia" w:eastAsia="楷体_GB2312"/>
          <w:color w:val="auto"/>
          <w:sz w:val="28"/>
          <w:szCs w:val="28"/>
          <w:highlight w:val="none"/>
        </w:rPr>
        <w:t>五育并举</w:t>
      </w:r>
      <w:r>
        <w:rPr>
          <w:rStyle w:val="20"/>
          <w:rFonts w:eastAsia="楷体_GB2312"/>
          <w:color w:val="auto"/>
          <w:sz w:val="28"/>
          <w:szCs w:val="28"/>
          <w:highlight w:val="none"/>
        </w:rPr>
        <w:t>”</w:t>
      </w:r>
      <w:r>
        <w:rPr>
          <w:rStyle w:val="20"/>
          <w:rFonts w:hint="eastAsia" w:eastAsia="楷体_GB2312"/>
          <w:color w:val="auto"/>
          <w:sz w:val="28"/>
          <w:szCs w:val="28"/>
          <w:highlight w:val="none"/>
        </w:rPr>
        <w:t>培养机制</w:t>
      </w:r>
      <w:r>
        <w:rPr>
          <w:sz w:val="28"/>
          <w:szCs w:val="28"/>
          <w:highlight w:val="none"/>
        </w:rPr>
        <w:tab/>
      </w:r>
      <w:r>
        <w:rPr>
          <w:sz w:val="28"/>
          <w:szCs w:val="28"/>
          <w:highlight w:val="none"/>
        </w:rPr>
        <w:fldChar w:fldCharType="begin"/>
      </w:r>
      <w:r>
        <w:rPr>
          <w:sz w:val="28"/>
          <w:szCs w:val="28"/>
          <w:highlight w:val="none"/>
        </w:rPr>
        <w:instrText xml:space="preserve"> PAGEREF _Toc85116774 \h </w:instrText>
      </w:r>
      <w:r>
        <w:rPr>
          <w:sz w:val="28"/>
          <w:szCs w:val="28"/>
          <w:highlight w:val="none"/>
        </w:rPr>
        <w:fldChar w:fldCharType="separate"/>
      </w:r>
      <w:r>
        <w:rPr>
          <w:sz w:val="28"/>
          <w:szCs w:val="28"/>
          <w:highlight w:val="none"/>
        </w:rPr>
        <w:t>13</w:t>
      </w:r>
      <w:r>
        <w:rPr>
          <w:sz w:val="28"/>
          <w:szCs w:val="28"/>
          <w:highlight w:val="none"/>
        </w:rPr>
        <w:fldChar w:fldCharType="end"/>
      </w:r>
      <w:r>
        <w:rPr>
          <w:sz w:val="28"/>
          <w:szCs w:val="28"/>
          <w:highlight w:val="none"/>
        </w:rPr>
        <w:fldChar w:fldCharType="end"/>
      </w:r>
    </w:p>
    <w:p>
      <w:pPr>
        <w:pStyle w:val="12"/>
        <w:tabs>
          <w:tab w:val="right" w:leader="dot" w:pos="8296"/>
        </w:tabs>
        <w:spacing w:line="460" w:lineRule="exact"/>
        <w:rPr>
          <w:rFonts w:asciiTheme="minorHAnsi" w:hAnsiTheme="minorHAnsi" w:eastAsiaTheme="minorEastAsia" w:cstheme="minorBidi"/>
          <w:sz w:val="28"/>
          <w:szCs w:val="28"/>
          <w:highlight w:val="none"/>
        </w:rPr>
      </w:pPr>
      <w:r>
        <w:rPr>
          <w:highlight w:val="none"/>
        </w:rPr>
        <w:fldChar w:fldCharType="begin"/>
      </w:r>
      <w:r>
        <w:rPr>
          <w:highlight w:val="none"/>
        </w:rPr>
        <w:instrText xml:space="preserve"> HYPERLINK \l "_Toc85116775" </w:instrText>
      </w:r>
      <w:r>
        <w:rPr>
          <w:highlight w:val="none"/>
        </w:rPr>
        <w:fldChar w:fldCharType="separate"/>
      </w:r>
      <w:r>
        <w:rPr>
          <w:rStyle w:val="20"/>
          <w:rFonts w:hint="eastAsia" w:eastAsia="楷体_GB2312"/>
          <w:color w:val="auto"/>
          <w:sz w:val="28"/>
          <w:szCs w:val="28"/>
          <w:highlight w:val="none"/>
        </w:rPr>
        <w:t>（二）打造高素质专业化教师队伍</w:t>
      </w:r>
      <w:r>
        <w:rPr>
          <w:sz w:val="28"/>
          <w:szCs w:val="28"/>
          <w:highlight w:val="none"/>
        </w:rPr>
        <w:tab/>
      </w:r>
      <w:r>
        <w:rPr>
          <w:sz w:val="28"/>
          <w:szCs w:val="28"/>
          <w:highlight w:val="none"/>
        </w:rPr>
        <w:fldChar w:fldCharType="begin"/>
      </w:r>
      <w:r>
        <w:rPr>
          <w:sz w:val="28"/>
          <w:szCs w:val="28"/>
          <w:highlight w:val="none"/>
        </w:rPr>
        <w:instrText xml:space="preserve"> PAGEREF _Toc85116775 \h </w:instrText>
      </w:r>
      <w:r>
        <w:rPr>
          <w:sz w:val="28"/>
          <w:szCs w:val="28"/>
          <w:highlight w:val="none"/>
        </w:rPr>
        <w:fldChar w:fldCharType="separate"/>
      </w:r>
      <w:r>
        <w:rPr>
          <w:sz w:val="28"/>
          <w:szCs w:val="28"/>
          <w:highlight w:val="none"/>
        </w:rPr>
        <w:t>16</w:t>
      </w:r>
      <w:r>
        <w:rPr>
          <w:sz w:val="28"/>
          <w:szCs w:val="28"/>
          <w:highlight w:val="none"/>
        </w:rPr>
        <w:fldChar w:fldCharType="end"/>
      </w:r>
      <w:r>
        <w:rPr>
          <w:sz w:val="28"/>
          <w:szCs w:val="28"/>
          <w:highlight w:val="none"/>
        </w:rPr>
        <w:fldChar w:fldCharType="end"/>
      </w:r>
    </w:p>
    <w:p>
      <w:pPr>
        <w:pStyle w:val="12"/>
        <w:tabs>
          <w:tab w:val="right" w:leader="dot" w:pos="8296"/>
        </w:tabs>
        <w:spacing w:line="460" w:lineRule="exact"/>
        <w:rPr>
          <w:rFonts w:asciiTheme="minorHAnsi" w:hAnsiTheme="minorHAnsi" w:eastAsiaTheme="minorEastAsia" w:cstheme="minorBidi"/>
          <w:sz w:val="28"/>
          <w:szCs w:val="28"/>
          <w:highlight w:val="none"/>
        </w:rPr>
      </w:pPr>
      <w:r>
        <w:rPr>
          <w:highlight w:val="none"/>
        </w:rPr>
        <w:fldChar w:fldCharType="begin"/>
      </w:r>
      <w:r>
        <w:rPr>
          <w:highlight w:val="none"/>
        </w:rPr>
        <w:instrText xml:space="preserve"> HYPERLINK \l "_Toc85116776" </w:instrText>
      </w:r>
      <w:r>
        <w:rPr>
          <w:highlight w:val="none"/>
        </w:rPr>
        <w:fldChar w:fldCharType="separate"/>
      </w:r>
      <w:r>
        <w:rPr>
          <w:rStyle w:val="20"/>
          <w:rFonts w:hint="eastAsia" w:eastAsia="楷体_GB2312"/>
          <w:color w:val="auto"/>
          <w:sz w:val="28"/>
          <w:szCs w:val="28"/>
          <w:highlight w:val="none"/>
        </w:rPr>
        <w:t>（三）扩大优质教育资源供给</w:t>
      </w:r>
      <w:r>
        <w:rPr>
          <w:sz w:val="28"/>
          <w:szCs w:val="28"/>
          <w:highlight w:val="none"/>
        </w:rPr>
        <w:tab/>
      </w:r>
      <w:r>
        <w:rPr>
          <w:sz w:val="28"/>
          <w:szCs w:val="28"/>
          <w:highlight w:val="none"/>
        </w:rPr>
        <w:fldChar w:fldCharType="begin"/>
      </w:r>
      <w:r>
        <w:rPr>
          <w:sz w:val="28"/>
          <w:szCs w:val="28"/>
          <w:highlight w:val="none"/>
        </w:rPr>
        <w:instrText xml:space="preserve"> PAGEREF _Toc85116776 \h </w:instrText>
      </w:r>
      <w:r>
        <w:rPr>
          <w:sz w:val="28"/>
          <w:szCs w:val="28"/>
          <w:highlight w:val="none"/>
        </w:rPr>
        <w:fldChar w:fldCharType="separate"/>
      </w:r>
      <w:r>
        <w:rPr>
          <w:sz w:val="28"/>
          <w:szCs w:val="28"/>
          <w:highlight w:val="none"/>
        </w:rPr>
        <w:t>20</w:t>
      </w:r>
      <w:r>
        <w:rPr>
          <w:sz w:val="28"/>
          <w:szCs w:val="28"/>
          <w:highlight w:val="none"/>
        </w:rPr>
        <w:fldChar w:fldCharType="end"/>
      </w:r>
      <w:r>
        <w:rPr>
          <w:sz w:val="28"/>
          <w:szCs w:val="28"/>
          <w:highlight w:val="none"/>
        </w:rPr>
        <w:fldChar w:fldCharType="end"/>
      </w:r>
    </w:p>
    <w:p>
      <w:pPr>
        <w:pStyle w:val="12"/>
        <w:tabs>
          <w:tab w:val="right" w:leader="dot" w:pos="8296"/>
        </w:tabs>
        <w:spacing w:line="460" w:lineRule="exact"/>
        <w:rPr>
          <w:rFonts w:asciiTheme="minorHAnsi" w:hAnsiTheme="minorHAnsi" w:eastAsiaTheme="minorEastAsia" w:cstheme="minorBidi"/>
          <w:sz w:val="28"/>
          <w:szCs w:val="28"/>
          <w:highlight w:val="none"/>
        </w:rPr>
      </w:pPr>
      <w:r>
        <w:rPr>
          <w:highlight w:val="none"/>
        </w:rPr>
        <w:fldChar w:fldCharType="begin"/>
      </w:r>
      <w:r>
        <w:rPr>
          <w:highlight w:val="none"/>
        </w:rPr>
        <w:instrText xml:space="preserve"> HYPERLINK \l "_Toc85116777" </w:instrText>
      </w:r>
      <w:r>
        <w:rPr>
          <w:highlight w:val="none"/>
        </w:rPr>
        <w:fldChar w:fldCharType="separate"/>
      </w:r>
      <w:r>
        <w:rPr>
          <w:rStyle w:val="20"/>
          <w:rFonts w:hint="eastAsia" w:eastAsia="楷体_GB2312"/>
          <w:color w:val="auto"/>
          <w:sz w:val="28"/>
          <w:szCs w:val="28"/>
          <w:highlight w:val="none"/>
        </w:rPr>
        <w:t>（四）深化教育教学改革</w:t>
      </w:r>
      <w:r>
        <w:rPr>
          <w:sz w:val="28"/>
          <w:szCs w:val="28"/>
          <w:highlight w:val="none"/>
        </w:rPr>
        <w:tab/>
      </w:r>
      <w:r>
        <w:rPr>
          <w:sz w:val="28"/>
          <w:szCs w:val="28"/>
          <w:highlight w:val="none"/>
        </w:rPr>
        <w:fldChar w:fldCharType="begin"/>
      </w:r>
      <w:r>
        <w:rPr>
          <w:sz w:val="28"/>
          <w:szCs w:val="28"/>
          <w:highlight w:val="none"/>
        </w:rPr>
        <w:instrText xml:space="preserve"> PAGEREF _Toc85116777 \h </w:instrText>
      </w:r>
      <w:r>
        <w:rPr>
          <w:sz w:val="28"/>
          <w:szCs w:val="28"/>
          <w:highlight w:val="none"/>
        </w:rPr>
        <w:fldChar w:fldCharType="separate"/>
      </w:r>
      <w:r>
        <w:rPr>
          <w:sz w:val="28"/>
          <w:szCs w:val="28"/>
          <w:highlight w:val="none"/>
        </w:rPr>
        <w:t>22</w:t>
      </w:r>
      <w:r>
        <w:rPr>
          <w:sz w:val="28"/>
          <w:szCs w:val="28"/>
          <w:highlight w:val="none"/>
        </w:rPr>
        <w:fldChar w:fldCharType="end"/>
      </w:r>
      <w:r>
        <w:rPr>
          <w:sz w:val="28"/>
          <w:szCs w:val="28"/>
          <w:highlight w:val="none"/>
        </w:rPr>
        <w:fldChar w:fldCharType="end"/>
      </w:r>
    </w:p>
    <w:p>
      <w:pPr>
        <w:pStyle w:val="12"/>
        <w:tabs>
          <w:tab w:val="right" w:leader="dot" w:pos="8296"/>
        </w:tabs>
        <w:spacing w:line="460" w:lineRule="exact"/>
        <w:rPr>
          <w:rFonts w:asciiTheme="minorHAnsi" w:hAnsiTheme="minorHAnsi" w:eastAsiaTheme="minorEastAsia" w:cstheme="minorBidi"/>
          <w:sz w:val="28"/>
          <w:szCs w:val="28"/>
          <w:highlight w:val="none"/>
        </w:rPr>
      </w:pPr>
      <w:r>
        <w:rPr>
          <w:highlight w:val="none"/>
        </w:rPr>
        <w:fldChar w:fldCharType="begin"/>
      </w:r>
      <w:r>
        <w:rPr>
          <w:highlight w:val="none"/>
        </w:rPr>
        <w:instrText xml:space="preserve"> HYPERLINK \l "_Toc85116778" </w:instrText>
      </w:r>
      <w:r>
        <w:rPr>
          <w:highlight w:val="none"/>
        </w:rPr>
        <w:fldChar w:fldCharType="separate"/>
      </w:r>
      <w:r>
        <w:rPr>
          <w:rStyle w:val="20"/>
          <w:rFonts w:hint="eastAsia" w:eastAsia="楷体_GB2312"/>
          <w:color w:val="auto"/>
          <w:sz w:val="28"/>
          <w:szCs w:val="28"/>
          <w:highlight w:val="none"/>
        </w:rPr>
        <w:t>（五）加快教育信息化建设</w:t>
      </w:r>
      <w:r>
        <w:rPr>
          <w:sz w:val="28"/>
          <w:szCs w:val="28"/>
          <w:highlight w:val="none"/>
        </w:rPr>
        <w:tab/>
      </w:r>
      <w:r>
        <w:rPr>
          <w:sz w:val="28"/>
          <w:szCs w:val="28"/>
          <w:highlight w:val="none"/>
        </w:rPr>
        <w:fldChar w:fldCharType="begin"/>
      </w:r>
      <w:r>
        <w:rPr>
          <w:sz w:val="28"/>
          <w:szCs w:val="28"/>
          <w:highlight w:val="none"/>
        </w:rPr>
        <w:instrText xml:space="preserve"> PAGEREF _Toc85116778 \h </w:instrText>
      </w:r>
      <w:r>
        <w:rPr>
          <w:sz w:val="28"/>
          <w:szCs w:val="28"/>
          <w:highlight w:val="none"/>
        </w:rPr>
        <w:fldChar w:fldCharType="separate"/>
      </w:r>
      <w:r>
        <w:rPr>
          <w:sz w:val="28"/>
          <w:szCs w:val="28"/>
          <w:highlight w:val="none"/>
        </w:rPr>
        <w:t>24</w:t>
      </w:r>
      <w:r>
        <w:rPr>
          <w:sz w:val="28"/>
          <w:szCs w:val="28"/>
          <w:highlight w:val="none"/>
        </w:rPr>
        <w:fldChar w:fldCharType="end"/>
      </w:r>
      <w:r>
        <w:rPr>
          <w:sz w:val="28"/>
          <w:szCs w:val="28"/>
          <w:highlight w:val="none"/>
        </w:rPr>
        <w:fldChar w:fldCharType="end"/>
      </w:r>
    </w:p>
    <w:p>
      <w:pPr>
        <w:pStyle w:val="12"/>
        <w:tabs>
          <w:tab w:val="right" w:leader="dot" w:pos="8296"/>
        </w:tabs>
        <w:spacing w:line="460" w:lineRule="exact"/>
        <w:rPr>
          <w:rFonts w:asciiTheme="minorHAnsi" w:hAnsiTheme="minorHAnsi" w:eastAsiaTheme="minorEastAsia" w:cstheme="minorBidi"/>
          <w:sz w:val="28"/>
          <w:szCs w:val="28"/>
          <w:highlight w:val="none"/>
        </w:rPr>
      </w:pPr>
      <w:r>
        <w:rPr>
          <w:highlight w:val="none"/>
        </w:rPr>
        <w:fldChar w:fldCharType="begin"/>
      </w:r>
      <w:r>
        <w:rPr>
          <w:highlight w:val="none"/>
        </w:rPr>
        <w:instrText xml:space="preserve"> HYPERLINK \l "_Toc85116779" </w:instrText>
      </w:r>
      <w:r>
        <w:rPr>
          <w:highlight w:val="none"/>
        </w:rPr>
        <w:fldChar w:fldCharType="separate"/>
      </w:r>
      <w:r>
        <w:rPr>
          <w:rStyle w:val="20"/>
          <w:rFonts w:hint="eastAsia" w:eastAsia="楷体_GB2312"/>
          <w:color w:val="auto"/>
          <w:sz w:val="28"/>
          <w:szCs w:val="28"/>
          <w:highlight w:val="none"/>
        </w:rPr>
        <w:t>（六）全面提高教育开放水平</w:t>
      </w:r>
      <w:r>
        <w:rPr>
          <w:sz w:val="28"/>
          <w:szCs w:val="28"/>
          <w:highlight w:val="none"/>
        </w:rPr>
        <w:tab/>
      </w:r>
      <w:r>
        <w:rPr>
          <w:sz w:val="28"/>
          <w:szCs w:val="28"/>
          <w:highlight w:val="none"/>
        </w:rPr>
        <w:fldChar w:fldCharType="begin"/>
      </w:r>
      <w:r>
        <w:rPr>
          <w:sz w:val="28"/>
          <w:szCs w:val="28"/>
          <w:highlight w:val="none"/>
        </w:rPr>
        <w:instrText xml:space="preserve"> PAGEREF _Toc85116779 \h </w:instrText>
      </w:r>
      <w:r>
        <w:rPr>
          <w:sz w:val="28"/>
          <w:szCs w:val="28"/>
          <w:highlight w:val="none"/>
        </w:rPr>
        <w:fldChar w:fldCharType="separate"/>
      </w:r>
      <w:r>
        <w:rPr>
          <w:sz w:val="28"/>
          <w:szCs w:val="28"/>
          <w:highlight w:val="none"/>
        </w:rPr>
        <w:t>27</w:t>
      </w:r>
      <w:r>
        <w:rPr>
          <w:sz w:val="28"/>
          <w:szCs w:val="28"/>
          <w:highlight w:val="none"/>
        </w:rPr>
        <w:fldChar w:fldCharType="end"/>
      </w:r>
      <w:r>
        <w:rPr>
          <w:sz w:val="28"/>
          <w:szCs w:val="28"/>
          <w:highlight w:val="none"/>
        </w:rPr>
        <w:fldChar w:fldCharType="end"/>
      </w:r>
    </w:p>
    <w:p>
      <w:pPr>
        <w:pStyle w:val="12"/>
        <w:tabs>
          <w:tab w:val="right" w:leader="dot" w:pos="8296"/>
        </w:tabs>
        <w:spacing w:line="460" w:lineRule="exact"/>
        <w:rPr>
          <w:rFonts w:asciiTheme="minorHAnsi" w:hAnsiTheme="minorHAnsi" w:eastAsiaTheme="minorEastAsia" w:cstheme="minorBidi"/>
          <w:sz w:val="28"/>
          <w:szCs w:val="28"/>
          <w:highlight w:val="none"/>
        </w:rPr>
      </w:pPr>
      <w:r>
        <w:rPr>
          <w:highlight w:val="none"/>
        </w:rPr>
        <w:fldChar w:fldCharType="begin"/>
      </w:r>
      <w:r>
        <w:rPr>
          <w:highlight w:val="none"/>
        </w:rPr>
        <w:instrText xml:space="preserve"> HYPERLINK \l "_Toc85116780" </w:instrText>
      </w:r>
      <w:r>
        <w:rPr>
          <w:highlight w:val="none"/>
        </w:rPr>
        <w:fldChar w:fldCharType="separate"/>
      </w:r>
      <w:r>
        <w:rPr>
          <w:rStyle w:val="20"/>
          <w:rFonts w:hint="eastAsia" w:eastAsia="楷体_GB2312"/>
          <w:color w:val="auto"/>
          <w:sz w:val="28"/>
          <w:szCs w:val="28"/>
          <w:highlight w:val="none"/>
        </w:rPr>
        <w:t>（七）加快推进教育治理现代化</w:t>
      </w:r>
      <w:r>
        <w:rPr>
          <w:sz w:val="28"/>
          <w:szCs w:val="28"/>
          <w:highlight w:val="none"/>
        </w:rPr>
        <w:tab/>
      </w:r>
      <w:r>
        <w:rPr>
          <w:sz w:val="28"/>
          <w:szCs w:val="28"/>
          <w:highlight w:val="none"/>
        </w:rPr>
        <w:fldChar w:fldCharType="begin"/>
      </w:r>
      <w:r>
        <w:rPr>
          <w:sz w:val="28"/>
          <w:szCs w:val="28"/>
          <w:highlight w:val="none"/>
        </w:rPr>
        <w:instrText xml:space="preserve"> PAGEREF _Toc85116780 \h </w:instrText>
      </w:r>
      <w:r>
        <w:rPr>
          <w:sz w:val="28"/>
          <w:szCs w:val="28"/>
          <w:highlight w:val="none"/>
        </w:rPr>
        <w:fldChar w:fldCharType="separate"/>
      </w:r>
      <w:r>
        <w:rPr>
          <w:sz w:val="28"/>
          <w:szCs w:val="28"/>
          <w:highlight w:val="none"/>
        </w:rPr>
        <w:t>28</w:t>
      </w:r>
      <w:r>
        <w:rPr>
          <w:sz w:val="28"/>
          <w:szCs w:val="28"/>
          <w:highlight w:val="none"/>
        </w:rPr>
        <w:fldChar w:fldCharType="end"/>
      </w:r>
      <w:r>
        <w:rPr>
          <w:sz w:val="28"/>
          <w:szCs w:val="28"/>
          <w:highlight w:val="none"/>
        </w:rPr>
        <w:fldChar w:fldCharType="end"/>
      </w:r>
    </w:p>
    <w:p>
      <w:pPr>
        <w:pStyle w:val="12"/>
        <w:tabs>
          <w:tab w:val="right" w:leader="dot" w:pos="8296"/>
        </w:tabs>
        <w:spacing w:line="460" w:lineRule="exact"/>
        <w:rPr>
          <w:rFonts w:asciiTheme="minorHAnsi" w:hAnsiTheme="minorHAnsi" w:eastAsiaTheme="minorEastAsia" w:cstheme="minorBidi"/>
          <w:sz w:val="28"/>
          <w:szCs w:val="28"/>
          <w:highlight w:val="none"/>
        </w:rPr>
      </w:pPr>
      <w:r>
        <w:rPr>
          <w:highlight w:val="none"/>
        </w:rPr>
        <w:fldChar w:fldCharType="begin"/>
      </w:r>
      <w:r>
        <w:rPr>
          <w:highlight w:val="none"/>
        </w:rPr>
        <w:instrText xml:space="preserve"> HYPERLINK \l "_Toc85116781" </w:instrText>
      </w:r>
      <w:r>
        <w:rPr>
          <w:highlight w:val="none"/>
        </w:rPr>
        <w:fldChar w:fldCharType="separate"/>
      </w:r>
      <w:r>
        <w:rPr>
          <w:rStyle w:val="20"/>
          <w:rFonts w:hint="eastAsia" w:eastAsia="楷体_GB2312"/>
          <w:color w:val="auto"/>
          <w:sz w:val="28"/>
          <w:szCs w:val="28"/>
          <w:highlight w:val="none"/>
        </w:rPr>
        <w:t>（八）推动学前教育优质普惠发展</w:t>
      </w:r>
      <w:r>
        <w:rPr>
          <w:sz w:val="28"/>
          <w:szCs w:val="28"/>
          <w:highlight w:val="none"/>
        </w:rPr>
        <w:tab/>
      </w:r>
      <w:r>
        <w:rPr>
          <w:sz w:val="28"/>
          <w:szCs w:val="28"/>
          <w:highlight w:val="none"/>
        </w:rPr>
        <w:fldChar w:fldCharType="begin"/>
      </w:r>
      <w:r>
        <w:rPr>
          <w:sz w:val="28"/>
          <w:szCs w:val="28"/>
          <w:highlight w:val="none"/>
        </w:rPr>
        <w:instrText xml:space="preserve"> PAGEREF _Toc85116781 \h </w:instrText>
      </w:r>
      <w:r>
        <w:rPr>
          <w:sz w:val="28"/>
          <w:szCs w:val="28"/>
          <w:highlight w:val="none"/>
        </w:rPr>
        <w:fldChar w:fldCharType="separate"/>
      </w:r>
      <w:r>
        <w:rPr>
          <w:sz w:val="28"/>
          <w:szCs w:val="28"/>
          <w:highlight w:val="none"/>
        </w:rPr>
        <w:t>31</w:t>
      </w:r>
      <w:r>
        <w:rPr>
          <w:sz w:val="28"/>
          <w:szCs w:val="28"/>
          <w:highlight w:val="none"/>
        </w:rPr>
        <w:fldChar w:fldCharType="end"/>
      </w:r>
      <w:r>
        <w:rPr>
          <w:sz w:val="28"/>
          <w:szCs w:val="28"/>
          <w:highlight w:val="none"/>
        </w:rPr>
        <w:fldChar w:fldCharType="end"/>
      </w:r>
    </w:p>
    <w:p>
      <w:pPr>
        <w:pStyle w:val="12"/>
        <w:tabs>
          <w:tab w:val="right" w:leader="dot" w:pos="8296"/>
        </w:tabs>
        <w:spacing w:line="460" w:lineRule="exact"/>
        <w:rPr>
          <w:rFonts w:asciiTheme="minorHAnsi" w:hAnsiTheme="minorHAnsi" w:eastAsiaTheme="minorEastAsia" w:cstheme="minorBidi"/>
          <w:sz w:val="28"/>
          <w:szCs w:val="28"/>
          <w:highlight w:val="none"/>
        </w:rPr>
      </w:pPr>
      <w:r>
        <w:rPr>
          <w:highlight w:val="none"/>
        </w:rPr>
        <w:fldChar w:fldCharType="begin"/>
      </w:r>
      <w:r>
        <w:rPr>
          <w:highlight w:val="none"/>
        </w:rPr>
        <w:instrText xml:space="preserve"> HYPERLINK \l "_Toc85116782" </w:instrText>
      </w:r>
      <w:r>
        <w:rPr>
          <w:highlight w:val="none"/>
        </w:rPr>
        <w:fldChar w:fldCharType="separate"/>
      </w:r>
      <w:r>
        <w:rPr>
          <w:rStyle w:val="20"/>
          <w:rFonts w:hint="eastAsia" w:eastAsia="楷体_GB2312"/>
          <w:color w:val="auto"/>
          <w:sz w:val="28"/>
          <w:szCs w:val="28"/>
          <w:highlight w:val="none"/>
        </w:rPr>
        <w:t>（九）促进义务教育优质均衡发展</w:t>
      </w:r>
      <w:r>
        <w:rPr>
          <w:sz w:val="28"/>
          <w:szCs w:val="28"/>
          <w:highlight w:val="none"/>
        </w:rPr>
        <w:tab/>
      </w:r>
      <w:r>
        <w:rPr>
          <w:sz w:val="28"/>
          <w:szCs w:val="28"/>
          <w:highlight w:val="none"/>
        </w:rPr>
        <w:fldChar w:fldCharType="begin"/>
      </w:r>
      <w:r>
        <w:rPr>
          <w:sz w:val="28"/>
          <w:szCs w:val="28"/>
          <w:highlight w:val="none"/>
        </w:rPr>
        <w:instrText xml:space="preserve"> PAGEREF _Toc85116782 \h </w:instrText>
      </w:r>
      <w:r>
        <w:rPr>
          <w:sz w:val="28"/>
          <w:szCs w:val="28"/>
          <w:highlight w:val="none"/>
        </w:rPr>
        <w:fldChar w:fldCharType="separate"/>
      </w:r>
      <w:r>
        <w:rPr>
          <w:sz w:val="28"/>
          <w:szCs w:val="28"/>
          <w:highlight w:val="none"/>
        </w:rPr>
        <w:t>33</w:t>
      </w:r>
      <w:r>
        <w:rPr>
          <w:sz w:val="28"/>
          <w:szCs w:val="28"/>
          <w:highlight w:val="none"/>
        </w:rPr>
        <w:fldChar w:fldCharType="end"/>
      </w:r>
      <w:r>
        <w:rPr>
          <w:sz w:val="28"/>
          <w:szCs w:val="28"/>
          <w:highlight w:val="none"/>
        </w:rPr>
        <w:fldChar w:fldCharType="end"/>
      </w:r>
    </w:p>
    <w:p>
      <w:pPr>
        <w:pStyle w:val="12"/>
        <w:tabs>
          <w:tab w:val="right" w:leader="dot" w:pos="8296"/>
        </w:tabs>
        <w:spacing w:line="460" w:lineRule="exact"/>
        <w:rPr>
          <w:rFonts w:asciiTheme="minorHAnsi" w:hAnsiTheme="minorHAnsi" w:eastAsiaTheme="minorEastAsia" w:cstheme="minorBidi"/>
          <w:sz w:val="28"/>
          <w:szCs w:val="28"/>
          <w:highlight w:val="none"/>
        </w:rPr>
      </w:pPr>
      <w:r>
        <w:rPr>
          <w:highlight w:val="none"/>
        </w:rPr>
        <w:fldChar w:fldCharType="begin"/>
      </w:r>
      <w:r>
        <w:rPr>
          <w:highlight w:val="none"/>
        </w:rPr>
        <w:instrText xml:space="preserve"> HYPERLINK \l "_Toc85116783" </w:instrText>
      </w:r>
      <w:r>
        <w:rPr>
          <w:highlight w:val="none"/>
        </w:rPr>
        <w:fldChar w:fldCharType="separate"/>
      </w:r>
      <w:r>
        <w:rPr>
          <w:rStyle w:val="20"/>
          <w:rFonts w:hint="eastAsia" w:eastAsia="楷体_GB2312"/>
          <w:color w:val="auto"/>
          <w:sz w:val="28"/>
          <w:szCs w:val="28"/>
          <w:highlight w:val="none"/>
        </w:rPr>
        <w:t>（十）推进普通高中优质特色发展</w:t>
      </w:r>
      <w:r>
        <w:rPr>
          <w:sz w:val="28"/>
          <w:szCs w:val="28"/>
          <w:highlight w:val="none"/>
        </w:rPr>
        <w:tab/>
      </w:r>
      <w:r>
        <w:rPr>
          <w:sz w:val="28"/>
          <w:szCs w:val="28"/>
          <w:highlight w:val="none"/>
        </w:rPr>
        <w:fldChar w:fldCharType="begin"/>
      </w:r>
      <w:r>
        <w:rPr>
          <w:sz w:val="28"/>
          <w:szCs w:val="28"/>
          <w:highlight w:val="none"/>
        </w:rPr>
        <w:instrText xml:space="preserve"> PAGEREF _Toc85116783 \h </w:instrText>
      </w:r>
      <w:r>
        <w:rPr>
          <w:sz w:val="28"/>
          <w:szCs w:val="28"/>
          <w:highlight w:val="none"/>
        </w:rPr>
        <w:fldChar w:fldCharType="separate"/>
      </w:r>
      <w:r>
        <w:rPr>
          <w:sz w:val="28"/>
          <w:szCs w:val="28"/>
          <w:highlight w:val="none"/>
        </w:rPr>
        <w:t>35</w:t>
      </w:r>
      <w:r>
        <w:rPr>
          <w:sz w:val="28"/>
          <w:szCs w:val="28"/>
          <w:highlight w:val="none"/>
        </w:rPr>
        <w:fldChar w:fldCharType="end"/>
      </w:r>
      <w:r>
        <w:rPr>
          <w:sz w:val="28"/>
          <w:szCs w:val="28"/>
          <w:highlight w:val="none"/>
        </w:rPr>
        <w:fldChar w:fldCharType="end"/>
      </w:r>
    </w:p>
    <w:p>
      <w:pPr>
        <w:pStyle w:val="12"/>
        <w:tabs>
          <w:tab w:val="right" w:leader="dot" w:pos="8296"/>
        </w:tabs>
        <w:spacing w:line="460" w:lineRule="exact"/>
        <w:rPr>
          <w:rFonts w:asciiTheme="minorHAnsi" w:hAnsiTheme="minorHAnsi" w:eastAsiaTheme="minorEastAsia" w:cstheme="minorBidi"/>
          <w:sz w:val="28"/>
          <w:szCs w:val="28"/>
          <w:highlight w:val="none"/>
        </w:rPr>
      </w:pPr>
      <w:r>
        <w:rPr>
          <w:highlight w:val="none"/>
        </w:rPr>
        <w:fldChar w:fldCharType="begin"/>
      </w:r>
      <w:r>
        <w:rPr>
          <w:highlight w:val="none"/>
        </w:rPr>
        <w:instrText xml:space="preserve"> HYPERLINK \l "_Toc85116784" </w:instrText>
      </w:r>
      <w:r>
        <w:rPr>
          <w:highlight w:val="none"/>
        </w:rPr>
        <w:fldChar w:fldCharType="separate"/>
      </w:r>
      <w:r>
        <w:rPr>
          <w:rStyle w:val="20"/>
          <w:rFonts w:hint="eastAsia" w:eastAsia="楷体_GB2312"/>
          <w:color w:val="auto"/>
          <w:sz w:val="28"/>
          <w:szCs w:val="28"/>
          <w:highlight w:val="none"/>
        </w:rPr>
        <w:t>（十一）深化职业教育产教融合发展</w:t>
      </w:r>
      <w:r>
        <w:rPr>
          <w:sz w:val="28"/>
          <w:szCs w:val="28"/>
          <w:highlight w:val="none"/>
        </w:rPr>
        <w:tab/>
      </w:r>
      <w:r>
        <w:rPr>
          <w:sz w:val="28"/>
          <w:szCs w:val="28"/>
          <w:highlight w:val="none"/>
        </w:rPr>
        <w:fldChar w:fldCharType="begin"/>
      </w:r>
      <w:r>
        <w:rPr>
          <w:sz w:val="28"/>
          <w:szCs w:val="28"/>
          <w:highlight w:val="none"/>
        </w:rPr>
        <w:instrText xml:space="preserve"> PAGEREF _Toc85116784 \h </w:instrText>
      </w:r>
      <w:r>
        <w:rPr>
          <w:sz w:val="28"/>
          <w:szCs w:val="28"/>
          <w:highlight w:val="none"/>
        </w:rPr>
        <w:fldChar w:fldCharType="separate"/>
      </w:r>
      <w:r>
        <w:rPr>
          <w:sz w:val="28"/>
          <w:szCs w:val="28"/>
          <w:highlight w:val="none"/>
        </w:rPr>
        <w:t>36</w:t>
      </w:r>
      <w:r>
        <w:rPr>
          <w:sz w:val="28"/>
          <w:szCs w:val="28"/>
          <w:highlight w:val="none"/>
        </w:rPr>
        <w:fldChar w:fldCharType="end"/>
      </w:r>
      <w:r>
        <w:rPr>
          <w:sz w:val="28"/>
          <w:szCs w:val="28"/>
          <w:highlight w:val="none"/>
        </w:rPr>
        <w:fldChar w:fldCharType="end"/>
      </w:r>
    </w:p>
    <w:p>
      <w:pPr>
        <w:pStyle w:val="12"/>
        <w:tabs>
          <w:tab w:val="right" w:leader="dot" w:pos="8296"/>
        </w:tabs>
        <w:spacing w:line="460" w:lineRule="exact"/>
        <w:rPr>
          <w:rFonts w:asciiTheme="minorHAnsi" w:hAnsiTheme="minorHAnsi" w:eastAsiaTheme="minorEastAsia" w:cstheme="minorBidi"/>
          <w:sz w:val="28"/>
          <w:szCs w:val="28"/>
          <w:highlight w:val="none"/>
        </w:rPr>
      </w:pPr>
      <w:r>
        <w:rPr>
          <w:highlight w:val="none"/>
        </w:rPr>
        <w:fldChar w:fldCharType="begin"/>
      </w:r>
      <w:r>
        <w:rPr>
          <w:highlight w:val="none"/>
        </w:rPr>
        <w:instrText xml:space="preserve"> HYPERLINK \l "_Toc85116785" </w:instrText>
      </w:r>
      <w:r>
        <w:rPr>
          <w:highlight w:val="none"/>
        </w:rPr>
        <w:fldChar w:fldCharType="separate"/>
      </w:r>
      <w:r>
        <w:rPr>
          <w:rStyle w:val="20"/>
          <w:rFonts w:hint="eastAsia" w:eastAsia="楷体_GB2312"/>
          <w:color w:val="auto"/>
          <w:sz w:val="28"/>
          <w:szCs w:val="28"/>
          <w:highlight w:val="none"/>
        </w:rPr>
        <w:t>（十二）加快高等教育优质内涵发展</w:t>
      </w:r>
      <w:r>
        <w:rPr>
          <w:sz w:val="28"/>
          <w:szCs w:val="28"/>
          <w:highlight w:val="none"/>
        </w:rPr>
        <w:tab/>
      </w:r>
      <w:r>
        <w:rPr>
          <w:sz w:val="28"/>
          <w:szCs w:val="28"/>
          <w:highlight w:val="none"/>
        </w:rPr>
        <w:fldChar w:fldCharType="begin"/>
      </w:r>
      <w:r>
        <w:rPr>
          <w:sz w:val="28"/>
          <w:szCs w:val="28"/>
          <w:highlight w:val="none"/>
        </w:rPr>
        <w:instrText xml:space="preserve"> PAGEREF _Toc85116785 \h </w:instrText>
      </w:r>
      <w:r>
        <w:rPr>
          <w:sz w:val="28"/>
          <w:szCs w:val="28"/>
          <w:highlight w:val="none"/>
        </w:rPr>
        <w:fldChar w:fldCharType="separate"/>
      </w:r>
      <w:r>
        <w:rPr>
          <w:sz w:val="28"/>
          <w:szCs w:val="28"/>
          <w:highlight w:val="none"/>
        </w:rPr>
        <w:t>38</w:t>
      </w:r>
      <w:r>
        <w:rPr>
          <w:sz w:val="28"/>
          <w:szCs w:val="28"/>
          <w:highlight w:val="none"/>
        </w:rPr>
        <w:fldChar w:fldCharType="end"/>
      </w:r>
      <w:r>
        <w:rPr>
          <w:sz w:val="28"/>
          <w:szCs w:val="28"/>
          <w:highlight w:val="none"/>
        </w:rPr>
        <w:fldChar w:fldCharType="end"/>
      </w:r>
    </w:p>
    <w:p>
      <w:pPr>
        <w:pStyle w:val="12"/>
        <w:tabs>
          <w:tab w:val="right" w:leader="dot" w:pos="8296"/>
        </w:tabs>
        <w:spacing w:line="460" w:lineRule="exact"/>
        <w:rPr>
          <w:rFonts w:asciiTheme="minorHAnsi" w:hAnsiTheme="minorHAnsi" w:eastAsiaTheme="minorEastAsia" w:cstheme="minorBidi"/>
          <w:sz w:val="28"/>
          <w:szCs w:val="28"/>
          <w:highlight w:val="none"/>
        </w:rPr>
      </w:pPr>
      <w:r>
        <w:rPr>
          <w:highlight w:val="none"/>
        </w:rPr>
        <w:fldChar w:fldCharType="begin"/>
      </w:r>
      <w:r>
        <w:rPr>
          <w:highlight w:val="none"/>
        </w:rPr>
        <w:instrText xml:space="preserve"> HYPERLINK \l "_Toc85116786" </w:instrText>
      </w:r>
      <w:r>
        <w:rPr>
          <w:highlight w:val="none"/>
        </w:rPr>
        <w:fldChar w:fldCharType="separate"/>
      </w:r>
      <w:r>
        <w:rPr>
          <w:rStyle w:val="20"/>
          <w:rFonts w:hint="eastAsia" w:eastAsia="楷体_GB2312"/>
          <w:color w:val="auto"/>
          <w:sz w:val="28"/>
          <w:szCs w:val="28"/>
          <w:highlight w:val="none"/>
        </w:rPr>
        <w:t>（十三）推动特殊教育优质融合发展</w:t>
      </w:r>
      <w:r>
        <w:rPr>
          <w:sz w:val="28"/>
          <w:szCs w:val="28"/>
          <w:highlight w:val="none"/>
        </w:rPr>
        <w:tab/>
      </w:r>
      <w:r>
        <w:rPr>
          <w:sz w:val="28"/>
          <w:szCs w:val="28"/>
          <w:highlight w:val="none"/>
        </w:rPr>
        <w:fldChar w:fldCharType="begin"/>
      </w:r>
      <w:r>
        <w:rPr>
          <w:sz w:val="28"/>
          <w:szCs w:val="28"/>
          <w:highlight w:val="none"/>
        </w:rPr>
        <w:instrText xml:space="preserve"> PAGEREF _Toc85116786 \h </w:instrText>
      </w:r>
      <w:r>
        <w:rPr>
          <w:sz w:val="28"/>
          <w:szCs w:val="28"/>
          <w:highlight w:val="none"/>
        </w:rPr>
        <w:fldChar w:fldCharType="separate"/>
      </w:r>
      <w:r>
        <w:rPr>
          <w:sz w:val="28"/>
          <w:szCs w:val="28"/>
          <w:highlight w:val="none"/>
        </w:rPr>
        <w:t>40</w:t>
      </w:r>
      <w:r>
        <w:rPr>
          <w:sz w:val="28"/>
          <w:szCs w:val="28"/>
          <w:highlight w:val="none"/>
        </w:rPr>
        <w:fldChar w:fldCharType="end"/>
      </w:r>
      <w:r>
        <w:rPr>
          <w:sz w:val="28"/>
          <w:szCs w:val="28"/>
          <w:highlight w:val="none"/>
        </w:rPr>
        <w:fldChar w:fldCharType="end"/>
      </w:r>
    </w:p>
    <w:p>
      <w:pPr>
        <w:pStyle w:val="12"/>
        <w:tabs>
          <w:tab w:val="right" w:leader="dot" w:pos="8296"/>
        </w:tabs>
        <w:spacing w:line="460" w:lineRule="exact"/>
        <w:rPr>
          <w:rFonts w:asciiTheme="minorHAnsi" w:hAnsiTheme="minorHAnsi" w:eastAsiaTheme="minorEastAsia" w:cstheme="minorBidi"/>
          <w:sz w:val="28"/>
          <w:szCs w:val="28"/>
          <w:highlight w:val="none"/>
        </w:rPr>
      </w:pPr>
      <w:r>
        <w:rPr>
          <w:highlight w:val="none"/>
        </w:rPr>
        <w:fldChar w:fldCharType="begin"/>
      </w:r>
      <w:r>
        <w:rPr>
          <w:highlight w:val="none"/>
        </w:rPr>
        <w:instrText xml:space="preserve"> HYPERLINK \l "_Toc85116787" </w:instrText>
      </w:r>
      <w:r>
        <w:rPr>
          <w:highlight w:val="none"/>
        </w:rPr>
        <w:fldChar w:fldCharType="separate"/>
      </w:r>
      <w:r>
        <w:rPr>
          <w:rStyle w:val="20"/>
          <w:rFonts w:hint="eastAsia" w:eastAsia="楷体_GB2312"/>
          <w:color w:val="auto"/>
          <w:sz w:val="28"/>
          <w:szCs w:val="28"/>
          <w:highlight w:val="none"/>
        </w:rPr>
        <w:t>（十四）构建全民终身学习体系</w:t>
      </w:r>
      <w:r>
        <w:rPr>
          <w:sz w:val="28"/>
          <w:szCs w:val="28"/>
          <w:highlight w:val="none"/>
        </w:rPr>
        <w:tab/>
      </w:r>
      <w:r>
        <w:rPr>
          <w:sz w:val="28"/>
          <w:szCs w:val="28"/>
          <w:highlight w:val="none"/>
        </w:rPr>
        <w:fldChar w:fldCharType="begin"/>
      </w:r>
      <w:r>
        <w:rPr>
          <w:sz w:val="28"/>
          <w:szCs w:val="28"/>
          <w:highlight w:val="none"/>
        </w:rPr>
        <w:instrText xml:space="preserve"> PAGEREF _Toc85116787 \h </w:instrText>
      </w:r>
      <w:r>
        <w:rPr>
          <w:sz w:val="28"/>
          <w:szCs w:val="28"/>
          <w:highlight w:val="none"/>
        </w:rPr>
        <w:fldChar w:fldCharType="separate"/>
      </w:r>
      <w:r>
        <w:rPr>
          <w:sz w:val="28"/>
          <w:szCs w:val="28"/>
          <w:highlight w:val="none"/>
        </w:rPr>
        <w:t>42</w:t>
      </w:r>
      <w:r>
        <w:rPr>
          <w:sz w:val="28"/>
          <w:szCs w:val="28"/>
          <w:highlight w:val="none"/>
        </w:rPr>
        <w:fldChar w:fldCharType="end"/>
      </w:r>
      <w:r>
        <w:rPr>
          <w:sz w:val="28"/>
          <w:szCs w:val="28"/>
          <w:highlight w:val="none"/>
        </w:rPr>
        <w:fldChar w:fldCharType="end"/>
      </w:r>
    </w:p>
    <w:p>
      <w:pPr>
        <w:pStyle w:val="12"/>
        <w:tabs>
          <w:tab w:val="right" w:leader="dot" w:pos="8296"/>
        </w:tabs>
        <w:spacing w:line="460" w:lineRule="exact"/>
        <w:rPr>
          <w:rFonts w:asciiTheme="minorHAnsi" w:hAnsiTheme="minorHAnsi" w:eastAsiaTheme="minorEastAsia" w:cstheme="minorBidi"/>
          <w:sz w:val="28"/>
          <w:szCs w:val="28"/>
          <w:highlight w:val="none"/>
        </w:rPr>
      </w:pPr>
      <w:r>
        <w:rPr>
          <w:highlight w:val="none"/>
        </w:rPr>
        <w:fldChar w:fldCharType="begin"/>
      </w:r>
      <w:r>
        <w:rPr>
          <w:highlight w:val="none"/>
        </w:rPr>
        <w:instrText xml:space="preserve"> HYPERLINK \l "_Toc85116788" </w:instrText>
      </w:r>
      <w:r>
        <w:rPr>
          <w:highlight w:val="none"/>
        </w:rPr>
        <w:fldChar w:fldCharType="separate"/>
      </w:r>
      <w:r>
        <w:rPr>
          <w:rStyle w:val="20"/>
          <w:rFonts w:hint="eastAsia" w:eastAsia="楷体_GB2312"/>
          <w:color w:val="auto"/>
          <w:sz w:val="28"/>
          <w:szCs w:val="28"/>
          <w:highlight w:val="none"/>
        </w:rPr>
        <w:t>（十五）促进民办教育规范健康发展</w:t>
      </w:r>
      <w:r>
        <w:rPr>
          <w:sz w:val="28"/>
          <w:szCs w:val="28"/>
          <w:highlight w:val="none"/>
        </w:rPr>
        <w:tab/>
      </w:r>
      <w:r>
        <w:rPr>
          <w:sz w:val="28"/>
          <w:szCs w:val="28"/>
          <w:highlight w:val="none"/>
        </w:rPr>
        <w:fldChar w:fldCharType="begin"/>
      </w:r>
      <w:r>
        <w:rPr>
          <w:sz w:val="28"/>
          <w:szCs w:val="28"/>
          <w:highlight w:val="none"/>
        </w:rPr>
        <w:instrText xml:space="preserve"> PAGEREF _Toc85116788 \h </w:instrText>
      </w:r>
      <w:r>
        <w:rPr>
          <w:sz w:val="28"/>
          <w:szCs w:val="28"/>
          <w:highlight w:val="none"/>
        </w:rPr>
        <w:fldChar w:fldCharType="separate"/>
      </w:r>
      <w:r>
        <w:rPr>
          <w:sz w:val="28"/>
          <w:szCs w:val="28"/>
          <w:highlight w:val="none"/>
        </w:rPr>
        <w:t>43</w:t>
      </w:r>
      <w:r>
        <w:rPr>
          <w:sz w:val="28"/>
          <w:szCs w:val="28"/>
          <w:highlight w:val="none"/>
        </w:rPr>
        <w:fldChar w:fldCharType="end"/>
      </w:r>
      <w:r>
        <w:rPr>
          <w:sz w:val="28"/>
          <w:szCs w:val="28"/>
          <w:highlight w:val="none"/>
        </w:rPr>
        <w:fldChar w:fldCharType="end"/>
      </w:r>
    </w:p>
    <w:p>
      <w:pPr>
        <w:pStyle w:val="11"/>
        <w:tabs>
          <w:tab w:val="right" w:leader="dot" w:pos="8296"/>
        </w:tabs>
        <w:spacing w:line="460" w:lineRule="exact"/>
        <w:rPr>
          <w:rFonts w:asciiTheme="minorHAnsi" w:hAnsiTheme="minorHAnsi" w:eastAsiaTheme="minorEastAsia" w:cstheme="minorBidi"/>
          <w:sz w:val="28"/>
          <w:szCs w:val="28"/>
          <w:highlight w:val="none"/>
        </w:rPr>
      </w:pPr>
      <w:r>
        <w:rPr>
          <w:highlight w:val="none"/>
        </w:rPr>
        <w:fldChar w:fldCharType="begin"/>
      </w:r>
      <w:r>
        <w:rPr>
          <w:highlight w:val="none"/>
        </w:rPr>
        <w:instrText xml:space="preserve"> HYPERLINK \l "_Toc85116789" </w:instrText>
      </w:r>
      <w:r>
        <w:rPr>
          <w:highlight w:val="none"/>
        </w:rPr>
        <w:fldChar w:fldCharType="separate"/>
      </w:r>
      <w:r>
        <w:rPr>
          <w:rStyle w:val="20"/>
          <w:rFonts w:hint="eastAsia" w:eastAsia="黑体"/>
          <w:color w:val="auto"/>
          <w:sz w:val="28"/>
          <w:szCs w:val="28"/>
          <w:highlight w:val="none"/>
        </w:rPr>
        <w:t>四、保障措施</w:t>
      </w:r>
      <w:r>
        <w:rPr>
          <w:sz w:val="28"/>
          <w:szCs w:val="28"/>
          <w:highlight w:val="none"/>
        </w:rPr>
        <w:tab/>
      </w:r>
      <w:r>
        <w:rPr>
          <w:sz w:val="28"/>
          <w:szCs w:val="28"/>
          <w:highlight w:val="none"/>
        </w:rPr>
        <w:fldChar w:fldCharType="begin"/>
      </w:r>
      <w:r>
        <w:rPr>
          <w:sz w:val="28"/>
          <w:szCs w:val="28"/>
          <w:highlight w:val="none"/>
        </w:rPr>
        <w:instrText xml:space="preserve"> PAGEREF _Toc85116789 \h </w:instrText>
      </w:r>
      <w:r>
        <w:rPr>
          <w:sz w:val="28"/>
          <w:szCs w:val="28"/>
          <w:highlight w:val="none"/>
        </w:rPr>
        <w:fldChar w:fldCharType="separate"/>
      </w:r>
      <w:r>
        <w:rPr>
          <w:sz w:val="28"/>
          <w:szCs w:val="28"/>
          <w:highlight w:val="none"/>
        </w:rPr>
        <w:t>44</w:t>
      </w:r>
      <w:r>
        <w:rPr>
          <w:sz w:val="28"/>
          <w:szCs w:val="28"/>
          <w:highlight w:val="none"/>
        </w:rPr>
        <w:fldChar w:fldCharType="end"/>
      </w:r>
      <w:r>
        <w:rPr>
          <w:sz w:val="28"/>
          <w:szCs w:val="28"/>
          <w:highlight w:val="none"/>
        </w:rPr>
        <w:fldChar w:fldCharType="end"/>
      </w:r>
    </w:p>
    <w:p>
      <w:pPr>
        <w:pStyle w:val="12"/>
        <w:tabs>
          <w:tab w:val="right" w:leader="dot" w:pos="8296"/>
        </w:tabs>
        <w:spacing w:line="460" w:lineRule="exact"/>
        <w:rPr>
          <w:rFonts w:asciiTheme="minorHAnsi" w:hAnsiTheme="minorHAnsi" w:eastAsiaTheme="minorEastAsia" w:cstheme="minorBidi"/>
          <w:sz w:val="28"/>
          <w:szCs w:val="28"/>
          <w:highlight w:val="none"/>
        </w:rPr>
      </w:pPr>
      <w:r>
        <w:rPr>
          <w:highlight w:val="none"/>
        </w:rPr>
        <w:fldChar w:fldCharType="begin"/>
      </w:r>
      <w:r>
        <w:rPr>
          <w:highlight w:val="none"/>
        </w:rPr>
        <w:instrText xml:space="preserve"> HYPERLINK \l "_Toc85116790" </w:instrText>
      </w:r>
      <w:r>
        <w:rPr>
          <w:highlight w:val="none"/>
        </w:rPr>
        <w:fldChar w:fldCharType="separate"/>
      </w:r>
      <w:r>
        <w:rPr>
          <w:rStyle w:val="20"/>
          <w:rFonts w:hint="eastAsia" w:eastAsia="楷体_GB2312"/>
          <w:color w:val="auto"/>
          <w:sz w:val="28"/>
          <w:szCs w:val="28"/>
          <w:highlight w:val="none"/>
        </w:rPr>
        <w:t>（一）强化党的领导</w:t>
      </w:r>
      <w:r>
        <w:rPr>
          <w:sz w:val="28"/>
          <w:szCs w:val="28"/>
          <w:highlight w:val="none"/>
        </w:rPr>
        <w:tab/>
      </w:r>
      <w:r>
        <w:rPr>
          <w:sz w:val="28"/>
          <w:szCs w:val="28"/>
          <w:highlight w:val="none"/>
        </w:rPr>
        <w:fldChar w:fldCharType="begin"/>
      </w:r>
      <w:r>
        <w:rPr>
          <w:sz w:val="28"/>
          <w:szCs w:val="28"/>
          <w:highlight w:val="none"/>
        </w:rPr>
        <w:instrText xml:space="preserve"> PAGEREF _Toc85116790 \h </w:instrText>
      </w:r>
      <w:r>
        <w:rPr>
          <w:sz w:val="28"/>
          <w:szCs w:val="28"/>
          <w:highlight w:val="none"/>
        </w:rPr>
        <w:fldChar w:fldCharType="separate"/>
      </w:r>
      <w:r>
        <w:rPr>
          <w:sz w:val="28"/>
          <w:szCs w:val="28"/>
          <w:highlight w:val="none"/>
        </w:rPr>
        <w:t>44</w:t>
      </w:r>
      <w:r>
        <w:rPr>
          <w:sz w:val="28"/>
          <w:szCs w:val="28"/>
          <w:highlight w:val="none"/>
        </w:rPr>
        <w:fldChar w:fldCharType="end"/>
      </w:r>
      <w:r>
        <w:rPr>
          <w:sz w:val="28"/>
          <w:szCs w:val="28"/>
          <w:highlight w:val="none"/>
        </w:rPr>
        <w:fldChar w:fldCharType="end"/>
      </w:r>
    </w:p>
    <w:p>
      <w:pPr>
        <w:pStyle w:val="12"/>
        <w:tabs>
          <w:tab w:val="right" w:leader="dot" w:pos="8296"/>
        </w:tabs>
        <w:spacing w:line="460" w:lineRule="exact"/>
        <w:rPr>
          <w:rFonts w:asciiTheme="minorHAnsi" w:hAnsiTheme="minorHAnsi" w:eastAsiaTheme="minorEastAsia" w:cstheme="minorBidi"/>
          <w:sz w:val="28"/>
          <w:szCs w:val="28"/>
          <w:highlight w:val="none"/>
        </w:rPr>
      </w:pPr>
      <w:r>
        <w:rPr>
          <w:highlight w:val="none"/>
        </w:rPr>
        <w:fldChar w:fldCharType="begin"/>
      </w:r>
      <w:r>
        <w:rPr>
          <w:highlight w:val="none"/>
        </w:rPr>
        <w:instrText xml:space="preserve"> HYPERLINK \l "_Toc85116791" </w:instrText>
      </w:r>
      <w:r>
        <w:rPr>
          <w:highlight w:val="none"/>
        </w:rPr>
        <w:fldChar w:fldCharType="separate"/>
      </w:r>
      <w:r>
        <w:rPr>
          <w:rStyle w:val="20"/>
          <w:rFonts w:hint="eastAsia" w:eastAsia="楷体_GB2312"/>
          <w:color w:val="auto"/>
          <w:sz w:val="28"/>
          <w:szCs w:val="28"/>
          <w:highlight w:val="none"/>
        </w:rPr>
        <w:t>（二）强化依法治教</w:t>
      </w:r>
      <w:r>
        <w:rPr>
          <w:sz w:val="28"/>
          <w:szCs w:val="28"/>
          <w:highlight w:val="none"/>
        </w:rPr>
        <w:tab/>
      </w:r>
      <w:r>
        <w:rPr>
          <w:sz w:val="28"/>
          <w:szCs w:val="28"/>
          <w:highlight w:val="none"/>
        </w:rPr>
        <w:fldChar w:fldCharType="begin"/>
      </w:r>
      <w:r>
        <w:rPr>
          <w:sz w:val="28"/>
          <w:szCs w:val="28"/>
          <w:highlight w:val="none"/>
        </w:rPr>
        <w:instrText xml:space="preserve"> PAGEREF _Toc85116791 \h </w:instrText>
      </w:r>
      <w:r>
        <w:rPr>
          <w:sz w:val="28"/>
          <w:szCs w:val="28"/>
          <w:highlight w:val="none"/>
        </w:rPr>
        <w:fldChar w:fldCharType="separate"/>
      </w:r>
      <w:r>
        <w:rPr>
          <w:sz w:val="28"/>
          <w:szCs w:val="28"/>
          <w:highlight w:val="none"/>
        </w:rPr>
        <w:t>45</w:t>
      </w:r>
      <w:r>
        <w:rPr>
          <w:sz w:val="28"/>
          <w:szCs w:val="28"/>
          <w:highlight w:val="none"/>
        </w:rPr>
        <w:fldChar w:fldCharType="end"/>
      </w:r>
      <w:r>
        <w:rPr>
          <w:sz w:val="28"/>
          <w:szCs w:val="28"/>
          <w:highlight w:val="none"/>
        </w:rPr>
        <w:fldChar w:fldCharType="end"/>
      </w:r>
    </w:p>
    <w:p>
      <w:pPr>
        <w:pStyle w:val="12"/>
        <w:tabs>
          <w:tab w:val="right" w:leader="dot" w:pos="8296"/>
        </w:tabs>
        <w:spacing w:line="460" w:lineRule="exact"/>
        <w:rPr>
          <w:rFonts w:asciiTheme="minorHAnsi" w:hAnsiTheme="minorHAnsi" w:eastAsiaTheme="minorEastAsia" w:cstheme="minorBidi"/>
          <w:sz w:val="28"/>
          <w:szCs w:val="28"/>
          <w:highlight w:val="none"/>
        </w:rPr>
      </w:pPr>
      <w:r>
        <w:rPr>
          <w:highlight w:val="none"/>
        </w:rPr>
        <w:fldChar w:fldCharType="begin"/>
      </w:r>
      <w:r>
        <w:rPr>
          <w:highlight w:val="none"/>
        </w:rPr>
        <w:instrText xml:space="preserve"> HYPERLINK \l "_Toc85116792" </w:instrText>
      </w:r>
      <w:r>
        <w:rPr>
          <w:highlight w:val="none"/>
        </w:rPr>
        <w:fldChar w:fldCharType="separate"/>
      </w:r>
      <w:r>
        <w:rPr>
          <w:rStyle w:val="20"/>
          <w:rFonts w:hint="eastAsia" w:eastAsia="楷体_GB2312"/>
          <w:color w:val="auto"/>
          <w:sz w:val="28"/>
          <w:szCs w:val="28"/>
          <w:highlight w:val="none"/>
        </w:rPr>
        <w:t>（三）强化要素保障</w:t>
      </w:r>
      <w:r>
        <w:rPr>
          <w:sz w:val="28"/>
          <w:szCs w:val="28"/>
          <w:highlight w:val="none"/>
        </w:rPr>
        <w:tab/>
      </w:r>
      <w:r>
        <w:rPr>
          <w:sz w:val="28"/>
          <w:szCs w:val="28"/>
          <w:highlight w:val="none"/>
        </w:rPr>
        <w:fldChar w:fldCharType="begin"/>
      </w:r>
      <w:r>
        <w:rPr>
          <w:sz w:val="28"/>
          <w:szCs w:val="28"/>
          <w:highlight w:val="none"/>
        </w:rPr>
        <w:instrText xml:space="preserve"> PAGEREF _Toc85116792 \h </w:instrText>
      </w:r>
      <w:r>
        <w:rPr>
          <w:sz w:val="28"/>
          <w:szCs w:val="28"/>
          <w:highlight w:val="none"/>
        </w:rPr>
        <w:fldChar w:fldCharType="separate"/>
      </w:r>
      <w:r>
        <w:rPr>
          <w:sz w:val="28"/>
          <w:szCs w:val="28"/>
          <w:highlight w:val="none"/>
        </w:rPr>
        <w:t>46</w:t>
      </w:r>
      <w:r>
        <w:rPr>
          <w:sz w:val="28"/>
          <w:szCs w:val="28"/>
          <w:highlight w:val="none"/>
        </w:rPr>
        <w:fldChar w:fldCharType="end"/>
      </w:r>
      <w:r>
        <w:rPr>
          <w:sz w:val="28"/>
          <w:szCs w:val="28"/>
          <w:highlight w:val="none"/>
        </w:rPr>
        <w:fldChar w:fldCharType="end"/>
      </w:r>
    </w:p>
    <w:p>
      <w:pPr>
        <w:pStyle w:val="12"/>
        <w:tabs>
          <w:tab w:val="right" w:leader="dot" w:pos="8296"/>
        </w:tabs>
        <w:spacing w:line="460" w:lineRule="exact"/>
        <w:rPr>
          <w:rFonts w:asciiTheme="minorHAnsi" w:hAnsiTheme="minorHAnsi" w:eastAsiaTheme="minorEastAsia" w:cstheme="minorBidi"/>
          <w:sz w:val="28"/>
          <w:szCs w:val="28"/>
          <w:highlight w:val="none"/>
        </w:rPr>
      </w:pPr>
      <w:r>
        <w:rPr>
          <w:highlight w:val="none"/>
        </w:rPr>
        <w:fldChar w:fldCharType="begin"/>
      </w:r>
      <w:r>
        <w:rPr>
          <w:highlight w:val="none"/>
        </w:rPr>
        <w:instrText xml:space="preserve"> HYPERLINK \l "_Toc85116793" </w:instrText>
      </w:r>
      <w:r>
        <w:rPr>
          <w:highlight w:val="none"/>
        </w:rPr>
        <w:fldChar w:fldCharType="separate"/>
      </w:r>
      <w:r>
        <w:rPr>
          <w:rStyle w:val="20"/>
          <w:rFonts w:hint="eastAsia" w:eastAsia="楷体_GB2312"/>
          <w:color w:val="auto"/>
          <w:sz w:val="28"/>
          <w:szCs w:val="28"/>
          <w:highlight w:val="none"/>
        </w:rPr>
        <w:t>（四）强化规划实施</w:t>
      </w:r>
      <w:r>
        <w:rPr>
          <w:sz w:val="28"/>
          <w:szCs w:val="28"/>
          <w:highlight w:val="none"/>
        </w:rPr>
        <w:tab/>
      </w:r>
      <w:r>
        <w:rPr>
          <w:sz w:val="28"/>
          <w:szCs w:val="28"/>
          <w:highlight w:val="none"/>
        </w:rPr>
        <w:fldChar w:fldCharType="begin"/>
      </w:r>
      <w:r>
        <w:rPr>
          <w:sz w:val="28"/>
          <w:szCs w:val="28"/>
          <w:highlight w:val="none"/>
        </w:rPr>
        <w:instrText xml:space="preserve"> PAGEREF _Toc85116793 \h </w:instrText>
      </w:r>
      <w:r>
        <w:rPr>
          <w:sz w:val="28"/>
          <w:szCs w:val="28"/>
          <w:highlight w:val="none"/>
        </w:rPr>
        <w:fldChar w:fldCharType="separate"/>
      </w:r>
      <w:r>
        <w:rPr>
          <w:sz w:val="28"/>
          <w:szCs w:val="28"/>
          <w:highlight w:val="none"/>
        </w:rPr>
        <w:t>46</w:t>
      </w:r>
      <w:r>
        <w:rPr>
          <w:sz w:val="28"/>
          <w:szCs w:val="28"/>
          <w:highlight w:val="none"/>
        </w:rPr>
        <w:fldChar w:fldCharType="end"/>
      </w:r>
      <w:r>
        <w:rPr>
          <w:sz w:val="28"/>
          <w:szCs w:val="28"/>
          <w:highlight w:val="none"/>
        </w:rPr>
        <w:fldChar w:fldCharType="end"/>
      </w:r>
    </w:p>
    <w:p>
      <w:pPr>
        <w:spacing w:line="460" w:lineRule="exact"/>
        <w:rPr>
          <w:rFonts w:eastAsia="方正小标宋简体"/>
          <w:sz w:val="44"/>
          <w:szCs w:val="44"/>
          <w:highlight w:val="none"/>
        </w:rPr>
      </w:pPr>
      <w:r>
        <w:rPr>
          <w:rFonts w:eastAsia="方正小标宋简体"/>
          <w:sz w:val="28"/>
          <w:szCs w:val="28"/>
          <w:highlight w:val="none"/>
        </w:rPr>
        <w:fldChar w:fldCharType="end"/>
      </w:r>
      <w:r>
        <w:rPr>
          <w:rFonts w:hint="eastAsia" w:eastAsia="方正小标宋简体"/>
          <w:sz w:val="28"/>
          <w:szCs w:val="28"/>
          <w:highlight w:val="none"/>
        </w:rPr>
        <w:t xml:space="preserve"> </w:t>
      </w:r>
    </w:p>
    <w:p>
      <w:pPr>
        <w:jc w:val="center"/>
        <w:rPr>
          <w:rFonts w:eastAsia="方正小标宋简体"/>
          <w:sz w:val="44"/>
          <w:szCs w:val="44"/>
          <w:highlight w:val="none"/>
        </w:rPr>
        <w:sectPr>
          <w:footerReference r:id="rId3" w:type="default"/>
          <w:footerReference r:id="rId4" w:type="even"/>
          <w:pgSz w:w="11906" w:h="16838"/>
          <w:pgMar w:top="1440" w:right="1800" w:bottom="1440" w:left="1800" w:header="851" w:footer="992" w:gutter="0"/>
          <w:pgNumType w:start="1"/>
          <w:cols w:space="425" w:num="1"/>
          <w:docGrid w:type="lines" w:linePitch="312" w:charSpace="0"/>
        </w:sectPr>
      </w:pPr>
    </w:p>
    <w:p>
      <w:pPr>
        <w:jc w:val="center"/>
        <w:rPr>
          <w:rFonts w:eastAsia="方正小标宋简体"/>
          <w:sz w:val="44"/>
          <w:szCs w:val="44"/>
          <w:highlight w:val="none"/>
        </w:rPr>
      </w:pPr>
    </w:p>
    <w:p>
      <w:pPr>
        <w:spacing w:line="660" w:lineRule="exact"/>
        <w:jc w:val="center"/>
        <w:rPr>
          <w:rFonts w:eastAsia="方正小标宋简体"/>
          <w:sz w:val="44"/>
          <w:szCs w:val="44"/>
          <w:highlight w:val="none"/>
        </w:rPr>
      </w:pPr>
      <w:r>
        <w:rPr>
          <w:rFonts w:eastAsia="方正小标宋简体"/>
          <w:sz w:val="44"/>
          <w:szCs w:val="44"/>
          <w:highlight w:val="none"/>
        </w:rPr>
        <w:t>丽水市教育事业发展“十四五”规划</w:t>
      </w:r>
      <w:bookmarkEnd w:id="0"/>
      <w:bookmarkEnd w:id="1"/>
      <w:bookmarkEnd w:id="2"/>
      <w:bookmarkEnd w:id="3"/>
    </w:p>
    <w:p>
      <w:pPr>
        <w:spacing w:line="580" w:lineRule="exact"/>
        <w:rPr>
          <w:rFonts w:eastAsia="仿宋_GB2312"/>
          <w:sz w:val="32"/>
          <w:szCs w:val="32"/>
          <w:highlight w:val="none"/>
        </w:rPr>
      </w:pPr>
    </w:p>
    <w:p>
      <w:pPr>
        <w:spacing w:line="600" w:lineRule="exact"/>
        <w:ind w:firstLine="640" w:firstLineChars="200"/>
        <w:rPr>
          <w:rFonts w:eastAsia="仿宋_GB2312"/>
          <w:sz w:val="32"/>
          <w:szCs w:val="32"/>
          <w:highlight w:val="none"/>
        </w:rPr>
      </w:pPr>
      <w:r>
        <w:rPr>
          <w:rFonts w:eastAsia="仿宋_GB2312"/>
          <w:sz w:val="32"/>
          <w:szCs w:val="32"/>
          <w:highlight w:val="none"/>
        </w:rPr>
        <w:t>为加快教育现代化建设，推进丽水教育高质量均衡发展，根据《中国教育现代化2035》《浙江教育现代化2035行动纲要》《浙江省教育事业发展“十四五”规划》《丽水市国民经济和社会发展第十四个五年规划和二</w:t>
      </w:r>
      <w:r>
        <w:rPr>
          <w:sz w:val="32"/>
          <w:szCs w:val="32"/>
          <w:highlight w:val="none"/>
        </w:rPr>
        <w:t>〇</w:t>
      </w:r>
      <w:r>
        <w:rPr>
          <w:rFonts w:eastAsia="仿宋_GB2312"/>
          <w:sz w:val="32"/>
          <w:szCs w:val="32"/>
          <w:highlight w:val="none"/>
        </w:rPr>
        <w:t>三五年远景目标纲要》的部署要求，结合丽水教育发展实际，制定本规划。</w:t>
      </w:r>
    </w:p>
    <w:p>
      <w:pPr>
        <w:spacing w:line="600" w:lineRule="exact"/>
        <w:ind w:firstLine="640" w:firstLineChars="200"/>
        <w:outlineLvl w:val="0"/>
        <w:rPr>
          <w:rFonts w:eastAsia="黑体"/>
          <w:sz w:val="32"/>
          <w:szCs w:val="32"/>
          <w:highlight w:val="none"/>
        </w:rPr>
      </w:pPr>
      <w:bookmarkStart w:id="4" w:name="_Toc85116768"/>
      <w:bookmarkStart w:id="5" w:name="_Toc63173857"/>
      <w:r>
        <w:rPr>
          <w:rFonts w:eastAsia="黑体"/>
          <w:sz w:val="32"/>
          <w:szCs w:val="32"/>
          <w:highlight w:val="none"/>
        </w:rPr>
        <w:t>一、现实基础和面临形势</w:t>
      </w:r>
      <w:bookmarkEnd w:id="4"/>
      <w:bookmarkEnd w:id="5"/>
    </w:p>
    <w:p>
      <w:pPr>
        <w:spacing w:line="600" w:lineRule="exact"/>
        <w:ind w:firstLine="640" w:firstLineChars="200"/>
        <w:rPr>
          <w:rFonts w:eastAsia="仿宋_GB2312"/>
          <w:sz w:val="32"/>
          <w:szCs w:val="32"/>
          <w:highlight w:val="none"/>
        </w:rPr>
      </w:pPr>
      <w:r>
        <w:rPr>
          <w:rFonts w:eastAsia="仿宋_GB2312"/>
          <w:sz w:val="32"/>
          <w:szCs w:val="32"/>
          <w:highlight w:val="none"/>
        </w:rPr>
        <w:t>“十三五”以来，丽水市坚持把教育摆在优先发展的战略位置，紧紧围绕中央、省、市的决策部署，全面实施教育提质行动，统筹推进教育改革发展各项工作，完成了既定的各项目标任务，教育事业取得长足发展、迈上新的台阶。全市9个县（市、区）全部创成省教育基本现代化县，与全省同步实现教育基本现代化。教育普及化水平稳步提升，各项指标与全省同步达到高收入国家平均水平，学前三年入园率达98.55%，15年教育普及率达98.77%，初中毕业生升入高中段比例达98.64%，高中段教育毛入学率达98.33%，高等教育毛入学率达62.1%。教育投入持续加大， “十三五”全市教育投入达到476.74亿元，比“十二五”增长76.6%，财政性教育经费占地方生产总值的比例已连续6年达到5%以上（2020年达到6.46%），生均一般公共预算教育事业费、生均一般公共预算公用经费实现了只增不减。“十三五”期间全市实施教育项目296个，完成投资98.42亿元，比“十二五”增长48.52%，新增学位61505个。立德树人取得显著成效，丽水红色、绿色、古色“三色德育”品牌初步形成，修编了《浙江绿谷》地方教材，搭建起“绿谷系列”6类学生素质全面发展展示平台，制定了74个丽水市中小学生运动技能、艺术特长、技术操作达标标准，创建344个“绿谷知行”中小学生实践基地。建立健全教育质量的管理体系，统筹实施市县创新型人才培养，教育教学质量大幅提升，</w:t>
      </w:r>
      <w:r>
        <w:rPr>
          <w:rFonts w:eastAsia="仿宋_GB2312"/>
          <w:kern w:val="0"/>
          <w:sz w:val="32"/>
          <w:szCs w:val="32"/>
          <w:highlight w:val="none"/>
        </w:rPr>
        <w:t>高考竞争力逐年提高，2018年-2020年</w:t>
      </w:r>
      <w:r>
        <w:rPr>
          <w:rFonts w:eastAsia="仿宋_GB2312"/>
          <w:sz w:val="32"/>
          <w:szCs w:val="32"/>
          <w:highlight w:val="none"/>
        </w:rPr>
        <w:t>普通类一段上线率连续三年超过全省平均水平，</w:t>
      </w:r>
      <w:r>
        <w:rPr>
          <w:rFonts w:eastAsia="仿宋_GB2312"/>
          <w:kern w:val="0"/>
          <w:sz w:val="32"/>
          <w:szCs w:val="32"/>
          <w:highlight w:val="none"/>
        </w:rPr>
        <w:t>2020年</w:t>
      </w:r>
      <w:r>
        <w:rPr>
          <w:rFonts w:eastAsia="仿宋_GB2312"/>
          <w:sz w:val="32"/>
          <w:szCs w:val="32"/>
          <w:highlight w:val="none"/>
        </w:rPr>
        <w:t>高考总录取率达95.23%，高中段毕业生升上大学接受高等教育达83.8%，全国职业技能大赛实现金牌零的突破，</w:t>
      </w:r>
      <w:r>
        <w:rPr>
          <w:rFonts w:eastAsia="仿宋_GB2312"/>
          <w:kern w:val="0"/>
          <w:sz w:val="32"/>
          <w:szCs w:val="32"/>
          <w:highlight w:val="none"/>
        </w:rPr>
        <w:t>人民群众对丽水教育的满意度持续提升，</w:t>
      </w:r>
      <w:r>
        <w:rPr>
          <w:rFonts w:eastAsia="仿宋_GB2312"/>
          <w:sz w:val="32"/>
          <w:szCs w:val="32"/>
          <w:highlight w:val="none"/>
        </w:rPr>
        <w:t>市域教育的自信心明显增强。教师队伍建设取得新的进展，建立教师待遇与公务员收入联动机制，教师收入达到公务员平均水平，“绿谷名师、名校长”成长体系不断完善，全面健全 “绿谷名师”六级和“绿谷名校长” 三级成长体系，深入推进“双名”培养工程，教师队伍整体水平显著提升。教育信息化水平全面提升，智慧校园达标校比例达到63.8%，教育数字化改革成效显著，开发涵盖市县校班生5层的“丽教钉”组织架构和应用体系，建立教育服务、教育管理、教学支撑的应用。</w:t>
      </w:r>
    </w:p>
    <w:p>
      <w:pPr>
        <w:spacing w:line="600" w:lineRule="exact"/>
        <w:ind w:firstLine="640" w:firstLineChars="200"/>
        <w:rPr>
          <w:rFonts w:eastAsia="仿宋_GB2312"/>
          <w:sz w:val="32"/>
          <w:szCs w:val="32"/>
          <w:highlight w:val="none"/>
        </w:rPr>
      </w:pPr>
      <w:r>
        <w:rPr>
          <w:rFonts w:eastAsia="仿宋_GB2312"/>
          <w:sz w:val="32"/>
          <w:szCs w:val="32"/>
          <w:highlight w:val="none"/>
        </w:rPr>
        <w:t>“十三五”全市教育事业取得了突破性进展，教育面貌发生格局性变化，但与经济社会发展要求、人民群众期待、发达地区教育水平还有明显差距，教育不平衡不充分的问题依然不同程度存在。主要体现在：</w:t>
      </w:r>
      <w:r>
        <w:rPr>
          <w:rFonts w:eastAsia="仿宋_GB2312"/>
          <w:b/>
          <w:sz w:val="32"/>
          <w:szCs w:val="32"/>
          <w:highlight w:val="none"/>
        </w:rPr>
        <w:t>教育理念更新跟不上发展要求。</w:t>
      </w:r>
      <w:r>
        <w:rPr>
          <w:rFonts w:eastAsia="仿宋_GB2312"/>
          <w:sz w:val="32"/>
          <w:szCs w:val="32"/>
          <w:highlight w:val="none"/>
        </w:rPr>
        <w:t>教育理念与新时代教育不够匹配，教育的评价导向还不够科学，破除“五唯”顽瘴痼疾还任重道远，“破”与“立”的有机结合不够，对于</w:t>
      </w:r>
      <w:r>
        <w:rPr>
          <w:rFonts w:eastAsia="仿宋_GB2312"/>
          <w:kern w:val="0"/>
          <w:sz w:val="32"/>
          <w:szCs w:val="32"/>
          <w:highlight w:val="none"/>
        </w:rPr>
        <w:t>党委政府、学校、教师、学生的评价机制还有待重构。</w:t>
      </w:r>
      <w:r>
        <w:rPr>
          <w:rFonts w:eastAsia="仿宋_GB2312"/>
          <w:b/>
          <w:kern w:val="0"/>
          <w:sz w:val="32"/>
          <w:szCs w:val="32"/>
          <w:highlight w:val="none"/>
        </w:rPr>
        <w:t>“五育并举”落实机制有待完善。</w:t>
      </w:r>
      <w:r>
        <w:rPr>
          <w:rFonts w:eastAsia="仿宋_GB2312"/>
          <w:sz w:val="32"/>
          <w:szCs w:val="32"/>
          <w:highlight w:val="none"/>
        </w:rPr>
        <w:t>促进学生全面而有个性发展的体制机制不够健全，</w:t>
      </w:r>
      <w:r>
        <w:rPr>
          <w:rFonts w:eastAsia="仿宋_GB2312"/>
          <w:kern w:val="0"/>
          <w:sz w:val="32"/>
          <w:szCs w:val="32"/>
          <w:highlight w:val="none"/>
        </w:rPr>
        <w:t>中小学</w:t>
      </w:r>
      <w:r>
        <w:rPr>
          <w:rFonts w:eastAsia="仿宋_GB2312"/>
          <w:sz w:val="32"/>
          <w:szCs w:val="32"/>
          <w:highlight w:val="none"/>
        </w:rPr>
        <w:t>思政课落实有差距，思政课教师配备有待加强，</w:t>
      </w:r>
      <w:r>
        <w:rPr>
          <w:rFonts w:eastAsia="仿宋_GB2312"/>
          <w:kern w:val="0"/>
          <w:sz w:val="32"/>
          <w:szCs w:val="32"/>
          <w:highlight w:val="none"/>
        </w:rPr>
        <w:t>立德树人工作与丽水本土的红色、绿色、古色等教育资源充分融合不够深入，</w:t>
      </w:r>
      <w:r>
        <w:rPr>
          <w:rFonts w:eastAsia="仿宋_GB2312"/>
          <w:sz w:val="32"/>
          <w:szCs w:val="32"/>
          <w:highlight w:val="none"/>
        </w:rPr>
        <w:t>体育、美育、劳动实践教育机制有待完善，学生体质健康、心理健康有待提升，</w:t>
      </w:r>
      <w:r>
        <w:rPr>
          <w:rFonts w:eastAsia="仿宋_GB2312"/>
          <w:kern w:val="0"/>
          <w:sz w:val="32"/>
          <w:szCs w:val="32"/>
          <w:highlight w:val="none"/>
        </w:rPr>
        <w:t>培养具有丽水辨识度的学生还有差距，</w:t>
      </w:r>
      <w:r>
        <w:rPr>
          <w:rFonts w:eastAsia="仿宋_GB2312"/>
          <w:sz w:val="32"/>
          <w:szCs w:val="32"/>
          <w:highlight w:val="none"/>
        </w:rPr>
        <w:t>校园文化建设与新时代教育思想的有机结合、充分融入还不够</w:t>
      </w:r>
      <w:r>
        <w:rPr>
          <w:rFonts w:eastAsia="仿宋_GB2312"/>
          <w:kern w:val="0"/>
          <w:sz w:val="32"/>
          <w:szCs w:val="32"/>
          <w:highlight w:val="none"/>
        </w:rPr>
        <w:t>。</w:t>
      </w:r>
      <w:r>
        <w:rPr>
          <w:rFonts w:eastAsia="仿宋_GB2312"/>
          <w:b/>
          <w:sz w:val="32"/>
          <w:szCs w:val="32"/>
          <w:highlight w:val="none"/>
        </w:rPr>
        <w:t>优质教育资源供给不够充分。</w:t>
      </w:r>
      <w:r>
        <w:rPr>
          <w:rFonts w:eastAsia="仿宋_GB2312"/>
          <w:sz w:val="32"/>
          <w:szCs w:val="32"/>
          <w:highlight w:val="none"/>
        </w:rPr>
        <w:t>城区教育资源供给仍显不足，优质教育资源不够均衡，县域、城乡、校际之间存在差异，市、县两级分裂的趋势愈加明显，老百姓普遍认可的优质学校比例不高，“上好学”的压力比较大，“城市挤、农村弱”的现象依然存在。</w:t>
      </w:r>
      <w:r>
        <w:rPr>
          <w:rFonts w:eastAsia="仿宋_GB2312"/>
          <w:b/>
          <w:sz w:val="32"/>
          <w:szCs w:val="32"/>
          <w:highlight w:val="none"/>
        </w:rPr>
        <w:t>教师队伍建设有待加强。</w:t>
      </w:r>
      <w:r>
        <w:rPr>
          <w:rFonts w:eastAsia="仿宋_GB2312"/>
          <w:sz w:val="32"/>
          <w:szCs w:val="32"/>
          <w:highlight w:val="none"/>
        </w:rPr>
        <w:t>教师队伍</w:t>
      </w:r>
      <w:r>
        <w:rPr>
          <w:rFonts w:eastAsia="仿宋_GB2312"/>
          <w:kern w:val="0"/>
          <w:sz w:val="32"/>
          <w:szCs w:val="32"/>
          <w:highlight w:val="none"/>
        </w:rPr>
        <w:t>整体水平不高，</w:t>
      </w:r>
      <w:r>
        <w:rPr>
          <w:rFonts w:eastAsia="仿宋_GB2312"/>
          <w:sz w:val="32"/>
          <w:szCs w:val="32"/>
          <w:highlight w:val="none"/>
        </w:rPr>
        <w:t>教师培养培训、专业发展的机制有待完善，教师中名师比例、研究生学历比例低，校（园）长队伍后备人才薄弱。</w:t>
      </w:r>
      <w:r>
        <w:rPr>
          <w:rFonts w:eastAsia="仿宋_GB2312"/>
          <w:kern w:val="0"/>
          <w:sz w:val="32"/>
          <w:szCs w:val="32"/>
          <w:highlight w:val="none"/>
        </w:rPr>
        <w:t>教育优秀人才引进成效不大，实质性引进市外名师名校长难度很大</w:t>
      </w:r>
      <w:r>
        <w:rPr>
          <w:rFonts w:eastAsia="仿宋_GB2312"/>
          <w:sz w:val="32"/>
          <w:szCs w:val="32"/>
          <w:highlight w:val="none"/>
        </w:rPr>
        <w:t>。</w:t>
      </w:r>
      <w:r>
        <w:rPr>
          <w:rFonts w:eastAsia="仿宋_GB2312"/>
          <w:b/>
          <w:sz w:val="32"/>
          <w:szCs w:val="32"/>
          <w:highlight w:val="none"/>
        </w:rPr>
        <w:t>教育教学质量还有差距。</w:t>
      </w:r>
      <w:r>
        <w:rPr>
          <w:rFonts w:eastAsia="仿宋_GB2312"/>
          <w:sz w:val="32"/>
          <w:szCs w:val="32"/>
          <w:highlight w:val="none"/>
        </w:rPr>
        <w:t>创新人才培养能力仍需进一步加强，</w:t>
      </w:r>
      <w:r>
        <w:rPr>
          <w:rFonts w:eastAsia="仿宋_GB2312"/>
          <w:bCs/>
          <w:sz w:val="32"/>
          <w:szCs w:val="32"/>
          <w:highlight w:val="none"/>
        </w:rPr>
        <w:t>与</w:t>
      </w:r>
      <w:r>
        <w:rPr>
          <w:rFonts w:eastAsia="仿宋_GB2312"/>
          <w:sz w:val="32"/>
          <w:szCs w:val="32"/>
          <w:highlight w:val="none"/>
        </w:rPr>
        <w:t>新高考</w:t>
      </w:r>
      <w:r>
        <w:rPr>
          <w:rFonts w:eastAsia="仿宋_GB2312"/>
          <w:bCs/>
          <w:sz w:val="32"/>
          <w:szCs w:val="32"/>
          <w:highlight w:val="none"/>
        </w:rPr>
        <w:t>改革、“</w:t>
      </w:r>
      <w:r>
        <w:rPr>
          <w:rFonts w:eastAsia="仿宋_GB2312"/>
          <w:sz w:val="32"/>
          <w:szCs w:val="32"/>
          <w:highlight w:val="none"/>
        </w:rPr>
        <w:t>公民同招</w:t>
      </w:r>
      <w:r>
        <w:rPr>
          <w:rFonts w:eastAsia="仿宋_GB2312"/>
          <w:bCs/>
          <w:sz w:val="32"/>
          <w:szCs w:val="32"/>
          <w:highlight w:val="none"/>
        </w:rPr>
        <w:t>”相适应的人才培养体系不健全，</w:t>
      </w:r>
      <w:r>
        <w:rPr>
          <w:rFonts w:eastAsia="仿宋_GB2312"/>
          <w:sz w:val="32"/>
          <w:szCs w:val="32"/>
          <w:highlight w:val="none"/>
        </w:rPr>
        <w:t>初高中有效衔接的体制机制还需完善，</w:t>
      </w:r>
      <w:r>
        <w:rPr>
          <w:rFonts w:eastAsia="仿宋_GB2312"/>
          <w:sz w:val="32"/>
          <w:szCs w:val="32"/>
          <w:highlight w:val="none"/>
          <w:lang w:val="en-GB"/>
        </w:rPr>
        <w:t>县域普通高中发展不够均衡，</w:t>
      </w:r>
      <w:r>
        <w:rPr>
          <w:rFonts w:eastAsia="仿宋_GB2312"/>
          <w:bCs/>
          <w:sz w:val="32"/>
          <w:szCs w:val="32"/>
          <w:highlight w:val="none"/>
        </w:rPr>
        <w:t>中职学生技能大赛水平有待提升，</w:t>
      </w:r>
      <w:r>
        <w:rPr>
          <w:rFonts w:eastAsia="仿宋_GB2312"/>
          <w:sz w:val="32"/>
          <w:szCs w:val="32"/>
          <w:highlight w:val="none"/>
        </w:rPr>
        <w:t>初中优质均衡发展有差距，初中“壮腰”仍然任重道远</w:t>
      </w:r>
      <w:r>
        <w:rPr>
          <w:rFonts w:eastAsia="仿宋_GB2312"/>
          <w:kern w:val="0"/>
          <w:sz w:val="32"/>
          <w:szCs w:val="32"/>
          <w:highlight w:val="none"/>
        </w:rPr>
        <w:t>，义务教育“双减”工作有待落地见效</w:t>
      </w:r>
      <w:r>
        <w:rPr>
          <w:rFonts w:eastAsia="仿宋_GB2312"/>
          <w:sz w:val="32"/>
          <w:szCs w:val="32"/>
          <w:highlight w:val="none"/>
        </w:rPr>
        <w:t>。</w:t>
      </w:r>
      <w:r>
        <w:rPr>
          <w:rFonts w:eastAsia="仿宋_GB2312"/>
          <w:b/>
          <w:sz w:val="32"/>
          <w:szCs w:val="32"/>
          <w:highlight w:val="none"/>
        </w:rPr>
        <w:t>教育服务地方发展能力还有欠缺。</w:t>
      </w:r>
      <w:r>
        <w:rPr>
          <w:rFonts w:eastAsia="仿宋_GB2312"/>
          <w:sz w:val="32"/>
          <w:szCs w:val="32"/>
          <w:highlight w:val="none"/>
        </w:rPr>
        <w:t>教育支</w:t>
      </w:r>
      <w:r>
        <w:rPr>
          <w:rFonts w:eastAsia="仿宋_GB2312"/>
          <w:bCs/>
          <w:sz w:val="32"/>
          <w:szCs w:val="32"/>
          <w:highlight w:val="none"/>
        </w:rPr>
        <w:t>撑保障能力不足，教育发展与丽水重大战略结合</w:t>
      </w:r>
      <w:r>
        <w:rPr>
          <w:rFonts w:eastAsia="仿宋_GB2312"/>
          <w:sz w:val="32"/>
          <w:szCs w:val="32"/>
          <w:highlight w:val="none"/>
        </w:rPr>
        <w:t>不够，服务地方经济社会发展能力有待提升，</w:t>
      </w:r>
      <w:r>
        <w:rPr>
          <w:rFonts w:eastAsia="仿宋_GB2312"/>
          <w:kern w:val="0"/>
          <w:sz w:val="32"/>
          <w:szCs w:val="32"/>
          <w:highlight w:val="none"/>
        </w:rPr>
        <w:t>高等教育、职业教育深化产教融合发展还有差距，人才培养、专业建设与丽水五大产业集群和传统优势产业需求对接还不够充分。</w:t>
      </w:r>
      <w:r>
        <w:rPr>
          <w:rFonts w:eastAsia="仿宋_GB2312"/>
          <w:b/>
          <w:sz w:val="32"/>
          <w:szCs w:val="32"/>
          <w:highlight w:val="none"/>
        </w:rPr>
        <w:t>教育治理水平和治理能力有待提升。</w:t>
      </w:r>
      <w:r>
        <w:rPr>
          <w:rFonts w:eastAsia="仿宋_GB2312"/>
          <w:sz w:val="32"/>
          <w:szCs w:val="32"/>
          <w:highlight w:val="none"/>
        </w:rPr>
        <w:t>教育治理体系和治理能力现代化还有较大差距，教育市域统筹的力度有待加强，专家办学的体制机制尚未有效建立，政府及相关部门落实学校在人事、教学、经费等方面的办学自主权还不够到位，学校自主办学、科学管理水平有待提升，</w:t>
      </w:r>
      <w:r>
        <w:rPr>
          <w:rFonts w:eastAsia="仿宋_GB2312"/>
          <w:kern w:val="0"/>
          <w:sz w:val="32"/>
          <w:szCs w:val="32"/>
          <w:highlight w:val="none"/>
        </w:rPr>
        <w:t>办学活力没有充分激发</w:t>
      </w:r>
      <w:r>
        <w:rPr>
          <w:rFonts w:eastAsia="仿宋_GB2312"/>
          <w:sz w:val="32"/>
          <w:szCs w:val="32"/>
          <w:highlight w:val="none"/>
        </w:rPr>
        <w:t>。教育大数据“智治”体系建设有待深化，教育数字化转型的顶层设计有待进一步完善。民办教育发展不够规范，</w:t>
      </w:r>
      <w:r>
        <w:rPr>
          <w:rFonts w:eastAsia="仿宋_GB2312"/>
          <w:kern w:val="0"/>
          <w:sz w:val="32"/>
          <w:szCs w:val="32"/>
          <w:highlight w:val="none"/>
        </w:rPr>
        <w:t>校外培训机构规范管理有待加强。</w:t>
      </w:r>
      <w:r>
        <w:rPr>
          <w:rFonts w:eastAsia="仿宋_GB2312"/>
          <w:sz w:val="32"/>
          <w:szCs w:val="32"/>
          <w:highlight w:val="none"/>
        </w:rPr>
        <w:t>这些问题还需要在下一步努力予以解决。</w:t>
      </w:r>
    </w:p>
    <w:p>
      <w:pPr>
        <w:spacing w:line="600" w:lineRule="exact"/>
        <w:ind w:firstLine="640" w:firstLineChars="200"/>
        <w:rPr>
          <w:rFonts w:eastAsia="仿宋_GB2312"/>
          <w:kern w:val="0"/>
          <w:sz w:val="32"/>
          <w:szCs w:val="32"/>
          <w:highlight w:val="none"/>
        </w:rPr>
      </w:pPr>
      <w:r>
        <w:rPr>
          <w:rFonts w:eastAsia="仿宋_GB2312"/>
          <w:sz w:val="32"/>
          <w:szCs w:val="32"/>
          <w:highlight w:val="none"/>
        </w:rPr>
        <w:t xml:space="preserve"> “十四五”全面开启，我国进入全面建设社会主义现代化国家新征程，教育事业发展也面临全新的机遇和挑战：当今世界正经历百年未有之大变局，对学校的教育教学组织形式提出挑战，全球治理体系正在发生深刻变革，不稳定性不确定性明显增加；新一轮科技革命和产业变革深入开展，大数据、人工智能、5G等信息技术飞速发展，我省正在全面推进数字化改革，教育理念、教育形态、教学方式等都迎来全新变革；教育进入高质量发展阶段，外部环境和内部条件发生了新的变化，高质量发展建设共同富裕示范区对教育提出了新的更高要求；新型城镇化进展加快，</w:t>
      </w:r>
      <w:r>
        <w:rPr>
          <w:rFonts w:hint="eastAsia" w:eastAsia="仿宋_GB2312"/>
          <w:sz w:val="32"/>
          <w:szCs w:val="32"/>
          <w:highlight w:val="none"/>
        </w:rPr>
        <w:t>丽水市“一带三区”布局深入实施，</w:t>
      </w:r>
      <w:r>
        <w:rPr>
          <w:rFonts w:eastAsia="仿宋_GB2312"/>
          <w:sz w:val="32"/>
          <w:szCs w:val="32"/>
          <w:highlight w:val="none"/>
        </w:rPr>
        <w:t>人口变化趋势对教育资源布局提出新的挑战，人民群众对优质教育的需求和期盼更加强烈。这些都要求我们不忘为党育人、为国育才的使命，深刻认识和把握教育发展规律，在危机中育先机、于变局中开新局，发展更高质量更加公平的教育，不断满足人民对美好教育需求、办好人民满意教育。</w:t>
      </w:r>
    </w:p>
    <w:p>
      <w:pPr>
        <w:spacing w:line="600" w:lineRule="exact"/>
        <w:ind w:firstLine="640" w:firstLineChars="200"/>
        <w:outlineLvl w:val="0"/>
        <w:rPr>
          <w:rFonts w:eastAsia="黑体"/>
          <w:sz w:val="32"/>
          <w:szCs w:val="32"/>
          <w:highlight w:val="none"/>
        </w:rPr>
      </w:pPr>
      <w:bookmarkStart w:id="6" w:name="_Toc85116769"/>
      <w:bookmarkStart w:id="7" w:name="_Toc63173858"/>
      <w:r>
        <w:rPr>
          <w:rFonts w:eastAsia="黑体"/>
          <w:sz w:val="32"/>
          <w:szCs w:val="32"/>
          <w:highlight w:val="none"/>
        </w:rPr>
        <w:t>二、总体要求</w:t>
      </w:r>
      <w:bookmarkEnd w:id="6"/>
      <w:bookmarkEnd w:id="7"/>
    </w:p>
    <w:p>
      <w:pPr>
        <w:spacing w:line="600" w:lineRule="exact"/>
        <w:ind w:firstLine="629" w:firstLineChars="196"/>
        <w:outlineLvl w:val="1"/>
        <w:rPr>
          <w:rFonts w:eastAsia="楷体_GB2312"/>
          <w:b/>
          <w:sz w:val="32"/>
          <w:szCs w:val="32"/>
          <w:highlight w:val="none"/>
        </w:rPr>
      </w:pPr>
      <w:bookmarkStart w:id="8" w:name="_Toc85116770"/>
      <w:r>
        <w:rPr>
          <w:rFonts w:eastAsia="楷体_GB2312"/>
          <w:b/>
          <w:sz w:val="32"/>
          <w:szCs w:val="32"/>
          <w:highlight w:val="none"/>
        </w:rPr>
        <w:t>（一）指导思想</w:t>
      </w:r>
      <w:bookmarkEnd w:id="8"/>
    </w:p>
    <w:p>
      <w:pPr>
        <w:spacing w:line="600" w:lineRule="exact"/>
        <w:ind w:firstLine="640" w:firstLineChars="200"/>
        <w:rPr>
          <w:rFonts w:eastAsia="仿宋_GB2312"/>
          <w:sz w:val="32"/>
          <w:szCs w:val="32"/>
          <w:highlight w:val="none"/>
        </w:rPr>
      </w:pPr>
      <w:r>
        <w:rPr>
          <w:rFonts w:eastAsia="仿宋_GB2312"/>
          <w:sz w:val="32"/>
          <w:szCs w:val="32"/>
          <w:highlight w:val="none"/>
        </w:rPr>
        <w:t>坚持以习近平新时代中国特色社会主义思想为指导，全面贯彻党的教育方针，坚持优先发展教育事业，坚持社会主义办学方向，坚持教育公益性原则，落实立德树人根本任务，以与全省同步总体实现教育现代化为总目标，以提高质量和促进公平为导向，以培养德智体美劳全面发展的社会主义建设者和接班人为要求，以深化改革和扩大开放为动力，以队伍专业化和治理现代化为保障，全力打造具有丽水特色的高质量现代化教育体系，</w:t>
      </w:r>
      <w:r>
        <w:rPr>
          <w:rFonts w:hint="eastAsia" w:eastAsia="仿宋_GB2312"/>
          <w:sz w:val="32"/>
          <w:szCs w:val="32"/>
          <w:highlight w:val="none"/>
        </w:rPr>
        <w:t>实现“中下经济办出中上教育”的目标，使人人皆可接受高等教育，</w:t>
      </w:r>
      <w:r>
        <w:rPr>
          <w:rFonts w:eastAsia="仿宋_GB2312"/>
          <w:sz w:val="32"/>
          <w:szCs w:val="32"/>
          <w:highlight w:val="none"/>
        </w:rPr>
        <w:t>努力让每一所学校都优质，让每一位教师都出彩，让每一个丽水孩子都健康成长。</w:t>
      </w:r>
    </w:p>
    <w:p>
      <w:pPr>
        <w:spacing w:line="600" w:lineRule="exact"/>
        <w:ind w:firstLine="629" w:firstLineChars="196"/>
        <w:outlineLvl w:val="1"/>
        <w:rPr>
          <w:rFonts w:eastAsia="楷体_GB2312"/>
          <w:b/>
          <w:sz w:val="32"/>
          <w:szCs w:val="32"/>
          <w:highlight w:val="none"/>
        </w:rPr>
      </w:pPr>
      <w:bookmarkStart w:id="9" w:name="_Toc85116771"/>
      <w:r>
        <w:rPr>
          <w:rFonts w:eastAsia="楷体_GB2312"/>
          <w:b/>
          <w:sz w:val="32"/>
          <w:szCs w:val="32"/>
          <w:highlight w:val="none"/>
        </w:rPr>
        <w:t>（二）基本原则</w:t>
      </w:r>
      <w:bookmarkEnd w:id="9"/>
    </w:p>
    <w:p>
      <w:pPr>
        <w:spacing w:line="600" w:lineRule="exact"/>
        <w:ind w:firstLine="629" w:firstLineChars="196"/>
        <w:rPr>
          <w:rFonts w:eastAsia="仿宋_GB2312"/>
          <w:sz w:val="32"/>
          <w:szCs w:val="32"/>
          <w:highlight w:val="none"/>
        </w:rPr>
      </w:pPr>
      <w:r>
        <w:rPr>
          <w:rStyle w:val="23"/>
          <w:highlight w:val="none"/>
        </w:rPr>
        <w:t>坚持优先发展。</w:t>
      </w:r>
      <w:r>
        <w:rPr>
          <w:rFonts w:eastAsia="仿宋_GB2312"/>
          <w:sz w:val="32"/>
          <w:szCs w:val="32"/>
          <w:highlight w:val="none"/>
        </w:rPr>
        <w:t>落实“强市必先强教，育人必先兴学”的理念，从党和国家事业发展全局的高度，始终把教育摆在优先发展的战略位置，作为丽水高质量跨越式发展的重要先手棋，牢固树立丽水“必须办好教育”的自觉和自信，深入实施丽水教育提质行动，推进教育优先、加快发展。</w:t>
      </w:r>
    </w:p>
    <w:p>
      <w:pPr>
        <w:spacing w:line="600" w:lineRule="exact"/>
        <w:ind w:firstLine="629" w:firstLineChars="196"/>
        <w:rPr>
          <w:rFonts w:eastAsia="仿宋_GB2312"/>
          <w:kern w:val="0"/>
          <w:sz w:val="32"/>
          <w:szCs w:val="32"/>
          <w:highlight w:val="none"/>
        </w:rPr>
      </w:pPr>
      <w:r>
        <w:rPr>
          <w:rStyle w:val="23"/>
          <w:highlight w:val="none"/>
        </w:rPr>
        <w:t>坚持全面发展。</w:t>
      </w:r>
      <w:r>
        <w:rPr>
          <w:rFonts w:eastAsia="仿宋_GB2312"/>
          <w:sz w:val="32"/>
          <w:szCs w:val="32"/>
          <w:highlight w:val="none"/>
        </w:rPr>
        <w:t>始终坚守“为党育人、为国育才”的初心使命，坚持“培根铸魂、启智润心”，遵循教育规律和学生成长规律，把立德树人成效作为检验教育工作的根本标准，切实减轻义务教育阶段学生作业负担和校外培训负担，深化“红色、绿色、古色”教育，推进个性化、差异化教育，培养</w:t>
      </w:r>
      <w:r>
        <w:rPr>
          <w:rFonts w:eastAsia="仿宋_GB2312"/>
          <w:kern w:val="0"/>
          <w:sz w:val="32"/>
          <w:szCs w:val="32"/>
          <w:highlight w:val="none"/>
        </w:rPr>
        <w:t>具有丽水辨识度的优秀学子，实现学生全面而有个性地发展。</w:t>
      </w:r>
    </w:p>
    <w:p>
      <w:pPr>
        <w:spacing w:line="600" w:lineRule="exact"/>
        <w:ind w:firstLine="629" w:firstLineChars="196"/>
        <w:rPr>
          <w:rFonts w:eastAsia="仿宋_GB2312"/>
          <w:sz w:val="32"/>
          <w:szCs w:val="32"/>
          <w:highlight w:val="none"/>
        </w:rPr>
      </w:pPr>
      <w:r>
        <w:rPr>
          <w:rStyle w:val="23"/>
          <w:highlight w:val="none"/>
        </w:rPr>
        <w:t>坚持优质发展。</w:t>
      </w:r>
      <w:r>
        <w:rPr>
          <w:rFonts w:eastAsia="仿宋_GB2312"/>
          <w:sz w:val="32"/>
          <w:szCs w:val="32"/>
          <w:highlight w:val="none"/>
        </w:rPr>
        <w:t>抓住国家对革命老区、浙江省对山区26县加大扶持以及我省高质量发展建设共同富裕示范区的机遇，推进各级各类教育优质发展，补齐学前教育短板，推动基础教育优质均衡，促进职业教育和高等教育产教深度融合。完善优质教育资源供给机制，建立与丽水“一带三区”布局相适应的教育空间布局。深化教育数字化改革，以数字化助推教育现代化。</w:t>
      </w:r>
    </w:p>
    <w:p>
      <w:pPr>
        <w:spacing w:line="600" w:lineRule="exact"/>
        <w:ind w:firstLine="629" w:firstLineChars="196"/>
        <w:rPr>
          <w:rFonts w:eastAsia="仿宋_GB2312"/>
          <w:sz w:val="32"/>
          <w:szCs w:val="32"/>
          <w:highlight w:val="none"/>
        </w:rPr>
      </w:pPr>
      <w:r>
        <w:rPr>
          <w:rStyle w:val="23"/>
          <w:highlight w:val="none"/>
        </w:rPr>
        <w:t>坚持创新发展。</w:t>
      </w:r>
      <w:r>
        <w:rPr>
          <w:rFonts w:eastAsia="仿宋_GB2312"/>
          <w:sz w:val="32"/>
          <w:szCs w:val="32"/>
          <w:highlight w:val="none"/>
        </w:rPr>
        <w:t>以人民群众的需求为导向，加强丽水教育的顶层设计，及时研究解决教育改革发展的重大问题和群众关心的热点问题，充分激发教育事业发展生机活力。深化教育领域综合改革，推进育人方式、办学模式、管理体制、保障机制改革，加大教育创新力度，形成一批具有丽水特色、可以复制推广的教育品牌。</w:t>
      </w:r>
    </w:p>
    <w:p>
      <w:pPr>
        <w:spacing w:line="600" w:lineRule="exact"/>
        <w:ind w:firstLine="629" w:firstLineChars="196"/>
        <w:rPr>
          <w:rFonts w:eastAsia="仿宋_GB2312"/>
          <w:sz w:val="32"/>
          <w:szCs w:val="32"/>
          <w:highlight w:val="none"/>
        </w:rPr>
      </w:pPr>
      <w:r>
        <w:rPr>
          <w:rStyle w:val="23"/>
          <w:highlight w:val="none"/>
        </w:rPr>
        <w:t>坚持服务发展。</w:t>
      </w:r>
      <w:r>
        <w:rPr>
          <w:rFonts w:eastAsia="仿宋_GB2312"/>
          <w:sz w:val="32"/>
          <w:szCs w:val="32"/>
          <w:highlight w:val="none"/>
        </w:rPr>
        <w:t>主动适应丽水高质量跨越式发展需求，增强教育服务创新发展能力，加快教育开放，围绕丽水“一带三区”“双招双引” “浙西南科创走廊建设”等重大战略，以及丽水五大产业集群和传统产业，促进教育链、人才链与产业链、创新链有机衔接，为丽水经济社会发展提供有力人才支撑。</w:t>
      </w:r>
    </w:p>
    <w:p>
      <w:pPr>
        <w:spacing w:line="600" w:lineRule="exact"/>
        <w:ind w:firstLine="629" w:firstLineChars="196"/>
        <w:rPr>
          <w:rFonts w:eastAsia="仿宋_GB2312"/>
          <w:sz w:val="32"/>
          <w:szCs w:val="32"/>
          <w:highlight w:val="none"/>
        </w:rPr>
      </w:pPr>
      <w:r>
        <w:rPr>
          <w:rFonts w:hint="eastAsia" w:eastAsia="仿宋_GB2312"/>
          <w:b/>
          <w:bCs/>
          <w:sz w:val="32"/>
          <w:szCs w:val="32"/>
          <w:highlight w:val="none"/>
        </w:rPr>
        <w:t>坚持协调发展。</w:t>
      </w:r>
      <w:r>
        <w:rPr>
          <w:rFonts w:hint="eastAsia" w:eastAsia="仿宋_GB2312"/>
          <w:sz w:val="32"/>
          <w:szCs w:val="32"/>
          <w:highlight w:val="none"/>
        </w:rPr>
        <w:t>统筹各级各类教育协调发展，扩大优质教育资源供给，</w:t>
      </w:r>
      <w:r>
        <w:rPr>
          <w:rFonts w:hint="eastAsia" w:eastAsia="仿宋_GB2312"/>
          <w:sz w:val="32"/>
          <w:szCs w:val="32"/>
          <w:highlight w:val="none"/>
          <w:lang w:eastAsia="zh-CN"/>
        </w:rPr>
        <w:t>加快</w:t>
      </w:r>
      <w:r>
        <w:rPr>
          <w:rFonts w:hint="eastAsia" w:eastAsia="仿宋_GB2312"/>
          <w:sz w:val="32"/>
          <w:szCs w:val="32"/>
          <w:highlight w:val="none"/>
        </w:rPr>
        <w:t>缩小城乡、区域、校际差距，促进公办教育和民办教育协调发展，着力解决教育发展不平衡不充分问题。发挥政府、家庭、学校、社会的合力，共同担负起青少年成长成才的责任，在全社会形成尚文厚德、尊师重教的浓厚氛围。</w:t>
      </w:r>
    </w:p>
    <w:p>
      <w:pPr>
        <w:spacing w:line="600" w:lineRule="exact"/>
        <w:ind w:firstLine="629" w:firstLineChars="196"/>
        <w:outlineLvl w:val="1"/>
        <w:rPr>
          <w:rFonts w:eastAsia="楷体_GB2312"/>
          <w:b/>
          <w:sz w:val="32"/>
          <w:szCs w:val="32"/>
          <w:highlight w:val="none"/>
        </w:rPr>
      </w:pPr>
      <w:bookmarkStart w:id="10" w:name="_Toc85116772"/>
      <w:r>
        <w:rPr>
          <w:rFonts w:eastAsia="楷体_GB2312"/>
          <w:b/>
          <w:sz w:val="32"/>
          <w:szCs w:val="32"/>
          <w:highlight w:val="none"/>
        </w:rPr>
        <w:t>（三）总体目标</w:t>
      </w:r>
      <w:bookmarkEnd w:id="10"/>
    </w:p>
    <w:p>
      <w:pPr>
        <w:spacing w:line="600" w:lineRule="exact"/>
        <w:ind w:firstLine="645"/>
        <w:rPr>
          <w:rFonts w:eastAsia="仿宋_GB2312"/>
          <w:sz w:val="32"/>
          <w:szCs w:val="32"/>
          <w:highlight w:val="none"/>
        </w:rPr>
      </w:pPr>
      <w:r>
        <w:rPr>
          <w:rFonts w:eastAsia="仿宋_GB2312"/>
          <w:sz w:val="32"/>
          <w:szCs w:val="32"/>
          <w:highlight w:val="none"/>
        </w:rPr>
        <w:t>到2025年，与全省同步总体实现教育现代化，全市教育现代化发展指数平均达到80以上，教育事业发展主要指标达到全省中等位次以上，健全立德树人落实机制，建成高质量教育体系，教育改革取得显著成效，优质均衡发展各级各类教育，提升教育服务经济社会发展能力，</w:t>
      </w:r>
      <w:r>
        <w:rPr>
          <w:rFonts w:hint="eastAsia" w:eastAsia="仿宋_GB2312"/>
          <w:sz w:val="32"/>
          <w:szCs w:val="32"/>
          <w:highlight w:val="none"/>
        </w:rPr>
        <w:t>打造</w:t>
      </w:r>
      <w:r>
        <w:rPr>
          <w:rFonts w:eastAsia="仿宋_GB2312"/>
          <w:sz w:val="32"/>
          <w:szCs w:val="32"/>
          <w:highlight w:val="none"/>
        </w:rPr>
        <w:t>共同富裕美好社会山区</w:t>
      </w:r>
      <w:r>
        <w:rPr>
          <w:rFonts w:hint="eastAsia" w:eastAsia="仿宋_GB2312"/>
          <w:sz w:val="32"/>
          <w:szCs w:val="32"/>
          <w:highlight w:val="none"/>
        </w:rPr>
        <w:t>教育</w:t>
      </w:r>
      <w:r>
        <w:rPr>
          <w:rFonts w:eastAsia="仿宋_GB2312"/>
          <w:sz w:val="32"/>
          <w:szCs w:val="32"/>
          <w:highlight w:val="none"/>
        </w:rPr>
        <w:t>样板。</w:t>
      </w:r>
    </w:p>
    <w:p>
      <w:pPr>
        <w:spacing w:line="600" w:lineRule="exact"/>
        <w:ind w:firstLine="642" w:firstLineChars="200"/>
        <w:rPr>
          <w:rFonts w:eastAsia="仿宋_GB2312"/>
          <w:sz w:val="32"/>
          <w:szCs w:val="32"/>
          <w:highlight w:val="none"/>
        </w:rPr>
      </w:pPr>
      <w:r>
        <w:rPr>
          <w:rFonts w:eastAsia="仿宋_GB2312"/>
          <w:b/>
          <w:sz w:val="32"/>
          <w:szCs w:val="32"/>
          <w:highlight w:val="none"/>
        </w:rPr>
        <w:t>——丽水辨识度学生培养机制全面建立。</w:t>
      </w:r>
      <w:r>
        <w:rPr>
          <w:rFonts w:eastAsia="仿宋_GB2312"/>
          <w:sz w:val="32"/>
          <w:szCs w:val="32"/>
          <w:highlight w:val="none"/>
        </w:rPr>
        <w:t>坚持德育为先、全面发展、面向全体、知行合一，培养具有“红色基因、绿色理念、品学兼优、阳光气质”的丽水辨识度的优秀学子，五育并举的落实机制有效建立，五育融合的培养体系基本形成，形成适合每一个孩子的因材施教的培养机制；中小学生体质健康优良率达到55%，儿童青少年近视率降低5个百分点，运动技能、艺术特长、技术操作的丽水标准达标率均达到95%，校园劳动、家务劳动、社会实践实现全覆盖。</w:t>
      </w:r>
    </w:p>
    <w:p>
      <w:pPr>
        <w:spacing w:line="600" w:lineRule="exact"/>
        <w:ind w:firstLine="642" w:firstLineChars="200"/>
        <w:rPr>
          <w:rFonts w:eastAsia="仿宋_GB2312"/>
          <w:kern w:val="0"/>
          <w:sz w:val="32"/>
          <w:szCs w:val="32"/>
          <w:highlight w:val="none"/>
          <w:shd w:val="pct10" w:color="auto" w:fill="FFFFFF"/>
        </w:rPr>
      </w:pPr>
      <w:r>
        <w:rPr>
          <w:rFonts w:eastAsia="仿宋_GB2312"/>
          <w:b/>
          <w:sz w:val="32"/>
          <w:szCs w:val="32"/>
          <w:highlight w:val="none"/>
        </w:rPr>
        <w:t>——</w:t>
      </w:r>
      <w:r>
        <w:rPr>
          <w:rStyle w:val="23"/>
          <w:highlight w:val="none"/>
        </w:rPr>
        <w:t>高素质专业化创新型教师队伍初步建成</w:t>
      </w:r>
      <w:r>
        <w:rPr>
          <w:rFonts w:eastAsia="仿宋_GB2312"/>
          <w:b/>
          <w:sz w:val="32"/>
          <w:szCs w:val="32"/>
          <w:highlight w:val="none"/>
        </w:rPr>
        <w:t>。</w:t>
      </w:r>
      <w:r>
        <w:rPr>
          <w:rFonts w:eastAsia="仿宋_GB2312"/>
          <w:sz w:val="32"/>
          <w:szCs w:val="32"/>
          <w:highlight w:val="none"/>
        </w:rPr>
        <w:t>坚持把师德师风作为第一标准，打造高素质专业化创新型的教师队伍，</w:t>
      </w:r>
      <w:r>
        <w:rPr>
          <w:rFonts w:eastAsia="仿宋_GB2312"/>
          <w:kern w:val="0"/>
          <w:sz w:val="32"/>
          <w:szCs w:val="32"/>
          <w:highlight w:val="none"/>
        </w:rPr>
        <w:t>建成丽水数字化教师学院，形成市县校组四级、线上线下相结合的教师全员培训新机制，名师、名校长“双名工程”培养体系更加健全，</w:t>
      </w:r>
      <w:r>
        <w:rPr>
          <w:rFonts w:eastAsia="仿宋_GB2312"/>
          <w:sz w:val="32"/>
          <w:szCs w:val="32"/>
          <w:highlight w:val="none"/>
        </w:rPr>
        <w:t>省级名师、名校长比例达到全省中等位次，</w:t>
      </w:r>
      <w:r>
        <w:rPr>
          <w:rFonts w:eastAsia="仿宋_GB2312"/>
          <w:kern w:val="0"/>
          <w:sz w:val="32"/>
          <w:szCs w:val="32"/>
          <w:highlight w:val="none"/>
        </w:rPr>
        <w:t>新招聘优秀毕业生比例达到</w:t>
      </w:r>
      <w:r>
        <w:rPr>
          <w:rFonts w:eastAsia="仿宋_GB2312"/>
          <w:sz w:val="32"/>
          <w:szCs w:val="32"/>
          <w:highlight w:val="none"/>
        </w:rPr>
        <w:t>25%以上，初中、普高、中职教师研究生学历比例分别达到8%、20%、20%，中职</w:t>
      </w:r>
      <w:r>
        <w:rPr>
          <w:rFonts w:eastAsia="仿宋_GB2312"/>
          <w:kern w:val="0"/>
          <w:sz w:val="32"/>
          <w:szCs w:val="32"/>
          <w:highlight w:val="none"/>
        </w:rPr>
        <w:t>“双师型”教师比例达到90%。</w:t>
      </w:r>
    </w:p>
    <w:p>
      <w:pPr>
        <w:spacing w:line="600" w:lineRule="exact"/>
        <w:ind w:firstLine="642" w:firstLineChars="200"/>
        <w:rPr>
          <w:rFonts w:eastAsia="仿宋_GB2312"/>
          <w:sz w:val="32"/>
          <w:szCs w:val="32"/>
          <w:highlight w:val="none"/>
        </w:rPr>
      </w:pPr>
      <w:r>
        <w:rPr>
          <w:rFonts w:eastAsia="仿宋_GB2312"/>
          <w:b/>
          <w:sz w:val="32"/>
          <w:szCs w:val="32"/>
          <w:highlight w:val="none"/>
        </w:rPr>
        <w:t>——</w:t>
      </w:r>
      <w:r>
        <w:rPr>
          <w:rStyle w:val="23"/>
          <w:highlight w:val="none"/>
        </w:rPr>
        <w:t>办好家门口的每一所学校</w:t>
      </w:r>
      <w:r>
        <w:rPr>
          <w:rFonts w:eastAsia="仿宋_GB2312"/>
          <w:b/>
          <w:sz w:val="32"/>
          <w:szCs w:val="32"/>
          <w:highlight w:val="none"/>
        </w:rPr>
        <w:t>。</w:t>
      </w:r>
      <w:r>
        <w:rPr>
          <w:rFonts w:eastAsia="仿宋_GB2312"/>
          <w:sz w:val="32"/>
          <w:szCs w:val="32"/>
          <w:highlight w:val="none"/>
        </w:rPr>
        <w:t>坚持发展更加公平更有质量的教育，城区学位充分满足老百姓需求和城市发展，老百姓认可的优质学校比例大幅提升，</w:t>
      </w:r>
      <w:r>
        <w:rPr>
          <w:rFonts w:eastAsia="仿宋_GB2312"/>
          <w:kern w:val="0"/>
          <w:sz w:val="32"/>
          <w:szCs w:val="32"/>
          <w:highlight w:val="none"/>
        </w:rPr>
        <w:t>新建学校“办一所优一所”，形成“内培外引”优质学校培育新机制</w:t>
      </w:r>
      <w:r>
        <w:rPr>
          <w:rFonts w:eastAsia="仿宋_GB2312"/>
          <w:sz w:val="32"/>
          <w:szCs w:val="32"/>
          <w:highlight w:val="none"/>
        </w:rPr>
        <w:t>，优质教育资源覆盖面达到80%以上</w:t>
      </w:r>
      <w:r>
        <w:rPr>
          <w:rFonts w:eastAsia="仿宋_GB2312"/>
          <w:kern w:val="0"/>
          <w:sz w:val="32"/>
          <w:szCs w:val="32"/>
          <w:highlight w:val="none"/>
        </w:rPr>
        <w:t>，</w:t>
      </w:r>
      <w:r>
        <w:rPr>
          <w:rFonts w:eastAsia="仿宋_GB2312"/>
          <w:sz w:val="32"/>
          <w:szCs w:val="32"/>
          <w:highlight w:val="none"/>
        </w:rPr>
        <w:t>省现代化学校比例达到30%。顺应农村自然小班化趋势，农村小规模学校实现“小而精、小而美、小而优”。</w:t>
      </w:r>
    </w:p>
    <w:p>
      <w:pPr>
        <w:spacing w:line="600" w:lineRule="exact"/>
        <w:ind w:firstLine="642" w:firstLineChars="200"/>
        <w:rPr>
          <w:rFonts w:eastAsia="仿宋_GB2312"/>
          <w:sz w:val="32"/>
          <w:szCs w:val="32"/>
          <w:highlight w:val="none"/>
        </w:rPr>
      </w:pPr>
      <w:r>
        <w:rPr>
          <w:rFonts w:eastAsia="仿宋_GB2312"/>
          <w:b/>
          <w:sz w:val="32"/>
          <w:szCs w:val="32"/>
          <w:highlight w:val="none"/>
        </w:rPr>
        <w:t>——</w:t>
      </w:r>
      <w:r>
        <w:rPr>
          <w:rStyle w:val="23"/>
          <w:highlight w:val="none"/>
        </w:rPr>
        <w:t>教育治理现代化水平显著提升</w:t>
      </w:r>
      <w:r>
        <w:rPr>
          <w:rFonts w:eastAsia="仿宋_GB2312"/>
          <w:b/>
          <w:sz w:val="32"/>
          <w:szCs w:val="32"/>
          <w:highlight w:val="none"/>
        </w:rPr>
        <w:t>。</w:t>
      </w:r>
      <w:r>
        <w:rPr>
          <w:rFonts w:eastAsia="仿宋_GB2312"/>
          <w:sz w:val="32"/>
          <w:szCs w:val="32"/>
          <w:highlight w:val="none"/>
        </w:rPr>
        <w:t>基本建成科学的教育评价新机制，构建起教育现代化评价监测体系。学校办学主体地位得以充分保障，中小学校办学活力充分激发，学校办学内生动力显著增强。强化学校教育的主阵地作用，“双减”工作取得显著成效。教育“双招双引”工作机制有效建立，开放办学格局基本形成。</w:t>
      </w:r>
    </w:p>
    <w:p>
      <w:pPr>
        <w:spacing w:line="600" w:lineRule="exact"/>
        <w:ind w:firstLine="645"/>
        <w:rPr>
          <w:rFonts w:eastAsia="仿宋_GB2312"/>
          <w:sz w:val="32"/>
          <w:szCs w:val="32"/>
          <w:highlight w:val="none"/>
        </w:rPr>
      </w:pPr>
      <w:r>
        <w:rPr>
          <w:rFonts w:eastAsia="仿宋_GB2312"/>
          <w:b/>
          <w:sz w:val="32"/>
          <w:szCs w:val="32"/>
          <w:highlight w:val="none"/>
        </w:rPr>
        <w:t>——</w:t>
      </w:r>
      <w:r>
        <w:rPr>
          <w:rStyle w:val="23"/>
          <w:highlight w:val="none"/>
        </w:rPr>
        <w:t>教育数字化智治体系基本建立</w:t>
      </w:r>
      <w:r>
        <w:rPr>
          <w:rFonts w:eastAsia="仿宋_GB2312"/>
          <w:b/>
          <w:sz w:val="32"/>
          <w:szCs w:val="32"/>
          <w:highlight w:val="none"/>
        </w:rPr>
        <w:t>。</w:t>
      </w:r>
      <w:r>
        <w:rPr>
          <w:rFonts w:eastAsia="仿宋_GB2312"/>
          <w:sz w:val="32"/>
          <w:szCs w:val="32"/>
          <w:highlight w:val="none"/>
        </w:rPr>
        <w:t>教育信息化水平大幅提升，中小学校智慧校园实现全覆盖，基本建立基于大数据、人工智能的教育智治体系，实现面向社会服务（浙里办）、面向教育管理（浙政钉、丽教钉）、面向教学支撑（精准教学）3大领域的有效应用，形成即时感知、科学决策、智能监管和高效运行的教育形态。</w:t>
      </w:r>
    </w:p>
    <w:p>
      <w:pPr>
        <w:spacing w:line="600" w:lineRule="exact"/>
        <w:ind w:firstLine="645"/>
        <w:rPr>
          <w:rFonts w:eastAsia="仿宋_GB2312"/>
          <w:sz w:val="32"/>
          <w:szCs w:val="32"/>
          <w:highlight w:val="none"/>
        </w:rPr>
      </w:pPr>
      <w:r>
        <w:rPr>
          <w:rFonts w:eastAsia="仿宋_GB2312"/>
          <w:b/>
          <w:sz w:val="32"/>
          <w:szCs w:val="32"/>
          <w:highlight w:val="none"/>
        </w:rPr>
        <w:t>——</w:t>
      </w:r>
      <w:r>
        <w:rPr>
          <w:rStyle w:val="23"/>
          <w:highlight w:val="none"/>
        </w:rPr>
        <w:t>学前教育实现优质普惠发展</w:t>
      </w:r>
      <w:r>
        <w:rPr>
          <w:rFonts w:eastAsia="仿宋_GB2312"/>
          <w:b/>
          <w:sz w:val="32"/>
          <w:szCs w:val="32"/>
          <w:highlight w:val="none"/>
        </w:rPr>
        <w:t>。</w:t>
      </w:r>
      <w:r>
        <w:rPr>
          <w:rFonts w:eastAsia="仿宋_GB2312"/>
          <w:sz w:val="32"/>
          <w:szCs w:val="32"/>
          <w:highlight w:val="none"/>
        </w:rPr>
        <w:t>所有县（市、区）创建成为全国学前教育普及普惠县，新增幼儿园学位27330个，公办幼儿园在园幼儿比例达到60%以上，省一二级幼儿园在园幼儿比例达到80%以上，普惠性幼儿园在园幼儿比例保持在95%以上，幼儿教师持证率达到100%，</w:t>
      </w:r>
      <w:r>
        <w:rPr>
          <w:rStyle w:val="23"/>
          <w:rFonts w:hint="eastAsia"/>
          <w:b w:val="0"/>
          <w:highlight w:val="none"/>
          <w:lang w:val="en-US" w:eastAsia="zh-CN"/>
        </w:rPr>
        <w:t>持学前教育专业教师资格证的比例达到80%以上，本科及以上学历教师比例达到65%以上，</w:t>
      </w:r>
      <w:r>
        <w:rPr>
          <w:rFonts w:eastAsia="仿宋_GB2312"/>
          <w:sz w:val="32"/>
          <w:szCs w:val="32"/>
          <w:highlight w:val="none"/>
        </w:rPr>
        <w:t>学前教育集团化覆盖面达到80%以上，打造成为全国游戏教育示范区。</w:t>
      </w:r>
    </w:p>
    <w:p>
      <w:pPr>
        <w:spacing w:line="600" w:lineRule="exact"/>
        <w:ind w:firstLine="645"/>
        <w:rPr>
          <w:rFonts w:eastAsia="仿宋_GB2312"/>
          <w:sz w:val="32"/>
          <w:szCs w:val="32"/>
          <w:highlight w:val="none"/>
        </w:rPr>
      </w:pPr>
      <w:r>
        <w:rPr>
          <w:rFonts w:eastAsia="仿宋_GB2312"/>
          <w:b/>
          <w:sz w:val="32"/>
          <w:szCs w:val="32"/>
          <w:highlight w:val="none"/>
        </w:rPr>
        <w:t>——</w:t>
      </w:r>
      <w:r>
        <w:rPr>
          <w:rStyle w:val="23"/>
          <w:highlight w:val="none"/>
        </w:rPr>
        <w:t>义务教育优质均衡取得阶段性成果</w:t>
      </w:r>
      <w:r>
        <w:rPr>
          <w:rFonts w:eastAsia="仿宋_GB2312"/>
          <w:b/>
          <w:sz w:val="32"/>
          <w:szCs w:val="32"/>
          <w:highlight w:val="none"/>
        </w:rPr>
        <w:t>。</w:t>
      </w:r>
      <w:r>
        <w:rPr>
          <w:rFonts w:eastAsia="仿宋_GB2312"/>
          <w:sz w:val="32"/>
          <w:szCs w:val="32"/>
          <w:highlight w:val="none"/>
        </w:rPr>
        <w:t>60%以上（6个）县（市、区）创建成为全国义务教育优质均衡县，新增小学学位4</w:t>
      </w:r>
      <w:r>
        <w:rPr>
          <w:rFonts w:hint="eastAsia" w:eastAsia="仿宋_GB2312"/>
          <w:sz w:val="32"/>
          <w:szCs w:val="32"/>
          <w:highlight w:val="none"/>
        </w:rPr>
        <w:t>7390</w:t>
      </w:r>
      <w:r>
        <w:rPr>
          <w:rFonts w:eastAsia="仿宋_GB2312"/>
          <w:sz w:val="32"/>
          <w:szCs w:val="32"/>
          <w:highlight w:val="none"/>
        </w:rPr>
        <w:t>个、初中学位23</w:t>
      </w:r>
      <w:r>
        <w:rPr>
          <w:rFonts w:hint="eastAsia" w:eastAsia="仿宋_GB2312"/>
          <w:sz w:val="32"/>
          <w:szCs w:val="32"/>
          <w:highlight w:val="none"/>
        </w:rPr>
        <w:t>320</w:t>
      </w:r>
      <w:r>
        <w:rPr>
          <w:rFonts w:eastAsia="仿宋_GB2312"/>
          <w:sz w:val="32"/>
          <w:szCs w:val="32"/>
          <w:highlight w:val="none"/>
        </w:rPr>
        <w:t>个，学位全部按义务教育优质均衡的标准配置（其中2/3的县适度超前达到教育现代化标准，1/3的县达到教育基本现代化标准），教育资源配置水平达到全省中等位次以上，义务教育集团化覆盖面达到90%以上，小学、初中校际优质均衡系数小于0.3和0.25。</w:t>
      </w:r>
    </w:p>
    <w:p>
      <w:pPr>
        <w:spacing w:line="600" w:lineRule="exact"/>
        <w:ind w:firstLine="642" w:firstLineChars="200"/>
        <w:rPr>
          <w:rFonts w:eastAsia="仿宋_GB2312"/>
          <w:sz w:val="32"/>
          <w:szCs w:val="32"/>
          <w:highlight w:val="none"/>
        </w:rPr>
      </w:pPr>
      <w:r>
        <w:rPr>
          <w:rFonts w:eastAsia="仿宋_GB2312"/>
          <w:b/>
          <w:sz w:val="32"/>
          <w:szCs w:val="32"/>
          <w:highlight w:val="none"/>
        </w:rPr>
        <w:t>——</w:t>
      </w:r>
      <w:r>
        <w:rPr>
          <w:rStyle w:val="23"/>
          <w:highlight w:val="none"/>
        </w:rPr>
        <w:t>普通高中形成优质多样化办学格局</w:t>
      </w:r>
      <w:r>
        <w:rPr>
          <w:rFonts w:eastAsia="仿宋_GB2312"/>
          <w:b/>
          <w:sz w:val="32"/>
          <w:szCs w:val="32"/>
          <w:highlight w:val="none"/>
        </w:rPr>
        <w:t>。</w:t>
      </w:r>
      <w:r>
        <w:rPr>
          <w:rFonts w:eastAsia="仿宋_GB2312"/>
          <w:sz w:val="32"/>
          <w:szCs w:val="32"/>
          <w:highlight w:val="none"/>
        </w:rPr>
        <w:t>普通高中育人方式改革取得明显进展，创新人才培养体系全面建立，初高中有效衔接机制全面形成，加大与高校协同培养拔尖创新后备人才的力度，向高校输送人才水平达到省中等位次以上，县域普通高中全面崛起，一半以上的高中打造成为科技类、人文类、体艺类、综合类等特色高中。</w:t>
      </w:r>
    </w:p>
    <w:p>
      <w:pPr>
        <w:spacing w:line="600" w:lineRule="exact"/>
        <w:ind w:firstLine="642" w:firstLineChars="200"/>
        <w:rPr>
          <w:rStyle w:val="23"/>
          <w:b w:val="0"/>
          <w:highlight w:val="none"/>
        </w:rPr>
      </w:pPr>
      <w:r>
        <w:rPr>
          <w:rFonts w:eastAsia="仿宋_GB2312"/>
          <w:b/>
          <w:sz w:val="32"/>
          <w:szCs w:val="32"/>
          <w:highlight w:val="none"/>
        </w:rPr>
        <w:t>——</w:t>
      </w:r>
      <w:r>
        <w:rPr>
          <w:rStyle w:val="23"/>
          <w:highlight w:val="none"/>
        </w:rPr>
        <w:t>职业教育适应性发展取得明显成效。</w:t>
      </w:r>
      <w:r>
        <w:rPr>
          <w:rStyle w:val="23"/>
          <w:b w:val="0"/>
          <w:highlight w:val="none"/>
        </w:rPr>
        <w:t>推动现代职业教育高质量发展</w:t>
      </w:r>
      <w:r>
        <w:rPr>
          <w:rStyle w:val="23"/>
          <w:rFonts w:hint="eastAsia"/>
          <w:b w:val="0"/>
          <w:highlight w:val="none"/>
        </w:rPr>
        <w:t>，</w:t>
      </w:r>
      <w:r>
        <w:rPr>
          <w:rStyle w:val="23"/>
          <w:b w:val="0"/>
          <w:highlight w:val="none"/>
        </w:rPr>
        <w:t>中职“双高”建设全面完成，建成高水平中职学校4个、高水平专业19个，培育30个产教融合型企业，建设高水平产教融合实训基地10个，与产业高匹配的特色学校6所。大幅提升职业教育现代化水平和服务地方发展能力，中职毕业生升入高一级学校比例达到85%以上，促进中职毕业生高水平就业。</w:t>
      </w:r>
    </w:p>
    <w:p>
      <w:pPr>
        <w:spacing w:line="600" w:lineRule="exact"/>
        <w:ind w:firstLine="642" w:firstLineChars="200"/>
        <w:rPr>
          <w:rFonts w:eastAsia="仿宋_GB2312"/>
          <w:sz w:val="32"/>
          <w:szCs w:val="32"/>
          <w:highlight w:val="none"/>
        </w:rPr>
      </w:pPr>
      <w:r>
        <w:rPr>
          <w:rFonts w:eastAsia="仿宋_GB2312"/>
          <w:b/>
          <w:sz w:val="32"/>
          <w:szCs w:val="32"/>
          <w:highlight w:val="none"/>
        </w:rPr>
        <w:t>——</w:t>
      </w:r>
      <w:r>
        <w:rPr>
          <w:rStyle w:val="23"/>
          <w:highlight w:val="none"/>
        </w:rPr>
        <w:t>高等教育服务地方发展能力显著增强</w:t>
      </w:r>
      <w:r>
        <w:rPr>
          <w:rFonts w:eastAsia="仿宋_GB2312"/>
          <w:b/>
          <w:sz w:val="32"/>
          <w:szCs w:val="32"/>
          <w:highlight w:val="none"/>
        </w:rPr>
        <w:t>。</w:t>
      </w:r>
      <w:r>
        <w:rPr>
          <w:rFonts w:eastAsia="仿宋_GB2312"/>
          <w:sz w:val="32"/>
          <w:szCs w:val="32"/>
          <w:highlight w:val="none"/>
        </w:rPr>
        <w:t>丽水学院建设服务绿色发展的高水平应用型大学，丽水职业技术学院高质量建成浙江省高水平高等职业院校，丽水电大建设成为高水平开放大学。建设与丽水五大产业和传统产业相匹配的“高水平、高融合、高标准”现代产业学院，打造浙西南科创走廊高校创新高地。</w:t>
      </w:r>
    </w:p>
    <w:p>
      <w:pPr>
        <w:spacing w:line="600" w:lineRule="exact"/>
        <w:ind w:firstLine="640" w:firstLineChars="200"/>
        <w:rPr>
          <w:rFonts w:eastAsia="仿宋_GB2312"/>
          <w:sz w:val="32"/>
          <w:szCs w:val="32"/>
          <w:highlight w:val="none"/>
        </w:rPr>
      </w:pPr>
    </w:p>
    <w:p>
      <w:pPr>
        <w:spacing w:line="600" w:lineRule="exact"/>
        <w:ind w:firstLine="640" w:firstLineChars="200"/>
        <w:rPr>
          <w:rFonts w:eastAsia="仿宋_GB2312"/>
          <w:sz w:val="32"/>
          <w:szCs w:val="32"/>
          <w:highlight w:val="none"/>
        </w:rPr>
      </w:pPr>
    </w:p>
    <w:p>
      <w:pPr>
        <w:spacing w:line="600" w:lineRule="exact"/>
        <w:ind w:firstLine="640" w:firstLineChars="200"/>
        <w:rPr>
          <w:rFonts w:eastAsia="仿宋_GB2312"/>
          <w:sz w:val="32"/>
          <w:szCs w:val="32"/>
          <w:highlight w:val="none"/>
        </w:rPr>
      </w:pPr>
    </w:p>
    <w:p>
      <w:pPr>
        <w:spacing w:line="600" w:lineRule="exact"/>
        <w:ind w:firstLine="640" w:firstLineChars="200"/>
        <w:rPr>
          <w:rFonts w:eastAsia="仿宋_GB2312"/>
          <w:sz w:val="32"/>
          <w:szCs w:val="32"/>
          <w:highlight w:val="none"/>
        </w:rPr>
      </w:pPr>
    </w:p>
    <w:p>
      <w:pPr>
        <w:spacing w:line="600" w:lineRule="exact"/>
        <w:ind w:firstLine="640" w:firstLineChars="200"/>
        <w:rPr>
          <w:rFonts w:eastAsia="仿宋_GB2312"/>
          <w:sz w:val="32"/>
          <w:szCs w:val="32"/>
          <w:highlight w:val="none"/>
        </w:rPr>
      </w:pPr>
    </w:p>
    <w:p>
      <w:pPr>
        <w:spacing w:line="600" w:lineRule="exact"/>
        <w:ind w:firstLine="640" w:firstLineChars="200"/>
        <w:rPr>
          <w:rFonts w:eastAsia="仿宋_GB2312"/>
          <w:sz w:val="32"/>
          <w:szCs w:val="32"/>
          <w:highlight w:val="none"/>
        </w:rPr>
      </w:pPr>
    </w:p>
    <w:p>
      <w:pPr>
        <w:spacing w:line="600" w:lineRule="exact"/>
        <w:jc w:val="center"/>
        <w:rPr>
          <w:rFonts w:eastAsia="仿宋_GB2312"/>
          <w:b/>
          <w:sz w:val="32"/>
          <w:szCs w:val="32"/>
          <w:highlight w:val="none"/>
        </w:rPr>
      </w:pPr>
      <w:bookmarkStart w:id="11" w:name="_Toc63173867"/>
      <w:bookmarkStart w:id="12" w:name="_Toc14150"/>
    </w:p>
    <w:p>
      <w:pPr>
        <w:spacing w:line="600" w:lineRule="exact"/>
        <w:jc w:val="center"/>
        <w:rPr>
          <w:rFonts w:eastAsia="仿宋_GB2312"/>
          <w:sz w:val="32"/>
          <w:szCs w:val="32"/>
          <w:highlight w:val="none"/>
        </w:rPr>
      </w:pPr>
      <w:r>
        <w:rPr>
          <w:rFonts w:eastAsia="仿宋_GB2312"/>
          <w:b/>
          <w:sz w:val="32"/>
          <w:szCs w:val="32"/>
          <w:highlight w:val="none"/>
        </w:rPr>
        <w:t>“十四五”丽水教育事业发展主要指标</w:t>
      </w:r>
      <w:bookmarkEnd w:id="11"/>
      <w:bookmarkEnd w:id="12"/>
    </w:p>
    <w:tbl>
      <w:tblPr>
        <w:tblStyle w:val="14"/>
        <w:tblW w:w="907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39"/>
        <w:gridCol w:w="2441"/>
        <w:gridCol w:w="987"/>
        <w:gridCol w:w="1252"/>
        <w:gridCol w:w="1253"/>
        <w:gridCol w:w="1252"/>
        <w:gridCol w:w="125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39" w:type="dxa"/>
            <w:shd w:val="clear" w:color="auto" w:fill="auto"/>
            <w:vAlign w:val="center"/>
          </w:tcPr>
          <w:p>
            <w:pPr>
              <w:pStyle w:val="13"/>
              <w:spacing w:beforeAutospacing="0" w:afterAutospacing="0" w:line="320" w:lineRule="exact"/>
              <w:jc w:val="center"/>
              <w:rPr>
                <w:rFonts w:eastAsia="黑体"/>
                <w:szCs w:val="32"/>
                <w:highlight w:val="none"/>
              </w:rPr>
            </w:pPr>
            <w:r>
              <w:rPr>
                <w:rFonts w:eastAsia="黑体"/>
                <w:szCs w:val="32"/>
                <w:highlight w:val="none"/>
              </w:rPr>
              <w:t>类别</w:t>
            </w:r>
          </w:p>
        </w:tc>
        <w:tc>
          <w:tcPr>
            <w:tcW w:w="3428" w:type="dxa"/>
            <w:gridSpan w:val="2"/>
            <w:shd w:val="clear" w:color="auto" w:fill="auto"/>
            <w:vAlign w:val="center"/>
          </w:tcPr>
          <w:p>
            <w:pPr>
              <w:pStyle w:val="13"/>
              <w:spacing w:beforeAutospacing="0" w:afterAutospacing="0" w:line="320" w:lineRule="exact"/>
              <w:jc w:val="center"/>
              <w:rPr>
                <w:rFonts w:eastAsia="黑体"/>
                <w:szCs w:val="32"/>
                <w:highlight w:val="none"/>
              </w:rPr>
            </w:pPr>
            <w:r>
              <w:rPr>
                <w:rFonts w:eastAsia="黑体"/>
                <w:szCs w:val="32"/>
                <w:highlight w:val="none"/>
              </w:rPr>
              <w:t>指标</w:t>
            </w:r>
          </w:p>
        </w:tc>
        <w:tc>
          <w:tcPr>
            <w:tcW w:w="1252" w:type="dxa"/>
            <w:shd w:val="clear" w:color="auto" w:fill="auto"/>
          </w:tcPr>
          <w:p>
            <w:pPr>
              <w:pStyle w:val="13"/>
              <w:spacing w:beforeAutospacing="0" w:afterAutospacing="0" w:line="320" w:lineRule="exact"/>
              <w:jc w:val="center"/>
              <w:rPr>
                <w:rFonts w:eastAsia="黑体"/>
                <w:szCs w:val="32"/>
                <w:highlight w:val="none"/>
              </w:rPr>
            </w:pPr>
            <w:r>
              <w:rPr>
                <w:rFonts w:eastAsia="黑体"/>
                <w:szCs w:val="32"/>
                <w:highlight w:val="none"/>
              </w:rPr>
              <w:t>我市2020年</w:t>
            </w:r>
          </w:p>
        </w:tc>
        <w:tc>
          <w:tcPr>
            <w:tcW w:w="1253" w:type="dxa"/>
            <w:shd w:val="clear" w:color="auto" w:fill="auto"/>
          </w:tcPr>
          <w:p>
            <w:pPr>
              <w:pStyle w:val="13"/>
              <w:spacing w:beforeAutospacing="0" w:afterAutospacing="0" w:line="320" w:lineRule="exact"/>
              <w:jc w:val="center"/>
              <w:rPr>
                <w:rFonts w:eastAsia="黑体"/>
                <w:szCs w:val="32"/>
                <w:highlight w:val="none"/>
              </w:rPr>
            </w:pPr>
            <w:r>
              <w:rPr>
                <w:rFonts w:eastAsia="黑体"/>
                <w:szCs w:val="32"/>
                <w:highlight w:val="none"/>
              </w:rPr>
              <w:t>全省2020年</w:t>
            </w:r>
          </w:p>
        </w:tc>
        <w:tc>
          <w:tcPr>
            <w:tcW w:w="1252" w:type="dxa"/>
            <w:shd w:val="clear" w:color="auto" w:fill="auto"/>
            <w:vAlign w:val="center"/>
          </w:tcPr>
          <w:p>
            <w:pPr>
              <w:pStyle w:val="13"/>
              <w:spacing w:beforeAutospacing="0" w:afterAutospacing="0" w:line="320" w:lineRule="exact"/>
              <w:jc w:val="center"/>
              <w:rPr>
                <w:rFonts w:eastAsia="黑体"/>
                <w:szCs w:val="32"/>
                <w:highlight w:val="none"/>
              </w:rPr>
            </w:pPr>
            <w:r>
              <w:rPr>
                <w:rFonts w:eastAsia="黑体"/>
                <w:szCs w:val="32"/>
                <w:highlight w:val="none"/>
              </w:rPr>
              <w:t>我市2025年</w:t>
            </w:r>
          </w:p>
        </w:tc>
        <w:tc>
          <w:tcPr>
            <w:tcW w:w="1253" w:type="dxa"/>
            <w:shd w:val="clear" w:color="auto" w:fill="auto"/>
            <w:vAlign w:val="center"/>
          </w:tcPr>
          <w:p>
            <w:pPr>
              <w:pStyle w:val="13"/>
              <w:spacing w:beforeAutospacing="0" w:afterAutospacing="0" w:line="320" w:lineRule="exact"/>
              <w:jc w:val="center"/>
              <w:rPr>
                <w:rFonts w:eastAsia="黑体"/>
                <w:szCs w:val="32"/>
                <w:highlight w:val="none"/>
              </w:rPr>
            </w:pPr>
            <w:r>
              <w:rPr>
                <w:rFonts w:eastAsia="黑体"/>
                <w:szCs w:val="32"/>
                <w:highlight w:val="none"/>
              </w:rPr>
              <w:t>全省2025年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39" w:type="dxa"/>
            <w:vMerge w:val="restart"/>
            <w:shd w:val="clear" w:color="auto" w:fill="auto"/>
            <w:vAlign w:val="center"/>
          </w:tcPr>
          <w:p>
            <w:pPr>
              <w:pStyle w:val="13"/>
              <w:spacing w:beforeAutospacing="0" w:afterAutospacing="0" w:line="320" w:lineRule="exact"/>
              <w:jc w:val="center"/>
              <w:rPr>
                <w:rFonts w:eastAsia="仿宋_GB2312"/>
                <w:b/>
                <w:szCs w:val="32"/>
                <w:highlight w:val="none"/>
              </w:rPr>
            </w:pPr>
            <w:r>
              <w:rPr>
                <w:rFonts w:eastAsia="仿宋_GB2312"/>
                <w:b/>
                <w:szCs w:val="32"/>
                <w:highlight w:val="none"/>
              </w:rPr>
              <w:t>规模指标</w:t>
            </w:r>
          </w:p>
        </w:tc>
        <w:tc>
          <w:tcPr>
            <w:tcW w:w="3428" w:type="dxa"/>
            <w:gridSpan w:val="2"/>
            <w:shd w:val="clear" w:color="auto" w:fill="auto"/>
            <w:vAlign w:val="center"/>
          </w:tcPr>
          <w:p>
            <w:pPr>
              <w:pStyle w:val="13"/>
              <w:spacing w:beforeAutospacing="0" w:afterAutospacing="0" w:line="320" w:lineRule="exact"/>
              <w:rPr>
                <w:rFonts w:eastAsia="仿宋_GB2312"/>
                <w:szCs w:val="32"/>
                <w:highlight w:val="none"/>
              </w:rPr>
            </w:pPr>
            <w:r>
              <w:rPr>
                <w:rFonts w:eastAsia="仿宋_GB2312"/>
                <w:szCs w:val="32"/>
                <w:highlight w:val="none"/>
              </w:rPr>
              <w:t>幼儿园在园人数（万人）</w:t>
            </w:r>
          </w:p>
        </w:tc>
        <w:tc>
          <w:tcPr>
            <w:tcW w:w="1252" w:type="dxa"/>
            <w:shd w:val="clear" w:color="auto" w:fill="auto"/>
            <w:vAlign w:val="center"/>
          </w:tcPr>
          <w:p>
            <w:pPr>
              <w:pStyle w:val="13"/>
              <w:spacing w:beforeAutospacing="0" w:afterAutospacing="0" w:line="320" w:lineRule="exact"/>
              <w:jc w:val="center"/>
              <w:rPr>
                <w:rFonts w:eastAsia="仿宋_GB2312"/>
                <w:szCs w:val="32"/>
                <w:highlight w:val="none"/>
              </w:rPr>
            </w:pPr>
            <w:r>
              <w:rPr>
                <w:rFonts w:eastAsia="仿宋_GB2312"/>
                <w:szCs w:val="32"/>
                <w:highlight w:val="none"/>
              </w:rPr>
              <w:t>7.67</w:t>
            </w:r>
          </w:p>
        </w:tc>
        <w:tc>
          <w:tcPr>
            <w:tcW w:w="1253" w:type="dxa"/>
            <w:shd w:val="clear" w:color="auto" w:fill="auto"/>
            <w:vAlign w:val="center"/>
          </w:tcPr>
          <w:p>
            <w:pPr>
              <w:pStyle w:val="13"/>
              <w:spacing w:beforeAutospacing="0" w:afterAutospacing="0" w:line="320" w:lineRule="exact"/>
              <w:jc w:val="center"/>
              <w:rPr>
                <w:rFonts w:eastAsia="仿宋_GB2312"/>
                <w:szCs w:val="32"/>
                <w:highlight w:val="none"/>
              </w:rPr>
            </w:pPr>
            <w:r>
              <w:rPr>
                <w:rFonts w:eastAsia="仿宋_GB2312"/>
                <w:szCs w:val="32"/>
                <w:highlight w:val="none"/>
              </w:rPr>
              <w:t>195.6</w:t>
            </w:r>
          </w:p>
        </w:tc>
        <w:tc>
          <w:tcPr>
            <w:tcW w:w="1252" w:type="dxa"/>
            <w:shd w:val="clear" w:color="auto" w:fill="auto"/>
            <w:vAlign w:val="center"/>
          </w:tcPr>
          <w:p>
            <w:pPr>
              <w:pStyle w:val="13"/>
              <w:spacing w:beforeAutospacing="0" w:afterAutospacing="0" w:line="320" w:lineRule="exact"/>
              <w:jc w:val="center"/>
              <w:rPr>
                <w:rFonts w:eastAsia="仿宋_GB2312"/>
                <w:szCs w:val="32"/>
                <w:highlight w:val="none"/>
              </w:rPr>
            </w:pPr>
            <w:r>
              <w:rPr>
                <w:rFonts w:eastAsia="仿宋_GB2312"/>
                <w:szCs w:val="32"/>
                <w:highlight w:val="none"/>
              </w:rPr>
              <w:t>7.8</w:t>
            </w:r>
          </w:p>
        </w:tc>
        <w:tc>
          <w:tcPr>
            <w:tcW w:w="1253" w:type="dxa"/>
            <w:shd w:val="clear" w:color="auto" w:fill="auto"/>
            <w:vAlign w:val="center"/>
          </w:tcPr>
          <w:p>
            <w:pPr>
              <w:pStyle w:val="13"/>
              <w:spacing w:beforeAutospacing="0" w:afterAutospacing="0" w:line="320" w:lineRule="exact"/>
              <w:jc w:val="center"/>
              <w:rPr>
                <w:rFonts w:eastAsia="仿宋_GB2312"/>
                <w:szCs w:val="32"/>
                <w:highlight w:val="none"/>
              </w:rPr>
            </w:pPr>
            <w:r>
              <w:rPr>
                <w:rFonts w:eastAsia="仿宋_GB2312"/>
                <w:szCs w:val="32"/>
                <w:highlight w:val="none"/>
              </w:rPr>
              <w:t>195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39" w:type="dxa"/>
            <w:vMerge w:val="continue"/>
            <w:shd w:val="clear" w:color="auto" w:fill="auto"/>
            <w:vAlign w:val="center"/>
          </w:tcPr>
          <w:p>
            <w:pPr>
              <w:pStyle w:val="13"/>
              <w:spacing w:beforeAutospacing="0" w:afterAutospacing="0" w:line="320" w:lineRule="exact"/>
              <w:jc w:val="center"/>
              <w:rPr>
                <w:rFonts w:eastAsia="仿宋_GB2312"/>
                <w:b/>
                <w:szCs w:val="32"/>
                <w:highlight w:val="none"/>
              </w:rPr>
            </w:pPr>
          </w:p>
        </w:tc>
        <w:tc>
          <w:tcPr>
            <w:tcW w:w="3428" w:type="dxa"/>
            <w:gridSpan w:val="2"/>
            <w:shd w:val="clear" w:color="auto" w:fill="auto"/>
            <w:vAlign w:val="center"/>
          </w:tcPr>
          <w:p>
            <w:pPr>
              <w:pStyle w:val="13"/>
              <w:spacing w:beforeAutospacing="0" w:afterAutospacing="0" w:line="320" w:lineRule="exact"/>
              <w:rPr>
                <w:rFonts w:eastAsia="仿宋_GB2312"/>
                <w:szCs w:val="32"/>
                <w:highlight w:val="none"/>
              </w:rPr>
            </w:pPr>
            <w:r>
              <w:rPr>
                <w:rFonts w:eastAsia="仿宋_GB2312"/>
                <w:szCs w:val="32"/>
                <w:highlight w:val="none"/>
              </w:rPr>
              <w:t>义务教育在校生数（万人）</w:t>
            </w:r>
          </w:p>
        </w:tc>
        <w:tc>
          <w:tcPr>
            <w:tcW w:w="1252" w:type="dxa"/>
            <w:shd w:val="clear" w:color="auto" w:fill="auto"/>
            <w:vAlign w:val="center"/>
          </w:tcPr>
          <w:p>
            <w:pPr>
              <w:pStyle w:val="13"/>
              <w:spacing w:beforeAutospacing="0" w:afterAutospacing="0" w:line="320" w:lineRule="exact"/>
              <w:jc w:val="center"/>
              <w:rPr>
                <w:rFonts w:eastAsia="仿宋_GB2312"/>
                <w:szCs w:val="32"/>
                <w:highlight w:val="none"/>
              </w:rPr>
            </w:pPr>
            <w:r>
              <w:rPr>
                <w:rFonts w:eastAsia="仿宋_GB2312"/>
                <w:szCs w:val="32"/>
                <w:highlight w:val="none"/>
              </w:rPr>
              <w:t>20.02</w:t>
            </w:r>
          </w:p>
        </w:tc>
        <w:tc>
          <w:tcPr>
            <w:tcW w:w="1253" w:type="dxa"/>
            <w:shd w:val="clear" w:color="auto" w:fill="auto"/>
            <w:vAlign w:val="center"/>
          </w:tcPr>
          <w:p>
            <w:pPr>
              <w:pStyle w:val="13"/>
              <w:spacing w:beforeAutospacing="0" w:afterAutospacing="0" w:line="320" w:lineRule="exact"/>
              <w:jc w:val="center"/>
              <w:rPr>
                <w:rFonts w:eastAsia="仿宋_GB2312"/>
                <w:szCs w:val="32"/>
                <w:highlight w:val="none"/>
              </w:rPr>
            </w:pPr>
            <w:r>
              <w:rPr>
                <w:rFonts w:eastAsia="仿宋_GB2312"/>
                <w:szCs w:val="32"/>
                <w:highlight w:val="none"/>
              </w:rPr>
              <w:t>536.4</w:t>
            </w:r>
          </w:p>
        </w:tc>
        <w:tc>
          <w:tcPr>
            <w:tcW w:w="1252" w:type="dxa"/>
            <w:shd w:val="clear" w:color="auto" w:fill="auto"/>
            <w:vAlign w:val="center"/>
          </w:tcPr>
          <w:p>
            <w:pPr>
              <w:pStyle w:val="13"/>
              <w:spacing w:beforeAutospacing="0" w:afterAutospacing="0" w:line="320" w:lineRule="exact"/>
              <w:jc w:val="center"/>
              <w:rPr>
                <w:rFonts w:eastAsia="仿宋_GB2312"/>
                <w:szCs w:val="32"/>
                <w:highlight w:val="none"/>
              </w:rPr>
            </w:pPr>
            <w:r>
              <w:rPr>
                <w:rFonts w:eastAsia="仿宋_GB2312"/>
                <w:szCs w:val="32"/>
                <w:highlight w:val="none"/>
              </w:rPr>
              <w:t>20.2</w:t>
            </w:r>
          </w:p>
        </w:tc>
        <w:tc>
          <w:tcPr>
            <w:tcW w:w="1253" w:type="dxa"/>
            <w:shd w:val="clear" w:color="auto" w:fill="auto"/>
            <w:vAlign w:val="center"/>
          </w:tcPr>
          <w:p>
            <w:pPr>
              <w:pStyle w:val="13"/>
              <w:spacing w:beforeAutospacing="0" w:afterAutospacing="0" w:line="320" w:lineRule="exact"/>
              <w:jc w:val="center"/>
              <w:rPr>
                <w:rFonts w:eastAsia="仿宋_GB2312"/>
                <w:szCs w:val="32"/>
                <w:highlight w:val="none"/>
              </w:rPr>
            </w:pPr>
            <w:r>
              <w:rPr>
                <w:rFonts w:eastAsia="仿宋_GB2312"/>
                <w:szCs w:val="32"/>
                <w:highlight w:val="none"/>
              </w:rPr>
              <w:t>590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639" w:type="dxa"/>
            <w:vMerge w:val="continue"/>
            <w:shd w:val="clear" w:color="auto" w:fill="auto"/>
            <w:vAlign w:val="center"/>
          </w:tcPr>
          <w:p>
            <w:pPr>
              <w:pStyle w:val="13"/>
              <w:spacing w:beforeAutospacing="0" w:afterAutospacing="0" w:line="320" w:lineRule="exact"/>
              <w:jc w:val="center"/>
              <w:rPr>
                <w:rFonts w:eastAsia="仿宋_GB2312"/>
                <w:b/>
                <w:szCs w:val="32"/>
                <w:highlight w:val="none"/>
              </w:rPr>
            </w:pPr>
          </w:p>
        </w:tc>
        <w:tc>
          <w:tcPr>
            <w:tcW w:w="3428" w:type="dxa"/>
            <w:gridSpan w:val="2"/>
            <w:shd w:val="clear" w:color="auto" w:fill="auto"/>
            <w:vAlign w:val="center"/>
          </w:tcPr>
          <w:p>
            <w:pPr>
              <w:pStyle w:val="13"/>
              <w:spacing w:beforeAutospacing="0" w:afterAutospacing="0" w:line="320" w:lineRule="exact"/>
              <w:rPr>
                <w:rFonts w:eastAsia="仿宋_GB2312"/>
                <w:szCs w:val="32"/>
                <w:highlight w:val="none"/>
              </w:rPr>
            </w:pPr>
            <w:r>
              <w:rPr>
                <w:rFonts w:eastAsia="仿宋_GB2312"/>
                <w:szCs w:val="32"/>
                <w:highlight w:val="none"/>
              </w:rPr>
              <w:t>高中段在校生数（万人）</w:t>
            </w:r>
          </w:p>
        </w:tc>
        <w:tc>
          <w:tcPr>
            <w:tcW w:w="1252" w:type="dxa"/>
            <w:shd w:val="clear" w:color="auto" w:fill="auto"/>
            <w:vAlign w:val="center"/>
          </w:tcPr>
          <w:p>
            <w:pPr>
              <w:pStyle w:val="13"/>
              <w:spacing w:beforeAutospacing="0" w:afterAutospacing="0" w:line="320" w:lineRule="exact"/>
              <w:jc w:val="center"/>
              <w:rPr>
                <w:rFonts w:eastAsia="仿宋_GB2312"/>
                <w:szCs w:val="32"/>
                <w:highlight w:val="none"/>
              </w:rPr>
            </w:pPr>
            <w:r>
              <w:rPr>
                <w:rFonts w:eastAsia="仿宋_GB2312"/>
                <w:szCs w:val="32"/>
                <w:highlight w:val="none"/>
              </w:rPr>
              <w:t>6.67</w:t>
            </w:r>
          </w:p>
        </w:tc>
        <w:tc>
          <w:tcPr>
            <w:tcW w:w="1253" w:type="dxa"/>
            <w:shd w:val="clear" w:color="auto" w:fill="auto"/>
            <w:vAlign w:val="center"/>
          </w:tcPr>
          <w:p>
            <w:pPr>
              <w:pStyle w:val="13"/>
              <w:spacing w:beforeAutospacing="0" w:afterAutospacing="0" w:line="320" w:lineRule="exact"/>
              <w:jc w:val="center"/>
              <w:rPr>
                <w:rFonts w:eastAsia="仿宋_GB2312"/>
                <w:szCs w:val="32"/>
                <w:highlight w:val="none"/>
              </w:rPr>
            </w:pPr>
            <w:r>
              <w:rPr>
                <w:rFonts w:eastAsia="仿宋_GB2312"/>
                <w:szCs w:val="32"/>
                <w:highlight w:val="none"/>
              </w:rPr>
              <w:t>155.2</w:t>
            </w:r>
          </w:p>
        </w:tc>
        <w:tc>
          <w:tcPr>
            <w:tcW w:w="1252" w:type="dxa"/>
            <w:shd w:val="clear" w:color="auto" w:fill="auto"/>
            <w:vAlign w:val="center"/>
          </w:tcPr>
          <w:p>
            <w:pPr>
              <w:pStyle w:val="13"/>
              <w:spacing w:beforeAutospacing="0" w:afterAutospacing="0" w:line="320" w:lineRule="exact"/>
              <w:jc w:val="center"/>
              <w:rPr>
                <w:rFonts w:eastAsia="仿宋_GB2312"/>
                <w:szCs w:val="32"/>
                <w:highlight w:val="none"/>
              </w:rPr>
            </w:pPr>
            <w:r>
              <w:rPr>
                <w:rFonts w:eastAsia="仿宋_GB2312"/>
                <w:szCs w:val="32"/>
                <w:highlight w:val="none"/>
              </w:rPr>
              <w:t>6.8</w:t>
            </w:r>
          </w:p>
        </w:tc>
        <w:tc>
          <w:tcPr>
            <w:tcW w:w="1253" w:type="dxa"/>
            <w:shd w:val="clear" w:color="auto" w:fill="auto"/>
            <w:vAlign w:val="center"/>
          </w:tcPr>
          <w:p>
            <w:pPr>
              <w:pStyle w:val="13"/>
              <w:spacing w:beforeAutospacing="0" w:afterAutospacing="0" w:line="320" w:lineRule="exact"/>
              <w:jc w:val="center"/>
              <w:rPr>
                <w:rFonts w:eastAsia="仿宋_GB2312"/>
                <w:szCs w:val="32"/>
                <w:highlight w:val="none"/>
              </w:rPr>
            </w:pPr>
            <w:r>
              <w:rPr>
                <w:rFonts w:eastAsia="仿宋_GB2312"/>
                <w:szCs w:val="32"/>
                <w:highlight w:val="none"/>
              </w:rPr>
              <w:t>160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39" w:type="dxa"/>
            <w:vMerge w:val="continue"/>
            <w:shd w:val="clear" w:color="auto" w:fill="auto"/>
            <w:vAlign w:val="center"/>
          </w:tcPr>
          <w:p>
            <w:pPr>
              <w:pStyle w:val="13"/>
              <w:spacing w:beforeAutospacing="0" w:afterAutospacing="0" w:line="320" w:lineRule="exact"/>
              <w:jc w:val="center"/>
              <w:rPr>
                <w:rFonts w:eastAsia="仿宋_GB2312"/>
                <w:b/>
                <w:szCs w:val="32"/>
                <w:highlight w:val="none"/>
              </w:rPr>
            </w:pPr>
          </w:p>
        </w:tc>
        <w:tc>
          <w:tcPr>
            <w:tcW w:w="3428" w:type="dxa"/>
            <w:gridSpan w:val="2"/>
            <w:shd w:val="clear" w:color="auto" w:fill="auto"/>
            <w:vAlign w:val="center"/>
          </w:tcPr>
          <w:p>
            <w:pPr>
              <w:pStyle w:val="13"/>
              <w:spacing w:beforeAutospacing="0" w:afterAutospacing="0" w:line="320" w:lineRule="exact"/>
              <w:rPr>
                <w:rFonts w:eastAsia="仿宋_GB2312"/>
                <w:szCs w:val="32"/>
                <w:highlight w:val="none"/>
              </w:rPr>
            </w:pPr>
            <w:r>
              <w:rPr>
                <w:rFonts w:eastAsia="仿宋_GB2312"/>
                <w:szCs w:val="32"/>
                <w:highlight w:val="none"/>
              </w:rPr>
              <w:t>普通本专科在校生数（万人）</w:t>
            </w:r>
          </w:p>
        </w:tc>
        <w:tc>
          <w:tcPr>
            <w:tcW w:w="1252" w:type="dxa"/>
            <w:shd w:val="clear" w:color="auto" w:fill="auto"/>
            <w:vAlign w:val="center"/>
          </w:tcPr>
          <w:p>
            <w:pPr>
              <w:pStyle w:val="13"/>
              <w:spacing w:beforeAutospacing="0" w:afterAutospacing="0" w:line="320" w:lineRule="exact"/>
              <w:jc w:val="center"/>
              <w:rPr>
                <w:rFonts w:eastAsia="仿宋_GB2312"/>
                <w:szCs w:val="32"/>
                <w:highlight w:val="none"/>
              </w:rPr>
            </w:pPr>
            <w:r>
              <w:rPr>
                <w:rFonts w:eastAsia="仿宋_GB2312"/>
                <w:szCs w:val="32"/>
                <w:highlight w:val="none"/>
              </w:rPr>
              <w:t>2.1</w:t>
            </w:r>
          </w:p>
        </w:tc>
        <w:tc>
          <w:tcPr>
            <w:tcW w:w="1253" w:type="dxa"/>
            <w:shd w:val="clear" w:color="auto" w:fill="auto"/>
            <w:vAlign w:val="center"/>
          </w:tcPr>
          <w:p>
            <w:pPr>
              <w:pStyle w:val="13"/>
              <w:spacing w:beforeAutospacing="0" w:afterAutospacing="0" w:line="320" w:lineRule="exact"/>
              <w:jc w:val="center"/>
              <w:rPr>
                <w:rFonts w:eastAsia="仿宋_GB2312"/>
                <w:szCs w:val="32"/>
                <w:highlight w:val="none"/>
              </w:rPr>
            </w:pPr>
            <w:r>
              <w:rPr>
                <w:rFonts w:eastAsia="仿宋_GB2312"/>
                <w:szCs w:val="32"/>
                <w:highlight w:val="none"/>
              </w:rPr>
              <w:t>114.9</w:t>
            </w:r>
          </w:p>
        </w:tc>
        <w:tc>
          <w:tcPr>
            <w:tcW w:w="1252" w:type="dxa"/>
            <w:shd w:val="clear" w:color="auto" w:fill="auto"/>
            <w:vAlign w:val="center"/>
          </w:tcPr>
          <w:p>
            <w:pPr>
              <w:pStyle w:val="13"/>
              <w:spacing w:beforeAutospacing="0" w:afterAutospacing="0" w:line="320" w:lineRule="exact"/>
              <w:jc w:val="center"/>
              <w:rPr>
                <w:rFonts w:eastAsia="仿宋_GB2312"/>
                <w:szCs w:val="32"/>
                <w:highlight w:val="none"/>
              </w:rPr>
            </w:pPr>
            <w:r>
              <w:rPr>
                <w:rFonts w:eastAsia="仿宋_GB2312"/>
                <w:szCs w:val="32"/>
                <w:highlight w:val="none"/>
              </w:rPr>
              <w:t>2.1</w:t>
            </w:r>
          </w:p>
        </w:tc>
        <w:tc>
          <w:tcPr>
            <w:tcW w:w="1253" w:type="dxa"/>
            <w:shd w:val="clear" w:color="auto" w:fill="auto"/>
            <w:vAlign w:val="center"/>
          </w:tcPr>
          <w:p>
            <w:pPr>
              <w:pStyle w:val="13"/>
              <w:spacing w:beforeAutospacing="0" w:afterAutospacing="0" w:line="320" w:lineRule="exact"/>
              <w:jc w:val="center"/>
              <w:rPr>
                <w:rFonts w:eastAsia="仿宋_GB2312"/>
                <w:szCs w:val="32"/>
                <w:highlight w:val="none"/>
              </w:rPr>
            </w:pPr>
            <w:r>
              <w:rPr>
                <w:rFonts w:eastAsia="仿宋_GB2312"/>
                <w:szCs w:val="32"/>
                <w:highlight w:val="none"/>
              </w:rPr>
              <w:t>124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39" w:type="dxa"/>
            <w:vMerge w:val="continue"/>
            <w:shd w:val="clear" w:color="auto" w:fill="auto"/>
            <w:vAlign w:val="center"/>
          </w:tcPr>
          <w:p>
            <w:pPr>
              <w:pStyle w:val="13"/>
              <w:spacing w:beforeAutospacing="0" w:afterAutospacing="0" w:line="320" w:lineRule="exact"/>
              <w:jc w:val="center"/>
              <w:rPr>
                <w:rFonts w:eastAsia="仿宋_GB2312"/>
                <w:b/>
                <w:szCs w:val="32"/>
                <w:highlight w:val="none"/>
              </w:rPr>
            </w:pPr>
          </w:p>
        </w:tc>
        <w:tc>
          <w:tcPr>
            <w:tcW w:w="3428" w:type="dxa"/>
            <w:gridSpan w:val="2"/>
            <w:shd w:val="clear" w:color="auto" w:fill="auto"/>
            <w:vAlign w:val="center"/>
          </w:tcPr>
          <w:p>
            <w:pPr>
              <w:pStyle w:val="13"/>
              <w:spacing w:beforeAutospacing="0" w:afterAutospacing="0" w:line="320" w:lineRule="exact"/>
              <w:rPr>
                <w:rFonts w:eastAsia="仿宋_GB2312"/>
                <w:szCs w:val="32"/>
                <w:highlight w:val="none"/>
              </w:rPr>
            </w:pPr>
            <w:r>
              <w:rPr>
                <w:rFonts w:eastAsia="仿宋_GB2312"/>
                <w:szCs w:val="32"/>
                <w:highlight w:val="none"/>
              </w:rPr>
              <w:t>从业人员继续教育（万人次）</w:t>
            </w:r>
          </w:p>
        </w:tc>
        <w:tc>
          <w:tcPr>
            <w:tcW w:w="1252" w:type="dxa"/>
            <w:shd w:val="clear" w:color="auto" w:fill="auto"/>
            <w:vAlign w:val="center"/>
          </w:tcPr>
          <w:p>
            <w:pPr>
              <w:pStyle w:val="13"/>
              <w:spacing w:beforeAutospacing="0" w:afterAutospacing="0" w:line="320" w:lineRule="exact"/>
              <w:jc w:val="center"/>
              <w:rPr>
                <w:rFonts w:eastAsia="仿宋_GB2312"/>
                <w:szCs w:val="32"/>
                <w:highlight w:val="none"/>
              </w:rPr>
            </w:pPr>
            <w:r>
              <w:rPr>
                <w:rFonts w:eastAsia="仿宋_GB2312"/>
                <w:szCs w:val="32"/>
                <w:highlight w:val="none"/>
              </w:rPr>
              <w:t>25</w:t>
            </w:r>
          </w:p>
        </w:tc>
        <w:tc>
          <w:tcPr>
            <w:tcW w:w="1253" w:type="dxa"/>
            <w:shd w:val="clear" w:color="auto" w:fill="auto"/>
            <w:vAlign w:val="center"/>
          </w:tcPr>
          <w:p>
            <w:pPr>
              <w:pStyle w:val="13"/>
              <w:spacing w:beforeAutospacing="0" w:afterAutospacing="0" w:line="320" w:lineRule="exact"/>
              <w:jc w:val="center"/>
              <w:rPr>
                <w:rFonts w:eastAsia="仿宋_GB2312"/>
                <w:szCs w:val="32"/>
                <w:highlight w:val="none"/>
              </w:rPr>
            </w:pPr>
            <w:r>
              <w:rPr>
                <w:rFonts w:eastAsia="仿宋_GB2312"/>
                <w:szCs w:val="32"/>
                <w:highlight w:val="none"/>
              </w:rPr>
              <w:t>1000</w:t>
            </w:r>
          </w:p>
        </w:tc>
        <w:tc>
          <w:tcPr>
            <w:tcW w:w="1252" w:type="dxa"/>
            <w:shd w:val="clear" w:color="auto" w:fill="auto"/>
            <w:vAlign w:val="center"/>
          </w:tcPr>
          <w:p>
            <w:pPr>
              <w:pStyle w:val="13"/>
              <w:spacing w:beforeAutospacing="0" w:afterAutospacing="0" w:line="320" w:lineRule="exact"/>
              <w:jc w:val="center"/>
              <w:rPr>
                <w:rFonts w:eastAsia="仿宋_GB2312"/>
                <w:szCs w:val="32"/>
                <w:highlight w:val="none"/>
              </w:rPr>
            </w:pPr>
            <w:r>
              <w:rPr>
                <w:rFonts w:eastAsia="仿宋_GB2312"/>
                <w:szCs w:val="32"/>
                <w:highlight w:val="none"/>
              </w:rPr>
              <w:t>25</w:t>
            </w:r>
          </w:p>
        </w:tc>
        <w:tc>
          <w:tcPr>
            <w:tcW w:w="1253" w:type="dxa"/>
            <w:shd w:val="clear" w:color="auto" w:fill="auto"/>
            <w:vAlign w:val="center"/>
          </w:tcPr>
          <w:p>
            <w:pPr>
              <w:pStyle w:val="13"/>
              <w:spacing w:beforeAutospacing="0" w:afterAutospacing="0" w:line="320" w:lineRule="exact"/>
              <w:jc w:val="center"/>
              <w:rPr>
                <w:rFonts w:eastAsia="仿宋_GB2312"/>
                <w:szCs w:val="32"/>
                <w:highlight w:val="none"/>
              </w:rPr>
            </w:pPr>
            <w:r>
              <w:rPr>
                <w:rFonts w:eastAsia="仿宋_GB2312"/>
                <w:szCs w:val="32"/>
                <w:highlight w:val="none"/>
              </w:rPr>
              <w:t>1000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39" w:type="dxa"/>
            <w:vMerge w:val="restart"/>
            <w:shd w:val="clear" w:color="auto" w:fill="auto"/>
            <w:vAlign w:val="center"/>
          </w:tcPr>
          <w:p>
            <w:pPr>
              <w:pStyle w:val="13"/>
              <w:spacing w:beforeAutospacing="0" w:afterAutospacing="0" w:line="320" w:lineRule="exact"/>
              <w:jc w:val="center"/>
              <w:rPr>
                <w:rFonts w:eastAsia="仿宋_GB2312"/>
                <w:b/>
                <w:szCs w:val="32"/>
                <w:highlight w:val="none"/>
              </w:rPr>
            </w:pPr>
            <w:r>
              <w:rPr>
                <w:rFonts w:eastAsia="仿宋_GB2312"/>
                <w:b/>
                <w:szCs w:val="32"/>
                <w:highlight w:val="none"/>
              </w:rPr>
              <w:t>普及指标</w:t>
            </w:r>
          </w:p>
        </w:tc>
        <w:tc>
          <w:tcPr>
            <w:tcW w:w="3428" w:type="dxa"/>
            <w:gridSpan w:val="2"/>
            <w:shd w:val="clear" w:color="auto" w:fill="auto"/>
            <w:vAlign w:val="center"/>
          </w:tcPr>
          <w:p>
            <w:pPr>
              <w:pStyle w:val="13"/>
              <w:spacing w:beforeAutospacing="0" w:afterAutospacing="0" w:line="320" w:lineRule="exact"/>
              <w:rPr>
                <w:rFonts w:eastAsia="仿宋_GB2312"/>
                <w:szCs w:val="32"/>
                <w:highlight w:val="none"/>
              </w:rPr>
            </w:pPr>
            <w:r>
              <w:rPr>
                <w:rFonts w:eastAsia="仿宋_GB2312"/>
                <w:szCs w:val="32"/>
                <w:highlight w:val="none"/>
              </w:rPr>
              <w:t>学前教育毛入园率（%）</w:t>
            </w:r>
          </w:p>
        </w:tc>
        <w:tc>
          <w:tcPr>
            <w:tcW w:w="1252" w:type="dxa"/>
            <w:shd w:val="clear" w:color="auto" w:fill="auto"/>
            <w:vAlign w:val="center"/>
          </w:tcPr>
          <w:p>
            <w:pPr>
              <w:pStyle w:val="13"/>
              <w:spacing w:beforeAutospacing="0" w:afterAutospacing="0" w:line="320" w:lineRule="exact"/>
              <w:jc w:val="center"/>
              <w:rPr>
                <w:rFonts w:eastAsia="仿宋_GB2312"/>
                <w:szCs w:val="32"/>
                <w:highlight w:val="none"/>
              </w:rPr>
            </w:pPr>
            <w:r>
              <w:rPr>
                <w:rFonts w:eastAsia="仿宋_GB2312"/>
                <w:szCs w:val="32"/>
                <w:highlight w:val="none"/>
              </w:rPr>
              <w:t>98.55</w:t>
            </w:r>
          </w:p>
        </w:tc>
        <w:tc>
          <w:tcPr>
            <w:tcW w:w="1253" w:type="dxa"/>
            <w:shd w:val="clear" w:color="auto" w:fill="auto"/>
            <w:vAlign w:val="center"/>
          </w:tcPr>
          <w:p>
            <w:pPr>
              <w:pStyle w:val="13"/>
              <w:spacing w:beforeAutospacing="0" w:afterAutospacing="0" w:line="320" w:lineRule="exact"/>
              <w:jc w:val="center"/>
              <w:rPr>
                <w:rFonts w:eastAsia="仿宋_GB2312"/>
                <w:szCs w:val="32"/>
                <w:highlight w:val="none"/>
              </w:rPr>
            </w:pPr>
            <w:r>
              <w:rPr>
                <w:rFonts w:eastAsia="仿宋_GB2312"/>
                <w:szCs w:val="32"/>
                <w:highlight w:val="none"/>
              </w:rPr>
              <w:t>102</w:t>
            </w:r>
          </w:p>
        </w:tc>
        <w:tc>
          <w:tcPr>
            <w:tcW w:w="1252" w:type="dxa"/>
            <w:shd w:val="clear" w:color="auto" w:fill="auto"/>
            <w:vAlign w:val="center"/>
          </w:tcPr>
          <w:p>
            <w:pPr>
              <w:pStyle w:val="13"/>
              <w:spacing w:beforeAutospacing="0" w:afterAutospacing="0" w:line="320" w:lineRule="exact"/>
              <w:jc w:val="center"/>
              <w:rPr>
                <w:rFonts w:eastAsia="仿宋_GB2312"/>
                <w:szCs w:val="32"/>
                <w:highlight w:val="none"/>
              </w:rPr>
            </w:pPr>
            <w:r>
              <w:rPr>
                <w:rFonts w:eastAsia="仿宋_GB2312"/>
                <w:szCs w:val="32"/>
                <w:highlight w:val="none"/>
              </w:rPr>
              <w:t>&gt;100</w:t>
            </w:r>
          </w:p>
        </w:tc>
        <w:tc>
          <w:tcPr>
            <w:tcW w:w="1253" w:type="dxa"/>
            <w:shd w:val="clear" w:color="auto" w:fill="auto"/>
            <w:vAlign w:val="center"/>
          </w:tcPr>
          <w:p>
            <w:pPr>
              <w:pStyle w:val="13"/>
              <w:spacing w:beforeAutospacing="0" w:afterAutospacing="0" w:line="320" w:lineRule="exact"/>
              <w:jc w:val="center"/>
              <w:rPr>
                <w:rFonts w:eastAsia="仿宋_GB2312"/>
                <w:szCs w:val="32"/>
                <w:highlight w:val="none"/>
              </w:rPr>
            </w:pPr>
            <w:r>
              <w:rPr>
                <w:rFonts w:eastAsia="仿宋_GB2312"/>
                <w:szCs w:val="32"/>
                <w:highlight w:val="none"/>
              </w:rPr>
              <w:t>&gt;100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639" w:type="dxa"/>
            <w:vMerge w:val="continue"/>
            <w:shd w:val="clear" w:color="auto" w:fill="auto"/>
            <w:vAlign w:val="center"/>
          </w:tcPr>
          <w:p>
            <w:pPr>
              <w:pStyle w:val="13"/>
              <w:spacing w:beforeAutospacing="0" w:afterAutospacing="0" w:line="320" w:lineRule="exact"/>
              <w:jc w:val="center"/>
              <w:rPr>
                <w:rFonts w:eastAsia="仿宋_GB2312"/>
                <w:b/>
                <w:szCs w:val="32"/>
                <w:highlight w:val="none"/>
              </w:rPr>
            </w:pPr>
          </w:p>
        </w:tc>
        <w:tc>
          <w:tcPr>
            <w:tcW w:w="3428" w:type="dxa"/>
            <w:gridSpan w:val="2"/>
            <w:shd w:val="clear" w:color="auto" w:fill="auto"/>
            <w:vAlign w:val="center"/>
          </w:tcPr>
          <w:p>
            <w:pPr>
              <w:pStyle w:val="13"/>
              <w:spacing w:beforeAutospacing="0" w:afterAutospacing="0" w:line="320" w:lineRule="exact"/>
              <w:rPr>
                <w:rFonts w:eastAsia="仿宋_GB2312"/>
                <w:szCs w:val="32"/>
                <w:highlight w:val="none"/>
              </w:rPr>
            </w:pPr>
            <w:r>
              <w:rPr>
                <w:rFonts w:eastAsia="仿宋_GB2312"/>
                <w:szCs w:val="32"/>
                <w:highlight w:val="none"/>
              </w:rPr>
              <w:t>初中毕业生升入高中段比例（%）</w:t>
            </w:r>
          </w:p>
        </w:tc>
        <w:tc>
          <w:tcPr>
            <w:tcW w:w="1252" w:type="dxa"/>
            <w:shd w:val="clear" w:color="auto" w:fill="auto"/>
            <w:vAlign w:val="center"/>
          </w:tcPr>
          <w:p>
            <w:pPr>
              <w:pStyle w:val="13"/>
              <w:spacing w:beforeAutospacing="0" w:afterAutospacing="0" w:line="320" w:lineRule="exact"/>
              <w:jc w:val="center"/>
              <w:rPr>
                <w:rFonts w:eastAsia="仿宋_GB2312"/>
                <w:szCs w:val="32"/>
                <w:highlight w:val="none"/>
              </w:rPr>
            </w:pPr>
            <w:r>
              <w:rPr>
                <w:rFonts w:eastAsia="仿宋_GB2312"/>
                <w:szCs w:val="32"/>
                <w:highlight w:val="none"/>
              </w:rPr>
              <w:t>98.64</w:t>
            </w:r>
          </w:p>
        </w:tc>
        <w:tc>
          <w:tcPr>
            <w:tcW w:w="1253" w:type="dxa"/>
            <w:shd w:val="clear" w:color="auto" w:fill="auto"/>
            <w:vAlign w:val="center"/>
          </w:tcPr>
          <w:p>
            <w:pPr>
              <w:pStyle w:val="13"/>
              <w:spacing w:beforeAutospacing="0" w:afterAutospacing="0" w:line="320" w:lineRule="exact"/>
              <w:jc w:val="center"/>
              <w:rPr>
                <w:rFonts w:eastAsia="仿宋_GB2312"/>
                <w:szCs w:val="32"/>
                <w:highlight w:val="none"/>
              </w:rPr>
            </w:pPr>
            <w:r>
              <w:rPr>
                <w:rFonts w:eastAsia="仿宋_GB2312"/>
                <w:szCs w:val="32"/>
                <w:highlight w:val="none"/>
              </w:rPr>
              <w:t>99</w:t>
            </w:r>
          </w:p>
        </w:tc>
        <w:tc>
          <w:tcPr>
            <w:tcW w:w="1252" w:type="dxa"/>
            <w:shd w:val="clear" w:color="auto" w:fill="auto"/>
            <w:vAlign w:val="center"/>
          </w:tcPr>
          <w:p>
            <w:pPr>
              <w:pStyle w:val="13"/>
              <w:spacing w:beforeAutospacing="0" w:afterAutospacing="0" w:line="320" w:lineRule="exact"/>
              <w:jc w:val="center"/>
              <w:rPr>
                <w:rFonts w:eastAsia="仿宋_GB2312"/>
                <w:szCs w:val="32"/>
                <w:highlight w:val="none"/>
              </w:rPr>
            </w:pPr>
            <w:r>
              <w:rPr>
                <w:rFonts w:eastAsia="仿宋_GB2312"/>
                <w:szCs w:val="32"/>
                <w:highlight w:val="none"/>
              </w:rPr>
              <w:t>&gt;99</w:t>
            </w:r>
          </w:p>
        </w:tc>
        <w:tc>
          <w:tcPr>
            <w:tcW w:w="1253" w:type="dxa"/>
            <w:shd w:val="clear" w:color="auto" w:fill="auto"/>
            <w:vAlign w:val="center"/>
          </w:tcPr>
          <w:p>
            <w:pPr>
              <w:pStyle w:val="13"/>
              <w:spacing w:beforeAutospacing="0" w:afterAutospacing="0" w:line="320" w:lineRule="exact"/>
              <w:jc w:val="center"/>
              <w:rPr>
                <w:rFonts w:eastAsia="仿宋_GB2312"/>
                <w:szCs w:val="32"/>
                <w:highlight w:val="none"/>
              </w:rPr>
            </w:pPr>
            <w:r>
              <w:rPr>
                <w:rFonts w:eastAsia="仿宋_GB2312"/>
                <w:szCs w:val="32"/>
                <w:highlight w:val="none"/>
              </w:rPr>
              <w:t>&gt;99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39" w:type="dxa"/>
            <w:vMerge w:val="continue"/>
            <w:shd w:val="clear" w:color="auto" w:fill="auto"/>
            <w:vAlign w:val="center"/>
          </w:tcPr>
          <w:p>
            <w:pPr>
              <w:pStyle w:val="13"/>
              <w:spacing w:beforeAutospacing="0" w:afterAutospacing="0" w:line="320" w:lineRule="exact"/>
              <w:jc w:val="center"/>
              <w:rPr>
                <w:rFonts w:eastAsia="仿宋_GB2312"/>
                <w:b/>
                <w:szCs w:val="32"/>
                <w:highlight w:val="none"/>
              </w:rPr>
            </w:pPr>
          </w:p>
        </w:tc>
        <w:tc>
          <w:tcPr>
            <w:tcW w:w="3428" w:type="dxa"/>
            <w:gridSpan w:val="2"/>
            <w:shd w:val="clear" w:color="auto" w:fill="auto"/>
            <w:vAlign w:val="center"/>
          </w:tcPr>
          <w:p>
            <w:pPr>
              <w:pStyle w:val="13"/>
              <w:spacing w:beforeAutospacing="0" w:afterAutospacing="0" w:line="320" w:lineRule="exact"/>
              <w:rPr>
                <w:rFonts w:eastAsia="仿宋_GB2312"/>
                <w:szCs w:val="32"/>
                <w:highlight w:val="none"/>
              </w:rPr>
            </w:pPr>
            <w:r>
              <w:rPr>
                <w:rFonts w:eastAsia="仿宋_GB2312"/>
                <w:szCs w:val="32"/>
                <w:highlight w:val="none"/>
              </w:rPr>
              <w:t>高中段教育毛入学率（%）</w:t>
            </w:r>
          </w:p>
        </w:tc>
        <w:tc>
          <w:tcPr>
            <w:tcW w:w="1252" w:type="dxa"/>
            <w:shd w:val="clear" w:color="auto" w:fill="auto"/>
            <w:vAlign w:val="center"/>
          </w:tcPr>
          <w:p>
            <w:pPr>
              <w:pStyle w:val="13"/>
              <w:spacing w:beforeAutospacing="0" w:afterAutospacing="0" w:line="320" w:lineRule="exact"/>
              <w:jc w:val="center"/>
              <w:rPr>
                <w:rFonts w:eastAsia="仿宋_GB2312"/>
                <w:szCs w:val="32"/>
                <w:highlight w:val="none"/>
              </w:rPr>
            </w:pPr>
            <w:r>
              <w:rPr>
                <w:rFonts w:eastAsia="仿宋_GB2312"/>
                <w:szCs w:val="32"/>
                <w:highlight w:val="none"/>
              </w:rPr>
              <w:t>98.33</w:t>
            </w:r>
          </w:p>
        </w:tc>
        <w:tc>
          <w:tcPr>
            <w:tcW w:w="1253" w:type="dxa"/>
            <w:shd w:val="clear" w:color="auto" w:fill="auto"/>
            <w:vAlign w:val="center"/>
          </w:tcPr>
          <w:p>
            <w:pPr>
              <w:pStyle w:val="13"/>
              <w:spacing w:beforeAutospacing="0" w:afterAutospacing="0" w:line="320" w:lineRule="exact"/>
              <w:jc w:val="center"/>
              <w:rPr>
                <w:rFonts w:eastAsia="仿宋_GB2312"/>
                <w:szCs w:val="32"/>
                <w:highlight w:val="none"/>
              </w:rPr>
            </w:pPr>
            <w:r>
              <w:rPr>
                <w:rFonts w:eastAsia="仿宋_GB2312"/>
                <w:szCs w:val="32"/>
                <w:highlight w:val="none"/>
              </w:rPr>
              <w:t>98.1</w:t>
            </w:r>
          </w:p>
        </w:tc>
        <w:tc>
          <w:tcPr>
            <w:tcW w:w="1252" w:type="dxa"/>
            <w:shd w:val="clear" w:color="auto" w:fill="auto"/>
            <w:vAlign w:val="center"/>
          </w:tcPr>
          <w:p>
            <w:pPr>
              <w:pStyle w:val="13"/>
              <w:spacing w:beforeAutospacing="0" w:afterAutospacing="0" w:line="320" w:lineRule="exact"/>
              <w:jc w:val="center"/>
              <w:rPr>
                <w:rFonts w:eastAsia="仿宋_GB2312"/>
                <w:szCs w:val="32"/>
                <w:highlight w:val="none"/>
              </w:rPr>
            </w:pPr>
            <w:r>
              <w:rPr>
                <w:rFonts w:eastAsia="仿宋_GB2312"/>
                <w:szCs w:val="32"/>
                <w:highlight w:val="none"/>
              </w:rPr>
              <w:t>&gt;98</w:t>
            </w:r>
          </w:p>
        </w:tc>
        <w:tc>
          <w:tcPr>
            <w:tcW w:w="1253" w:type="dxa"/>
            <w:shd w:val="clear" w:color="auto" w:fill="auto"/>
            <w:vAlign w:val="center"/>
          </w:tcPr>
          <w:p>
            <w:pPr>
              <w:pStyle w:val="13"/>
              <w:spacing w:beforeAutospacing="0" w:afterAutospacing="0" w:line="320" w:lineRule="exact"/>
              <w:jc w:val="center"/>
              <w:rPr>
                <w:rFonts w:eastAsia="仿宋_GB2312"/>
                <w:szCs w:val="32"/>
                <w:highlight w:val="none"/>
              </w:rPr>
            </w:pPr>
            <w:r>
              <w:rPr>
                <w:rFonts w:eastAsia="仿宋_GB2312"/>
                <w:szCs w:val="32"/>
                <w:highlight w:val="none"/>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39" w:type="dxa"/>
            <w:vMerge w:val="continue"/>
            <w:shd w:val="clear" w:color="auto" w:fill="auto"/>
            <w:vAlign w:val="center"/>
          </w:tcPr>
          <w:p>
            <w:pPr>
              <w:pStyle w:val="13"/>
              <w:spacing w:beforeAutospacing="0" w:afterAutospacing="0" w:line="320" w:lineRule="exact"/>
              <w:jc w:val="center"/>
              <w:rPr>
                <w:rFonts w:eastAsia="仿宋_GB2312"/>
                <w:b/>
                <w:szCs w:val="32"/>
                <w:highlight w:val="none"/>
              </w:rPr>
            </w:pPr>
          </w:p>
        </w:tc>
        <w:tc>
          <w:tcPr>
            <w:tcW w:w="3428" w:type="dxa"/>
            <w:gridSpan w:val="2"/>
            <w:shd w:val="clear" w:color="auto" w:fill="auto"/>
            <w:vAlign w:val="center"/>
          </w:tcPr>
          <w:p>
            <w:pPr>
              <w:pStyle w:val="13"/>
              <w:spacing w:beforeAutospacing="0" w:afterAutospacing="0" w:line="320" w:lineRule="exact"/>
              <w:rPr>
                <w:rFonts w:eastAsia="仿宋_GB2312"/>
                <w:szCs w:val="32"/>
                <w:highlight w:val="none"/>
              </w:rPr>
            </w:pPr>
            <w:r>
              <w:rPr>
                <w:rFonts w:eastAsia="仿宋_GB2312"/>
                <w:szCs w:val="32"/>
                <w:highlight w:val="none"/>
              </w:rPr>
              <w:t>15年教育普及率（%）</w:t>
            </w:r>
          </w:p>
        </w:tc>
        <w:tc>
          <w:tcPr>
            <w:tcW w:w="1252" w:type="dxa"/>
            <w:shd w:val="clear" w:color="auto" w:fill="auto"/>
            <w:vAlign w:val="center"/>
          </w:tcPr>
          <w:p>
            <w:pPr>
              <w:pStyle w:val="13"/>
              <w:spacing w:beforeAutospacing="0" w:afterAutospacing="0" w:line="320" w:lineRule="exact"/>
              <w:jc w:val="center"/>
              <w:rPr>
                <w:rFonts w:eastAsia="仿宋_GB2312"/>
                <w:szCs w:val="32"/>
                <w:highlight w:val="none"/>
              </w:rPr>
            </w:pPr>
            <w:r>
              <w:rPr>
                <w:rFonts w:eastAsia="仿宋_GB2312"/>
                <w:szCs w:val="32"/>
                <w:highlight w:val="none"/>
              </w:rPr>
              <w:t>98.77</w:t>
            </w:r>
          </w:p>
        </w:tc>
        <w:tc>
          <w:tcPr>
            <w:tcW w:w="1253" w:type="dxa"/>
            <w:shd w:val="clear" w:color="auto" w:fill="auto"/>
            <w:vAlign w:val="center"/>
          </w:tcPr>
          <w:p>
            <w:pPr>
              <w:pStyle w:val="13"/>
              <w:spacing w:beforeAutospacing="0" w:afterAutospacing="0" w:line="320" w:lineRule="exact"/>
              <w:jc w:val="center"/>
              <w:rPr>
                <w:rFonts w:eastAsia="仿宋_GB2312"/>
                <w:szCs w:val="32"/>
                <w:highlight w:val="none"/>
              </w:rPr>
            </w:pPr>
            <w:r>
              <w:rPr>
                <w:rFonts w:eastAsia="仿宋_GB2312"/>
                <w:szCs w:val="32"/>
                <w:highlight w:val="none"/>
              </w:rPr>
              <w:t>/</w:t>
            </w:r>
          </w:p>
        </w:tc>
        <w:tc>
          <w:tcPr>
            <w:tcW w:w="1252" w:type="dxa"/>
            <w:shd w:val="clear" w:color="auto" w:fill="auto"/>
            <w:vAlign w:val="center"/>
          </w:tcPr>
          <w:p>
            <w:pPr>
              <w:pStyle w:val="13"/>
              <w:spacing w:beforeAutospacing="0" w:afterAutospacing="0" w:line="320" w:lineRule="exact"/>
              <w:jc w:val="center"/>
              <w:rPr>
                <w:rFonts w:eastAsia="仿宋_GB2312"/>
                <w:szCs w:val="32"/>
                <w:highlight w:val="none"/>
              </w:rPr>
            </w:pPr>
            <w:r>
              <w:rPr>
                <w:rFonts w:eastAsia="仿宋_GB2312"/>
                <w:szCs w:val="32"/>
                <w:highlight w:val="none"/>
              </w:rPr>
              <w:t>&gt;98</w:t>
            </w:r>
          </w:p>
        </w:tc>
        <w:tc>
          <w:tcPr>
            <w:tcW w:w="1253" w:type="dxa"/>
            <w:shd w:val="clear" w:color="auto" w:fill="auto"/>
            <w:vAlign w:val="center"/>
          </w:tcPr>
          <w:p>
            <w:pPr>
              <w:pStyle w:val="13"/>
              <w:spacing w:beforeAutospacing="0" w:afterAutospacing="0" w:line="320" w:lineRule="exact"/>
              <w:jc w:val="center"/>
              <w:rPr>
                <w:rFonts w:eastAsia="仿宋_GB2312"/>
                <w:szCs w:val="32"/>
                <w:highlight w:val="none"/>
              </w:rPr>
            </w:pPr>
            <w:r>
              <w:rPr>
                <w:rFonts w:eastAsia="仿宋_GB2312"/>
                <w:szCs w:val="32"/>
                <w:highlight w:val="none"/>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39" w:type="dxa"/>
            <w:vMerge w:val="continue"/>
            <w:shd w:val="clear" w:color="auto" w:fill="auto"/>
            <w:vAlign w:val="center"/>
          </w:tcPr>
          <w:p>
            <w:pPr>
              <w:pStyle w:val="13"/>
              <w:spacing w:beforeAutospacing="0" w:afterAutospacing="0" w:line="320" w:lineRule="exact"/>
              <w:jc w:val="center"/>
              <w:rPr>
                <w:rFonts w:eastAsia="仿宋_GB2312"/>
                <w:b/>
                <w:szCs w:val="32"/>
                <w:highlight w:val="none"/>
              </w:rPr>
            </w:pPr>
          </w:p>
        </w:tc>
        <w:tc>
          <w:tcPr>
            <w:tcW w:w="3428" w:type="dxa"/>
            <w:gridSpan w:val="2"/>
            <w:shd w:val="clear" w:color="auto" w:fill="auto"/>
            <w:vAlign w:val="center"/>
          </w:tcPr>
          <w:p>
            <w:pPr>
              <w:pStyle w:val="13"/>
              <w:spacing w:beforeAutospacing="0" w:afterAutospacing="0" w:line="320" w:lineRule="exact"/>
              <w:rPr>
                <w:rFonts w:eastAsia="仿宋_GB2312"/>
                <w:szCs w:val="32"/>
                <w:highlight w:val="none"/>
              </w:rPr>
            </w:pPr>
            <w:r>
              <w:rPr>
                <w:rFonts w:eastAsia="仿宋_GB2312"/>
                <w:szCs w:val="32"/>
                <w:highlight w:val="none"/>
              </w:rPr>
              <w:t>高等教育毛入学率（%）</w:t>
            </w:r>
          </w:p>
        </w:tc>
        <w:tc>
          <w:tcPr>
            <w:tcW w:w="1252" w:type="dxa"/>
            <w:shd w:val="clear" w:color="auto" w:fill="auto"/>
            <w:vAlign w:val="center"/>
          </w:tcPr>
          <w:p>
            <w:pPr>
              <w:pStyle w:val="13"/>
              <w:spacing w:beforeAutospacing="0" w:afterAutospacing="0" w:line="320" w:lineRule="exact"/>
              <w:jc w:val="center"/>
              <w:rPr>
                <w:rFonts w:eastAsia="仿宋_GB2312"/>
                <w:szCs w:val="32"/>
                <w:highlight w:val="none"/>
              </w:rPr>
            </w:pPr>
            <w:r>
              <w:rPr>
                <w:rFonts w:eastAsia="仿宋_GB2312"/>
                <w:szCs w:val="32"/>
                <w:highlight w:val="none"/>
              </w:rPr>
              <w:t>62.1</w:t>
            </w:r>
          </w:p>
        </w:tc>
        <w:tc>
          <w:tcPr>
            <w:tcW w:w="1253" w:type="dxa"/>
            <w:shd w:val="clear" w:color="auto" w:fill="auto"/>
            <w:vAlign w:val="center"/>
          </w:tcPr>
          <w:p>
            <w:pPr>
              <w:pStyle w:val="13"/>
              <w:spacing w:beforeAutospacing="0" w:afterAutospacing="0" w:line="320" w:lineRule="exact"/>
              <w:jc w:val="center"/>
              <w:rPr>
                <w:rFonts w:eastAsia="仿宋_GB2312"/>
                <w:szCs w:val="32"/>
                <w:highlight w:val="none"/>
              </w:rPr>
            </w:pPr>
            <w:r>
              <w:rPr>
                <w:rFonts w:eastAsia="仿宋_GB2312"/>
                <w:szCs w:val="32"/>
                <w:highlight w:val="none"/>
              </w:rPr>
              <w:t>62.4</w:t>
            </w:r>
          </w:p>
        </w:tc>
        <w:tc>
          <w:tcPr>
            <w:tcW w:w="1252" w:type="dxa"/>
            <w:shd w:val="clear" w:color="auto" w:fill="auto"/>
            <w:vAlign w:val="center"/>
          </w:tcPr>
          <w:p>
            <w:pPr>
              <w:pStyle w:val="13"/>
              <w:spacing w:beforeAutospacing="0" w:afterAutospacing="0" w:line="320" w:lineRule="exact"/>
              <w:jc w:val="center"/>
              <w:rPr>
                <w:rFonts w:eastAsia="仿宋_GB2312"/>
                <w:szCs w:val="32"/>
                <w:highlight w:val="none"/>
              </w:rPr>
            </w:pPr>
            <w:r>
              <w:rPr>
                <w:rFonts w:eastAsia="仿宋_GB2312"/>
                <w:szCs w:val="32"/>
                <w:highlight w:val="none"/>
              </w:rPr>
              <w:t>&gt;70</w:t>
            </w:r>
          </w:p>
        </w:tc>
        <w:tc>
          <w:tcPr>
            <w:tcW w:w="1253" w:type="dxa"/>
            <w:shd w:val="clear" w:color="auto" w:fill="auto"/>
            <w:vAlign w:val="center"/>
          </w:tcPr>
          <w:p>
            <w:pPr>
              <w:pStyle w:val="13"/>
              <w:spacing w:beforeAutospacing="0" w:afterAutospacing="0" w:line="320" w:lineRule="exact"/>
              <w:jc w:val="center"/>
              <w:rPr>
                <w:rFonts w:eastAsia="仿宋_GB2312"/>
                <w:szCs w:val="32"/>
                <w:highlight w:val="none"/>
              </w:rPr>
            </w:pPr>
            <w:r>
              <w:rPr>
                <w:rFonts w:eastAsia="仿宋_GB2312"/>
                <w:szCs w:val="32"/>
                <w:highlight w:val="none"/>
              </w:rPr>
              <w:t>&gt;70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639" w:type="dxa"/>
            <w:vMerge w:val="continue"/>
            <w:shd w:val="clear" w:color="auto" w:fill="auto"/>
            <w:vAlign w:val="center"/>
          </w:tcPr>
          <w:p>
            <w:pPr>
              <w:pStyle w:val="13"/>
              <w:spacing w:beforeAutospacing="0" w:afterAutospacing="0" w:line="320" w:lineRule="exact"/>
              <w:jc w:val="center"/>
              <w:rPr>
                <w:rFonts w:eastAsia="仿宋_GB2312"/>
                <w:b/>
                <w:szCs w:val="32"/>
                <w:highlight w:val="none"/>
              </w:rPr>
            </w:pPr>
          </w:p>
        </w:tc>
        <w:tc>
          <w:tcPr>
            <w:tcW w:w="2441" w:type="dxa"/>
            <w:vMerge w:val="restart"/>
            <w:shd w:val="clear" w:color="auto" w:fill="auto"/>
            <w:vAlign w:val="center"/>
          </w:tcPr>
          <w:p>
            <w:pPr>
              <w:pStyle w:val="13"/>
              <w:spacing w:beforeAutospacing="0" w:afterAutospacing="0" w:line="320" w:lineRule="exact"/>
              <w:rPr>
                <w:rFonts w:eastAsia="仿宋_GB2312"/>
                <w:szCs w:val="32"/>
                <w:highlight w:val="none"/>
              </w:rPr>
            </w:pPr>
            <w:r>
              <w:rPr>
                <w:rFonts w:eastAsia="仿宋_GB2312"/>
                <w:szCs w:val="32"/>
                <w:highlight w:val="none"/>
              </w:rPr>
              <w:t>适龄持证残疾儿童少年入学率（%）</w:t>
            </w:r>
          </w:p>
        </w:tc>
        <w:tc>
          <w:tcPr>
            <w:tcW w:w="987" w:type="dxa"/>
            <w:shd w:val="clear" w:color="auto" w:fill="auto"/>
          </w:tcPr>
          <w:p>
            <w:pPr>
              <w:pStyle w:val="13"/>
              <w:spacing w:beforeAutospacing="0" w:afterAutospacing="0" w:line="320" w:lineRule="exact"/>
              <w:jc w:val="center"/>
              <w:rPr>
                <w:rFonts w:eastAsia="仿宋_GB2312"/>
                <w:szCs w:val="32"/>
                <w:highlight w:val="none"/>
              </w:rPr>
            </w:pPr>
            <w:r>
              <w:rPr>
                <w:rFonts w:eastAsia="仿宋_GB2312"/>
                <w:szCs w:val="32"/>
                <w:highlight w:val="none"/>
              </w:rPr>
              <w:t>学前段</w:t>
            </w:r>
          </w:p>
        </w:tc>
        <w:tc>
          <w:tcPr>
            <w:tcW w:w="1252" w:type="dxa"/>
            <w:shd w:val="clear" w:color="auto" w:fill="auto"/>
            <w:vAlign w:val="center"/>
          </w:tcPr>
          <w:p>
            <w:pPr>
              <w:pStyle w:val="13"/>
              <w:spacing w:beforeAutospacing="0" w:afterAutospacing="0" w:line="320" w:lineRule="exact"/>
              <w:jc w:val="center"/>
              <w:rPr>
                <w:rFonts w:eastAsia="仿宋_GB2312"/>
                <w:szCs w:val="32"/>
                <w:highlight w:val="none"/>
              </w:rPr>
            </w:pPr>
            <w:r>
              <w:rPr>
                <w:rFonts w:eastAsia="仿宋_GB2312"/>
                <w:szCs w:val="32"/>
                <w:highlight w:val="none"/>
              </w:rPr>
              <w:t>88.47</w:t>
            </w:r>
          </w:p>
        </w:tc>
        <w:tc>
          <w:tcPr>
            <w:tcW w:w="1253" w:type="dxa"/>
            <w:shd w:val="clear" w:color="auto" w:fill="auto"/>
            <w:vAlign w:val="center"/>
          </w:tcPr>
          <w:p>
            <w:pPr>
              <w:pStyle w:val="13"/>
              <w:spacing w:beforeAutospacing="0" w:afterAutospacing="0" w:line="320" w:lineRule="exact"/>
              <w:jc w:val="center"/>
              <w:rPr>
                <w:rFonts w:eastAsia="仿宋_GB2312"/>
                <w:szCs w:val="32"/>
                <w:highlight w:val="none"/>
              </w:rPr>
            </w:pPr>
            <w:r>
              <w:rPr>
                <w:rFonts w:eastAsia="仿宋_GB2312"/>
                <w:szCs w:val="32"/>
                <w:highlight w:val="none"/>
              </w:rPr>
              <w:t>90</w:t>
            </w:r>
          </w:p>
        </w:tc>
        <w:tc>
          <w:tcPr>
            <w:tcW w:w="1252" w:type="dxa"/>
            <w:shd w:val="clear" w:color="auto" w:fill="auto"/>
            <w:vAlign w:val="center"/>
          </w:tcPr>
          <w:p>
            <w:pPr>
              <w:pStyle w:val="13"/>
              <w:spacing w:beforeAutospacing="0" w:afterAutospacing="0" w:line="320" w:lineRule="exact"/>
              <w:jc w:val="center"/>
              <w:rPr>
                <w:rFonts w:eastAsia="仿宋_GB2312"/>
                <w:szCs w:val="32"/>
                <w:highlight w:val="none"/>
              </w:rPr>
            </w:pPr>
            <w:r>
              <w:rPr>
                <w:rFonts w:eastAsia="仿宋_GB2312"/>
                <w:szCs w:val="32"/>
                <w:highlight w:val="none"/>
              </w:rPr>
              <w:t>99</w:t>
            </w:r>
          </w:p>
        </w:tc>
        <w:tc>
          <w:tcPr>
            <w:tcW w:w="1253" w:type="dxa"/>
            <w:shd w:val="clear" w:color="auto" w:fill="auto"/>
            <w:vAlign w:val="center"/>
          </w:tcPr>
          <w:p>
            <w:pPr>
              <w:pStyle w:val="13"/>
              <w:spacing w:beforeAutospacing="0" w:afterAutospacing="0" w:line="320" w:lineRule="exact"/>
              <w:jc w:val="center"/>
              <w:rPr>
                <w:rFonts w:eastAsia="仿宋_GB2312"/>
                <w:szCs w:val="32"/>
                <w:highlight w:val="none"/>
              </w:rPr>
            </w:pPr>
            <w:r>
              <w:rPr>
                <w:rFonts w:eastAsia="仿宋_GB2312"/>
                <w:szCs w:val="32"/>
                <w:highlight w:val="none"/>
              </w:rPr>
              <w:t>&gt;90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39" w:type="dxa"/>
            <w:vMerge w:val="continue"/>
            <w:shd w:val="clear" w:color="auto" w:fill="auto"/>
            <w:vAlign w:val="center"/>
          </w:tcPr>
          <w:p>
            <w:pPr>
              <w:pStyle w:val="13"/>
              <w:spacing w:beforeAutospacing="0" w:afterAutospacing="0" w:line="320" w:lineRule="exact"/>
              <w:jc w:val="center"/>
              <w:rPr>
                <w:rFonts w:eastAsia="仿宋_GB2312"/>
                <w:b/>
                <w:szCs w:val="32"/>
                <w:highlight w:val="none"/>
              </w:rPr>
            </w:pPr>
          </w:p>
        </w:tc>
        <w:tc>
          <w:tcPr>
            <w:tcW w:w="2441" w:type="dxa"/>
            <w:vMerge w:val="continue"/>
            <w:shd w:val="clear" w:color="auto" w:fill="auto"/>
            <w:vAlign w:val="center"/>
          </w:tcPr>
          <w:p>
            <w:pPr>
              <w:pStyle w:val="13"/>
              <w:spacing w:beforeAutospacing="0" w:afterAutospacing="0" w:line="320" w:lineRule="exact"/>
              <w:rPr>
                <w:rFonts w:eastAsia="仿宋_GB2312"/>
                <w:szCs w:val="32"/>
                <w:highlight w:val="none"/>
              </w:rPr>
            </w:pPr>
          </w:p>
        </w:tc>
        <w:tc>
          <w:tcPr>
            <w:tcW w:w="987" w:type="dxa"/>
            <w:shd w:val="clear" w:color="auto" w:fill="auto"/>
          </w:tcPr>
          <w:p>
            <w:pPr>
              <w:pStyle w:val="13"/>
              <w:spacing w:beforeAutospacing="0" w:afterAutospacing="0" w:line="320" w:lineRule="exact"/>
              <w:jc w:val="center"/>
              <w:rPr>
                <w:rFonts w:eastAsia="仿宋_GB2312"/>
                <w:szCs w:val="32"/>
                <w:highlight w:val="none"/>
              </w:rPr>
            </w:pPr>
            <w:r>
              <w:rPr>
                <w:rFonts w:eastAsia="仿宋_GB2312"/>
                <w:szCs w:val="32"/>
                <w:highlight w:val="none"/>
              </w:rPr>
              <w:t>义务段</w:t>
            </w:r>
          </w:p>
        </w:tc>
        <w:tc>
          <w:tcPr>
            <w:tcW w:w="1252" w:type="dxa"/>
            <w:shd w:val="clear" w:color="auto" w:fill="auto"/>
            <w:vAlign w:val="center"/>
          </w:tcPr>
          <w:p>
            <w:pPr>
              <w:pStyle w:val="13"/>
              <w:spacing w:beforeAutospacing="0" w:afterAutospacing="0" w:line="320" w:lineRule="exact"/>
              <w:jc w:val="center"/>
              <w:rPr>
                <w:rFonts w:eastAsia="仿宋_GB2312"/>
                <w:szCs w:val="32"/>
                <w:highlight w:val="none"/>
              </w:rPr>
            </w:pPr>
            <w:r>
              <w:rPr>
                <w:rFonts w:eastAsia="仿宋_GB2312"/>
                <w:szCs w:val="32"/>
                <w:highlight w:val="none"/>
              </w:rPr>
              <w:t>96.99</w:t>
            </w:r>
          </w:p>
        </w:tc>
        <w:tc>
          <w:tcPr>
            <w:tcW w:w="1253" w:type="dxa"/>
            <w:shd w:val="clear" w:color="auto" w:fill="auto"/>
            <w:vAlign w:val="center"/>
          </w:tcPr>
          <w:p>
            <w:pPr>
              <w:pStyle w:val="13"/>
              <w:spacing w:beforeAutospacing="0" w:afterAutospacing="0" w:line="320" w:lineRule="exact"/>
              <w:jc w:val="center"/>
              <w:rPr>
                <w:rFonts w:eastAsia="仿宋_GB2312"/>
                <w:szCs w:val="32"/>
                <w:highlight w:val="none"/>
              </w:rPr>
            </w:pPr>
            <w:r>
              <w:rPr>
                <w:rFonts w:eastAsia="仿宋_GB2312"/>
                <w:szCs w:val="32"/>
                <w:highlight w:val="none"/>
              </w:rPr>
              <w:t>98</w:t>
            </w:r>
          </w:p>
        </w:tc>
        <w:tc>
          <w:tcPr>
            <w:tcW w:w="1252" w:type="dxa"/>
            <w:shd w:val="clear" w:color="auto" w:fill="auto"/>
            <w:vAlign w:val="center"/>
          </w:tcPr>
          <w:p>
            <w:pPr>
              <w:pStyle w:val="13"/>
              <w:spacing w:beforeAutospacing="0" w:afterAutospacing="0" w:line="320" w:lineRule="exact"/>
              <w:jc w:val="center"/>
              <w:rPr>
                <w:rFonts w:eastAsia="仿宋_GB2312"/>
                <w:szCs w:val="32"/>
                <w:highlight w:val="none"/>
              </w:rPr>
            </w:pPr>
            <w:r>
              <w:rPr>
                <w:rFonts w:eastAsia="仿宋_GB2312"/>
                <w:szCs w:val="32"/>
                <w:highlight w:val="none"/>
              </w:rPr>
              <w:t>100</w:t>
            </w:r>
          </w:p>
        </w:tc>
        <w:tc>
          <w:tcPr>
            <w:tcW w:w="1253" w:type="dxa"/>
            <w:shd w:val="clear" w:color="auto" w:fill="auto"/>
            <w:vAlign w:val="center"/>
          </w:tcPr>
          <w:p>
            <w:pPr>
              <w:pStyle w:val="13"/>
              <w:spacing w:beforeAutospacing="0" w:afterAutospacing="0" w:line="320" w:lineRule="exact"/>
              <w:jc w:val="center"/>
              <w:rPr>
                <w:rFonts w:eastAsia="仿宋_GB2312"/>
                <w:szCs w:val="32"/>
                <w:highlight w:val="none"/>
              </w:rPr>
            </w:pPr>
            <w:r>
              <w:rPr>
                <w:rFonts w:eastAsia="仿宋_GB2312"/>
                <w:szCs w:val="32"/>
                <w:highlight w:val="none"/>
              </w:rPr>
              <w:t>&gt;98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39" w:type="dxa"/>
            <w:vMerge w:val="continue"/>
            <w:shd w:val="clear" w:color="auto" w:fill="auto"/>
            <w:vAlign w:val="center"/>
          </w:tcPr>
          <w:p>
            <w:pPr>
              <w:pStyle w:val="13"/>
              <w:spacing w:beforeAutospacing="0" w:afterAutospacing="0" w:line="320" w:lineRule="exact"/>
              <w:jc w:val="center"/>
              <w:rPr>
                <w:rFonts w:eastAsia="仿宋_GB2312"/>
                <w:b/>
                <w:szCs w:val="32"/>
                <w:highlight w:val="none"/>
              </w:rPr>
            </w:pPr>
          </w:p>
        </w:tc>
        <w:tc>
          <w:tcPr>
            <w:tcW w:w="2441" w:type="dxa"/>
            <w:vMerge w:val="continue"/>
            <w:shd w:val="clear" w:color="auto" w:fill="auto"/>
            <w:vAlign w:val="center"/>
          </w:tcPr>
          <w:p>
            <w:pPr>
              <w:pStyle w:val="13"/>
              <w:spacing w:beforeAutospacing="0" w:afterAutospacing="0" w:line="320" w:lineRule="exact"/>
              <w:rPr>
                <w:rFonts w:eastAsia="仿宋_GB2312"/>
                <w:szCs w:val="32"/>
                <w:highlight w:val="none"/>
              </w:rPr>
            </w:pPr>
          </w:p>
        </w:tc>
        <w:tc>
          <w:tcPr>
            <w:tcW w:w="987" w:type="dxa"/>
            <w:shd w:val="clear" w:color="auto" w:fill="auto"/>
          </w:tcPr>
          <w:p>
            <w:pPr>
              <w:pStyle w:val="13"/>
              <w:spacing w:beforeAutospacing="0" w:afterAutospacing="0" w:line="320" w:lineRule="exact"/>
              <w:jc w:val="center"/>
              <w:rPr>
                <w:rFonts w:eastAsia="仿宋_GB2312"/>
                <w:szCs w:val="32"/>
                <w:highlight w:val="none"/>
              </w:rPr>
            </w:pPr>
            <w:r>
              <w:rPr>
                <w:rFonts w:eastAsia="仿宋_GB2312"/>
                <w:szCs w:val="32"/>
                <w:highlight w:val="none"/>
              </w:rPr>
              <w:t>高中段</w:t>
            </w:r>
          </w:p>
        </w:tc>
        <w:tc>
          <w:tcPr>
            <w:tcW w:w="1252" w:type="dxa"/>
            <w:shd w:val="clear" w:color="auto" w:fill="auto"/>
            <w:vAlign w:val="center"/>
          </w:tcPr>
          <w:p>
            <w:pPr>
              <w:pStyle w:val="13"/>
              <w:spacing w:beforeAutospacing="0" w:afterAutospacing="0" w:line="320" w:lineRule="exact"/>
              <w:jc w:val="center"/>
              <w:rPr>
                <w:rFonts w:eastAsia="仿宋_GB2312"/>
                <w:szCs w:val="32"/>
                <w:highlight w:val="none"/>
              </w:rPr>
            </w:pPr>
            <w:r>
              <w:rPr>
                <w:rFonts w:eastAsia="仿宋_GB2312"/>
                <w:szCs w:val="32"/>
                <w:highlight w:val="none"/>
              </w:rPr>
              <w:t>78.8</w:t>
            </w:r>
          </w:p>
        </w:tc>
        <w:tc>
          <w:tcPr>
            <w:tcW w:w="1253" w:type="dxa"/>
            <w:shd w:val="clear" w:color="auto" w:fill="auto"/>
            <w:vAlign w:val="center"/>
          </w:tcPr>
          <w:p>
            <w:pPr>
              <w:pStyle w:val="13"/>
              <w:spacing w:beforeAutospacing="0" w:afterAutospacing="0" w:line="320" w:lineRule="exact"/>
              <w:jc w:val="center"/>
              <w:rPr>
                <w:rFonts w:eastAsia="仿宋_GB2312"/>
                <w:szCs w:val="32"/>
                <w:highlight w:val="none"/>
              </w:rPr>
            </w:pPr>
            <w:r>
              <w:rPr>
                <w:rFonts w:eastAsia="仿宋_GB2312"/>
                <w:szCs w:val="32"/>
                <w:highlight w:val="none"/>
              </w:rPr>
              <w:t>80</w:t>
            </w:r>
          </w:p>
        </w:tc>
        <w:tc>
          <w:tcPr>
            <w:tcW w:w="1252" w:type="dxa"/>
            <w:shd w:val="clear" w:color="auto" w:fill="auto"/>
            <w:vAlign w:val="center"/>
          </w:tcPr>
          <w:p>
            <w:pPr>
              <w:pStyle w:val="13"/>
              <w:spacing w:beforeAutospacing="0" w:afterAutospacing="0" w:line="320" w:lineRule="exact"/>
              <w:jc w:val="center"/>
              <w:rPr>
                <w:rFonts w:eastAsia="仿宋_GB2312"/>
                <w:szCs w:val="32"/>
                <w:highlight w:val="none"/>
              </w:rPr>
            </w:pPr>
            <w:r>
              <w:rPr>
                <w:rFonts w:eastAsia="仿宋_GB2312"/>
                <w:szCs w:val="32"/>
                <w:highlight w:val="none"/>
              </w:rPr>
              <w:t>90</w:t>
            </w:r>
          </w:p>
        </w:tc>
        <w:tc>
          <w:tcPr>
            <w:tcW w:w="1253" w:type="dxa"/>
            <w:shd w:val="clear" w:color="auto" w:fill="auto"/>
            <w:vAlign w:val="center"/>
          </w:tcPr>
          <w:p>
            <w:pPr>
              <w:pStyle w:val="13"/>
              <w:spacing w:beforeAutospacing="0" w:afterAutospacing="0" w:line="320" w:lineRule="exact"/>
              <w:jc w:val="center"/>
              <w:rPr>
                <w:rFonts w:eastAsia="仿宋_GB2312"/>
                <w:szCs w:val="32"/>
                <w:highlight w:val="none"/>
              </w:rPr>
            </w:pPr>
            <w:r>
              <w:rPr>
                <w:rFonts w:eastAsia="仿宋_GB2312"/>
                <w:szCs w:val="32"/>
                <w:highlight w:val="none"/>
              </w:rPr>
              <w:t>85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39" w:type="dxa"/>
            <w:vMerge w:val="continue"/>
            <w:shd w:val="clear" w:color="auto" w:fill="auto"/>
            <w:vAlign w:val="center"/>
          </w:tcPr>
          <w:p>
            <w:pPr>
              <w:pStyle w:val="13"/>
              <w:spacing w:beforeAutospacing="0" w:afterAutospacing="0" w:line="320" w:lineRule="exact"/>
              <w:jc w:val="center"/>
              <w:rPr>
                <w:rFonts w:eastAsia="仿宋_GB2312"/>
                <w:b/>
                <w:szCs w:val="32"/>
                <w:highlight w:val="none"/>
              </w:rPr>
            </w:pPr>
          </w:p>
        </w:tc>
        <w:tc>
          <w:tcPr>
            <w:tcW w:w="3428" w:type="dxa"/>
            <w:gridSpan w:val="2"/>
            <w:shd w:val="clear" w:color="auto" w:fill="auto"/>
            <w:vAlign w:val="center"/>
          </w:tcPr>
          <w:p>
            <w:pPr>
              <w:pStyle w:val="13"/>
              <w:spacing w:beforeAutospacing="0" w:afterAutospacing="0" w:line="320" w:lineRule="exact"/>
              <w:rPr>
                <w:rFonts w:eastAsia="仿宋_GB2312"/>
                <w:szCs w:val="32"/>
                <w:highlight w:val="none"/>
              </w:rPr>
            </w:pPr>
            <w:r>
              <w:rPr>
                <w:rFonts w:eastAsia="仿宋_GB2312"/>
                <w:szCs w:val="32"/>
                <w:highlight w:val="none"/>
              </w:rPr>
              <w:t>儿童预期受教育年限（年）</w:t>
            </w:r>
          </w:p>
        </w:tc>
        <w:tc>
          <w:tcPr>
            <w:tcW w:w="1252" w:type="dxa"/>
            <w:shd w:val="clear" w:color="auto" w:fill="auto"/>
            <w:vAlign w:val="center"/>
          </w:tcPr>
          <w:p>
            <w:pPr>
              <w:pStyle w:val="13"/>
              <w:spacing w:beforeAutospacing="0" w:afterAutospacing="0" w:line="320" w:lineRule="exact"/>
              <w:jc w:val="center"/>
              <w:rPr>
                <w:rFonts w:eastAsia="仿宋_GB2312"/>
                <w:szCs w:val="32"/>
                <w:highlight w:val="none"/>
              </w:rPr>
            </w:pPr>
            <w:r>
              <w:rPr>
                <w:rFonts w:eastAsia="仿宋_GB2312"/>
                <w:szCs w:val="32"/>
                <w:highlight w:val="none"/>
              </w:rPr>
              <w:t>14.8</w:t>
            </w:r>
          </w:p>
        </w:tc>
        <w:tc>
          <w:tcPr>
            <w:tcW w:w="1253" w:type="dxa"/>
            <w:shd w:val="clear" w:color="auto" w:fill="auto"/>
            <w:vAlign w:val="center"/>
          </w:tcPr>
          <w:p>
            <w:pPr>
              <w:pStyle w:val="13"/>
              <w:spacing w:beforeAutospacing="0" w:afterAutospacing="0" w:line="320" w:lineRule="exact"/>
              <w:jc w:val="center"/>
              <w:rPr>
                <w:rFonts w:eastAsia="仿宋_GB2312"/>
                <w:szCs w:val="32"/>
                <w:highlight w:val="none"/>
              </w:rPr>
            </w:pPr>
            <w:r>
              <w:rPr>
                <w:rFonts w:eastAsia="仿宋_GB2312"/>
                <w:szCs w:val="32"/>
                <w:highlight w:val="none"/>
              </w:rPr>
              <w:t>14.79</w:t>
            </w:r>
          </w:p>
        </w:tc>
        <w:tc>
          <w:tcPr>
            <w:tcW w:w="1252" w:type="dxa"/>
            <w:shd w:val="clear" w:color="auto" w:fill="auto"/>
            <w:vAlign w:val="center"/>
          </w:tcPr>
          <w:p>
            <w:pPr>
              <w:pStyle w:val="13"/>
              <w:spacing w:beforeAutospacing="0" w:afterAutospacing="0" w:line="320" w:lineRule="exact"/>
              <w:jc w:val="center"/>
              <w:rPr>
                <w:rFonts w:eastAsia="仿宋_GB2312"/>
                <w:szCs w:val="32"/>
                <w:highlight w:val="none"/>
              </w:rPr>
            </w:pPr>
            <w:r>
              <w:rPr>
                <w:rFonts w:eastAsia="仿宋_GB2312"/>
                <w:szCs w:val="32"/>
                <w:highlight w:val="none"/>
              </w:rPr>
              <w:t>15.5</w:t>
            </w:r>
          </w:p>
        </w:tc>
        <w:tc>
          <w:tcPr>
            <w:tcW w:w="1253" w:type="dxa"/>
            <w:shd w:val="clear" w:color="auto" w:fill="auto"/>
            <w:vAlign w:val="center"/>
          </w:tcPr>
          <w:p>
            <w:pPr>
              <w:pStyle w:val="13"/>
              <w:spacing w:beforeAutospacing="0" w:afterAutospacing="0" w:line="320" w:lineRule="exact"/>
              <w:jc w:val="center"/>
              <w:rPr>
                <w:rFonts w:eastAsia="仿宋_GB2312"/>
                <w:szCs w:val="32"/>
                <w:highlight w:val="none"/>
              </w:rPr>
            </w:pPr>
            <w:r>
              <w:rPr>
                <w:rFonts w:eastAsia="仿宋_GB2312"/>
                <w:szCs w:val="32"/>
                <w:highlight w:val="none"/>
              </w:rPr>
              <w:t>15.5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639" w:type="dxa"/>
            <w:vMerge w:val="continue"/>
            <w:shd w:val="clear" w:color="auto" w:fill="auto"/>
            <w:vAlign w:val="center"/>
          </w:tcPr>
          <w:p>
            <w:pPr>
              <w:pStyle w:val="13"/>
              <w:spacing w:beforeAutospacing="0" w:afterAutospacing="0" w:line="320" w:lineRule="exact"/>
              <w:jc w:val="center"/>
              <w:rPr>
                <w:rFonts w:eastAsia="仿宋_GB2312"/>
                <w:b/>
                <w:szCs w:val="32"/>
                <w:highlight w:val="none"/>
              </w:rPr>
            </w:pPr>
          </w:p>
        </w:tc>
        <w:tc>
          <w:tcPr>
            <w:tcW w:w="3428" w:type="dxa"/>
            <w:gridSpan w:val="2"/>
            <w:shd w:val="clear" w:color="auto" w:fill="auto"/>
            <w:vAlign w:val="center"/>
          </w:tcPr>
          <w:p>
            <w:pPr>
              <w:pStyle w:val="13"/>
              <w:spacing w:beforeAutospacing="0" w:afterAutospacing="0" w:line="320" w:lineRule="exact"/>
              <w:rPr>
                <w:rFonts w:eastAsia="仿宋_GB2312"/>
                <w:szCs w:val="32"/>
                <w:highlight w:val="none"/>
              </w:rPr>
            </w:pPr>
            <w:r>
              <w:rPr>
                <w:rFonts w:eastAsia="仿宋_GB2312"/>
                <w:szCs w:val="32"/>
                <w:highlight w:val="none"/>
              </w:rPr>
              <w:t>劳动年龄人口平均受教育年限（年）</w:t>
            </w:r>
          </w:p>
        </w:tc>
        <w:tc>
          <w:tcPr>
            <w:tcW w:w="1252" w:type="dxa"/>
            <w:shd w:val="clear" w:color="auto" w:fill="auto"/>
            <w:vAlign w:val="center"/>
          </w:tcPr>
          <w:p>
            <w:pPr>
              <w:pStyle w:val="13"/>
              <w:spacing w:beforeAutospacing="0" w:afterAutospacing="0" w:line="320" w:lineRule="exact"/>
              <w:jc w:val="center"/>
              <w:rPr>
                <w:rFonts w:eastAsia="仿宋_GB2312"/>
                <w:szCs w:val="32"/>
                <w:highlight w:val="none"/>
              </w:rPr>
            </w:pPr>
            <w:r>
              <w:rPr>
                <w:rFonts w:eastAsia="仿宋_GB2312"/>
                <w:szCs w:val="32"/>
                <w:highlight w:val="none"/>
              </w:rPr>
              <w:t>10.2</w:t>
            </w:r>
          </w:p>
        </w:tc>
        <w:tc>
          <w:tcPr>
            <w:tcW w:w="1253" w:type="dxa"/>
            <w:shd w:val="clear" w:color="auto" w:fill="auto"/>
            <w:vAlign w:val="center"/>
          </w:tcPr>
          <w:p>
            <w:pPr>
              <w:pStyle w:val="13"/>
              <w:spacing w:beforeAutospacing="0" w:afterAutospacing="0" w:line="320" w:lineRule="exact"/>
              <w:jc w:val="center"/>
              <w:rPr>
                <w:rFonts w:eastAsia="仿宋_GB2312"/>
                <w:szCs w:val="32"/>
                <w:highlight w:val="none"/>
              </w:rPr>
            </w:pPr>
            <w:r>
              <w:rPr>
                <w:rFonts w:eastAsia="仿宋_GB2312"/>
                <w:szCs w:val="32"/>
                <w:highlight w:val="none"/>
              </w:rPr>
              <w:t>10.73</w:t>
            </w:r>
          </w:p>
        </w:tc>
        <w:tc>
          <w:tcPr>
            <w:tcW w:w="1252" w:type="dxa"/>
            <w:shd w:val="clear" w:color="auto" w:fill="auto"/>
            <w:vAlign w:val="center"/>
          </w:tcPr>
          <w:p>
            <w:pPr>
              <w:pStyle w:val="13"/>
              <w:spacing w:beforeAutospacing="0" w:afterAutospacing="0" w:line="320" w:lineRule="exact"/>
              <w:jc w:val="center"/>
              <w:rPr>
                <w:rFonts w:eastAsia="仿宋_GB2312"/>
                <w:szCs w:val="32"/>
                <w:highlight w:val="none"/>
              </w:rPr>
            </w:pPr>
            <w:r>
              <w:rPr>
                <w:rFonts w:eastAsia="仿宋_GB2312"/>
                <w:szCs w:val="32"/>
                <w:highlight w:val="none"/>
              </w:rPr>
              <w:t>12</w:t>
            </w:r>
          </w:p>
        </w:tc>
        <w:tc>
          <w:tcPr>
            <w:tcW w:w="1253" w:type="dxa"/>
            <w:shd w:val="clear" w:color="auto" w:fill="auto"/>
            <w:vAlign w:val="center"/>
          </w:tcPr>
          <w:p>
            <w:pPr>
              <w:pStyle w:val="13"/>
              <w:spacing w:beforeAutospacing="0" w:afterAutospacing="0" w:line="320" w:lineRule="exact"/>
              <w:jc w:val="center"/>
              <w:rPr>
                <w:rFonts w:eastAsia="仿宋_GB2312"/>
                <w:szCs w:val="32"/>
                <w:highlight w:val="none"/>
              </w:rPr>
            </w:pPr>
            <w:r>
              <w:rPr>
                <w:rFonts w:eastAsia="仿宋_GB2312"/>
                <w:szCs w:val="32"/>
                <w:highlight w:val="none"/>
              </w:rPr>
              <w:t>12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39" w:type="dxa"/>
            <w:vMerge w:val="restart"/>
            <w:shd w:val="clear" w:color="auto" w:fill="auto"/>
            <w:vAlign w:val="center"/>
          </w:tcPr>
          <w:p>
            <w:pPr>
              <w:pStyle w:val="13"/>
              <w:spacing w:beforeAutospacing="0" w:afterAutospacing="0" w:line="320" w:lineRule="exact"/>
              <w:jc w:val="center"/>
              <w:rPr>
                <w:rFonts w:eastAsia="仿宋_GB2312"/>
                <w:b/>
                <w:szCs w:val="32"/>
                <w:highlight w:val="none"/>
              </w:rPr>
            </w:pPr>
            <w:r>
              <w:rPr>
                <w:rFonts w:eastAsia="仿宋_GB2312"/>
                <w:b/>
                <w:szCs w:val="32"/>
                <w:highlight w:val="none"/>
              </w:rPr>
              <w:t>均衡指标</w:t>
            </w:r>
          </w:p>
        </w:tc>
        <w:tc>
          <w:tcPr>
            <w:tcW w:w="3428" w:type="dxa"/>
            <w:gridSpan w:val="2"/>
            <w:shd w:val="clear" w:color="auto" w:fill="auto"/>
            <w:vAlign w:val="center"/>
          </w:tcPr>
          <w:p>
            <w:pPr>
              <w:pStyle w:val="13"/>
              <w:spacing w:beforeAutospacing="0" w:afterAutospacing="0" w:line="320" w:lineRule="exact"/>
              <w:rPr>
                <w:rFonts w:eastAsia="仿宋_GB2312"/>
                <w:szCs w:val="32"/>
                <w:highlight w:val="none"/>
              </w:rPr>
            </w:pPr>
            <w:r>
              <w:rPr>
                <w:rFonts w:eastAsia="仿宋_GB2312"/>
                <w:szCs w:val="32"/>
                <w:highlight w:val="none"/>
              </w:rPr>
              <w:t>全国义务教育优质均衡发展县比例（%）</w:t>
            </w:r>
          </w:p>
        </w:tc>
        <w:tc>
          <w:tcPr>
            <w:tcW w:w="1252" w:type="dxa"/>
            <w:shd w:val="clear" w:color="auto" w:fill="auto"/>
            <w:vAlign w:val="center"/>
          </w:tcPr>
          <w:p>
            <w:pPr>
              <w:pStyle w:val="13"/>
              <w:spacing w:beforeAutospacing="0" w:afterAutospacing="0" w:line="320" w:lineRule="exact"/>
              <w:jc w:val="center"/>
              <w:rPr>
                <w:rFonts w:eastAsia="仿宋_GB2312"/>
                <w:szCs w:val="32"/>
                <w:highlight w:val="none"/>
              </w:rPr>
            </w:pPr>
            <w:r>
              <w:rPr>
                <w:rFonts w:eastAsia="仿宋_GB2312"/>
                <w:szCs w:val="32"/>
                <w:highlight w:val="none"/>
              </w:rPr>
              <w:t>0</w:t>
            </w:r>
          </w:p>
        </w:tc>
        <w:tc>
          <w:tcPr>
            <w:tcW w:w="1253" w:type="dxa"/>
            <w:shd w:val="clear" w:color="auto" w:fill="auto"/>
            <w:vAlign w:val="center"/>
          </w:tcPr>
          <w:p>
            <w:pPr>
              <w:pStyle w:val="13"/>
              <w:spacing w:beforeAutospacing="0" w:afterAutospacing="0" w:line="320" w:lineRule="exact"/>
              <w:jc w:val="center"/>
              <w:rPr>
                <w:rFonts w:eastAsia="仿宋_GB2312"/>
                <w:szCs w:val="32"/>
                <w:highlight w:val="none"/>
              </w:rPr>
            </w:pPr>
            <w:r>
              <w:rPr>
                <w:rFonts w:eastAsia="仿宋_GB2312"/>
                <w:szCs w:val="32"/>
                <w:highlight w:val="none"/>
              </w:rPr>
              <w:t>2</w:t>
            </w:r>
          </w:p>
        </w:tc>
        <w:tc>
          <w:tcPr>
            <w:tcW w:w="1252" w:type="dxa"/>
            <w:shd w:val="clear" w:color="auto" w:fill="auto"/>
            <w:vAlign w:val="center"/>
          </w:tcPr>
          <w:p>
            <w:pPr>
              <w:pStyle w:val="13"/>
              <w:spacing w:beforeAutospacing="0" w:afterAutospacing="0" w:line="320" w:lineRule="exact"/>
              <w:jc w:val="center"/>
              <w:rPr>
                <w:rFonts w:eastAsia="仿宋_GB2312"/>
                <w:szCs w:val="32"/>
                <w:highlight w:val="none"/>
              </w:rPr>
            </w:pPr>
            <w:r>
              <w:rPr>
                <w:rFonts w:eastAsia="仿宋_GB2312"/>
                <w:szCs w:val="32"/>
                <w:highlight w:val="none"/>
              </w:rPr>
              <w:t>60</w:t>
            </w:r>
          </w:p>
        </w:tc>
        <w:tc>
          <w:tcPr>
            <w:tcW w:w="1253" w:type="dxa"/>
            <w:shd w:val="clear" w:color="auto" w:fill="auto"/>
            <w:vAlign w:val="center"/>
          </w:tcPr>
          <w:p>
            <w:pPr>
              <w:pStyle w:val="13"/>
              <w:spacing w:beforeAutospacing="0" w:afterAutospacing="0" w:line="320" w:lineRule="exact"/>
              <w:jc w:val="center"/>
              <w:rPr>
                <w:rFonts w:eastAsia="仿宋_GB2312"/>
                <w:szCs w:val="32"/>
                <w:highlight w:val="none"/>
              </w:rPr>
            </w:pPr>
            <w:r>
              <w:rPr>
                <w:rFonts w:eastAsia="仿宋_GB2312"/>
                <w:szCs w:val="32"/>
                <w:highlight w:val="none"/>
              </w:rPr>
              <w:t>60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39" w:type="dxa"/>
            <w:vMerge w:val="continue"/>
            <w:shd w:val="clear" w:color="auto" w:fill="auto"/>
            <w:vAlign w:val="center"/>
          </w:tcPr>
          <w:p>
            <w:pPr>
              <w:pStyle w:val="13"/>
              <w:spacing w:beforeAutospacing="0" w:afterAutospacing="0" w:line="320" w:lineRule="exact"/>
              <w:jc w:val="center"/>
              <w:rPr>
                <w:rFonts w:eastAsia="仿宋_GB2312"/>
                <w:b/>
                <w:szCs w:val="32"/>
                <w:highlight w:val="none"/>
              </w:rPr>
            </w:pPr>
          </w:p>
        </w:tc>
        <w:tc>
          <w:tcPr>
            <w:tcW w:w="3428" w:type="dxa"/>
            <w:gridSpan w:val="2"/>
            <w:shd w:val="clear" w:color="auto" w:fill="auto"/>
            <w:vAlign w:val="center"/>
          </w:tcPr>
          <w:p>
            <w:pPr>
              <w:pStyle w:val="13"/>
              <w:spacing w:beforeAutospacing="0" w:afterAutospacing="0" w:line="320" w:lineRule="exact"/>
              <w:rPr>
                <w:rFonts w:eastAsia="仿宋_GB2312"/>
                <w:szCs w:val="32"/>
                <w:highlight w:val="none"/>
              </w:rPr>
            </w:pPr>
            <w:r>
              <w:rPr>
                <w:rFonts w:eastAsia="仿宋_GB2312"/>
                <w:szCs w:val="32"/>
                <w:highlight w:val="none"/>
              </w:rPr>
              <w:t>全国学前教育普及普惠县比例（%）</w:t>
            </w:r>
          </w:p>
        </w:tc>
        <w:tc>
          <w:tcPr>
            <w:tcW w:w="1252" w:type="dxa"/>
            <w:shd w:val="clear" w:color="auto" w:fill="auto"/>
            <w:vAlign w:val="center"/>
          </w:tcPr>
          <w:p>
            <w:pPr>
              <w:pStyle w:val="13"/>
              <w:spacing w:beforeAutospacing="0" w:afterAutospacing="0" w:line="320" w:lineRule="exact"/>
              <w:jc w:val="center"/>
              <w:rPr>
                <w:rFonts w:eastAsia="仿宋_GB2312"/>
                <w:szCs w:val="32"/>
                <w:highlight w:val="none"/>
              </w:rPr>
            </w:pPr>
            <w:r>
              <w:rPr>
                <w:rFonts w:eastAsia="仿宋_GB2312"/>
                <w:szCs w:val="32"/>
                <w:highlight w:val="none"/>
              </w:rPr>
              <w:t>0</w:t>
            </w:r>
          </w:p>
        </w:tc>
        <w:tc>
          <w:tcPr>
            <w:tcW w:w="1253" w:type="dxa"/>
            <w:shd w:val="clear" w:color="auto" w:fill="auto"/>
            <w:vAlign w:val="center"/>
          </w:tcPr>
          <w:p>
            <w:pPr>
              <w:pStyle w:val="13"/>
              <w:spacing w:beforeAutospacing="0" w:afterAutospacing="0" w:line="320" w:lineRule="exact"/>
              <w:jc w:val="center"/>
              <w:rPr>
                <w:rFonts w:eastAsia="仿宋_GB2312"/>
                <w:szCs w:val="32"/>
                <w:highlight w:val="none"/>
              </w:rPr>
            </w:pPr>
            <w:r>
              <w:rPr>
                <w:rFonts w:eastAsia="仿宋_GB2312"/>
                <w:szCs w:val="32"/>
                <w:highlight w:val="none"/>
              </w:rPr>
              <w:t>0</w:t>
            </w:r>
          </w:p>
        </w:tc>
        <w:tc>
          <w:tcPr>
            <w:tcW w:w="1252" w:type="dxa"/>
            <w:shd w:val="clear" w:color="auto" w:fill="auto"/>
            <w:vAlign w:val="center"/>
          </w:tcPr>
          <w:p>
            <w:pPr>
              <w:pStyle w:val="13"/>
              <w:spacing w:beforeAutospacing="0" w:afterAutospacing="0" w:line="320" w:lineRule="exact"/>
              <w:jc w:val="center"/>
              <w:rPr>
                <w:rFonts w:eastAsia="仿宋_GB2312"/>
                <w:szCs w:val="32"/>
                <w:highlight w:val="none"/>
              </w:rPr>
            </w:pPr>
            <w:r>
              <w:rPr>
                <w:rFonts w:eastAsia="仿宋_GB2312"/>
                <w:szCs w:val="32"/>
                <w:highlight w:val="none"/>
              </w:rPr>
              <w:t>100</w:t>
            </w:r>
          </w:p>
        </w:tc>
        <w:tc>
          <w:tcPr>
            <w:tcW w:w="1253" w:type="dxa"/>
            <w:shd w:val="clear" w:color="auto" w:fill="auto"/>
            <w:vAlign w:val="center"/>
          </w:tcPr>
          <w:p>
            <w:pPr>
              <w:pStyle w:val="13"/>
              <w:spacing w:beforeAutospacing="0" w:afterAutospacing="0" w:line="320" w:lineRule="exact"/>
              <w:jc w:val="center"/>
              <w:rPr>
                <w:rFonts w:eastAsia="仿宋_GB2312"/>
                <w:szCs w:val="32"/>
                <w:highlight w:val="none"/>
              </w:rPr>
            </w:pPr>
            <w:r>
              <w:rPr>
                <w:rFonts w:eastAsia="仿宋_GB2312"/>
                <w:szCs w:val="32"/>
                <w:highlight w:val="none"/>
              </w:rPr>
              <w:t>90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39" w:type="dxa"/>
            <w:vMerge w:val="continue"/>
            <w:shd w:val="clear" w:color="auto" w:fill="auto"/>
            <w:vAlign w:val="center"/>
          </w:tcPr>
          <w:p>
            <w:pPr>
              <w:pStyle w:val="13"/>
              <w:spacing w:beforeAutospacing="0" w:afterAutospacing="0" w:line="320" w:lineRule="exact"/>
              <w:jc w:val="center"/>
              <w:rPr>
                <w:rFonts w:eastAsia="仿宋_GB2312"/>
                <w:b/>
                <w:szCs w:val="32"/>
                <w:highlight w:val="none"/>
              </w:rPr>
            </w:pPr>
          </w:p>
        </w:tc>
        <w:tc>
          <w:tcPr>
            <w:tcW w:w="3428" w:type="dxa"/>
            <w:gridSpan w:val="2"/>
            <w:shd w:val="clear" w:color="auto" w:fill="auto"/>
            <w:vAlign w:val="center"/>
          </w:tcPr>
          <w:p>
            <w:pPr>
              <w:pStyle w:val="13"/>
              <w:spacing w:beforeAutospacing="0" w:afterAutospacing="0" w:line="320" w:lineRule="exact"/>
              <w:rPr>
                <w:rFonts w:eastAsia="仿宋_GB2312"/>
                <w:szCs w:val="32"/>
                <w:highlight w:val="none"/>
              </w:rPr>
            </w:pPr>
            <w:r>
              <w:rPr>
                <w:rFonts w:eastAsia="仿宋_GB2312"/>
                <w:szCs w:val="32"/>
                <w:highlight w:val="none"/>
              </w:rPr>
              <w:t>公办幼儿园在园幼儿比例（%）</w:t>
            </w:r>
          </w:p>
        </w:tc>
        <w:tc>
          <w:tcPr>
            <w:tcW w:w="1252" w:type="dxa"/>
            <w:shd w:val="clear" w:color="auto" w:fill="auto"/>
            <w:vAlign w:val="center"/>
          </w:tcPr>
          <w:p>
            <w:pPr>
              <w:pStyle w:val="13"/>
              <w:spacing w:beforeAutospacing="0" w:afterAutospacing="0" w:line="320" w:lineRule="exact"/>
              <w:jc w:val="center"/>
              <w:rPr>
                <w:rFonts w:eastAsia="仿宋_GB2312"/>
                <w:szCs w:val="32"/>
                <w:highlight w:val="none"/>
              </w:rPr>
            </w:pPr>
            <w:r>
              <w:rPr>
                <w:rFonts w:eastAsia="仿宋_GB2312"/>
                <w:szCs w:val="32"/>
                <w:highlight w:val="none"/>
              </w:rPr>
              <w:t>42.03</w:t>
            </w:r>
          </w:p>
        </w:tc>
        <w:tc>
          <w:tcPr>
            <w:tcW w:w="1253" w:type="dxa"/>
            <w:shd w:val="clear" w:color="auto" w:fill="auto"/>
            <w:vAlign w:val="center"/>
          </w:tcPr>
          <w:p>
            <w:pPr>
              <w:pStyle w:val="13"/>
              <w:spacing w:beforeAutospacing="0" w:afterAutospacing="0" w:line="320" w:lineRule="exact"/>
              <w:jc w:val="center"/>
              <w:rPr>
                <w:rFonts w:eastAsia="仿宋_GB2312"/>
                <w:szCs w:val="32"/>
                <w:highlight w:val="none"/>
              </w:rPr>
            </w:pPr>
            <w:r>
              <w:rPr>
                <w:rFonts w:eastAsia="仿宋_GB2312"/>
                <w:szCs w:val="32"/>
                <w:highlight w:val="none"/>
              </w:rPr>
              <w:t>/</w:t>
            </w:r>
          </w:p>
        </w:tc>
        <w:tc>
          <w:tcPr>
            <w:tcW w:w="1252" w:type="dxa"/>
            <w:shd w:val="clear" w:color="auto" w:fill="auto"/>
            <w:vAlign w:val="center"/>
          </w:tcPr>
          <w:p>
            <w:pPr>
              <w:pStyle w:val="13"/>
              <w:spacing w:beforeAutospacing="0" w:afterAutospacing="0" w:line="320" w:lineRule="exact"/>
              <w:jc w:val="center"/>
              <w:rPr>
                <w:rFonts w:eastAsia="仿宋_GB2312"/>
                <w:szCs w:val="32"/>
                <w:highlight w:val="none"/>
              </w:rPr>
            </w:pPr>
            <w:r>
              <w:rPr>
                <w:rFonts w:eastAsia="仿宋_GB2312"/>
                <w:szCs w:val="32"/>
                <w:highlight w:val="none"/>
              </w:rPr>
              <w:t>&gt;60</w:t>
            </w:r>
          </w:p>
        </w:tc>
        <w:tc>
          <w:tcPr>
            <w:tcW w:w="1253" w:type="dxa"/>
            <w:shd w:val="clear" w:color="auto" w:fill="auto"/>
            <w:vAlign w:val="center"/>
          </w:tcPr>
          <w:p>
            <w:pPr>
              <w:pStyle w:val="13"/>
              <w:spacing w:beforeAutospacing="0" w:afterAutospacing="0" w:line="320" w:lineRule="exact"/>
              <w:jc w:val="center"/>
              <w:rPr>
                <w:rFonts w:eastAsia="仿宋_GB2312"/>
                <w:szCs w:val="32"/>
                <w:highlight w:val="none"/>
              </w:rPr>
            </w:pPr>
            <w:r>
              <w:rPr>
                <w:rFonts w:eastAsia="仿宋_GB2312"/>
                <w:szCs w:val="32"/>
                <w:highlight w:val="none"/>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639" w:type="dxa"/>
            <w:vMerge w:val="continue"/>
            <w:shd w:val="clear" w:color="auto" w:fill="auto"/>
            <w:vAlign w:val="center"/>
          </w:tcPr>
          <w:p>
            <w:pPr>
              <w:pStyle w:val="13"/>
              <w:spacing w:beforeAutospacing="0" w:afterAutospacing="0" w:line="320" w:lineRule="exact"/>
              <w:jc w:val="center"/>
              <w:rPr>
                <w:rFonts w:eastAsia="仿宋_GB2312"/>
                <w:b/>
                <w:szCs w:val="32"/>
                <w:highlight w:val="none"/>
              </w:rPr>
            </w:pPr>
          </w:p>
        </w:tc>
        <w:tc>
          <w:tcPr>
            <w:tcW w:w="3428" w:type="dxa"/>
            <w:gridSpan w:val="2"/>
            <w:shd w:val="clear" w:color="auto" w:fill="auto"/>
            <w:vAlign w:val="center"/>
          </w:tcPr>
          <w:p>
            <w:pPr>
              <w:pStyle w:val="13"/>
              <w:spacing w:beforeAutospacing="0" w:afterAutospacing="0" w:line="320" w:lineRule="exact"/>
              <w:rPr>
                <w:rFonts w:eastAsia="仿宋_GB2312"/>
                <w:szCs w:val="32"/>
                <w:highlight w:val="none"/>
              </w:rPr>
            </w:pPr>
            <w:r>
              <w:rPr>
                <w:rFonts w:eastAsia="仿宋_GB2312"/>
                <w:szCs w:val="32"/>
                <w:highlight w:val="none"/>
              </w:rPr>
              <w:t>省一二级幼儿园在园幼儿比例（%）</w:t>
            </w:r>
          </w:p>
        </w:tc>
        <w:tc>
          <w:tcPr>
            <w:tcW w:w="1252" w:type="dxa"/>
            <w:shd w:val="clear" w:color="auto" w:fill="auto"/>
            <w:vAlign w:val="center"/>
          </w:tcPr>
          <w:p>
            <w:pPr>
              <w:pStyle w:val="13"/>
              <w:spacing w:beforeAutospacing="0" w:afterAutospacing="0" w:line="320" w:lineRule="exact"/>
              <w:jc w:val="center"/>
              <w:rPr>
                <w:rFonts w:eastAsia="仿宋_GB2312"/>
                <w:szCs w:val="32"/>
                <w:highlight w:val="none"/>
              </w:rPr>
            </w:pPr>
            <w:r>
              <w:rPr>
                <w:rFonts w:eastAsia="仿宋_GB2312"/>
                <w:szCs w:val="32"/>
                <w:highlight w:val="none"/>
              </w:rPr>
              <w:t>65.4</w:t>
            </w:r>
          </w:p>
        </w:tc>
        <w:tc>
          <w:tcPr>
            <w:tcW w:w="1253" w:type="dxa"/>
            <w:shd w:val="clear" w:color="auto" w:fill="auto"/>
            <w:vAlign w:val="center"/>
          </w:tcPr>
          <w:p>
            <w:pPr>
              <w:pStyle w:val="13"/>
              <w:spacing w:beforeAutospacing="0" w:afterAutospacing="0" w:line="320" w:lineRule="exact"/>
              <w:jc w:val="center"/>
              <w:rPr>
                <w:rFonts w:eastAsia="仿宋_GB2312"/>
                <w:szCs w:val="32"/>
                <w:highlight w:val="none"/>
              </w:rPr>
            </w:pPr>
            <w:r>
              <w:rPr>
                <w:rFonts w:eastAsia="仿宋_GB2312"/>
                <w:szCs w:val="32"/>
                <w:highlight w:val="none"/>
              </w:rPr>
              <w:t>/</w:t>
            </w:r>
          </w:p>
        </w:tc>
        <w:tc>
          <w:tcPr>
            <w:tcW w:w="1252" w:type="dxa"/>
            <w:shd w:val="clear" w:color="auto" w:fill="auto"/>
            <w:vAlign w:val="center"/>
          </w:tcPr>
          <w:p>
            <w:pPr>
              <w:pStyle w:val="13"/>
              <w:spacing w:beforeAutospacing="0" w:afterAutospacing="0" w:line="320" w:lineRule="exact"/>
              <w:jc w:val="center"/>
              <w:rPr>
                <w:rFonts w:eastAsia="仿宋_GB2312"/>
                <w:szCs w:val="32"/>
                <w:highlight w:val="none"/>
              </w:rPr>
            </w:pPr>
            <w:r>
              <w:rPr>
                <w:rFonts w:eastAsia="仿宋_GB2312"/>
                <w:szCs w:val="32"/>
                <w:highlight w:val="none"/>
              </w:rPr>
              <w:t>&gt;80</w:t>
            </w:r>
          </w:p>
        </w:tc>
        <w:tc>
          <w:tcPr>
            <w:tcW w:w="1253" w:type="dxa"/>
            <w:shd w:val="clear" w:color="auto" w:fill="auto"/>
            <w:vAlign w:val="center"/>
          </w:tcPr>
          <w:p>
            <w:pPr>
              <w:pStyle w:val="13"/>
              <w:spacing w:beforeAutospacing="0" w:afterAutospacing="0" w:line="320" w:lineRule="exact"/>
              <w:jc w:val="center"/>
              <w:rPr>
                <w:rFonts w:eastAsia="仿宋_GB2312"/>
                <w:szCs w:val="32"/>
                <w:highlight w:val="none"/>
              </w:rPr>
            </w:pPr>
            <w:r>
              <w:rPr>
                <w:rFonts w:eastAsia="仿宋_GB2312"/>
                <w:szCs w:val="32"/>
                <w:highlight w:val="none"/>
              </w:rPr>
              <w:t>&gt;75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39" w:type="dxa"/>
            <w:vMerge w:val="continue"/>
            <w:shd w:val="clear" w:color="auto" w:fill="auto"/>
            <w:vAlign w:val="center"/>
          </w:tcPr>
          <w:p>
            <w:pPr>
              <w:pStyle w:val="13"/>
              <w:spacing w:beforeAutospacing="0" w:afterAutospacing="0" w:line="320" w:lineRule="exact"/>
              <w:jc w:val="center"/>
              <w:rPr>
                <w:rFonts w:eastAsia="仿宋_GB2312"/>
                <w:b/>
                <w:szCs w:val="32"/>
                <w:highlight w:val="none"/>
              </w:rPr>
            </w:pPr>
          </w:p>
        </w:tc>
        <w:tc>
          <w:tcPr>
            <w:tcW w:w="3428" w:type="dxa"/>
            <w:gridSpan w:val="2"/>
            <w:shd w:val="clear" w:color="auto" w:fill="auto"/>
            <w:vAlign w:val="center"/>
          </w:tcPr>
          <w:p>
            <w:pPr>
              <w:pStyle w:val="13"/>
              <w:spacing w:beforeAutospacing="0" w:afterAutospacing="0" w:line="320" w:lineRule="exact"/>
              <w:rPr>
                <w:rFonts w:eastAsia="仿宋_GB2312"/>
                <w:szCs w:val="32"/>
                <w:highlight w:val="none"/>
              </w:rPr>
            </w:pPr>
            <w:r>
              <w:rPr>
                <w:rFonts w:eastAsia="仿宋_GB2312"/>
                <w:szCs w:val="32"/>
                <w:highlight w:val="none"/>
              </w:rPr>
              <w:t>幼儿教师持证率（%）</w:t>
            </w:r>
          </w:p>
        </w:tc>
        <w:tc>
          <w:tcPr>
            <w:tcW w:w="1252" w:type="dxa"/>
            <w:shd w:val="clear" w:color="auto" w:fill="auto"/>
            <w:vAlign w:val="center"/>
          </w:tcPr>
          <w:p>
            <w:pPr>
              <w:pStyle w:val="13"/>
              <w:spacing w:beforeAutospacing="0" w:afterAutospacing="0" w:line="320" w:lineRule="exact"/>
              <w:jc w:val="center"/>
              <w:rPr>
                <w:rFonts w:eastAsia="仿宋_GB2312"/>
                <w:szCs w:val="32"/>
                <w:highlight w:val="none"/>
              </w:rPr>
            </w:pPr>
            <w:r>
              <w:rPr>
                <w:rFonts w:eastAsia="仿宋_GB2312"/>
                <w:szCs w:val="32"/>
                <w:highlight w:val="none"/>
              </w:rPr>
              <w:t>99.4</w:t>
            </w:r>
          </w:p>
        </w:tc>
        <w:tc>
          <w:tcPr>
            <w:tcW w:w="1253" w:type="dxa"/>
            <w:shd w:val="clear" w:color="auto" w:fill="auto"/>
            <w:vAlign w:val="center"/>
          </w:tcPr>
          <w:p>
            <w:pPr>
              <w:pStyle w:val="13"/>
              <w:spacing w:beforeAutospacing="0" w:afterAutospacing="0" w:line="320" w:lineRule="exact"/>
              <w:jc w:val="center"/>
              <w:rPr>
                <w:rFonts w:eastAsia="仿宋_GB2312"/>
                <w:szCs w:val="32"/>
                <w:highlight w:val="none"/>
              </w:rPr>
            </w:pPr>
            <w:r>
              <w:rPr>
                <w:rFonts w:eastAsia="仿宋_GB2312"/>
                <w:szCs w:val="32"/>
                <w:highlight w:val="none"/>
              </w:rPr>
              <w:t>/</w:t>
            </w:r>
          </w:p>
        </w:tc>
        <w:tc>
          <w:tcPr>
            <w:tcW w:w="1252" w:type="dxa"/>
            <w:shd w:val="clear" w:color="auto" w:fill="auto"/>
            <w:vAlign w:val="center"/>
          </w:tcPr>
          <w:p>
            <w:pPr>
              <w:pStyle w:val="13"/>
              <w:spacing w:beforeAutospacing="0" w:afterAutospacing="0" w:line="320" w:lineRule="exact"/>
              <w:jc w:val="center"/>
              <w:rPr>
                <w:rFonts w:eastAsia="仿宋_GB2312"/>
                <w:szCs w:val="32"/>
                <w:highlight w:val="none"/>
              </w:rPr>
            </w:pPr>
            <w:r>
              <w:rPr>
                <w:rFonts w:eastAsia="仿宋_GB2312"/>
                <w:szCs w:val="32"/>
                <w:highlight w:val="none"/>
              </w:rPr>
              <w:t>100</w:t>
            </w:r>
          </w:p>
        </w:tc>
        <w:tc>
          <w:tcPr>
            <w:tcW w:w="1253" w:type="dxa"/>
            <w:shd w:val="clear" w:color="auto" w:fill="auto"/>
            <w:vAlign w:val="center"/>
          </w:tcPr>
          <w:p>
            <w:pPr>
              <w:pStyle w:val="13"/>
              <w:spacing w:beforeAutospacing="0" w:afterAutospacing="0" w:line="320" w:lineRule="exact"/>
              <w:jc w:val="center"/>
              <w:rPr>
                <w:rFonts w:eastAsia="仿宋_GB2312"/>
                <w:szCs w:val="32"/>
                <w:highlight w:val="none"/>
              </w:rPr>
            </w:pPr>
            <w:r>
              <w:rPr>
                <w:rFonts w:eastAsia="仿宋_GB2312"/>
                <w:szCs w:val="32"/>
                <w:highlight w:val="none"/>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39" w:type="dxa"/>
            <w:vMerge w:val="continue"/>
            <w:shd w:val="clear" w:color="auto" w:fill="auto"/>
            <w:vAlign w:val="center"/>
          </w:tcPr>
          <w:p>
            <w:pPr>
              <w:pStyle w:val="13"/>
              <w:spacing w:beforeAutospacing="0" w:afterAutospacing="0" w:line="320" w:lineRule="exact"/>
              <w:jc w:val="center"/>
              <w:rPr>
                <w:rFonts w:eastAsia="仿宋_GB2312"/>
                <w:b/>
                <w:szCs w:val="32"/>
                <w:highlight w:val="none"/>
              </w:rPr>
            </w:pPr>
          </w:p>
        </w:tc>
        <w:tc>
          <w:tcPr>
            <w:tcW w:w="3428" w:type="dxa"/>
            <w:gridSpan w:val="2"/>
            <w:shd w:val="clear" w:color="auto" w:fill="auto"/>
            <w:vAlign w:val="center"/>
          </w:tcPr>
          <w:p>
            <w:pPr>
              <w:pStyle w:val="13"/>
              <w:spacing w:beforeAutospacing="0" w:afterAutospacing="0" w:line="320" w:lineRule="exact"/>
              <w:rPr>
                <w:rFonts w:eastAsia="仿宋_GB2312"/>
                <w:szCs w:val="32"/>
                <w:highlight w:val="none"/>
              </w:rPr>
            </w:pPr>
            <w:r>
              <w:rPr>
                <w:rFonts w:eastAsia="仿宋_GB2312"/>
                <w:szCs w:val="32"/>
                <w:highlight w:val="none"/>
              </w:rPr>
              <w:t>学前教育集团化覆盖面（%）</w:t>
            </w:r>
          </w:p>
        </w:tc>
        <w:tc>
          <w:tcPr>
            <w:tcW w:w="1252" w:type="dxa"/>
            <w:shd w:val="clear" w:color="auto" w:fill="auto"/>
            <w:vAlign w:val="center"/>
          </w:tcPr>
          <w:p>
            <w:pPr>
              <w:pStyle w:val="13"/>
              <w:spacing w:beforeAutospacing="0" w:afterAutospacing="0" w:line="320" w:lineRule="exact"/>
              <w:jc w:val="center"/>
              <w:rPr>
                <w:rFonts w:eastAsia="仿宋_GB2312"/>
                <w:szCs w:val="32"/>
                <w:highlight w:val="none"/>
              </w:rPr>
            </w:pPr>
            <w:r>
              <w:rPr>
                <w:rFonts w:eastAsia="仿宋_GB2312"/>
                <w:szCs w:val="32"/>
                <w:highlight w:val="none"/>
              </w:rPr>
              <w:t>45</w:t>
            </w:r>
          </w:p>
        </w:tc>
        <w:tc>
          <w:tcPr>
            <w:tcW w:w="1253" w:type="dxa"/>
            <w:shd w:val="clear" w:color="auto" w:fill="auto"/>
            <w:vAlign w:val="center"/>
          </w:tcPr>
          <w:p>
            <w:pPr>
              <w:pStyle w:val="13"/>
              <w:spacing w:beforeAutospacing="0" w:afterAutospacing="0" w:line="320" w:lineRule="exact"/>
              <w:jc w:val="center"/>
              <w:rPr>
                <w:rFonts w:eastAsia="仿宋_GB2312"/>
                <w:szCs w:val="32"/>
                <w:highlight w:val="none"/>
              </w:rPr>
            </w:pPr>
            <w:r>
              <w:rPr>
                <w:rFonts w:eastAsia="仿宋_GB2312"/>
                <w:szCs w:val="32"/>
                <w:highlight w:val="none"/>
              </w:rPr>
              <w:t>/</w:t>
            </w:r>
          </w:p>
        </w:tc>
        <w:tc>
          <w:tcPr>
            <w:tcW w:w="1252" w:type="dxa"/>
            <w:shd w:val="clear" w:color="auto" w:fill="auto"/>
            <w:vAlign w:val="center"/>
          </w:tcPr>
          <w:p>
            <w:pPr>
              <w:pStyle w:val="13"/>
              <w:spacing w:beforeAutospacing="0" w:afterAutospacing="0" w:line="320" w:lineRule="exact"/>
              <w:jc w:val="center"/>
              <w:rPr>
                <w:rFonts w:eastAsia="仿宋_GB2312"/>
                <w:szCs w:val="32"/>
                <w:highlight w:val="none"/>
              </w:rPr>
            </w:pPr>
            <w:r>
              <w:rPr>
                <w:rFonts w:eastAsia="仿宋_GB2312"/>
                <w:szCs w:val="32"/>
                <w:highlight w:val="none"/>
              </w:rPr>
              <w:t>&gt;80</w:t>
            </w:r>
          </w:p>
        </w:tc>
        <w:tc>
          <w:tcPr>
            <w:tcW w:w="1253" w:type="dxa"/>
            <w:shd w:val="clear" w:color="auto" w:fill="auto"/>
            <w:vAlign w:val="center"/>
          </w:tcPr>
          <w:p>
            <w:pPr>
              <w:pStyle w:val="13"/>
              <w:spacing w:beforeAutospacing="0" w:afterAutospacing="0" w:line="320" w:lineRule="exact"/>
              <w:jc w:val="center"/>
              <w:rPr>
                <w:rFonts w:eastAsia="仿宋_GB2312"/>
                <w:szCs w:val="32"/>
                <w:highlight w:val="none"/>
              </w:rPr>
            </w:pPr>
            <w:r>
              <w:rPr>
                <w:rFonts w:eastAsia="仿宋_GB2312"/>
                <w:szCs w:val="32"/>
                <w:highlight w:val="none"/>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39" w:type="dxa"/>
            <w:vMerge w:val="continue"/>
            <w:shd w:val="clear" w:color="auto" w:fill="auto"/>
            <w:vAlign w:val="center"/>
          </w:tcPr>
          <w:p>
            <w:pPr>
              <w:pStyle w:val="13"/>
              <w:spacing w:beforeAutospacing="0" w:afterAutospacing="0" w:line="320" w:lineRule="exact"/>
              <w:jc w:val="center"/>
              <w:rPr>
                <w:rFonts w:eastAsia="仿宋_GB2312"/>
                <w:b/>
                <w:szCs w:val="32"/>
                <w:highlight w:val="none"/>
              </w:rPr>
            </w:pPr>
          </w:p>
        </w:tc>
        <w:tc>
          <w:tcPr>
            <w:tcW w:w="3428" w:type="dxa"/>
            <w:gridSpan w:val="2"/>
            <w:shd w:val="clear" w:color="auto" w:fill="auto"/>
            <w:vAlign w:val="center"/>
          </w:tcPr>
          <w:p>
            <w:pPr>
              <w:pStyle w:val="13"/>
              <w:spacing w:beforeAutospacing="0" w:afterAutospacing="0" w:line="320" w:lineRule="exact"/>
              <w:rPr>
                <w:rFonts w:eastAsia="仿宋_GB2312"/>
                <w:szCs w:val="32"/>
                <w:highlight w:val="none"/>
              </w:rPr>
            </w:pPr>
            <w:r>
              <w:rPr>
                <w:rFonts w:eastAsia="仿宋_GB2312"/>
                <w:szCs w:val="32"/>
                <w:highlight w:val="none"/>
              </w:rPr>
              <w:t>城区义务教育学校生均用地面积超规模办学比例（%）</w:t>
            </w:r>
          </w:p>
        </w:tc>
        <w:tc>
          <w:tcPr>
            <w:tcW w:w="1252" w:type="dxa"/>
            <w:shd w:val="clear" w:color="auto" w:fill="auto"/>
            <w:vAlign w:val="center"/>
          </w:tcPr>
          <w:p>
            <w:pPr>
              <w:pStyle w:val="13"/>
              <w:spacing w:beforeAutospacing="0" w:afterAutospacing="0" w:line="320" w:lineRule="exact"/>
              <w:jc w:val="center"/>
              <w:rPr>
                <w:rFonts w:eastAsia="仿宋_GB2312"/>
                <w:szCs w:val="32"/>
                <w:highlight w:val="none"/>
              </w:rPr>
            </w:pPr>
            <w:r>
              <w:rPr>
                <w:rFonts w:eastAsia="仿宋_GB2312"/>
                <w:szCs w:val="32"/>
                <w:highlight w:val="none"/>
              </w:rPr>
              <w:t>40</w:t>
            </w:r>
          </w:p>
        </w:tc>
        <w:tc>
          <w:tcPr>
            <w:tcW w:w="1253" w:type="dxa"/>
            <w:shd w:val="clear" w:color="auto" w:fill="auto"/>
            <w:vAlign w:val="center"/>
          </w:tcPr>
          <w:p>
            <w:pPr>
              <w:pStyle w:val="13"/>
              <w:spacing w:beforeAutospacing="0" w:afterAutospacing="0" w:line="320" w:lineRule="exact"/>
              <w:jc w:val="center"/>
              <w:rPr>
                <w:rFonts w:eastAsia="仿宋_GB2312"/>
                <w:szCs w:val="32"/>
                <w:highlight w:val="none"/>
              </w:rPr>
            </w:pPr>
            <w:r>
              <w:rPr>
                <w:rFonts w:eastAsia="仿宋_GB2312"/>
                <w:szCs w:val="32"/>
                <w:highlight w:val="none"/>
              </w:rPr>
              <w:t>/</w:t>
            </w:r>
          </w:p>
        </w:tc>
        <w:tc>
          <w:tcPr>
            <w:tcW w:w="1252" w:type="dxa"/>
            <w:shd w:val="clear" w:color="auto" w:fill="auto"/>
            <w:vAlign w:val="center"/>
          </w:tcPr>
          <w:p>
            <w:pPr>
              <w:pStyle w:val="13"/>
              <w:spacing w:beforeAutospacing="0" w:afterAutospacing="0" w:line="320" w:lineRule="exact"/>
              <w:jc w:val="center"/>
              <w:rPr>
                <w:rFonts w:eastAsia="仿宋_GB2312"/>
                <w:szCs w:val="32"/>
                <w:highlight w:val="none"/>
              </w:rPr>
            </w:pPr>
            <w:r>
              <w:rPr>
                <w:rFonts w:eastAsia="仿宋_GB2312"/>
                <w:szCs w:val="32"/>
                <w:highlight w:val="none"/>
              </w:rPr>
              <w:t>0</w:t>
            </w:r>
          </w:p>
        </w:tc>
        <w:tc>
          <w:tcPr>
            <w:tcW w:w="1253" w:type="dxa"/>
            <w:shd w:val="clear" w:color="auto" w:fill="auto"/>
            <w:vAlign w:val="center"/>
          </w:tcPr>
          <w:p>
            <w:pPr>
              <w:pStyle w:val="13"/>
              <w:spacing w:beforeAutospacing="0" w:afterAutospacing="0" w:line="320" w:lineRule="exact"/>
              <w:jc w:val="center"/>
              <w:rPr>
                <w:rFonts w:eastAsia="仿宋_GB2312"/>
                <w:szCs w:val="32"/>
                <w:highlight w:val="none"/>
              </w:rPr>
            </w:pPr>
            <w:r>
              <w:rPr>
                <w:rFonts w:eastAsia="仿宋_GB2312"/>
                <w:szCs w:val="32"/>
                <w:highlight w:val="none"/>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639" w:type="dxa"/>
            <w:vMerge w:val="continue"/>
            <w:shd w:val="clear" w:color="auto" w:fill="auto"/>
            <w:vAlign w:val="center"/>
          </w:tcPr>
          <w:p>
            <w:pPr>
              <w:pStyle w:val="13"/>
              <w:spacing w:beforeAutospacing="0" w:afterAutospacing="0" w:line="320" w:lineRule="exact"/>
              <w:jc w:val="center"/>
              <w:rPr>
                <w:rFonts w:eastAsia="仿宋_GB2312"/>
                <w:b/>
                <w:szCs w:val="32"/>
                <w:highlight w:val="none"/>
              </w:rPr>
            </w:pPr>
          </w:p>
        </w:tc>
        <w:tc>
          <w:tcPr>
            <w:tcW w:w="3428" w:type="dxa"/>
            <w:gridSpan w:val="2"/>
            <w:shd w:val="clear" w:color="auto" w:fill="auto"/>
            <w:vAlign w:val="center"/>
          </w:tcPr>
          <w:p>
            <w:pPr>
              <w:pStyle w:val="13"/>
              <w:spacing w:beforeAutospacing="0" w:afterAutospacing="0" w:line="320" w:lineRule="exact"/>
              <w:rPr>
                <w:rFonts w:eastAsia="仿宋_GB2312"/>
                <w:szCs w:val="32"/>
                <w:highlight w:val="none"/>
              </w:rPr>
            </w:pPr>
            <w:r>
              <w:rPr>
                <w:rFonts w:eastAsia="仿宋_GB2312"/>
                <w:szCs w:val="32"/>
                <w:highlight w:val="none"/>
              </w:rPr>
              <w:t>义务教育集团化覆盖面（%）</w:t>
            </w:r>
          </w:p>
        </w:tc>
        <w:tc>
          <w:tcPr>
            <w:tcW w:w="1252" w:type="dxa"/>
            <w:shd w:val="clear" w:color="auto" w:fill="auto"/>
            <w:vAlign w:val="center"/>
          </w:tcPr>
          <w:p>
            <w:pPr>
              <w:pStyle w:val="13"/>
              <w:spacing w:beforeAutospacing="0" w:afterAutospacing="0" w:line="320" w:lineRule="exact"/>
              <w:jc w:val="center"/>
              <w:rPr>
                <w:rFonts w:eastAsia="仿宋_GB2312"/>
                <w:szCs w:val="32"/>
                <w:highlight w:val="none"/>
              </w:rPr>
            </w:pPr>
            <w:r>
              <w:rPr>
                <w:rFonts w:eastAsia="仿宋_GB2312"/>
                <w:szCs w:val="32"/>
                <w:highlight w:val="none"/>
              </w:rPr>
              <w:t>82.03</w:t>
            </w:r>
          </w:p>
        </w:tc>
        <w:tc>
          <w:tcPr>
            <w:tcW w:w="1253" w:type="dxa"/>
            <w:shd w:val="clear" w:color="auto" w:fill="auto"/>
            <w:vAlign w:val="center"/>
          </w:tcPr>
          <w:p>
            <w:pPr>
              <w:pStyle w:val="13"/>
              <w:spacing w:beforeAutospacing="0" w:afterAutospacing="0" w:line="320" w:lineRule="exact"/>
              <w:jc w:val="center"/>
              <w:rPr>
                <w:rFonts w:eastAsia="仿宋_GB2312"/>
                <w:szCs w:val="32"/>
                <w:highlight w:val="none"/>
              </w:rPr>
            </w:pPr>
            <w:r>
              <w:rPr>
                <w:rFonts w:eastAsia="仿宋_GB2312"/>
                <w:szCs w:val="32"/>
                <w:highlight w:val="none"/>
              </w:rPr>
              <w:t>/</w:t>
            </w:r>
          </w:p>
        </w:tc>
        <w:tc>
          <w:tcPr>
            <w:tcW w:w="1252" w:type="dxa"/>
            <w:shd w:val="clear" w:color="auto" w:fill="auto"/>
            <w:vAlign w:val="center"/>
          </w:tcPr>
          <w:p>
            <w:pPr>
              <w:pStyle w:val="13"/>
              <w:spacing w:beforeAutospacing="0" w:afterAutospacing="0" w:line="320" w:lineRule="exact"/>
              <w:jc w:val="center"/>
              <w:rPr>
                <w:rFonts w:eastAsia="仿宋_GB2312"/>
                <w:szCs w:val="32"/>
                <w:highlight w:val="none"/>
              </w:rPr>
            </w:pPr>
            <w:r>
              <w:rPr>
                <w:rFonts w:eastAsia="仿宋_GB2312"/>
                <w:szCs w:val="32"/>
                <w:highlight w:val="none"/>
              </w:rPr>
              <w:t>&gt;90</w:t>
            </w:r>
          </w:p>
        </w:tc>
        <w:tc>
          <w:tcPr>
            <w:tcW w:w="1253" w:type="dxa"/>
            <w:shd w:val="clear" w:color="auto" w:fill="auto"/>
            <w:vAlign w:val="center"/>
          </w:tcPr>
          <w:p>
            <w:pPr>
              <w:pStyle w:val="13"/>
              <w:spacing w:beforeAutospacing="0" w:afterAutospacing="0" w:line="320" w:lineRule="exact"/>
              <w:jc w:val="center"/>
              <w:rPr>
                <w:rFonts w:eastAsia="仿宋_GB2312"/>
                <w:szCs w:val="32"/>
                <w:highlight w:val="none"/>
              </w:rPr>
            </w:pPr>
            <w:r>
              <w:rPr>
                <w:rFonts w:eastAsia="仿宋_GB2312"/>
                <w:szCs w:val="32"/>
                <w:highlight w:val="none"/>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39" w:type="dxa"/>
            <w:vMerge w:val="continue"/>
            <w:shd w:val="clear" w:color="auto" w:fill="auto"/>
            <w:vAlign w:val="center"/>
          </w:tcPr>
          <w:p>
            <w:pPr>
              <w:pStyle w:val="13"/>
              <w:spacing w:beforeAutospacing="0" w:afterAutospacing="0" w:line="320" w:lineRule="exact"/>
              <w:jc w:val="center"/>
              <w:rPr>
                <w:rFonts w:eastAsia="仿宋_GB2312"/>
                <w:b/>
                <w:szCs w:val="32"/>
                <w:highlight w:val="none"/>
              </w:rPr>
            </w:pPr>
          </w:p>
        </w:tc>
        <w:tc>
          <w:tcPr>
            <w:tcW w:w="2441" w:type="dxa"/>
            <w:vMerge w:val="restart"/>
            <w:shd w:val="clear" w:color="auto" w:fill="auto"/>
            <w:vAlign w:val="center"/>
          </w:tcPr>
          <w:p>
            <w:pPr>
              <w:pStyle w:val="13"/>
              <w:spacing w:beforeAutospacing="0" w:afterAutospacing="0" w:line="320" w:lineRule="exact"/>
              <w:rPr>
                <w:rFonts w:eastAsia="仿宋_GB2312"/>
                <w:szCs w:val="32"/>
                <w:highlight w:val="none"/>
              </w:rPr>
            </w:pPr>
            <w:r>
              <w:rPr>
                <w:rFonts w:eastAsia="仿宋_GB2312"/>
                <w:szCs w:val="32"/>
                <w:highlight w:val="none"/>
              </w:rPr>
              <w:t>校际优质均衡系数</w:t>
            </w:r>
          </w:p>
        </w:tc>
        <w:tc>
          <w:tcPr>
            <w:tcW w:w="987" w:type="dxa"/>
            <w:shd w:val="clear" w:color="auto" w:fill="auto"/>
          </w:tcPr>
          <w:p>
            <w:pPr>
              <w:pStyle w:val="13"/>
              <w:spacing w:beforeAutospacing="0" w:afterAutospacing="0" w:line="320" w:lineRule="exact"/>
              <w:jc w:val="center"/>
              <w:rPr>
                <w:rFonts w:eastAsia="仿宋_GB2312"/>
                <w:szCs w:val="32"/>
                <w:highlight w:val="none"/>
              </w:rPr>
            </w:pPr>
            <w:r>
              <w:rPr>
                <w:rFonts w:eastAsia="仿宋_GB2312"/>
                <w:szCs w:val="32"/>
                <w:highlight w:val="none"/>
              </w:rPr>
              <w:t>小学段</w:t>
            </w:r>
          </w:p>
        </w:tc>
        <w:tc>
          <w:tcPr>
            <w:tcW w:w="1252" w:type="dxa"/>
            <w:shd w:val="clear" w:color="auto" w:fill="auto"/>
            <w:vAlign w:val="center"/>
          </w:tcPr>
          <w:p>
            <w:pPr>
              <w:pStyle w:val="13"/>
              <w:spacing w:beforeAutospacing="0" w:afterAutospacing="0" w:line="320" w:lineRule="exact"/>
              <w:jc w:val="center"/>
              <w:rPr>
                <w:rFonts w:eastAsia="仿宋_GB2312"/>
                <w:szCs w:val="32"/>
                <w:highlight w:val="none"/>
              </w:rPr>
            </w:pPr>
            <w:r>
              <w:rPr>
                <w:rFonts w:eastAsia="仿宋_GB2312"/>
                <w:szCs w:val="32"/>
                <w:highlight w:val="none"/>
              </w:rPr>
              <w:t>0.38</w:t>
            </w:r>
          </w:p>
        </w:tc>
        <w:tc>
          <w:tcPr>
            <w:tcW w:w="1253" w:type="dxa"/>
            <w:shd w:val="clear" w:color="auto" w:fill="auto"/>
            <w:vAlign w:val="center"/>
          </w:tcPr>
          <w:p>
            <w:pPr>
              <w:pStyle w:val="13"/>
              <w:spacing w:beforeAutospacing="0" w:afterAutospacing="0" w:line="320" w:lineRule="exact"/>
              <w:jc w:val="center"/>
              <w:rPr>
                <w:rFonts w:eastAsia="仿宋_GB2312"/>
                <w:szCs w:val="32"/>
                <w:highlight w:val="none"/>
              </w:rPr>
            </w:pPr>
            <w:r>
              <w:rPr>
                <w:rFonts w:eastAsia="仿宋_GB2312"/>
                <w:szCs w:val="32"/>
                <w:highlight w:val="none"/>
              </w:rPr>
              <w:t>0.305</w:t>
            </w:r>
          </w:p>
        </w:tc>
        <w:tc>
          <w:tcPr>
            <w:tcW w:w="1252" w:type="dxa"/>
            <w:shd w:val="clear" w:color="auto" w:fill="auto"/>
            <w:vAlign w:val="center"/>
          </w:tcPr>
          <w:p>
            <w:pPr>
              <w:pStyle w:val="13"/>
              <w:spacing w:beforeAutospacing="0" w:afterAutospacing="0" w:line="320" w:lineRule="exact"/>
              <w:jc w:val="center"/>
              <w:rPr>
                <w:rFonts w:eastAsia="仿宋_GB2312"/>
                <w:szCs w:val="32"/>
                <w:highlight w:val="none"/>
              </w:rPr>
            </w:pPr>
            <w:r>
              <w:rPr>
                <w:rFonts w:eastAsia="仿宋_GB2312"/>
                <w:szCs w:val="32"/>
                <w:highlight w:val="none"/>
              </w:rPr>
              <w:t>0.3</w:t>
            </w:r>
          </w:p>
        </w:tc>
        <w:tc>
          <w:tcPr>
            <w:tcW w:w="1253" w:type="dxa"/>
            <w:shd w:val="clear" w:color="auto" w:fill="auto"/>
            <w:vAlign w:val="center"/>
          </w:tcPr>
          <w:p>
            <w:pPr>
              <w:pStyle w:val="13"/>
              <w:spacing w:beforeAutospacing="0" w:afterAutospacing="0" w:line="320" w:lineRule="exact"/>
              <w:jc w:val="center"/>
              <w:rPr>
                <w:rFonts w:eastAsia="仿宋_GB2312"/>
                <w:szCs w:val="32"/>
                <w:highlight w:val="none"/>
              </w:rPr>
            </w:pPr>
            <w:r>
              <w:rPr>
                <w:rFonts w:eastAsia="仿宋_GB2312"/>
                <w:szCs w:val="32"/>
                <w:highlight w:val="none"/>
              </w:rPr>
              <w:t>0.3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39" w:type="dxa"/>
            <w:vMerge w:val="continue"/>
            <w:shd w:val="clear" w:color="auto" w:fill="auto"/>
            <w:vAlign w:val="center"/>
          </w:tcPr>
          <w:p>
            <w:pPr>
              <w:pStyle w:val="13"/>
              <w:spacing w:beforeAutospacing="0" w:afterAutospacing="0" w:line="320" w:lineRule="exact"/>
              <w:jc w:val="center"/>
              <w:rPr>
                <w:rFonts w:eastAsia="仿宋_GB2312"/>
                <w:b/>
                <w:szCs w:val="32"/>
                <w:highlight w:val="none"/>
              </w:rPr>
            </w:pPr>
          </w:p>
        </w:tc>
        <w:tc>
          <w:tcPr>
            <w:tcW w:w="2441" w:type="dxa"/>
            <w:vMerge w:val="continue"/>
            <w:shd w:val="clear" w:color="auto" w:fill="auto"/>
            <w:vAlign w:val="center"/>
          </w:tcPr>
          <w:p>
            <w:pPr>
              <w:pStyle w:val="13"/>
              <w:spacing w:beforeAutospacing="0" w:afterAutospacing="0" w:line="320" w:lineRule="exact"/>
              <w:rPr>
                <w:rFonts w:eastAsia="仿宋_GB2312"/>
                <w:szCs w:val="32"/>
                <w:highlight w:val="none"/>
              </w:rPr>
            </w:pPr>
          </w:p>
        </w:tc>
        <w:tc>
          <w:tcPr>
            <w:tcW w:w="987" w:type="dxa"/>
            <w:shd w:val="clear" w:color="auto" w:fill="auto"/>
          </w:tcPr>
          <w:p>
            <w:pPr>
              <w:pStyle w:val="13"/>
              <w:spacing w:beforeAutospacing="0" w:afterAutospacing="0" w:line="320" w:lineRule="exact"/>
              <w:jc w:val="center"/>
              <w:rPr>
                <w:rFonts w:eastAsia="仿宋_GB2312"/>
                <w:szCs w:val="32"/>
                <w:highlight w:val="none"/>
              </w:rPr>
            </w:pPr>
            <w:r>
              <w:rPr>
                <w:rFonts w:eastAsia="仿宋_GB2312"/>
                <w:szCs w:val="32"/>
                <w:highlight w:val="none"/>
              </w:rPr>
              <w:t>初中段</w:t>
            </w:r>
          </w:p>
        </w:tc>
        <w:tc>
          <w:tcPr>
            <w:tcW w:w="1252" w:type="dxa"/>
            <w:shd w:val="clear" w:color="auto" w:fill="auto"/>
            <w:vAlign w:val="center"/>
          </w:tcPr>
          <w:p>
            <w:pPr>
              <w:pStyle w:val="13"/>
              <w:spacing w:beforeAutospacing="0" w:afterAutospacing="0" w:line="320" w:lineRule="exact"/>
              <w:jc w:val="center"/>
              <w:rPr>
                <w:rFonts w:eastAsia="仿宋_GB2312"/>
                <w:szCs w:val="32"/>
                <w:highlight w:val="none"/>
              </w:rPr>
            </w:pPr>
            <w:r>
              <w:rPr>
                <w:rFonts w:eastAsia="仿宋_GB2312"/>
                <w:szCs w:val="32"/>
                <w:highlight w:val="none"/>
              </w:rPr>
              <w:t>0.249</w:t>
            </w:r>
          </w:p>
        </w:tc>
        <w:tc>
          <w:tcPr>
            <w:tcW w:w="1253" w:type="dxa"/>
            <w:shd w:val="clear" w:color="auto" w:fill="auto"/>
            <w:vAlign w:val="center"/>
          </w:tcPr>
          <w:p>
            <w:pPr>
              <w:pStyle w:val="13"/>
              <w:spacing w:beforeAutospacing="0" w:afterAutospacing="0" w:line="320" w:lineRule="exact"/>
              <w:jc w:val="center"/>
              <w:rPr>
                <w:rFonts w:eastAsia="仿宋_GB2312"/>
                <w:szCs w:val="32"/>
                <w:highlight w:val="none"/>
              </w:rPr>
            </w:pPr>
            <w:r>
              <w:rPr>
                <w:rFonts w:eastAsia="仿宋_GB2312"/>
                <w:szCs w:val="32"/>
                <w:highlight w:val="none"/>
              </w:rPr>
              <w:t>0.277</w:t>
            </w:r>
          </w:p>
        </w:tc>
        <w:tc>
          <w:tcPr>
            <w:tcW w:w="1252" w:type="dxa"/>
            <w:shd w:val="clear" w:color="auto" w:fill="auto"/>
            <w:vAlign w:val="center"/>
          </w:tcPr>
          <w:p>
            <w:pPr>
              <w:pStyle w:val="13"/>
              <w:spacing w:beforeAutospacing="0" w:afterAutospacing="0" w:line="320" w:lineRule="exact"/>
              <w:jc w:val="center"/>
              <w:rPr>
                <w:rFonts w:eastAsia="仿宋_GB2312"/>
                <w:szCs w:val="32"/>
                <w:highlight w:val="none"/>
              </w:rPr>
            </w:pPr>
            <w:r>
              <w:rPr>
                <w:rFonts w:eastAsia="仿宋_GB2312"/>
                <w:szCs w:val="32"/>
                <w:highlight w:val="none"/>
              </w:rPr>
              <w:t>0.25</w:t>
            </w:r>
          </w:p>
        </w:tc>
        <w:tc>
          <w:tcPr>
            <w:tcW w:w="1253" w:type="dxa"/>
            <w:shd w:val="clear" w:color="auto" w:fill="auto"/>
            <w:vAlign w:val="center"/>
          </w:tcPr>
          <w:p>
            <w:pPr>
              <w:pStyle w:val="13"/>
              <w:spacing w:beforeAutospacing="0" w:afterAutospacing="0" w:line="320" w:lineRule="exact"/>
              <w:jc w:val="center"/>
              <w:rPr>
                <w:rFonts w:eastAsia="仿宋_GB2312"/>
                <w:szCs w:val="32"/>
                <w:highlight w:val="none"/>
              </w:rPr>
            </w:pPr>
            <w:r>
              <w:rPr>
                <w:rFonts w:eastAsia="仿宋_GB2312"/>
                <w:szCs w:val="32"/>
                <w:highlight w:val="none"/>
              </w:rPr>
              <w:t>0.25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39" w:type="dxa"/>
            <w:vMerge w:val="continue"/>
            <w:shd w:val="clear" w:color="auto" w:fill="auto"/>
            <w:vAlign w:val="center"/>
          </w:tcPr>
          <w:p>
            <w:pPr>
              <w:pStyle w:val="13"/>
              <w:spacing w:beforeAutospacing="0" w:afterAutospacing="0" w:line="320" w:lineRule="exact"/>
              <w:jc w:val="center"/>
              <w:rPr>
                <w:rFonts w:eastAsia="仿宋_GB2312"/>
                <w:b/>
                <w:szCs w:val="32"/>
                <w:highlight w:val="none"/>
              </w:rPr>
            </w:pPr>
          </w:p>
        </w:tc>
        <w:tc>
          <w:tcPr>
            <w:tcW w:w="3428" w:type="dxa"/>
            <w:gridSpan w:val="2"/>
            <w:shd w:val="clear" w:color="auto" w:fill="auto"/>
            <w:vAlign w:val="center"/>
          </w:tcPr>
          <w:p>
            <w:pPr>
              <w:pStyle w:val="13"/>
              <w:spacing w:beforeAutospacing="0" w:afterAutospacing="0" w:line="320" w:lineRule="exact"/>
              <w:rPr>
                <w:rFonts w:eastAsia="仿宋_GB2312"/>
                <w:szCs w:val="32"/>
                <w:highlight w:val="none"/>
              </w:rPr>
            </w:pPr>
            <w:r>
              <w:rPr>
                <w:rFonts w:eastAsia="仿宋_GB2312"/>
                <w:szCs w:val="32"/>
                <w:highlight w:val="none"/>
              </w:rPr>
              <w:t>随迁子女在公办学校入学比例（%）</w:t>
            </w:r>
          </w:p>
        </w:tc>
        <w:tc>
          <w:tcPr>
            <w:tcW w:w="1252" w:type="dxa"/>
            <w:shd w:val="clear" w:color="auto" w:fill="auto"/>
            <w:vAlign w:val="center"/>
          </w:tcPr>
          <w:p>
            <w:pPr>
              <w:pStyle w:val="13"/>
              <w:spacing w:beforeAutospacing="0" w:afterAutospacing="0" w:line="320" w:lineRule="exact"/>
              <w:jc w:val="center"/>
              <w:rPr>
                <w:rFonts w:eastAsia="仿宋_GB2312"/>
                <w:szCs w:val="32"/>
                <w:highlight w:val="none"/>
              </w:rPr>
            </w:pPr>
            <w:r>
              <w:rPr>
                <w:rFonts w:eastAsia="仿宋_GB2312"/>
                <w:szCs w:val="32"/>
                <w:highlight w:val="none"/>
              </w:rPr>
              <w:t>85.12</w:t>
            </w:r>
          </w:p>
        </w:tc>
        <w:tc>
          <w:tcPr>
            <w:tcW w:w="1253" w:type="dxa"/>
            <w:shd w:val="clear" w:color="auto" w:fill="auto"/>
            <w:vAlign w:val="center"/>
          </w:tcPr>
          <w:p>
            <w:pPr>
              <w:pStyle w:val="13"/>
              <w:spacing w:beforeAutospacing="0" w:afterAutospacing="0" w:line="320" w:lineRule="exact"/>
              <w:jc w:val="center"/>
              <w:rPr>
                <w:rFonts w:eastAsia="仿宋_GB2312"/>
                <w:szCs w:val="32"/>
                <w:highlight w:val="none"/>
              </w:rPr>
            </w:pPr>
            <w:r>
              <w:rPr>
                <w:rFonts w:eastAsia="仿宋_GB2312"/>
                <w:szCs w:val="32"/>
                <w:highlight w:val="none"/>
              </w:rPr>
              <w:t>/</w:t>
            </w:r>
          </w:p>
        </w:tc>
        <w:tc>
          <w:tcPr>
            <w:tcW w:w="1252" w:type="dxa"/>
            <w:shd w:val="clear" w:color="auto" w:fill="auto"/>
            <w:vAlign w:val="center"/>
          </w:tcPr>
          <w:p>
            <w:pPr>
              <w:pStyle w:val="13"/>
              <w:spacing w:beforeAutospacing="0" w:afterAutospacing="0" w:line="320" w:lineRule="exact"/>
              <w:jc w:val="center"/>
              <w:rPr>
                <w:rFonts w:eastAsia="仿宋_GB2312"/>
                <w:szCs w:val="32"/>
                <w:highlight w:val="none"/>
              </w:rPr>
            </w:pPr>
            <w:r>
              <w:rPr>
                <w:rFonts w:eastAsia="仿宋_GB2312"/>
                <w:szCs w:val="32"/>
                <w:highlight w:val="none"/>
              </w:rPr>
              <w:t>88</w:t>
            </w:r>
          </w:p>
        </w:tc>
        <w:tc>
          <w:tcPr>
            <w:tcW w:w="1253" w:type="dxa"/>
            <w:shd w:val="clear" w:color="auto" w:fill="auto"/>
            <w:vAlign w:val="center"/>
          </w:tcPr>
          <w:p>
            <w:pPr>
              <w:pStyle w:val="13"/>
              <w:spacing w:beforeAutospacing="0" w:afterAutospacing="0" w:line="320" w:lineRule="exact"/>
              <w:jc w:val="center"/>
              <w:rPr>
                <w:rFonts w:eastAsia="仿宋_GB2312"/>
                <w:szCs w:val="32"/>
                <w:highlight w:val="none"/>
              </w:rPr>
            </w:pPr>
            <w:r>
              <w:rPr>
                <w:rFonts w:eastAsia="仿宋_GB2312"/>
                <w:szCs w:val="32"/>
                <w:highlight w:val="none"/>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639" w:type="dxa"/>
            <w:vMerge w:val="restart"/>
            <w:shd w:val="clear" w:color="auto" w:fill="auto"/>
            <w:vAlign w:val="center"/>
          </w:tcPr>
          <w:p>
            <w:pPr>
              <w:pStyle w:val="13"/>
              <w:spacing w:beforeAutospacing="0" w:afterAutospacing="0" w:line="320" w:lineRule="exact"/>
              <w:jc w:val="center"/>
              <w:rPr>
                <w:rFonts w:eastAsia="仿宋_GB2312"/>
                <w:b/>
                <w:szCs w:val="32"/>
                <w:highlight w:val="none"/>
              </w:rPr>
            </w:pPr>
            <w:r>
              <w:rPr>
                <w:rFonts w:eastAsia="仿宋_GB2312"/>
                <w:b/>
                <w:szCs w:val="32"/>
                <w:highlight w:val="none"/>
              </w:rPr>
              <w:t>保障指标</w:t>
            </w:r>
          </w:p>
        </w:tc>
        <w:tc>
          <w:tcPr>
            <w:tcW w:w="3428" w:type="dxa"/>
            <w:gridSpan w:val="2"/>
            <w:shd w:val="clear" w:color="auto" w:fill="auto"/>
            <w:vAlign w:val="center"/>
          </w:tcPr>
          <w:p>
            <w:pPr>
              <w:pStyle w:val="13"/>
              <w:spacing w:beforeAutospacing="0" w:afterAutospacing="0" w:line="320" w:lineRule="exact"/>
              <w:rPr>
                <w:rFonts w:eastAsia="仿宋_GB2312"/>
                <w:szCs w:val="32"/>
                <w:highlight w:val="none"/>
              </w:rPr>
            </w:pPr>
            <w:r>
              <w:rPr>
                <w:rFonts w:eastAsia="仿宋_GB2312"/>
                <w:szCs w:val="32"/>
                <w:highlight w:val="none"/>
              </w:rPr>
              <w:t>财政性教育经费占GDP比例（%）</w:t>
            </w:r>
          </w:p>
        </w:tc>
        <w:tc>
          <w:tcPr>
            <w:tcW w:w="1252" w:type="dxa"/>
            <w:shd w:val="clear" w:color="auto" w:fill="auto"/>
            <w:vAlign w:val="center"/>
          </w:tcPr>
          <w:p>
            <w:pPr>
              <w:pStyle w:val="13"/>
              <w:spacing w:beforeAutospacing="0" w:afterAutospacing="0" w:line="320" w:lineRule="exact"/>
              <w:jc w:val="center"/>
              <w:rPr>
                <w:rFonts w:eastAsia="仿宋_GB2312"/>
                <w:szCs w:val="32"/>
                <w:highlight w:val="none"/>
              </w:rPr>
            </w:pPr>
            <w:r>
              <w:rPr>
                <w:rFonts w:eastAsia="仿宋_GB2312"/>
                <w:szCs w:val="32"/>
                <w:highlight w:val="none"/>
              </w:rPr>
              <w:t>6.46</w:t>
            </w:r>
          </w:p>
        </w:tc>
        <w:tc>
          <w:tcPr>
            <w:tcW w:w="1253" w:type="dxa"/>
            <w:shd w:val="clear" w:color="auto" w:fill="auto"/>
            <w:vAlign w:val="center"/>
          </w:tcPr>
          <w:p>
            <w:pPr>
              <w:pStyle w:val="13"/>
              <w:spacing w:beforeAutospacing="0" w:afterAutospacing="0" w:line="320" w:lineRule="exact"/>
              <w:jc w:val="center"/>
              <w:rPr>
                <w:rFonts w:eastAsia="仿宋_GB2312"/>
                <w:szCs w:val="32"/>
                <w:highlight w:val="none"/>
              </w:rPr>
            </w:pPr>
            <w:r>
              <w:rPr>
                <w:rFonts w:eastAsia="仿宋_GB2312"/>
                <w:szCs w:val="32"/>
                <w:highlight w:val="none"/>
              </w:rPr>
              <w:t>/</w:t>
            </w:r>
          </w:p>
        </w:tc>
        <w:tc>
          <w:tcPr>
            <w:tcW w:w="1252" w:type="dxa"/>
            <w:shd w:val="clear" w:color="auto" w:fill="auto"/>
            <w:vAlign w:val="center"/>
          </w:tcPr>
          <w:p>
            <w:pPr>
              <w:pStyle w:val="13"/>
              <w:spacing w:beforeAutospacing="0" w:afterAutospacing="0" w:line="320" w:lineRule="exact"/>
              <w:jc w:val="center"/>
              <w:rPr>
                <w:rFonts w:eastAsia="仿宋_GB2312"/>
                <w:szCs w:val="32"/>
                <w:highlight w:val="none"/>
              </w:rPr>
            </w:pPr>
            <w:r>
              <w:rPr>
                <w:rFonts w:eastAsia="仿宋_GB2312"/>
                <w:szCs w:val="32"/>
                <w:highlight w:val="none"/>
              </w:rPr>
              <w:t>&gt;5</w:t>
            </w:r>
          </w:p>
        </w:tc>
        <w:tc>
          <w:tcPr>
            <w:tcW w:w="1253" w:type="dxa"/>
            <w:shd w:val="clear" w:color="auto" w:fill="auto"/>
            <w:vAlign w:val="center"/>
          </w:tcPr>
          <w:p>
            <w:pPr>
              <w:pStyle w:val="13"/>
              <w:spacing w:beforeAutospacing="0" w:afterAutospacing="0" w:line="320" w:lineRule="exact"/>
              <w:jc w:val="center"/>
              <w:rPr>
                <w:rFonts w:eastAsia="仿宋_GB2312"/>
                <w:szCs w:val="32"/>
                <w:highlight w:val="none"/>
              </w:rPr>
            </w:pPr>
            <w:r>
              <w:rPr>
                <w:rFonts w:eastAsia="仿宋_GB2312"/>
                <w:szCs w:val="32"/>
                <w:highlight w:val="none"/>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39" w:type="dxa"/>
            <w:vMerge w:val="continue"/>
            <w:shd w:val="clear" w:color="auto" w:fill="auto"/>
            <w:vAlign w:val="center"/>
          </w:tcPr>
          <w:p>
            <w:pPr>
              <w:pStyle w:val="13"/>
              <w:spacing w:beforeAutospacing="0" w:afterAutospacing="0" w:line="320" w:lineRule="exact"/>
              <w:jc w:val="center"/>
              <w:rPr>
                <w:rFonts w:eastAsia="仿宋_GB2312"/>
                <w:b/>
                <w:szCs w:val="32"/>
                <w:highlight w:val="none"/>
              </w:rPr>
            </w:pPr>
          </w:p>
        </w:tc>
        <w:tc>
          <w:tcPr>
            <w:tcW w:w="3428" w:type="dxa"/>
            <w:gridSpan w:val="2"/>
            <w:shd w:val="clear" w:color="auto" w:fill="auto"/>
            <w:vAlign w:val="center"/>
          </w:tcPr>
          <w:p>
            <w:pPr>
              <w:pStyle w:val="13"/>
              <w:spacing w:beforeAutospacing="0" w:afterAutospacing="0" w:line="320" w:lineRule="exact"/>
              <w:rPr>
                <w:rFonts w:eastAsia="仿宋_GB2312"/>
                <w:szCs w:val="32"/>
                <w:highlight w:val="none"/>
              </w:rPr>
            </w:pPr>
            <w:r>
              <w:rPr>
                <w:rFonts w:eastAsia="仿宋_GB2312"/>
                <w:szCs w:val="32"/>
                <w:highlight w:val="none"/>
              </w:rPr>
              <w:t>一般公共预算教育支出</w:t>
            </w:r>
          </w:p>
        </w:tc>
        <w:tc>
          <w:tcPr>
            <w:tcW w:w="1252" w:type="dxa"/>
            <w:shd w:val="clear" w:color="auto" w:fill="auto"/>
            <w:vAlign w:val="center"/>
          </w:tcPr>
          <w:p>
            <w:pPr>
              <w:pStyle w:val="13"/>
              <w:spacing w:beforeAutospacing="0" w:afterAutospacing="0" w:line="320" w:lineRule="exact"/>
              <w:jc w:val="center"/>
              <w:rPr>
                <w:rFonts w:eastAsia="仿宋_GB2312"/>
                <w:szCs w:val="32"/>
                <w:highlight w:val="none"/>
              </w:rPr>
            </w:pPr>
            <w:r>
              <w:rPr>
                <w:rFonts w:eastAsia="仿宋_GB2312"/>
                <w:szCs w:val="32"/>
                <w:highlight w:val="none"/>
              </w:rPr>
              <w:t>/</w:t>
            </w:r>
          </w:p>
        </w:tc>
        <w:tc>
          <w:tcPr>
            <w:tcW w:w="1253" w:type="dxa"/>
            <w:shd w:val="clear" w:color="auto" w:fill="auto"/>
            <w:vAlign w:val="center"/>
          </w:tcPr>
          <w:p>
            <w:pPr>
              <w:pStyle w:val="13"/>
              <w:spacing w:beforeAutospacing="0" w:afterAutospacing="0" w:line="320" w:lineRule="exact"/>
              <w:jc w:val="center"/>
              <w:rPr>
                <w:rFonts w:eastAsia="仿宋_GB2312"/>
                <w:szCs w:val="32"/>
                <w:highlight w:val="none"/>
              </w:rPr>
            </w:pPr>
            <w:r>
              <w:rPr>
                <w:rFonts w:eastAsia="仿宋_GB2312"/>
                <w:szCs w:val="32"/>
                <w:highlight w:val="none"/>
              </w:rPr>
              <w:t>/</w:t>
            </w:r>
          </w:p>
        </w:tc>
        <w:tc>
          <w:tcPr>
            <w:tcW w:w="1252" w:type="dxa"/>
            <w:shd w:val="clear" w:color="auto" w:fill="auto"/>
            <w:vAlign w:val="center"/>
          </w:tcPr>
          <w:p>
            <w:pPr>
              <w:pStyle w:val="13"/>
              <w:spacing w:beforeAutospacing="0" w:afterAutospacing="0" w:line="320" w:lineRule="exact"/>
              <w:jc w:val="center"/>
              <w:rPr>
                <w:rFonts w:eastAsia="仿宋_GB2312"/>
                <w:szCs w:val="32"/>
                <w:highlight w:val="none"/>
              </w:rPr>
            </w:pPr>
            <w:r>
              <w:rPr>
                <w:rFonts w:eastAsia="仿宋_GB2312"/>
                <w:szCs w:val="32"/>
                <w:highlight w:val="none"/>
              </w:rPr>
              <w:t>只增不减</w:t>
            </w:r>
          </w:p>
        </w:tc>
        <w:tc>
          <w:tcPr>
            <w:tcW w:w="1253" w:type="dxa"/>
            <w:shd w:val="clear" w:color="auto" w:fill="auto"/>
            <w:vAlign w:val="center"/>
          </w:tcPr>
          <w:p>
            <w:pPr>
              <w:pStyle w:val="13"/>
              <w:spacing w:beforeAutospacing="0" w:afterAutospacing="0" w:line="320" w:lineRule="exact"/>
              <w:jc w:val="center"/>
              <w:rPr>
                <w:rFonts w:eastAsia="仿宋_GB2312"/>
                <w:szCs w:val="32"/>
                <w:highlight w:val="none"/>
              </w:rPr>
            </w:pPr>
            <w:r>
              <w:rPr>
                <w:rFonts w:eastAsia="仿宋_GB2312"/>
                <w:szCs w:val="32"/>
                <w:highlight w:val="none"/>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39" w:type="dxa"/>
            <w:vMerge w:val="continue"/>
            <w:shd w:val="clear" w:color="auto" w:fill="auto"/>
            <w:vAlign w:val="center"/>
          </w:tcPr>
          <w:p>
            <w:pPr>
              <w:pStyle w:val="13"/>
              <w:spacing w:beforeAutospacing="0" w:afterAutospacing="0" w:line="320" w:lineRule="exact"/>
              <w:jc w:val="center"/>
              <w:rPr>
                <w:rFonts w:eastAsia="仿宋_GB2312"/>
                <w:b/>
                <w:szCs w:val="32"/>
                <w:highlight w:val="none"/>
              </w:rPr>
            </w:pPr>
          </w:p>
        </w:tc>
        <w:tc>
          <w:tcPr>
            <w:tcW w:w="3428" w:type="dxa"/>
            <w:gridSpan w:val="2"/>
            <w:shd w:val="clear" w:color="auto" w:fill="auto"/>
            <w:vAlign w:val="center"/>
          </w:tcPr>
          <w:p>
            <w:pPr>
              <w:pStyle w:val="13"/>
              <w:spacing w:beforeAutospacing="0" w:afterAutospacing="0" w:line="320" w:lineRule="exact"/>
              <w:rPr>
                <w:rFonts w:eastAsia="仿宋_GB2312"/>
                <w:szCs w:val="32"/>
                <w:highlight w:val="none"/>
              </w:rPr>
            </w:pPr>
            <w:r>
              <w:rPr>
                <w:rFonts w:eastAsia="仿宋_GB2312"/>
                <w:szCs w:val="32"/>
                <w:highlight w:val="none"/>
              </w:rPr>
              <w:t>在校学生人数平均的一般公共预算教育支出</w:t>
            </w:r>
          </w:p>
        </w:tc>
        <w:tc>
          <w:tcPr>
            <w:tcW w:w="1252" w:type="dxa"/>
            <w:shd w:val="clear" w:color="auto" w:fill="auto"/>
            <w:vAlign w:val="center"/>
          </w:tcPr>
          <w:p>
            <w:pPr>
              <w:pStyle w:val="13"/>
              <w:spacing w:beforeAutospacing="0" w:afterAutospacing="0" w:line="320" w:lineRule="exact"/>
              <w:jc w:val="center"/>
              <w:rPr>
                <w:rFonts w:eastAsia="仿宋_GB2312"/>
                <w:szCs w:val="32"/>
                <w:highlight w:val="none"/>
              </w:rPr>
            </w:pPr>
            <w:r>
              <w:rPr>
                <w:rFonts w:eastAsia="仿宋_GB2312"/>
                <w:szCs w:val="32"/>
                <w:highlight w:val="none"/>
              </w:rPr>
              <w:t>/</w:t>
            </w:r>
          </w:p>
        </w:tc>
        <w:tc>
          <w:tcPr>
            <w:tcW w:w="1253" w:type="dxa"/>
            <w:shd w:val="clear" w:color="auto" w:fill="auto"/>
            <w:vAlign w:val="center"/>
          </w:tcPr>
          <w:p>
            <w:pPr>
              <w:pStyle w:val="13"/>
              <w:spacing w:beforeAutospacing="0" w:afterAutospacing="0" w:line="320" w:lineRule="exact"/>
              <w:jc w:val="center"/>
              <w:rPr>
                <w:rFonts w:eastAsia="仿宋_GB2312"/>
                <w:szCs w:val="32"/>
                <w:highlight w:val="none"/>
              </w:rPr>
            </w:pPr>
            <w:r>
              <w:rPr>
                <w:rFonts w:eastAsia="仿宋_GB2312"/>
                <w:szCs w:val="32"/>
                <w:highlight w:val="none"/>
              </w:rPr>
              <w:t>/</w:t>
            </w:r>
          </w:p>
        </w:tc>
        <w:tc>
          <w:tcPr>
            <w:tcW w:w="1252" w:type="dxa"/>
            <w:shd w:val="clear" w:color="auto" w:fill="auto"/>
            <w:vAlign w:val="center"/>
          </w:tcPr>
          <w:p>
            <w:pPr>
              <w:pStyle w:val="13"/>
              <w:spacing w:beforeAutospacing="0" w:afterAutospacing="0" w:line="320" w:lineRule="exact"/>
              <w:jc w:val="center"/>
              <w:rPr>
                <w:rFonts w:eastAsia="仿宋_GB2312"/>
                <w:szCs w:val="32"/>
                <w:highlight w:val="none"/>
              </w:rPr>
            </w:pPr>
            <w:r>
              <w:rPr>
                <w:rFonts w:eastAsia="仿宋_GB2312"/>
                <w:szCs w:val="32"/>
                <w:highlight w:val="none"/>
              </w:rPr>
              <w:t>只增不减</w:t>
            </w:r>
          </w:p>
        </w:tc>
        <w:tc>
          <w:tcPr>
            <w:tcW w:w="1253" w:type="dxa"/>
            <w:shd w:val="clear" w:color="auto" w:fill="auto"/>
            <w:vAlign w:val="center"/>
          </w:tcPr>
          <w:p>
            <w:pPr>
              <w:pStyle w:val="13"/>
              <w:spacing w:beforeAutospacing="0" w:afterAutospacing="0" w:line="320" w:lineRule="exact"/>
              <w:jc w:val="center"/>
              <w:rPr>
                <w:rFonts w:eastAsia="仿宋_GB2312"/>
                <w:szCs w:val="32"/>
                <w:highlight w:val="none"/>
              </w:rPr>
            </w:pPr>
            <w:r>
              <w:rPr>
                <w:rFonts w:eastAsia="仿宋_GB2312"/>
                <w:szCs w:val="32"/>
                <w:highlight w:val="none"/>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39" w:type="dxa"/>
            <w:vMerge w:val="continue"/>
            <w:shd w:val="clear" w:color="auto" w:fill="auto"/>
            <w:vAlign w:val="center"/>
          </w:tcPr>
          <w:p>
            <w:pPr>
              <w:pStyle w:val="13"/>
              <w:spacing w:beforeAutospacing="0" w:afterAutospacing="0" w:line="320" w:lineRule="exact"/>
              <w:jc w:val="center"/>
              <w:rPr>
                <w:rFonts w:eastAsia="仿宋_GB2312"/>
                <w:b/>
                <w:szCs w:val="32"/>
                <w:highlight w:val="none"/>
              </w:rPr>
            </w:pPr>
          </w:p>
        </w:tc>
        <w:tc>
          <w:tcPr>
            <w:tcW w:w="3428" w:type="dxa"/>
            <w:gridSpan w:val="2"/>
            <w:shd w:val="clear" w:color="auto" w:fill="auto"/>
            <w:vAlign w:val="center"/>
          </w:tcPr>
          <w:p>
            <w:pPr>
              <w:pStyle w:val="13"/>
              <w:spacing w:beforeAutospacing="0" w:afterAutospacing="0" w:line="300" w:lineRule="exact"/>
              <w:rPr>
                <w:rFonts w:eastAsia="仿宋_GB2312"/>
                <w:szCs w:val="32"/>
                <w:highlight w:val="none"/>
              </w:rPr>
            </w:pPr>
            <w:r>
              <w:rPr>
                <w:rFonts w:eastAsia="仿宋_GB2312"/>
                <w:szCs w:val="32"/>
                <w:highlight w:val="none"/>
              </w:rPr>
              <w:t>建有新型教学空间学校比例（%）</w:t>
            </w:r>
          </w:p>
        </w:tc>
        <w:tc>
          <w:tcPr>
            <w:tcW w:w="1252" w:type="dxa"/>
            <w:shd w:val="clear" w:color="auto" w:fill="auto"/>
            <w:vAlign w:val="center"/>
          </w:tcPr>
          <w:p>
            <w:pPr>
              <w:pStyle w:val="13"/>
              <w:spacing w:beforeAutospacing="0" w:afterAutospacing="0" w:line="320" w:lineRule="exact"/>
              <w:jc w:val="center"/>
              <w:rPr>
                <w:rFonts w:eastAsia="仿宋_GB2312"/>
                <w:szCs w:val="32"/>
                <w:highlight w:val="none"/>
              </w:rPr>
            </w:pPr>
            <w:r>
              <w:rPr>
                <w:rFonts w:eastAsia="仿宋_GB2312"/>
                <w:szCs w:val="32"/>
                <w:highlight w:val="none"/>
              </w:rPr>
              <w:t>52.76</w:t>
            </w:r>
          </w:p>
        </w:tc>
        <w:tc>
          <w:tcPr>
            <w:tcW w:w="1253" w:type="dxa"/>
            <w:shd w:val="clear" w:color="auto" w:fill="auto"/>
            <w:vAlign w:val="center"/>
          </w:tcPr>
          <w:p>
            <w:pPr>
              <w:pStyle w:val="13"/>
              <w:spacing w:beforeAutospacing="0" w:afterAutospacing="0" w:line="320" w:lineRule="exact"/>
              <w:jc w:val="center"/>
              <w:rPr>
                <w:rFonts w:eastAsia="仿宋_GB2312"/>
                <w:szCs w:val="32"/>
                <w:highlight w:val="none"/>
              </w:rPr>
            </w:pPr>
            <w:r>
              <w:rPr>
                <w:rFonts w:eastAsia="仿宋_GB2312"/>
                <w:szCs w:val="32"/>
                <w:highlight w:val="none"/>
              </w:rPr>
              <w:t>78.2</w:t>
            </w:r>
          </w:p>
        </w:tc>
        <w:tc>
          <w:tcPr>
            <w:tcW w:w="1252" w:type="dxa"/>
            <w:shd w:val="clear" w:color="auto" w:fill="auto"/>
            <w:vAlign w:val="center"/>
          </w:tcPr>
          <w:p>
            <w:pPr>
              <w:pStyle w:val="13"/>
              <w:spacing w:beforeAutospacing="0" w:afterAutospacing="0" w:line="320" w:lineRule="exact"/>
              <w:jc w:val="center"/>
              <w:rPr>
                <w:rFonts w:eastAsia="仿宋_GB2312"/>
                <w:szCs w:val="32"/>
                <w:highlight w:val="none"/>
              </w:rPr>
            </w:pPr>
            <w:r>
              <w:rPr>
                <w:rFonts w:eastAsia="仿宋_GB2312"/>
                <w:szCs w:val="32"/>
                <w:highlight w:val="none"/>
              </w:rPr>
              <w:t>100</w:t>
            </w:r>
          </w:p>
        </w:tc>
        <w:tc>
          <w:tcPr>
            <w:tcW w:w="1253" w:type="dxa"/>
            <w:shd w:val="clear" w:color="auto" w:fill="auto"/>
            <w:vAlign w:val="center"/>
          </w:tcPr>
          <w:p>
            <w:pPr>
              <w:pStyle w:val="13"/>
              <w:spacing w:beforeAutospacing="0" w:afterAutospacing="0" w:line="320" w:lineRule="exact"/>
              <w:jc w:val="center"/>
              <w:rPr>
                <w:rFonts w:eastAsia="仿宋_GB2312"/>
                <w:szCs w:val="32"/>
                <w:highlight w:val="none"/>
              </w:rPr>
            </w:pPr>
            <w:r>
              <w:rPr>
                <w:rFonts w:eastAsia="仿宋_GB2312"/>
                <w:szCs w:val="32"/>
                <w:highlight w:val="none"/>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639" w:type="dxa"/>
            <w:vMerge w:val="continue"/>
            <w:shd w:val="clear" w:color="auto" w:fill="auto"/>
            <w:vAlign w:val="center"/>
          </w:tcPr>
          <w:p>
            <w:pPr>
              <w:pStyle w:val="13"/>
              <w:spacing w:beforeAutospacing="0" w:afterAutospacing="0" w:line="320" w:lineRule="exact"/>
              <w:jc w:val="center"/>
              <w:rPr>
                <w:rFonts w:eastAsia="仿宋_GB2312"/>
                <w:b/>
                <w:szCs w:val="32"/>
                <w:highlight w:val="none"/>
              </w:rPr>
            </w:pPr>
          </w:p>
        </w:tc>
        <w:tc>
          <w:tcPr>
            <w:tcW w:w="3428" w:type="dxa"/>
            <w:gridSpan w:val="2"/>
            <w:shd w:val="clear" w:color="auto" w:fill="auto"/>
            <w:vAlign w:val="center"/>
          </w:tcPr>
          <w:p>
            <w:pPr>
              <w:pStyle w:val="13"/>
              <w:spacing w:beforeAutospacing="0" w:afterAutospacing="0" w:line="300" w:lineRule="exact"/>
              <w:rPr>
                <w:rFonts w:eastAsia="仿宋_GB2312"/>
                <w:szCs w:val="32"/>
                <w:highlight w:val="none"/>
              </w:rPr>
            </w:pPr>
            <w:r>
              <w:rPr>
                <w:rFonts w:eastAsia="仿宋_GB2312"/>
                <w:szCs w:val="32"/>
                <w:highlight w:val="none"/>
              </w:rPr>
              <w:t>智慧校园覆盖率（示范校、优质校、达标校）（%）</w:t>
            </w:r>
          </w:p>
        </w:tc>
        <w:tc>
          <w:tcPr>
            <w:tcW w:w="1252" w:type="dxa"/>
            <w:shd w:val="clear" w:color="auto" w:fill="auto"/>
            <w:vAlign w:val="center"/>
          </w:tcPr>
          <w:p>
            <w:pPr>
              <w:pStyle w:val="13"/>
              <w:spacing w:beforeAutospacing="0" w:afterAutospacing="0" w:line="320" w:lineRule="exact"/>
              <w:jc w:val="center"/>
              <w:rPr>
                <w:rFonts w:eastAsia="仿宋_GB2312"/>
                <w:szCs w:val="32"/>
                <w:highlight w:val="none"/>
              </w:rPr>
            </w:pPr>
            <w:r>
              <w:rPr>
                <w:rFonts w:eastAsia="仿宋_GB2312"/>
                <w:szCs w:val="32"/>
                <w:highlight w:val="none"/>
              </w:rPr>
              <w:t>3.26/10.12/63.8</w:t>
            </w:r>
          </w:p>
        </w:tc>
        <w:tc>
          <w:tcPr>
            <w:tcW w:w="1253" w:type="dxa"/>
            <w:shd w:val="clear" w:color="auto" w:fill="auto"/>
            <w:vAlign w:val="center"/>
          </w:tcPr>
          <w:p>
            <w:pPr>
              <w:pStyle w:val="13"/>
              <w:spacing w:beforeAutospacing="0" w:afterAutospacing="0" w:line="320" w:lineRule="exact"/>
              <w:jc w:val="center"/>
              <w:rPr>
                <w:rFonts w:eastAsia="仿宋_GB2312"/>
                <w:szCs w:val="32"/>
                <w:highlight w:val="none"/>
              </w:rPr>
            </w:pPr>
            <w:r>
              <w:rPr>
                <w:rFonts w:eastAsia="仿宋_GB2312"/>
                <w:szCs w:val="32"/>
                <w:highlight w:val="none"/>
              </w:rPr>
              <w:t>/</w:t>
            </w:r>
          </w:p>
        </w:tc>
        <w:tc>
          <w:tcPr>
            <w:tcW w:w="1252" w:type="dxa"/>
            <w:shd w:val="clear" w:color="auto" w:fill="auto"/>
            <w:vAlign w:val="center"/>
          </w:tcPr>
          <w:p>
            <w:pPr>
              <w:pStyle w:val="13"/>
              <w:spacing w:beforeAutospacing="0" w:afterAutospacing="0" w:line="320" w:lineRule="exact"/>
              <w:jc w:val="center"/>
              <w:rPr>
                <w:rFonts w:eastAsia="仿宋_GB2312"/>
                <w:szCs w:val="32"/>
                <w:highlight w:val="none"/>
              </w:rPr>
            </w:pPr>
            <w:r>
              <w:rPr>
                <w:rFonts w:eastAsia="仿宋_GB2312"/>
                <w:szCs w:val="32"/>
                <w:highlight w:val="none"/>
              </w:rPr>
              <w:t>10/25/100</w:t>
            </w:r>
          </w:p>
        </w:tc>
        <w:tc>
          <w:tcPr>
            <w:tcW w:w="1253" w:type="dxa"/>
            <w:shd w:val="clear" w:color="auto" w:fill="auto"/>
            <w:vAlign w:val="center"/>
          </w:tcPr>
          <w:p>
            <w:pPr>
              <w:pStyle w:val="13"/>
              <w:spacing w:beforeAutospacing="0" w:afterAutospacing="0" w:line="320" w:lineRule="exact"/>
              <w:jc w:val="center"/>
              <w:rPr>
                <w:rFonts w:eastAsia="仿宋_GB2312"/>
                <w:szCs w:val="32"/>
                <w:highlight w:val="none"/>
              </w:rPr>
            </w:pPr>
            <w:r>
              <w:rPr>
                <w:rFonts w:eastAsia="仿宋_GB2312"/>
                <w:szCs w:val="32"/>
                <w:highlight w:val="none"/>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39" w:type="dxa"/>
            <w:vMerge w:val="continue"/>
            <w:shd w:val="clear" w:color="auto" w:fill="auto"/>
            <w:vAlign w:val="center"/>
          </w:tcPr>
          <w:p>
            <w:pPr>
              <w:pStyle w:val="13"/>
              <w:spacing w:beforeAutospacing="0" w:afterAutospacing="0" w:line="320" w:lineRule="exact"/>
              <w:jc w:val="center"/>
              <w:rPr>
                <w:rFonts w:eastAsia="仿宋_GB2312"/>
                <w:b/>
                <w:szCs w:val="32"/>
                <w:highlight w:val="none"/>
              </w:rPr>
            </w:pPr>
          </w:p>
        </w:tc>
        <w:tc>
          <w:tcPr>
            <w:tcW w:w="3428" w:type="dxa"/>
            <w:gridSpan w:val="2"/>
            <w:shd w:val="clear" w:color="auto" w:fill="auto"/>
            <w:vAlign w:val="center"/>
          </w:tcPr>
          <w:p>
            <w:pPr>
              <w:pStyle w:val="13"/>
              <w:spacing w:beforeAutospacing="0" w:afterAutospacing="0" w:line="300" w:lineRule="exact"/>
              <w:rPr>
                <w:rFonts w:eastAsia="仿宋_GB2312"/>
                <w:szCs w:val="32"/>
                <w:highlight w:val="none"/>
              </w:rPr>
            </w:pPr>
            <w:r>
              <w:rPr>
                <w:rFonts w:eastAsia="仿宋_GB2312"/>
                <w:szCs w:val="32"/>
                <w:highlight w:val="none"/>
              </w:rPr>
              <w:t>普通教室交互式多媒体配备率（%）</w:t>
            </w:r>
          </w:p>
        </w:tc>
        <w:tc>
          <w:tcPr>
            <w:tcW w:w="1252" w:type="dxa"/>
            <w:shd w:val="clear" w:color="auto" w:fill="auto"/>
            <w:vAlign w:val="center"/>
          </w:tcPr>
          <w:p>
            <w:pPr>
              <w:pStyle w:val="13"/>
              <w:spacing w:beforeAutospacing="0" w:afterAutospacing="0" w:line="320" w:lineRule="exact"/>
              <w:jc w:val="center"/>
              <w:rPr>
                <w:rFonts w:eastAsia="仿宋_GB2312"/>
                <w:szCs w:val="32"/>
                <w:highlight w:val="none"/>
              </w:rPr>
            </w:pPr>
            <w:r>
              <w:rPr>
                <w:rFonts w:eastAsia="仿宋_GB2312"/>
                <w:szCs w:val="32"/>
                <w:highlight w:val="none"/>
              </w:rPr>
              <w:t>75.41</w:t>
            </w:r>
          </w:p>
        </w:tc>
        <w:tc>
          <w:tcPr>
            <w:tcW w:w="1253" w:type="dxa"/>
            <w:shd w:val="clear" w:color="auto" w:fill="auto"/>
            <w:vAlign w:val="center"/>
          </w:tcPr>
          <w:p>
            <w:pPr>
              <w:pStyle w:val="13"/>
              <w:spacing w:beforeAutospacing="0" w:afterAutospacing="0" w:line="320" w:lineRule="exact"/>
              <w:jc w:val="center"/>
              <w:rPr>
                <w:rFonts w:eastAsia="仿宋_GB2312"/>
                <w:szCs w:val="32"/>
                <w:highlight w:val="none"/>
              </w:rPr>
            </w:pPr>
            <w:r>
              <w:rPr>
                <w:rFonts w:eastAsia="仿宋_GB2312"/>
                <w:szCs w:val="32"/>
                <w:highlight w:val="none"/>
              </w:rPr>
              <w:t>53.49</w:t>
            </w:r>
          </w:p>
        </w:tc>
        <w:tc>
          <w:tcPr>
            <w:tcW w:w="1252" w:type="dxa"/>
            <w:shd w:val="clear" w:color="auto" w:fill="auto"/>
            <w:vAlign w:val="center"/>
          </w:tcPr>
          <w:p>
            <w:pPr>
              <w:pStyle w:val="13"/>
              <w:spacing w:beforeAutospacing="0" w:afterAutospacing="0" w:line="320" w:lineRule="exact"/>
              <w:jc w:val="center"/>
              <w:rPr>
                <w:rFonts w:eastAsia="仿宋_GB2312"/>
                <w:szCs w:val="32"/>
                <w:highlight w:val="none"/>
              </w:rPr>
            </w:pPr>
            <w:r>
              <w:rPr>
                <w:rFonts w:eastAsia="仿宋_GB2312"/>
                <w:szCs w:val="32"/>
                <w:highlight w:val="none"/>
              </w:rPr>
              <w:t>100</w:t>
            </w:r>
          </w:p>
        </w:tc>
        <w:tc>
          <w:tcPr>
            <w:tcW w:w="1253" w:type="dxa"/>
            <w:shd w:val="clear" w:color="auto" w:fill="auto"/>
            <w:vAlign w:val="center"/>
          </w:tcPr>
          <w:p>
            <w:pPr>
              <w:pStyle w:val="13"/>
              <w:spacing w:beforeAutospacing="0" w:afterAutospacing="0" w:line="320" w:lineRule="exact"/>
              <w:jc w:val="center"/>
              <w:rPr>
                <w:rFonts w:eastAsia="仿宋_GB2312"/>
                <w:szCs w:val="32"/>
                <w:highlight w:val="none"/>
              </w:rPr>
            </w:pPr>
            <w:r>
              <w:rPr>
                <w:rFonts w:eastAsia="仿宋_GB2312"/>
                <w:szCs w:val="32"/>
                <w:highlight w:val="none"/>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39" w:type="dxa"/>
            <w:vMerge w:val="continue"/>
            <w:shd w:val="clear" w:color="auto" w:fill="auto"/>
            <w:vAlign w:val="center"/>
          </w:tcPr>
          <w:p>
            <w:pPr>
              <w:pStyle w:val="13"/>
              <w:spacing w:beforeAutospacing="0" w:afterAutospacing="0" w:line="320" w:lineRule="exact"/>
              <w:jc w:val="center"/>
              <w:rPr>
                <w:rFonts w:eastAsia="仿宋_GB2312"/>
                <w:b/>
                <w:szCs w:val="32"/>
                <w:highlight w:val="none"/>
              </w:rPr>
            </w:pPr>
          </w:p>
        </w:tc>
        <w:tc>
          <w:tcPr>
            <w:tcW w:w="3428" w:type="dxa"/>
            <w:gridSpan w:val="2"/>
            <w:shd w:val="clear" w:color="auto" w:fill="auto"/>
            <w:vAlign w:val="center"/>
          </w:tcPr>
          <w:p>
            <w:pPr>
              <w:pStyle w:val="13"/>
              <w:spacing w:beforeAutospacing="0" w:afterAutospacing="0" w:line="300" w:lineRule="exact"/>
              <w:rPr>
                <w:rFonts w:eastAsia="仿宋_GB2312"/>
                <w:szCs w:val="32"/>
                <w:highlight w:val="none"/>
              </w:rPr>
            </w:pPr>
            <w:r>
              <w:rPr>
                <w:rFonts w:eastAsia="仿宋_GB2312"/>
                <w:szCs w:val="32"/>
                <w:highlight w:val="none"/>
              </w:rPr>
              <w:t>网络万兆到校千兆到班接入率（小规模学校除外）（%）</w:t>
            </w:r>
          </w:p>
        </w:tc>
        <w:tc>
          <w:tcPr>
            <w:tcW w:w="1252" w:type="dxa"/>
            <w:shd w:val="clear" w:color="auto" w:fill="auto"/>
            <w:vAlign w:val="center"/>
          </w:tcPr>
          <w:p>
            <w:pPr>
              <w:pStyle w:val="13"/>
              <w:spacing w:beforeAutospacing="0" w:afterAutospacing="0" w:line="320" w:lineRule="exact"/>
              <w:jc w:val="center"/>
              <w:rPr>
                <w:rFonts w:eastAsia="仿宋_GB2312"/>
                <w:szCs w:val="32"/>
                <w:highlight w:val="none"/>
              </w:rPr>
            </w:pPr>
            <w:r>
              <w:rPr>
                <w:rFonts w:eastAsia="仿宋_GB2312"/>
                <w:szCs w:val="32"/>
                <w:highlight w:val="none"/>
              </w:rPr>
              <w:t>/</w:t>
            </w:r>
          </w:p>
        </w:tc>
        <w:tc>
          <w:tcPr>
            <w:tcW w:w="1253" w:type="dxa"/>
            <w:shd w:val="clear" w:color="auto" w:fill="auto"/>
            <w:vAlign w:val="center"/>
          </w:tcPr>
          <w:p>
            <w:pPr>
              <w:pStyle w:val="13"/>
              <w:spacing w:beforeAutospacing="0" w:afterAutospacing="0" w:line="320" w:lineRule="exact"/>
              <w:jc w:val="center"/>
              <w:rPr>
                <w:rFonts w:eastAsia="仿宋_GB2312"/>
                <w:szCs w:val="32"/>
                <w:highlight w:val="none"/>
              </w:rPr>
            </w:pPr>
            <w:r>
              <w:rPr>
                <w:rFonts w:eastAsia="仿宋_GB2312"/>
                <w:szCs w:val="32"/>
                <w:highlight w:val="none"/>
              </w:rPr>
              <w:t>/</w:t>
            </w:r>
          </w:p>
        </w:tc>
        <w:tc>
          <w:tcPr>
            <w:tcW w:w="1252" w:type="dxa"/>
            <w:shd w:val="clear" w:color="auto" w:fill="auto"/>
            <w:vAlign w:val="center"/>
          </w:tcPr>
          <w:p>
            <w:pPr>
              <w:pStyle w:val="13"/>
              <w:spacing w:beforeAutospacing="0" w:afterAutospacing="0" w:line="320" w:lineRule="exact"/>
              <w:jc w:val="center"/>
              <w:rPr>
                <w:rFonts w:eastAsia="仿宋_GB2312"/>
                <w:szCs w:val="32"/>
                <w:highlight w:val="none"/>
              </w:rPr>
            </w:pPr>
            <w:r>
              <w:rPr>
                <w:rFonts w:eastAsia="仿宋_GB2312"/>
                <w:szCs w:val="32"/>
                <w:highlight w:val="none"/>
              </w:rPr>
              <w:t>100</w:t>
            </w:r>
          </w:p>
        </w:tc>
        <w:tc>
          <w:tcPr>
            <w:tcW w:w="1253" w:type="dxa"/>
            <w:shd w:val="clear" w:color="auto" w:fill="auto"/>
            <w:vAlign w:val="center"/>
          </w:tcPr>
          <w:p>
            <w:pPr>
              <w:pStyle w:val="13"/>
              <w:spacing w:beforeAutospacing="0" w:afterAutospacing="0" w:line="320" w:lineRule="exact"/>
              <w:jc w:val="center"/>
              <w:rPr>
                <w:rFonts w:eastAsia="仿宋_GB2312"/>
                <w:szCs w:val="32"/>
                <w:highlight w:val="none"/>
              </w:rPr>
            </w:pPr>
            <w:r>
              <w:rPr>
                <w:rFonts w:eastAsia="仿宋_GB2312"/>
                <w:szCs w:val="32"/>
                <w:highlight w:val="none"/>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39" w:type="dxa"/>
            <w:vMerge w:val="continue"/>
            <w:shd w:val="clear" w:color="auto" w:fill="auto"/>
            <w:vAlign w:val="center"/>
          </w:tcPr>
          <w:p>
            <w:pPr>
              <w:pStyle w:val="13"/>
              <w:spacing w:beforeAutospacing="0" w:afterAutospacing="0" w:line="320" w:lineRule="exact"/>
              <w:jc w:val="center"/>
              <w:rPr>
                <w:rFonts w:eastAsia="仿宋_GB2312"/>
                <w:b/>
                <w:szCs w:val="32"/>
                <w:highlight w:val="none"/>
              </w:rPr>
            </w:pPr>
          </w:p>
        </w:tc>
        <w:tc>
          <w:tcPr>
            <w:tcW w:w="3428" w:type="dxa"/>
            <w:gridSpan w:val="2"/>
            <w:shd w:val="clear" w:color="auto" w:fill="auto"/>
            <w:vAlign w:val="center"/>
          </w:tcPr>
          <w:p>
            <w:pPr>
              <w:pStyle w:val="13"/>
              <w:spacing w:beforeAutospacing="0" w:afterAutospacing="0" w:line="300" w:lineRule="exact"/>
              <w:rPr>
                <w:rFonts w:eastAsia="仿宋_GB2312"/>
                <w:szCs w:val="32"/>
                <w:highlight w:val="none"/>
              </w:rPr>
            </w:pPr>
            <w:r>
              <w:rPr>
                <w:rFonts w:eastAsia="仿宋_GB2312"/>
                <w:szCs w:val="32"/>
                <w:highlight w:val="none"/>
              </w:rPr>
              <w:t>建有录播教室的学校比例（%）</w:t>
            </w:r>
          </w:p>
        </w:tc>
        <w:tc>
          <w:tcPr>
            <w:tcW w:w="1252" w:type="dxa"/>
            <w:shd w:val="clear" w:color="auto" w:fill="auto"/>
            <w:vAlign w:val="center"/>
          </w:tcPr>
          <w:p>
            <w:pPr>
              <w:pStyle w:val="13"/>
              <w:spacing w:beforeAutospacing="0" w:afterAutospacing="0" w:line="320" w:lineRule="exact"/>
              <w:jc w:val="center"/>
              <w:rPr>
                <w:rFonts w:eastAsia="仿宋_GB2312"/>
                <w:szCs w:val="32"/>
                <w:highlight w:val="none"/>
              </w:rPr>
            </w:pPr>
            <w:r>
              <w:rPr>
                <w:rFonts w:eastAsia="仿宋_GB2312"/>
                <w:szCs w:val="32"/>
                <w:highlight w:val="none"/>
              </w:rPr>
              <w:t>96.01</w:t>
            </w:r>
          </w:p>
        </w:tc>
        <w:tc>
          <w:tcPr>
            <w:tcW w:w="1253" w:type="dxa"/>
            <w:shd w:val="clear" w:color="auto" w:fill="auto"/>
            <w:vAlign w:val="center"/>
          </w:tcPr>
          <w:p>
            <w:pPr>
              <w:pStyle w:val="13"/>
              <w:spacing w:beforeAutospacing="0" w:afterAutospacing="0" w:line="320" w:lineRule="exact"/>
              <w:jc w:val="center"/>
              <w:rPr>
                <w:rFonts w:eastAsia="仿宋_GB2312"/>
                <w:szCs w:val="32"/>
                <w:highlight w:val="none"/>
              </w:rPr>
            </w:pPr>
            <w:r>
              <w:rPr>
                <w:rFonts w:eastAsia="仿宋_GB2312"/>
                <w:szCs w:val="32"/>
                <w:highlight w:val="none"/>
              </w:rPr>
              <w:t>92.2</w:t>
            </w:r>
          </w:p>
        </w:tc>
        <w:tc>
          <w:tcPr>
            <w:tcW w:w="1252" w:type="dxa"/>
            <w:shd w:val="clear" w:color="auto" w:fill="auto"/>
            <w:vAlign w:val="center"/>
          </w:tcPr>
          <w:p>
            <w:pPr>
              <w:pStyle w:val="13"/>
              <w:spacing w:beforeAutospacing="0" w:afterAutospacing="0" w:line="320" w:lineRule="exact"/>
              <w:jc w:val="center"/>
              <w:rPr>
                <w:rFonts w:eastAsia="仿宋_GB2312"/>
                <w:szCs w:val="32"/>
                <w:highlight w:val="none"/>
              </w:rPr>
            </w:pPr>
            <w:r>
              <w:rPr>
                <w:rFonts w:eastAsia="仿宋_GB2312"/>
                <w:szCs w:val="32"/>
                <w:highlight w:val="none"/>
              </w:rPr>
              <w:t>100</w:t>
            </w:r>
          </w:p>
        </w:tc>
        <w:tc>
          <w:tcPr>
            <w:tcW w:w="1253" w:type="dxa"/>
            <w:shd w:val="clear" w:color="auto" w:fill="auto"/>
            <w:vAlign w:val="center"/>
          </w:tcPr>
          <w:p>
            <w:pPr>
              <w:pStyle w:val="13"/>
              <w:spacing w:beforeAutospacing="0" w:afterAutospacing="0" w:line="320" w:lineRule="exact"/>
              <w:jc w:val="center"/>
              <w:rPr>
                <w:rFonts w:eastAsia="仿宋_GB2312"/>
                <w:szCs w:val="32"/>
                <w:highlight w:val="none"/>
              </w:rPr>
            </w:pPr>
            <w:r>
              <w:rPr>
                <w:rFonts w:eastAsia="仿宋_GB2312"/>
                <w:szCs w:val="32"/>
                <w:highlight w:val="none"/>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639" w:type="dxa"/>
            <w:vMerge w:val="continue"/>
            <w:shd w:val="clear" w:color="auto" w:fill="auto"/>
            <w:vAlign w:val="center"/>
          </w:tcPr>
          <w:p>
            <w:pPr>
              <w:pStyle w:val="13"/>
              <w:spacing w:beforeAutospacing="0" w:afterAutospacing="0" w:line="320" w:lineRule="exact"/>
              <w:jc w:val="center"/>
              <w:rPr>
                <w:rFonts w:eastAsia="仿宋_GB2312"/>
                <w:b/>
                <w:szCs w:val="32"/>
                <w:highlight w:val="none"/>
              </w:rPr>
            </w:pPr>
          </w:p>
        </w:tc>
        <w:tc>
          <w:tcPr>
            <w:tcW w:w="3428" w:type="dxa"/>
            <w:gridSpan w:val="2"/>
            <w:shd w:val="clear" w:color="auto" w:fill="auto"/>
            <w:vAlign w:val="center"/>
          </w:tcPr>
          <w:p>
            <w:pPr>
              <w:pStyle w:val="13"/>
              <w:spacing w:beforeAutospacing="0" w:afterAutospacing="0" w:line="300" w:lineRule="exact"/>
              <w:rPr>
                <w:rFonts w:eastAsia="仿宋_GB2312"/>
                <w:szCs w:val="32"/>
                <w:highlight w:val="none"/>
              </w:rPr>
            </w:pPr>
            <w:r>
              <w:rPr>
                <w:rFonts w:eastAsia="仿宋_GB2312"/>
                <w:szCs w:val="32"/>
                <w:highlight w:val="none"/>
              </w:rPr>
              <w:t>区域网络安全感知平台建设比例（%）</w:t>
            </w:r>
          </w:p>
        </w:tc>
        <w:tc>
          <w:tcPr>
            <w:tcW w:w="1252" w:type="dxa"/>
            <w:shd w:val="clear" w:color="auto" w:fill="auto"/>
            <w:vAlign w:val="center"/>
          </w:tcPr>
          <w:p>
            <w:pPr>
              <w:pStyle w:val="13"/>
              <w:spacing w:beforeAutospacing="0" w:afterAutospacing="0" w:line="320" w:lineRule="exact"/>
              <w:jc w:val="center"/>
              <w:rPr>
                <w:rFonts w:eastAsia="仿宋_GB2312"/>
                <w:szCs w:val="32"/>
                <w:highlight w:val="none"/>
              </w:rPr>
            </w:pPr>
            <w:r>
              <w:rPr>
                <w:rFonts w:eastAsia="仿宋_GB2312"/>
                <w:szCs w:val="32"/>
                <w:highlight w:val="none"/>
              </w:rPr>
              <w:t>/</w:t>
            </w:r>
          </w:p>
        </w:tc>
        <w:tc>
          <w:tcPr>
            <w:tcW w:w="1253" w:type="dxa"/>
            <w:shd w:val="clear" w:color="auto" w:fill="auto"/>
            <w:vAlign w:val="center"/>
          </w:tcPr>
          <w:p>
            <w:pPr>
              <w:pStyle w:val="13"/>
              <w:spacing w:beforeAutospacing="0" w:afterAutospacing="0" w:line="320" w:lineRule="exact"/>
              <w:jc w:val="center"/>
              <w:rPr>
                <w:rFonts w:eastAsia="仿宋_GB2312"/>
                <w:szCs w:val="32"/>
                <w:highlight w:val="none"/>
              </w:rPr>
            </w:pPr>
            <w:r>
              <w:rPr>
                <w:rFonts w:eastAsia="仿宋_GB2312"/>
                <w:szCs w:val="32"/>
                <w:highlight w:val="none"/>
              </w:rPr>
              <w:t>/</w:t>
            </w:r>
          </w:p>
        </w:tc>
        <w:tc>
          <w:tcPr>
            <w:tcW w:w="1252" w:type="dxa"/>
            <w:shd w:val="clear" w:color="auto" w:fill="auto"/>
            <w:vAlign w:val="center"/>
          </w:tcPr>
          <w:p>
            <w:pPr>
              <w:pStyle w:val="13"/>
              <w:spacing w:beforeAutospacing="0" w:afterAutospacing="0" w:line="320" w:lineRule="exact"/>
              <w:jc w:val="center"/>
              <w:rPr>
                <w:rFonts w:eastAsia="仿宋_GB2312"/>
                <w:szCs w:val="32"/>
                <w:highlight w:val="none"/>
              </w:rPr>
            </w:pPr>
            <w:r>
              <w:rPr>
                <w:rFonts w:eastAsia="仿宋_GB2312"/>
                <w:szCs w:val="32"/>
                <w:highlight w:val="none"/>
              </w:rPr>
              <w:t>100</w:t>
            </w:r>
          </w:p>
        </w:tc>
        <w:tc>
          <w:tcPr>
            <w:tcW w:w="1253" w:type="dxa"/>
            <w:shd w:val="clear" w:color="auto" w:fill="auto"/>
            <w:vAlign w:val="center"/>
          </w:tcPr>
          <w:p>
            <w:pPr>
              <w:pStyle w:val="13"/>
              <w:spacing w:beforeAutospacing="0" w:afterAutospacing="0" w:line="320" w:lineRule="exact"/>
              <w:jc w:val="center"/>
              <w:rPr>
                <w:rFonts w:eastAsia="仿宋_GB2312"/>
                <w:szCs w:val="32"/>
                <w:highlight w:val="none"/>
              </w:rPr>
            </w:pPr>
            <w:r>
              <w:rPr>
                <w:rFonts w:eastAsia="仿宋_GB2312"/>
                <w:szCs w:val="32"/>
                <w:highlight w:val="none"/>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39" w:type="dxa"/>
            <w:vMerge w:val="continue"/>
            <w:shd w:val="clear" w:color="auto" w:fill="auto"/>
            <w:vAlign w:val="center"/>
          </w:tcPr>
          <w:p>
            <w:pPr>
              <w:pStyle w:val="13"/>
              <w:spacing w:beforeAutospacing="0" w:afterAutospacing="0" w:line="320" w:lineRule="exact"/>
              <w:jc w:val="center"/>
              <w:rPr>
                <w:rFonts w:eastAsia="仿宋_GB2312"/>
                <w:b/>
                <w:szCs w:val="32"/>
                <w:highlight w:val="none"/>
              </w:rPr>
            </w:pPr>
          </w:p>
        </w:tc>
        <w:tc>
          <w:tcPr>
            <w:tcW w:w="3428" w:type="dxa"/>
            <w:gridSpan w:val="2"/>
            <w:shd w:val="clear" w:color="auto" w:fill="auto"/>
            <w:vAlign w:val="center"/>
          </w:tcPr>
          <w:p>
            <w:pPr>
              <w:pStyle w:val="13"/>
              <w:spacing w:beforeAutospacing="0" w:afterAutospacing="0" w:line="300" w:lineRule="exact"/>
              <w:rPr>
                <w:rFonts w:eastAsia="仿宋_GB2312"/>
                <w:szCs w:val="32"/>
                <w:highlight w:val="none"/>
              </w:rPr>
            </w:pPr>
            <w:r>
              <w:rPr>
                <w:rFonts w:eastAsia="仿宋_GB2312"/>
                <w:szCs w:val="32"/>
                <w:highlight w:val="none"/>
              </w:rPr>
              <w:t>校园物联网覆盖率（%）</w:t>
            </w:r>
          </w:p>
        </w:tc>
        <w:tc>
          <w:tcPr>
            <w:tcW w:w="1252" w:type="dxa"/>
            <w:shd w:val="clear" w:color="auto" w:fill="auto"/>
            <w:vAlign w:val="center"/>
          </w:tcPr>
          <w:p>
            <w:pPr>
              <w:pStyle w:val="13"/>
              <w:spacing w:beforeAutospacing="0" w:afterAutospacing="0" w:line="320" w:lineRule="exact"/>
              <w:jc w:val="center"/>
              <w:rPr>
                <w:rFonts w:eastAsia="仿宋_GB2312"/>
                <w:szCs w:val="32"/>
                <w:highlight w:val="none"/>
              </w:rPr>
            </w:pPr>
            <w:r>
              <w:rPr>
                <w:rFonts w:eastAsia="仿宋_GB2312"/>
                <w:szCs w:val="32"/>
                <w:highlight w:val="none"/>
              </w:rPr>
              <w:t>/</w:t>
            </w:r>
          </w:p>
        </w:tc>
        <w:tc>
          <w:tcPr>
            <w:tcW w:w="1253" w:type="dxa"/>
            <w:shd w:val="clear" w:color="auto" w:fill="auto"/>
            <w:vAlign w:val="center"/>
          </w:tcPr>
          <w:p>
            <w:pPr>
              <w:pStyle w:val="13"/>
              <w:spacing w:beforeAutospacing="0" w:afterAutospacing="0" w:line="320" w:lineRule="exact"/>
              <w:jc w:val="center"/>
              <w:rPr>
                <w:rFonts w:eastAsia="仿宋_GB2312"/>
                <w:szCs w:val="32"/>
                <w:highlight w:val="none"/>
              </w:rPr>
            </w:pPr>
            <w:r>
              <w:rPr>
                <w:rFonts w:eastAsia="仿宋_GB2312"/>
                <w:szCs w:val="32"/>
                <w:highlight w:val="none"/>
              </w:rPr>
              <w:t>/</w:t>
            </w:r>
          </w:p>
        </w:tc>
        <w:tc>
          <w:tcPr>
            <w:tcW w:w="1252" w:type="dxa"/>
            <w:shd w:val="clear" w:color="auto" w:fill="auto"/>
            <w:vAlign w:val="center"/>
          </w:tcPr>
          <w:p>
            <w:pPr>
              <w:pStyle w:val="13"/>
              <w:spacing w:beforeAutospacing="0" w:afterAutospacing="0" w:line="320" w:lineRule="exact"/>
              <w:jc w:val="center"/>
              <w:rPr>
                <w:rFonts w:eastAsia="仿宋_GB2312"/>
                <w:szCs w:val="32"/>
                <w:highlight w:val="none"/>
              </w:rPr>
            </w:pPr>
            <w:r>
              <w:rPr>
                <w:rFonts w:eastAsia="仿宋_GB2312"/>
                <w:szCs w:val="32"/>
                <w:highlight w:val="none"/>
              </w:rPr>
              <w:t>100</w:t>
            </w:r>
          </w:p>
        </w:tc>
        <w:tc>
          <w:tcPr>
            <w:tcW w:w="1253" w:type="dxa"/>
            <w:shd w:val="clear" w:color="auto" w:fill="auto"/>
            <w:vAlign w:val="center"/>
          </w:tcPr>
          <w:p>
            <w:pPr>
              <w:pStyle w:val="13"/>
              <w:spacing w:beforeAutospacing="0" w:afterAutospacing="0" w:line="320" w:lineRule="exact"/>
              <w:jc w:val="center"/>
              <w:rPr>
                <w:rFonts w:eastAsia="仿宋_GB2312"/>
                <w:szCs w:val="32"/>
                <w:highlight w:val="none"/>
              </w:rPr>
            </w:pPr>
            <w:r>
              <w:rPr>
                <w:rFonts w:eastAsia="仿宋_GB2312"/>
                <w:szCs w:val="32"/>
                <w:highlight w:val="none"/>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39" w:type="dxa"/>
            <w:vMerge w:val="continue"/>
            <w:shd w:val="clear" w:color="auto" w:fill="auto"/>
            <w:vAlign w:val="center"/>
          </w:tcPr>
          <w:p>
            <w:pPr>
              <w:pStyle w:val="13"/>
              <w:spacing w:beforeAutospacing="0" w:afterAutospacing="0" w:line="320" w:lineRule="exact"/>
              <w:jc w:val="center"/>
              <w:rPr>
                <w:rFonts w:eastAsia="仿宋_GB2312"/>
                <w:b/>
                <w:szCs w:val="32"/>
                <w:highlight w:val="none"/>
              </w:rPr>
            </w:pPr>
          </w:p>
        </w:tc>
        <w:tc>
          <w:tcPr>
            <w:tcW w:w="3428" w:type="dxa"/>
            <w:gridSpan w:val="2"/>
            <w:shd w:val="clear" w:color="auto" w:fill="auto"/>
            <w:vAlign w:val="center"/>
          </w:tcPr>
          <w:p>
            <w:pPr>
              <w:pStyle w:val="13"/>
              <w:spacing w:beforeAutospacing="0" w:afterAutospacing="0" w:line="300" w:lineRule="exact"/>
              <w:rPr>
                <w:rFonts w:eastAsia="仿宋_GB2312"/>
                <w:szCs w:val="32"/>
                <w:highlight w:val="none"/>
              </w:rPr>
            </w:pPr>
            <w:r>
              <w:rPr>
                <w:rFonts w:eastAsia="仿宋_GB2312"/>
                <w:szCs w:val="32"/>
                <w:highlight w:val="none"/>
              </w:rPr>
              <w:t>初中学校实验智慧考试系统覆盖率（%）</w:t>
            </w:r>
          </w:p>
        </w:tc>
        <w:tc>
          <w:tcPr>
            <w:tcW w:w="1252" w:type="dxa"/>
            <w:shd w:val="clear" w:color="auto" w:fill="auto"/>
            <w:vAlign w:val="center"/>
          </w:tcPr>
          <w:p>
            <w:pPr>
              <w:pStyle w:val="13"/>
              <w:spacing w:beforeAutospacing="0" w:afterAutospacing="0" w:line="320" w:lineRule="exact"/>
              <w:jc w:val="center"/>
              <w:rPr>
                <w:rFonts w:eastAsia="仿宋_GB2312"/>
                <w:szCs w:val="32"/>
                <w:highlight w:val="none"/>
              </w:rPr>
            </w:pPr>
            <w:r>
              <w:rPr>
                <w:rFonts w:eastAsia="仿宋_GB2312"/>
                <w:szCs w:val="32"/>
                <w:highlight w:val="none"/>
              </w:rPr>
              <w:t>/</w:t>
            </w:r>
          </w:p>
        </w:tc>
        <w:tc>
          <w:tcPr>
            <w:tcW w:w="1253" w:type="dxa"/>
            <w:shd w:val="clear" w:color="auto" w:fill="auto"/>
            <w:vAlign w:val="center"/>
          </w:tcPr>
          <w:p>
            <w:pPr>
              <w:pStyle w:val="13"/>
              <w:spacing w:beforeAutospacing="0" w:afterAutospacing="0" w:line="320" w:lineRule="exact"/>
              <w:jc w:val="center"/>
              <w:rPr>
                <w:rFonts w:eastAsia="仿宋_GB2312"/>
                <w:szCs w:val="32"/>
                <w:highlight w:val="none"/>
              </w:rPr>
            </w:pPr>
            <w:r>
              <w:rPr>
                <w:rFonts w:eastAsia="仿宋_GB2312"/>
                <w:szCs w:val="32"/>
                <w:highlight w:val="none"/>
              </w:rPr>
              <w:t>/</w:t>
            </w:r>
          </w:p>
        </w:tc>
        <w:tc>
          <w:tcPr>
            <w:tcW w:w="1252" w:type="dxa"/>
            <w:shd w:val="clear" w:color="auto" w:fill="auto"/>
            <w:vAlign w:val="center"/>
          </w:tcPr>
          <w:p>
            <w:pPr>
              <w:pStyle w:val="13"/>
              <w:spacing w:beforeAutospacing="0" w:afterAutospacing="0" w:line="320" w:lineRule="exact"/>
              <w:jc w:val="center"/>
              <w:rPr>
                <w:rFonts w:eastAsia="仿宋_GB2312"/>
                <w:szCs w:val="32"/>
                <w:highlight w:val="none"/>
              </w:rPr>
            </w:pPr>
            <w:r>
              <w:rPr>
                <w:rFonts w:eastAsia="仿宋_GB2312"/>
                <w:szCs w:val="32"/>
                <w:highlight w:val="none"/>
              </w:rPr>
              <w:t>100</w:t>
            </w:r>
          </w:p>
        </w:tc>
        <w:tc>
          <w:tcPr>
            <w:tcW w:w="1253" w:type="dxa"/>
            <w:shd w:val="clear" w:color="auto" w:fill="auto"/>
            <w:vAlign w:val="center"/>
          </w:tcPr>
          <w:p>
            <w:pPr>
              <w:pStyle w:val="13"/>
              <w:spacing w:beforeAutospacing="0" w:afterAutospacing="0" w:line="320" w:lineRule="exact"/>
              <w:jc w:val="center"/>
              <w:rPr>
                <w:rFonts w:eastAsia="仿宋_GB2312"/>
                <w:szCs w:val="32"/>
                <w:highlight w:val="none"/>
              </w:rPr>
            </w:pPr>
            <w:r>
              <w:rPr>
                <w:rFonts w:eastAsia="仿宋_GB2312"/>
                <w:szCs w:val="32"/>
                <w:highlight w:val="none"/>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39" w:type="dxa"/>
            <w:vMerge w:val="continue"/>
            <w:shd w:val="clear" w:color="auto" w:fill="auto"/>
            <w:vAlign w:val="center"/>
          </w:tcPr>
          <w:p>
            <w:pPr>
              <w:pStyle w:val="13"/>
              <w:spacing w:beforeAutospacing="0" w:afterAutospacing="0" w:line="320" w:lineRule="exact"/>
              <w:jc w:val="center"/>
              <w:rPr>
                <w:rFonts w:eastAsia="仿宋_GB2312"/>
                <w:b/>
                <w:szCs w:val="32"/>
                <w:highlight w:val="none"/>
              </w:rPr>
            </w:pPr>
          </w:p>
        </w:tc>
        <w:tc>
          <w:tcPr>
            <w:tcW w:w="3428" w:type="dxa"/>
            <w:gridSpan w:val="2"/>
            <w:shd w:val="clear" w:color="auto" w:fill="auto"/>
            <w:vAlign w:val="center"/>
          </w:tcPr>
          <w:p>
            <w:pPr>
              <w:widowControl/>
              <w:spacing w:line="300" w:lineRule="exact"/>
              <w:jc w:val="left"/>
              <w:rPr>
                <w:rFonts w:eastAsia="仿宋_GB2312"/>
                <w:kern w:val="0"/>
                <w:sz w:val="24"/>
                <w:highlight w:val="none"/>
              </w:rPr>
            </w:pPr>
            <w:r>
              <w:rPr>
                <w:rFonts w:eastAsia="仿宋_GB2312"/>
                <w:sz w:val="24"/>
                <w:szCs w:val="32"/>
                <w:highlight w:val="none"/>
              </w:rPr>
              <w:t>教师待遇不低于或高于公务员水平</w:t>
            </w:r>
          </w:p>
        </w:tc>
        <w:tc>
          <w:tcPr>
            <w:tcW w:w="1252" w:type="dxa"/>
            <w:shd w:val="clear" w:color="auto" w:fill="auto"/>
            <w:vAlign w:val="center"/>
          </w:tcPr>
          <w:p>
            <w:pPr>
              <w:pStyle w:val="13"/>
              <w:spacing w:beforeAutospacing="0" w:afterAutospacing="0" w:line="320" w:lineRule="exact"/>
              <w:jc w:val="center"/>
              <w:rPr>
                <w:rFonts w:eastAsia="仿宋_GB2312"/>
                <w:szCs w:val="32"/>
                <w:highlight w:val="none"/>
              </w:rPr>
            </w:pPr>
            <w:r>
              <w:rPr>
                <w:rFonts w:eastAsia="仿宋_GB2312"/>
                <w:szCs w:val="32"/>
                <w:highlight w:val="none"/>
              </w:rPr>
              <w:t>全落实</w:t>
            </w:r>
          </w:p>
        </w:tc>
        <w:tc>
          <w:tcPr>
            <w:tcW w:w="1253" w:type="dxa"/>
            <w:shd w:val="clear" w:color="auto" w:fill="auto"/>
            <w:vAlign w:val="center"/>
          </w:tcPr>
          <w:p>
            <w:pPr>
              <w:pStyle w:val="13"/>
              <w:spacing w:beforeAutospacing="0" w:afterAutospacing="0" w:line="320" w:lineRule="exact"/>
              <w:jc w:val="center"/>
              <w:rPr>
                <w:rFonts w:eastAsia="仿宋_GB2312"/>
                <w:szCs w:val="32"/>
                <w:highlight w:val="none"/>
              </w:rPr>
            </w:pPr>
            <w:r>
              <w:rPr>
                <w:rFonts w:eastAsia="仿宋_GB2312"/>
                <w:szCs w:val="32"/>
                <w:highlight w:val="none"/>
              </w:rPr>
              <w:t>全落实</w:t>
            </w:r>
          </w:p>
        </w:tc>
        <w:tc>
          <w:tcPr>
            <w:tcW w:w="1252" w:type="dxa"/>
            <w:shd w:val="clear" w:color="auto" w:fill="auto"/>
            <w:vAlign w:val="center"/>
          </w:tcPr>
          <w:p>
            <w:pPr>
              <w:pStyle w:val="13"/>
              <w:spacing w:beforeAutospacing="0" w:afterAutospacing="0" w:line="320" w:lineRule="exact"/>
              <w:jc w:val="center"/>
              <w:rPr>
                <w:rFonts w:eastAsia="仿宋_GB2312"/>
                <w:szCs w:val="32"/>
                <w:highlight w:val="none"/>
              </w:rPr>
            </w:pPr>
            <w:r>
              <w:rPr>
                <w:rFonts w:eastAsia="仿宋_GB2312"/>
                <w:szCs w:val="32"/>
                <w:highlight w:val="none"/>
              </w:rPr>
              <w:t>全落实</w:t>
            </w:r>
          </w:p>
        </w:tc>
        <w:tc>
          <w:tcPr>
            <w:tcW w:w="1253" w:type="dxa"/>
            <w:shd w:val="clear" w:color="auto" w:fill="auto"/>
            <w:vAlign w:val="center"/>
          </w:tcPr>
          <w:p>
            <w:pPr>
              <w:pStyle w:val="13"/>
              <w:spacing w:beforeAutospacing="0" w:afterAutospacing="0" w:line="320" w:lineRule="exact"/>
              <w:jc w:val="center"/>
              <w:rPr>
                <w:rFonts w:eastAsia="仿宋_GB2312"/>
                <w:szCs w:val="32"/>
                <w:highlight w:val="none"/>
              </w:rPr>
            </w:pPr>
            <w:r>
              <w:rPr>
                <w:rFonts w:eastAsia="仿宋_GB2312"/>
                <w:szCs w:val="32"/>
                <w:highlight w:val="none"/>
              </w:rPr>
              <w:t>全落实</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639" w:type="dxa"/>
            <w:vMerge w:val="continue"/>
            <w:shd w:val="clear" w:color="auto" w:fill="auto"/>
            <w:vAlign w:val="center"/>
          </w:tcPr>
          <w:p>
            <w:pPr>
              <w:pStyle w:val="13"/>
              <w:spacing w:beforeAutospacing="0" w:afterAutospacing="0" w:line="320" w:lineRule="exact"/>
              <w:jc w:val="center"/>
              <w:rPr>
                <w:rFonts w:eastAsia="仿宋_GB2312"/>
                <w:b/>
                <w:szCs w:val="32"/>
                <w:highlight w:val="none"/>
              </w:rPr>
            </w:pPr>
          </w:p>
        </w:tc>
        <w:tc>
          <w:tcPr>
            <w:tcW w:w="3428" w:type="dxa"/>
            <w:gridSpan w:val="2"/>
            <w:shd w:val="clear" w:color="auto" w:fill="auto"/>
            <w:vAlign w:val="center"/>
          </w:tcPr>
          <w:p>
            <w:pPr>
              <w:pStyle w:val="13"/>
              <w:spacing w:beforeAutospacing="0" w:afterAutospacing="0" w:line="300" w:lineRule="exact"/>
              <w:rPr>
                <w:rFonts w:eastAsia="仿宋_GB2312"/>
                <w:szCs w:val="32"/>
                <w:highlight w:val="none"/>
              </w:rPr>
            </w:pPr>
            <w:r>
              <w:rPr>
                <w:rFonts w:eastAsia="仿宋_GB2312"/>
                <w:szCs w:val="32"/>
                <w:highlight w:val="none"/>
              </w:rPr>
              <w:t>骨干教师比例（含教坛新秀、教学能手、学科带头人、教学名师、骨干校长、名校长）（%）</w:t>
            </w:r>
          </w:p>
        </w:tc>
        <w:tc>
          <w:tcPr>
            <w:tcW w:w="1252" w:type="dxa"/>
            <w:shd w:val="clear" w:color="auto" w:fill="auto"/>
            <w:vAlign w:val="center"/>
          </w:tcPr>
          <w:p>
            <w:pPr>
              <w:pStyle w:val="13"/>
              <w:spacing w:beforeAutospacing="0" w:afterAutospacing="0" w:line="320" w:lineRule="exact"/>
              <w:jc w:val="center"/>
              <w:rPr>
                <w:rFonts w:eastAsia="仿宋_GB2312"/>
                <w:szCs w:val="32"/>
                <w:highlight w:val="none"/>
              </w:rPr>
            </w:pPr>
            <w:r>
              <w:rPr>
                <w:rFonts w:eastAsia="仿宋_GB2312"/>
                <w:szCs w:val="32"/>
                <w:highlight w:val="none"/>
              </w:rPr>
              <w:t>7.5</w:t>
            </w:r>
          </w:p>
        </w:tc>
        <w:tc>
          <w:tcPr>
            <w:tcW w:w="1253" w:type="dxa"/>
            <w:shd w:val="clear" w:color="auto" w:fill="auto"/>
            <w:vAlign w:val="center"/>
          </w:tcPr>
          <w:p>
            <w:pPr>
              <w:pStyle w:val="13"/>
              <w:spacing w:beforeAutospacing="0" w:afterAutospacing="0" w:line="320" w:lineRule="exact"/>
              <w:jc w:val="center"/>
              <w:rPr>
                <w:rFonts w:eastAsia="仿宋_GB2312"/>
                <w:szCs w:val="32"/>
                <w:highlight w:val="none"/>
              </w:rPr>
            </w:pPr>
            <w:r>
              <w:rPr>
                <w:rFonts w:eastAsia="仿宋_GB2312"/>
                <w:szCs w:val="32"/>
                <w:highlight w:val="none"/>
              </w:rPr>
              <w:t>/</w:t>
            </w:r>
          </w:p>
        </w:tc>
        <w:tc>
          <w:tcPr>
            <w:tcW w:w="1252" w:type="dxa"/>
            <w:shd w:val="clear" w:color="auto" w:fill="auto"/>
            <w:vAlign w:val="center"/>
          </w:tcPr>
          <w:p>
            <w:pPr>
              <w:pStyle w:val="13"/>
              <w:spacing w:beforeAutospacing="0" w:afterAutospacing="0" w:line="320" w:lineRule="exact"/>
              <w:jc w:val="center"/>
              <w:rPr>
                <w:rFonts w:eastAsia="仿宋_GB2312"/>
                <w:szCs w:val="32"/>
                <w:highlight w:val="none"/>
              </w:rPr>
            </w:pPr>
            <w:r>
              <w:rPr>
                <w:rFonts w:eastAsia="仿宋_GB2312"/>
                <w:szCs w:val="32"/>
                <w:highlight w:val="none"/>
              </w:rPr>
              <w:t>15</w:t>
            </w:r>
          </w:p>
        </w:tc>
        <w:tc>
          <w:tcPr>
            <w:tcW w:w="1253" w:type="dxa"/>
            <w:shd w:val="clear" w:color="auto" w:fill="auto"/>
            <w:vAlign w:val="center"/>
          </w:tcPr>
          <w:p>
            <w:pPr>
              <w:pStyle w:val="13"/>
              <w:spacing w:beforeAutospacing="0" w:afterAutospacing="0" w:line="320" w:lineRule="exact"/>
              <w:jc w:val="center"/>
              <w:rPr>
                <w:rFonts w:eastAsia="仿宋_GB2312"/>
                <w:szCs w:val="32"/>
                <w:highlight w:val="none"/>
              </w:rPr>
            </w:pPr>
            <w:r>
              <w:rPr>
                <w:rFonts w:eastAsia="仿宋_GB2312"/>
                <w:szCs w:val="32"/>
                <w:highlight w:val="none"/>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39" w:type="dxa"/>
            <w:vMerge w:val="continue"/>
            <w:shd w:val="clear" w:color="auto" w:fill="auto"/>
            <w:vAlign w:val="center"/>
          </w:tcPr>
          <w:p>
            <w:pPr>
              <w:pStyle w:val="13"/>
              <w:spacing w:beforeAutospacing="0" w:afterAutospacing="0" w:line="320" w:lineRule="exact"/>
              <w:jc w:val="center"/>
              <w:rPr>
                <w:rFonts w:eastAsia="仿宋_GB2312"/>
                <w:b/>
                <w:szCs w:val="32"/>
                <w:highlight w:val="none"/>
              </w:rPr>
            </w:pPr>
          </w:p>
        </w:tc>
        <w:tc>
          <w:tcPr>
            <w:tcW w:w="3428" w:type="dxa"/>
            <w:gridSpan w:val="2"/>
            <w:shd w:val="clear" w:color="auto" w:fill="auto"/>
            <w:vAlign w:val="center"/>
          </w:tcPr>
          <w:p>
            <w:pPr>
              <w:pStyle w:val="13"/>
              <w:spacing w:beforeAutospacing="0" w:afterAutospacing="0" w:line="300" w:lineRule="exact"/>
              <w:rPr>
                <w:rFonts w:eastAsia="仿宋_GB2312"/>
                <w:szCs w:val="32"/>
                <w:highlight w:val="none"/>
              </w:rPr>
            </w:pPr>
            <w:r>
              <w:rPr>
                <w:rFonts w:eastAsia="仿宋_GB2312"/>
                <w:szCs w:val="32"/>
                <w:highlight w:val="none"/>
              </w:rPr>
              <w:t>区域名师比例（含特级教师、正高级教师、教学名家、教育管理名家）（%）</w:t>
            </w:r>
          </w:p>
        </w:tc>
        <w:tc>
          <w:tcPr>
            <w:tcW w:w="1252" w:type="dxa"/>
            <w:shd w:val="clear" w:color="auto" w:fill="auto"/>
            <w:vAlign w:val="center"/>
          </w:tcPr>
          <w:p>
            <w:pPr>
              <w:pStyle w:val="13"/>
              <w:spacing w:beforeAutospacing="0" w:afterAutospacing="0" w:line="320" w:lineRule="exact"/>
              <w:jc w:val="center"/>
              <w:rPr>
                <w:rFonts w:eastAsia="仿宋_GB2312"/>
                <w:szCs w:val="32"/>
                <w:highlight w:val="none"/>
              </w:rPr>
            </w:pPr>
            <w:r>
              <w:rPr>
                <w:rFonts w:eastAsia="仿宋_GB2312"/>
                <w:szCs w:val="32"/>
                <w:highlight w:val="none"/>
              </w:rPr>
              <w:t>0.12</w:t>
            </w:r>
          </w:p>
        </w:tc>
        <w:tc>
          <w:tcPr>
            <w:tcW w:w="1253" w:type="dxa"/>
            <w:shd w:val="clear" w:color="auto" w:fill="auto"/>
            <w:vAlign w:val="center"/>
          </w:tcPr>
          <w:p>
            <w:pPr>
              <w:pStyle w:val="13"/>
              <w:spacing w:beforeAutospacing="0" w:afterAutospacing="0" w:line="320" w:lineRule="exact"/>
              <w:jc w:val="center"/>
              <w:rPr>
                <w:rFonts w:eastAsia="仿宋_GB2312"/>
                <w:szCs w:val="32"/>
                <w:highlight w:val="none"/>
              </w:rPr>
            </w:pPr>
            <w:r>
              <w:rPr>
                <w:rFonts w:eastAsia="仿宋_GB2312"/>
                <w:szCs w:val="32"/>
                <w:highlight w:val="none"/>
              </w:rPr>
              <w:t>/</w:t>
            </w:r>
          </w:p>
        </w:tc>
        <w:tc>
          <w:tcPr>
            <w:tcW w:w="1252" w:type="dxa"/>
            <w:shd w:val="clear" w:color="auto" w:fill="auto"/>
            <w:vAlign w:val="center"/>
          </w:tcPr>
          <w:p>
            <w:pPr>
              <w:pStyle w:val="13"/>
              <w:spacing w:beforeAutospacing="0" w:afterAutospacing="0" w:line="320" w:lineRule="exact"/>
              <w:jc w:val="center"/>
              <w:rPr>
                <w:rFonts w:eastAsia="仿宋_GB2312"/>
                <w:szCs w:val="32"/>
                <w:highlight w:val="none"/>
              </w:rPr>
            </w:pPr>
            <w:r>
              <w:rPr>
                <w:rFonts w:eastAsia="仿宋_GB2312"/>
                <w:szCs w:val="32"/>
                <w:highlight w:val="none"/>
              </w:rPr>
              <w:t>0.66</w:t>
            </w:r>
          </w:p>
        </w:tc>
        <w:tc>
          <w:tcPr>
            <w:tcW w:w="1253" w:type="dxa"/>
            <w:shd w:val="clear" w:color="auto" w:fill="auto"/>
            <w:vAlign w:val="center"/>
          </w:tcPr>
          <w:p>
            <w:pPr>
              <w:pStyle w:val="13"/>
              <w:spacing w:beforeAutospacing="0" w:afterAutospacing="0" w:line="320" w:lineRule="exact"/>
              <w:jc w:val="center"/>
              <w:rPr>
                <w:rFonts w:eastAsia="仿宋_GB2312"/>
                <w:szCs w:val="32"/>
                <w:highlight w:val="none"/>
              </w:rPr>
            </w:pPr>
            <w:r>
              <w:rPr>
                <w:rFonts w:eastAsia="仿宋_GB2312"/>
                <w:szCs w:val="32"/>
                <w:highlight w:val="none"/>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39" w:type="dxa"/>
            <w:vMerge w:val="continue"/>
            <w:shd w:val="clear" w:color="auto" w:fill="auto"/>
            <w:vAlign w:val="center"/>
          </w:tcPr>
          <w:p>
            <w:pPr>
              <w:pStyle w:val="13"/>
              <w:spacing w:beforeAutospacing="0" w:afterAutospacing="0" w:line="320" w:lineRule="exact"/>
              <w:jc w:val="center"/>
              <w:rPr>
                <w:rFonts w:eastAsia="仿宋_GB2312"/>
                <w:b/>
                <w:szCs w:val="32"/>
                <w:highlight w:val="none"/>
              </w:rPr>
            </w:pPr>
          </w:p>
        </w:tc>
        <w:tc>
          <w:tcPr>
            <w:tcW w:w="3428" w:type="dxa"/>
            <w:gridSpan w:val="2"/>
            <w:shd w:val="clear" w:color="auto" w:fill="auto"/>
            <w:vAlign w:val="center"/>
          </w:tcPr>
          <w:p>
            <w:pPr>
              <w:pStyle w:val="13"/>
              <w:spacing w:beforeAutospacing="0" w:afterAutospacing="0" w:line="300" w:lineRule="exact"/>
              <w:rPr>
                <w:rFonts w:eastAsia="仿宋_GB2312"/>
                <w:szCs w:val="32"/>
                <w:highlight w:val="none"/>
              </w:rPr>
            </w:pPr>
            <w:r>
              <w:rPr>
                <w:rFonts w:eastAsia="仿宋_GB2312"/>
                <w:szCs w:val="32"/>
                <w:highlight w:val="none"/>
              </w:rPr>
              <w:t>新招聘优秀毕业生比例（%）</w:t>
            </w:r>
          </w:p>
        </w:tc>
        <w:tc>
          <w:tcPr>
            <w:tcW w:w="1252" w:type="dxa"/>
            <w:shd w:val="clear" w:color="auto" w:fill="auto"/>
            <w:vAlign w:val="center"/>
          </w:tcPr>
          <w:p>
            <w:pPr>
              <w:pStyle w:val="13"/>
              <w:spacing w:beforeAutospacing="0" w:afterAutospacing="0" w:line="320" w:lineRule="exact"/>
              <w:jc w:val="center"/>
              <w:rPr>
                <w:rFonts w:eastAsia="仿宋_GB2312"/>
                <w:szCs w:val="32"/>
                <w:highlight w:val="none"/>
              </w:rPr>
            </w:pPr>
            <w:r>
              <w:rPr>
                <w:rFonts w:eastAsia="仿宋_GB2312"/>
                <w:szCs w:val="32"/>
                <w:highlight w:val="none"/>
              </w:rPr>
              <w:t>17</w:t>
            </w:r>
          </w:p>
        </w:tc>
        <w:tc>
          <w:tcPr>
            <w:tcW w:w="1253" w:type="dxa"/>
            <w:shd w:val="clear" w:color="auto" w:fill="auto"/>
            <w:vAlign w:val="center"/>
          </w:tcPr>
          <w:p>
            <w:pPr>
              <w:pStyle w:val="13"/>
              <w:spacing w:beforeAutospacing="0" w:afterAutospacing="0" w:line="320" w:lineRule="exact"/>
              <w:jc w:val="center"/>
              <w:rPr>
                <w:rFonts w:eastAsia="仿宋_GB2312"/>
                <w:szCs w:val="32"/>
                <w:highlight w:val="none"/>
              </w:rPr>
            </w:pPr>
            <w:r>
              <w:rPr>
                <w:rFonts w:eastAsia="仿宋_GB2312"/>
                <w:szCs w:val="32"/>
                <w:highlight w:val="none"/>
              </w:rPr>
              <w:t>/</w:t>
            </w:r>
          </w:p>
        </w:tc>
        <w:tc>
          <w:tcPr>
            <w:tcW w:w="1252" w:type="dxa"/>
            <w:shd w:val="clear" w:color="auto" w:fill="auto"/>
            <w:vAlign w:val="center"/>
          </w:tcPr>
          <w:p>
            <w:pPr>
              <w:pStyle w:val="13"/>
              <w:spacing w:beforeAutospacing="0" w:afterAutospacing="0" w:line="320" w:lineRule="exact"/>
              <w:jc w:val="center"/>
              <w:rPr>
                <w:rFonts w:eastAsia="仿宋_GB2312"/>
                <w:szCs w:val="32"/>
                <w:highlight w:val="none"/>
              </w:rPr>
            </w:pPr>
            <w:r>
              <w:rPr>
                <w:rFonts w:eastAsia="仿宋_GB2312"/>
                <w:szCs w:val="32"/>
                <w:highlight w:val="none"/>
              </w:rPr>
              <w:t>25</w:t>
            </w:r>
          </w:p>
        </w:tc>
        <w:tc>
          <w:tcPr>
            <w:tcW w:w="1253" w:type="dxa"/>
            <w:shd w:val="clear" w:color="auto" w:fill="auto"/>
            <w:vAlign w:val="center"/>
          </w:tcPr>
          <w:p>
            <w:pPr>
              <w:pStyle w:val="13"/>
              <w:spacing w:beforeAutospacing="0" w:afterAutospacing="0" w:line="320" w:lineRule="exact"/>
              <w:jc w:val="center"/>
              <w:rPr>
                <w:rFonts w:eastAsia="仿宋_GB2312"/>
                <w:szCs w:val="32"/>
                <w:highlight w:val="none"/>
              </w:rPr>
            </w:pPr>
            <w:r>
              <w:rPr>
                <w:rFonts w:eastAsia="仿宋_GB2312"/>
                <w:szCs w:val="32"/>
                <w:highlight w:val="none"/>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39" w:type="dxa"/>
            <w:vMerge w:val="continue"/>
            <w:shd w:val="clear" w:color="auto" w:fill="auto"/>
            <w:vAlign w:val="center"/>
          </w:tcPr>
          <w:p>
            <w:pPr>
              <w:pStyle w:val="13"/>
              <w:spacing w:beforeAutospacing="0" w:afterAutospacing="0" w:line="320" w:lineRule="exact"/>
              <w:jc w:val="center"/>
              <w:rPr>
                <w:rFonts w:eastAsia="仿宋_GB2312"/>
                <w:b/>
                <w:szCs w:val="32"/>
                <w:highlight w:val="none"/>
              </w:rPr>
            </w:pPr>
          </w:p>
        </w:tc>
        <w:tc>
          <w:tcPr>
            <w:tcW w:w="2441" w:type="dxa"/>
            <w:vMerge w:val="restart"/>
            <w:shd w:val="clear" w:color="auto" w:fill="auto"/>
            <w:vAlign w:val="center"/>
          </w:tcPr>
          <w:p>
            <w:pPr>
              <w:pStyle w:val="13"/>
              <w:spacing w:beforeAutospacing="0" w:afterAutospacing="0" w:line="300" w:lineRule="exact"/>
              <w:rPr>
                <w:rFonts w:eastAsia="仿宋_GB2312"/>
                <w:szCs w:val="32"/>
                <w:highlight w:val="none"/>
              </w:rPr>
            </w:pPr>
            <w:r>
              <w:rPr>
                <w:rFonts w:eastAsia="仿宋_GB2312"/>
                <w:szCs w:val="32"/>
                <w:highlight w:val="none"/>
              </w:rPr>
              <w:t>教师中研究生学历（含硕士学位）比例（%）</w:t>
            </w:r>
          </w:p>
        </w:tc>
        <w:tc>
          <w:tcPr>
            <w:tcW w:w="987" w:type="dxa"/>
            <w:shd w:val="clear" w:color="auto" w:fill="auto"/>
          </w:tcPr>
          <w:p>
            <w:pPr>
              <w:pStyle w:val="13"/>
              <w:spacing w:beforeAutospacing="0" w:afterAutospacing="0" w:line="300" w:lineRule="exact"/>
              <w:jc w:val="center"/>
              <w:rPr>
                <w:rFonts w:eastAsia="仿宋_GB2312"/>
                <w:szCs w:val="32"/>
                <w:highlight w:val="none"/>
              </w:rPr>
            </w:pPr>
            <w:r>
              <w:rPr>
                <w:rFonts w:eastAsia="仿宋_GB2312"/>
                <w:szCs w:val="32"/>
                <w:highlight w:val="none"/>
              </w:rPr>
              <w:t>初中</w:t>
            </w:r>
          </w:p>
        </w:tc>
        <w:tc>
          <w:tcPr>
            <w:tcW w:w="1252" w:type="dxa"/>
            <w:shd w:val="clear" w:color="auto" w:fill="auto"/>
            <w:vAlign w:val="center"/>
          </w:tcPr>
          <w:p>
            <w:pPr>
              <w:pStyle w:val="13"/>
              <w:spacing w:beforeAutospacing="0" w:afterAutospacing="0" w:line="320" w:lineRule="exact"/>
              <w:jc w:val="center"/>
              <w:rPr>
                <w:rFonts w:eastAsia="仿宋_GB2312"/>
                <w:szCs w:val="32"/>
                <w:highlight w:val="none"/>
              </w:rPr>
            </w:pPr>
            <w:r>
              <w:rPr>
                <w:rFonts w:eastAsia="仿宋_GB2312"/>
                <w:szCs w:val="32"/>
                <w:highlight w:val="none"/>
              </w:rPr>
              <w:t>1.5</w:t>
            </w:r>
          </w:p>
        </w:tc>
        <w:tc>
          <w:tcPr>
            <w:tcW w:w="1253" w:type="dxa"/>
            <w:shd w:val="clear" w:color="auto" w:fill="auto"/>
            <w:vAlign w:val="center"/>
          </w:tcPr>
          <w:p>
            <w:pPr>
              <w:pStyle w:val="13"/>
              <w:spacing w:beforeAutospacing="0" w:afterAutospacing="0" w:line="320" w:lineRule="exact"/>
              <w:jc w:val="center"/>
              <w:rPr>
                <w:rFonts w:eastAsia="仿宋_GB2312"/>
                <w:szCs w:val="32"/>
                <w:highlight w:val="none"/>
              </w:rPr>
            </w:pPr>
            <w:r>
              <w:rPr>
                <w:rFonts w:eastAsia="仿宋_GB2312"/>
                <w:szCs w:val="32"/>
                <w:highlight w:val="none"/>
              </w:rPr>
              <w:t>5.7</w:t>
            </w:r>
          </w:p>
        </w:tc>
        <w:tc>
          <w:tcPr>
            <w:tcW w:w="1252" w:type="dxa"/>
            <w:shd w:val="clear" w:color="auto" w:fill="auto"/>
            <w:vAlign w:val="center"/>
          </w:tcPr>
          <w:p>
            <w:pPr>
              <w:pStyle w:val="13"/>
              <w:spacing w:beforeAutospacing="0" w:afterAutospacing="0" w:line="320" w:lineRule="exact"/>
              <w:jc w:val="center"/>
              <w:rPr>
                <w:rFonts w:eastAsia="仿宋_GB2312"/>
                <w:szCs w:val="32"/>
                <w:highlight w:val="none"/>
              </w:rPr>
            </w:pPr>
            <w:r>
              <w:rPr>
                <w:rFonts w:eastAsia="仿宋_GB2312"/>
                <w:szCs w:val="32"/>
                <w:highlight w:val="none"/>
              </w:rPr>
              <w:t>8</w:t>
            </w:r>
          </w:p>
        </w:tc>
        <w:tc>
          <w:tcPr>
            <w:tcW w:w="1253" w:type="dxa"/>
            <w:shd w:val="clear" w:color="auto" w:fill="auto"/>
            <w:vAlign w:val="center"/>
          </w:tcPr>
          <w:p>
            <w:pPr>
              <w:pStyle w:val="13"/>
              <w:spacing w:beforeAutospacing="0" w:afterAutospacing="0" w:line="320" w:lineRule="exact"/>
              <w:jc w:val="center"/>
              <w:rPr>
                <w:rFonts w:eastAsia="仿宋_GB2312"/>
                <w:szCs w:val="32"/>
                <w:highlight w:val="none"/>
              </w:rPr>
            </w:pPr>
            <w:r>
              <w:rPr>
                <w:rFonts w:eastAsia="仿宋_GB2312"/>
                <w:szCs w:val="32"/>
                <w:highlight w:val="none"/>
              </w:rPr>
              <w:t>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639" w:type="dxa"/>
            <w:vMerge w:val="continue"/>
            <w:shd w:val="clear" w:color="auto" w:fill="auto"/>
            <w:vAlign w:val="center"/>
          </w:tcPr>
          <w:p>
            <w:pPr>
              <w:pStyle w:val="13"/>
              <w:spacing w:beforeAutospacing="0" w:afterAutospacing="0" w:line="320" w:lineRule="exact"/>
              <w:jc w:val="center"/>
              <w:rPr>
                <w:rFonts w:eastAsia="仿宋_GB2312"/>
                <w:b/>
                <w:szCs w:val="32"/>
                <w:highlight w:val="none"/>
              </w:rPr>
            </w:pPr>
          </w:p>
        </w:tc>
        <w:tc>
          <w:tcPr>
            <w:tcW w:w="2441" w:type="dxa"/>
            <w:vMerge w:val="continue"/>
            <w:shd w:val="clear" w:color="auto" w:fill="auto"/>
            <w:vAlign w:val="center"/>
          </w:tcPr>
          <w:p>
            <w:pPr>
              <w:pStyle w:val="13"/>
              <w:spacing w:beforeAutospacing="0" w:afterAutospacing="0" w:line="300" w:lineRule="exact"/>
              <w:rPr>
                <w:rFonts w:eastAsia="仿宋_GB2312"/>
                <w:szCs w:val="32"/>
                <w:highlight w:val="none"/>
              </w:rPr>
            </w:pPr>
          </w:p>
        </w:tc>
        <w:tc>
          <w:tcPr>
            <w:tcW w:w="987" w:type="dxa"/>
            <w:shd w:val="clear" w:color="auto" w:fill="auto"/>
            <w:vAlign w:val="center"/>
          </w:tcPr>
          <w:p>
            <w:pPr>
              <w:widowControl/>
              <w:spacing w:line="300" w:lineRule="exact"/>
              <w:jc w:val="center"/>
              <w:rPr>
                <w:rFonts w:eastAsia="仿宋_GB2312"/>
                <w:kern w:val="0"/>
                <w:sz w:val="24"/>
                <w:highlight w:val="none"/>
              </w:rPr>
            </w:pPr>
            <w:r>
              <w:rPr>
                <w:rFonts w:eastAsia="仿宋_GB2312"/>
                <w:kern w:val="0"/>
                <w:sz w:val="24"/>
                <w:highlight w:val="none"/>
              </w:rPr>
              <w:t>普高</w:t>
            </w:r>
          </w:p>
        </w:tc>
        <w:tc>
          <w:tcPr>
            <w:tcW w:w="1252" w:type="dxa"/>
            <w:shd w:val="clear" w:color="auto" w:fill="auto"/>
            <w:vAlign w:val="center"/>
          </w:tcPr>
          <w:p>
            <w:pPr>
              <w:pStyle w:val="13"/>
              <w:spacing w:beforeAutospacing="0" w:afterAutospacing="0" w:line="320" w:lineRule="exact"/>
              <w:jc w:val="center"/>
              <w:rPr>
                <w:rFonts w:eastAsia="仿宋_GB2312"/>
                <w:szCs w:val="32"/>
                <w:highlight w:val="none"/>
              </w:rPr>
            </w:pPr>
            <w:r>
              <w:rPr>
                <w:rFonts w:eastAsia="仿宋_GB2312"/>
                <w:szCs w:val="32"/>
                <w:highlight w:val="none"/>
              </w:rPr>
              <w:t>7.5</w:t>
            </w:r>
          </w:p>
        </w:tc>
        <w:tc>
          <w:tcPr>
            <w:tcW w:w="1253" w:type="dxa"/>
            <w:shd w:val="clear" w:color="auto" w:fill="auto"/>
            <w:vAlign w:val="center"/>
          </w:tcPr>
          <w:p>
            <w:pPr>
              <w:pStyle w:val="13"/>
              <w:spacing w:beforeAutospacing="0" w:afterAutospacing="0" w:line="320" w:lineRule="exact"/>
              <w:jc w:val="center"/>
              <w:rPr>
                <w:rFonts w:eastAsia="仿宋_GB2312"/>
                <w:szCs w:val="32"/>
                <w:highlight w:val="none"/>
              </w:rPr>
            </w:pPr>
            <w:r>
              <w:rPr>
                <w:rFonts w:eastAsia="仿宋_GB2312"/>
                <w:szCs w:val="32"/>
                <w:highlight w:val="none"/>
              </w:rPr>
              <w:t>13.9</w:t>
            </w:r>
          </w:p>
        </w:tc>
        <w:tc>
          <w:tcPr>
            <w:tcW w:w="1252" w:type="dxa"/>
            <w:shd w:val="clear" w:color="auto" w:fill="auto"/>
            <w:vAlign w:val="center"/>
          </w:tcPr>
          <w:p>
            <w:pPr>
              <w:pStyle w:val="13"/>
              <w:spacing w:beforeAutospacing="0" w:afterAutospacing="0" w:line="320" w:lineRule="exact"/>
              <w:jc w:val="center"/>
              <w:rPr>
                <w:rFonts w:eastAsia="仿宋_GB2312"/>
                <w:szCs w:val="32"/>
                <w:highlight w:val="none"/>
              </w:rPr>
            </w:pPr>
            <w:r>
              <w:rPr>
                <w:rFonts w:eastAsia="仿宋_GB2312"/>
                <w:szCs w:val="32"/>
                <w:highlight w:val="none"/>
              </w:rPr>
              <w:t>20</w:t>
            </w:r>
          </w:p>
        </w:tc>
        <w:tc>
          <w:tcPr>
            <w:tcW w:w="1253" w:type="dxa"/>
            <w:shd w:val="clear" w:color="auto" w:fill="auto"/>
            <w:vAlign w:val="center"/>
          </w:tcPr>
          <w:p>
            <w:pPr>
              <w:pStyle w:val="13"/>
              <w:spacing w:beforeAutospacing="0" w:afterAutospacing="0" w:line="320" w:lineRule="exact"/>
              <w:jc w:val="center"/>
              <w:rPr>
                <w:rFonts w:eastAsia="仿宋_GB2312"/>
                <w:szCs w:val="32"/>
                <w:highlight w:val="none"/>
              </w:rPr>
            </w:pPr>
            <w:r>
              <w:rPr>
                <w:rFonts w:eastAsia="仿宋_GB2312"/>
                <w:szCs w:val="32"/>
                <w:highlight w:val="none"/>
              </w:rPr>
              <w:t>22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39" w:type="dxa"/>
            <w:vMerge w:val="continue"/>
            <w:shd w:val="clear" w:color="auto" w:fill="auto"/>
            <w:vAlign w:val="center"/>
          </w:tcPr>
          <w:p>
            <w:pPr>
              <w:pStyle w:val="13"/>
              <w:spacing w:beforeAutospacing="0" w:afterAutospacing="0" w:line="320" w:lineRule="exact"/>
              <w:jc w:val="center"/>
              <w:rPr>
                <w:rFonts w:eastAsia="仿宋_GB2312"/>
                <w:b/>
                <w:szCs w:val="32"/>
                <w:highlight w:val="none"/>
              </w:rPr>
            </w:pPr>
          </w:p>
        </w:tc>
        <w:tc>
          <w:tcPr>
            <w:tcW w:w="2441" w:type="dxa"/>
            <w:vMerge w:val="continue"/>
            <w:shd w:val="clear" w:color="auto" w:fill="auto"/>
            <w:vAlign w:val="center"/>
          </w:tcPr>
          <w:p>
            <w:pPr>
              <w:pStyle w:val="13"/>
              <w:spacing w:beforeAutospacing="0" w:afterAutospacing="0" w:line="300" w:lineRule="exact"/>
              <w:rPr>
                <w:rFonts w:eastAsia="仿宋_GB2312"/>
                <w:szCs w:val="32"/>
                <w:highlight w:val="none"/>
              </w:rPr>
            </w:pPr>
          </w:p>
        </w:tc>
        <w:tc>
          <w:tcPr>
            <w:tcW w:w="987" w:type="dxa"/>
            <w:shd w:val="clear" w:color="auto" w:fill="auto"/>
            <w:vAlign w:val="center"/>
          </w:tcPr>
          <w:p>
            <w:pPr>
              <w:widowControl/>
              <w:spacing w:line="300" w:lineRule="exact"/>
              <w:jc w:val="center"/>
              <w:rPr>
                <w:rFonts w:eastAsia="仿宋_GB2312"/>
                <w:kern w:val="0"/>
                <w:sz w:val="24"/>
                <w:highlight w:val="none"/>
              </w:rPr>
            </w:pPr>
            <w:r>
              <w:rPr>
                <w:rFonts w:eastAsia="仿宋_GB2312"/>
                <w:kern w:val="0"/>
                <w:sz w:val="24"/>
                <w:highlight w:val="none"/>
              </w:rPr>
              <w:t>中职</w:t>
            </w:r>
          </w:p>
        </w:tc>
        <w:tc>
          <w:tcPr>
            <w:tcW w:w="1252" w:type="dxa"/>
            <w:shd w:val="clear" w:color="auto" w:fill="auto"/>
            <w:vAlign w:val="center"/>
          </w:tcPr>
          <w:p>
            <w:pPr>
              <w:pStyle w:val="13"/>
              <w:spacing w:beforeAutospacing="0" w:afterAutospacing="0" w:line="320" w:lineRule="exact"/>
              <w:jc w:val="center"/>
              <w:rPr>
                <w:rFonts w:eastAsia="仿宋_GB2312"/>
                <w:szCs w:val="32"/>
                <w:highlight w:val="none"/>
              </w:rPr>
            </w:pPr>
            <w:r>
              <w:rPr>
                <w:rFonts w:eastAsia="仿宋_GB2312"/>
                <w:szCs w:val="32"/>
                <w:highlight w:val="none"/>
              </w:rPr>
              <w:t>8</w:t>
            </w:r>
          </w:p>
        </w:tc>
        <w:tc>
          <w:tcPr>
            <w:tcW w:w="1253" w:type="dxa"/>
            <w:shd w:val="clear" w:color="auto" w:fill="auto"/>
            <w:vAlign w:val="center"/>
          </w:tcPr>
          <w:p>
            <w:pPr>
              <w:pStyle w:val="13"/>
              <w:spacing w:beforeAutospacing="0" w:afterAutospacing="0" w:line="320" w:lineRule="exact"/>
              <w:jc w:val="center"/>
              <w:rPr>
                <w:rFonts w:eastAsia="仿宋_GB2312"/>
                <w:szCs w:val="32"/>
                <w:highlight w:val="none"/>
              </w:rPr>
            </w:pPr>
            <w:r>
              <w:rPr>
                <w:rFonts w:eastAsia="仿宋_GB2312"/>
                <w:szCs w:val="32"/>
                <w:highlight w:val="none"/>
              </w:rPr>
              <w:t>/</w:t>
            </w:r>
          </w:p>
        </w:tc>
        <w:tc>
          <w:tcPr>
            <w:tcW w:w="1252" w:type="dxa"/>
            <w:shd w:val="clear" w:color="auto" w:fill="auto"/>
            <w:vAlign w:val="center"/>
          </w:tcPr>
          <w:p>
            <w:pPr>
              <w:pStyle w:val="13"/>
              <w:spacing w:beforeAutospacing="0" w:afterAutospacing="0" w:line="320" w:lineRule="exact"/>
              <w:jc w:val="center"/>
              <w:rPr>
                <w:rFonts w:eastAsia="仿宋_GB2312"/>
                <w:szCs w:val="32"/>
                <w:highlight w:val="none"/>
              </w:rPr>
            </w:pPr>
            <w:r>
              <w:rPr>
                <w:rFonts w:eastAsia="仿宋_GB2312"/>
                <w:szCs w:val="32"/>
                <w:highlight w:val="none"/>
              </w:rPr>
              <w:t>20</w:t>
            </w:r>
          </w:p>
        </w:tc>
        <w:tc>
          <w:tcPr>
            <w:tcW w:w="1253" w:type="dxa"/>
            <w:shd w:val="clear" w:color="auto" w:fill="auto"/>
            <w:vAlign w:val="center"/>
          </w:tcPr>
          <w:p>
            <w:pPr>
              <w:pStyle w:val="13"/>
              <w:spacing w:beforeAutospacing="0" w:afterAutospacing="0" w:line="320" w:lineRule="exact"/>
              <w:jc w:val="center"/>
              <w:rPr>
                <w:rFonts w:eastAsia="仿宋_GB2312"/>
                <w:szCs w:val="32"/>
                <w:highlight w:val="none"/>
              </w:rPr>
            </w:pPr>
            <w:r>
              <w:rPr>
                <w:rFonts w:eastAsia="仿宋_GB2312"/>
                <w:szCs w:val="32"/>
                <w:highlight w:val="none"/>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39" w:type="dxa"/>
            <w:vMerge w:val="continue"/>
            <w:shd w:val="clear" w:color="auto" w:fill="auto"/>
            <w:vAlign w:val="center"/>
          </w:tcPr>
          <w:p>
            <w:pPr>
              <w:pStyle w:val="13"/>
              <w:spacing w:beforeAutospacing="0" w:afterAutospacing="0" w:line="320" w:lineRule="exact"/>
              <w:jc w:val="center"/>
              <w:rPr>
                <w:rFonts w:eastAsia="仿宋_GB2312"/>
                <w:b/>
                <w:szCs w:val="32"/>
                <w:highlight w:val="none"/>
              </w:rPr>
            </w:pPr>
          </w:p>
        </w:tc>
        <w:tc>
          <w:tcPr>
            <w:tcW w:w="3428" w:type="dxa"/>
            <w:gridSpan w:val="2"/>
            <w:shd w:val="clear" w:color="auto" w:fill="auto"/>
            <w:vAlign w:val="center"/>
          </w:tcPr>
          <w:p>
            <w:pPr>
              <w:widowControl/>
              <w:spacing w:line="300" w:lineRule="exact"/>
              <w:jc w:val="left"/>
              <w:rPr>
                <w:rFonts w:eastAsia="仿宋_GB2312"/>
                <w:kern w:val="0"/>
                <w:sz w:val="24"/>
                <w:highlight w:val="none"/>
              </w:rPr>
            </w:pPr>
            <w:r>
              <w:rPr>
                <w:rFonts w:eastAsia="仿宋_GB2312"/>
                <w:kern w:val="0"/>
                <w:sz w:val="24"/>
                <w:highlight w:val="none"/>
              </w:rPr>
              <w:t>中职学校“双师型”教师占专业课教师比例（%）</w:t>
            </w:r>
          </w:p>
        </w:tc>
        <w:tc>
          <w:tcPr>
            <w:tcW w:w="1252" w:type="dxa"/>
            <w:shd w:val="clear" w:color="auto" w:fill="auto"/>
            <w:vAlign w:val="center"/>
          </w:tcPr>
          <w:p>
            <w:pPr>
              <w:pStyle w:val="13"/>
              <w:spacing w:beforeAutospacing="0" w:afterAutospacing="0" w:line="320" w:lineRule="exact"/>
              <w:jc w:val="center"/>
              <w:rPr>
                <w:rFonts w:eastAsia="仿宋_GB2312"/>
                <w:szCs w:val="32"/>
                <w:highlight w:val="none"/>
              </w:rPr>
            </w:pPr>
            <w:r>
              <w:rPr>
                <w:rFonts w:eastAsia="仿宋_GB2312"/>
                <w:szCs w:val="32"/>
                <w:highlight w:val="none"/>
              </w:rPr>
              <w:t>85</w:t>
            </w:r>
          </w:p>
        </w:tc>
        <w:tc>
          <w:tcPr>
            <w:tcW w:w="1253" w:type="dxa"/>
            <w:shd w:val="clear" w:color="auto" w:fill="auto"/>
            <w:vAlign w:val="center"/>
          </w:tcPr>
          <w:p>
            <w:pPr>
              <w:pStyle w:val="13"/>
              <w:spacing w:beforeAutospacing="0" w:afterAutospacing="0" w:line="320" w:lineRule="exact"/>
              <w:jc w:val="center"/>
              <w:rPr>
                <w:rFonts w:eastAsia="仿宋_GB2312"/>
                <w:szCs w:val="32"/>
                <w:highlight w:val="none"/>
              </w:rPr>
            </w:pPr>
            <w:r>
              <w:rPr>
                <w:rFonts w:eastAsia="仿宋_GB2312"/>
                <w:szCs w:val="32"/>
                <w:highlight w:val="none"/>
              </w:rPr>
              <w:t>85.8</w:t>
            </w:r>
          </w:p>
        </w:tc>
        <w:tc>
          <w:tcPr>
            <w:tcW w:w="1252" w:type="dxa"/>
            <w:shd w:val="clear" w:color="auto" w:fill="auto"/>
            <w:vAlign w:val="center"/>
          </w:tcPr>
          <w:p>
            <w:pPr>
              <w:pStyle w:val="13"/>
              <w:spacing w:beforeAutospacing="0" w:afterAutospacing="0" w:line="320" w:lineRule="exact"/>
              <w:jc w:val="center"/>
              <w:rPr>
                <w:rFonts w:eastAsia="仿宋_GB2312"/>
                <w:szCs w:val="32"/>
                <w:highlight w:val="none"/>
              </w:rPr>
            </w:pPr>
            <w:r>
              <w:rPr>
                <w:rFonts w:eastAsia="仿宋_GB2312"/>
                <w:szCs w:val="32"/>
                <w:highlight w:val="none"/>
              </w:rPr>
              <w:t>90</w:t>
            </w:r>
          </w:p>
        </w:tc>
        <w:tc>
          <w:tcPr>
            <w:tcW w:w="1253" w:type="dxa"/>
            <w:shd w:val="clear" w:color="auto" w:fill="auto"/>
            <w:vAlign w:val="center"/>
          </w:tcPr>
          <w:p>
            <w:pPr>
              <w:pStyle w:val="13"/>
              <w:spacing w:beforeAutospacing="0" w:afterAutospacing="0" w:line="320" w:lineRule="exact"/>
              <w:jc w:val="center"/>
              <w:rPr>
                <w:rFonts w:eastAsia="仿宋_GB2312"/>
                <w:szCs w:val="32"/>
                <w:highlight w:val="none"/>
              </w:rPr>
            </w:pPr>
            <w:r>
              <w:rPr>
                <w:rFonts w:eastAsia="仿宋_GB2312"/>
                <w:szCs w:val="32"/>
                <w:highlight w:val="none"/>
              </w:rPr>
              <w:t>89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39" w:type="dxa"/>
            <w:vMerge w:val="restart"/>
            <w:shd w:val="clear" w:color="auto" w:fill="auto"/>
            <w:vAlign w:val="center"/>
          </w:tcPr>
          <w:p>
            <w:pPr>
              <w:pStyle w:val="13"/>
              <w:spacing w:beforeAutospacing="0" w:afterAutospacing="0" w:line="320" w:lineRule="exact"/>
              <w:jc w:val="center"/>
              <w:rPr>
                <w:rFonts w:eastAsia="仿宋_GB2312"/>
                <w:b/>
                <w:szCs w:val="32"/>
                <w:highlight w:val="none"/>
              </w:rPr>
            </w:pPr>
            <w:r>
              <w:rPr>
                <w:rFonts w:eastAsia="仿宋_GB2312"/>
                <w:b/>
                <w:szCs w:val="32"/>
                <w:highlight w:val="none"/>
              </w:rPr>
              <w:t>质量指标</w:t>
            </w:r>
          </w:p>
        </w:tc>
        <w:tc>
          <w:tcPr>
            <w:tcW w:w="3428" w:type="dxa"/>
            <w:gridSpan w:val="2"/>
            <w:shd w:val="clear" w:color="auto" w:fill="auto"/>
            <w:vAlign w:val="center"/>
          </w:tcPr>
          <w:p>
            <w:pPr>
              <w:pStyle w:val="13"/>
              <w:spacing w:beforeAutospacing="0" w:afterAutospacing="0" w:line="320" w:lineRule="exact"/>
              <w:rPr>
                <w:rFonts w:eastAsia="仿宋_GB2312"/>
                <w:szCs w:val="32"/>
                <w:highlight w:val="none"/>
              </w:rPr>
            </w:pPr>
            <w:r>
              <w:rPr>
                <w:rFonts w:eastAsia="仿宋_GB2312"/>
                <w:szCs w:val="32"/>
                <w:highlight w:val="none"/>
              </w:rPr>
              <w:t>省现代化学校比例（%）</w:t>
            </w:r>
          </w:p>
        </w:tc>
        <w:tc>
          <w:tcPr>
            <w:tcW w:w="1252" w:type="dxa"/>
            <w:shd w:val="clear" w:color="auto" w:fill="auto"/>
            <w:vAlign w:val="center"/>
          </w:tcPr>
          <w:p>
            <w:pPr>
              <w:pStyle w:val="13"/>
              <w:spacing w:beforeAutospacing="0" w:afterAutospacing="0" w:line="320" w:lineRule="exact"/>
              <w:jc w:val="center"/>
              <w:rPr>
                <w:rFonts w:eastAsia="仿宋_GB2312"/>
                <w:szCs w:val="32"/>
                <w:highlight w:val="none"/>
              </w:rPr>
            </w:pPr>
            <w:r>
              <w:rPr>
                <w:rFonts w:eastAsia="仿宋_GB2312"/>
                <w:szCs w:val="32"/>
                <w:highlight w:val="none"/>
              </w:rPr>
              <w:t>2.25</w:t>
            </w:r>
          </w:p>
        </w:tc>
        <w:tc>
          <w:tcPr>
            <w:tcW w:w="1253" w:type="dxa"/>
            <w:shd w:val="clear" w:color="auto" w:fill="auto"/>
            <w:vAlign w:val="center"/>
          </w:tcPr>
          <w:p>
            <w:pPr>
              <w:pStyle w:val="13"/>
              <w:spacing w:beforeAutospacing="0" w:afterAutospacing="0" w:line="320" w:lineRule="exact"/>
              <w:jc w:val="center"/>
              <w:rPr>
                <w:rFonts w:eastAsia="仿宋_GB2312"/>
                <w:szCs w:val="32"/>
                <w:highlight w:val="none"/>
              </w:rPr>
            </w:pPr>
            <w:r>
              <w:rPr>
                <w:rFonts w:eastAsia="仿宋_GB2312"/>
                <w:szCs w:val="32"/>
                <w:highlight w:val="none"/>
              </w:rPr>
              <w:t>/</w:t>
            </w:r>
          </w:p>
        </w:tc>
        <w:tc>
          <w:tcPr>
            <w:tcW w:w="1252" w:type="dxa"/>
            <w:shd w:val="clear" w:color="auto" w:fill="auto"/>
            <w:vAlign w:val="center"/>
          </w:tcPr>
          <w:p>
            <w:pPr>
              <w:pStyle w:val="13"/>
              <w:spacing w:beforeAutospacing="0" w:afterAutospacing="0" w:line="320" w:lineRule="exact"/>
              <w:jc w:val="center"/>
              <w:rPr>
                <w:rFonts w:eastAsia="仿宋_GB2312"/>
                <w:szCs w:val="32"/>
                <w:highlight w:val="none"/>
              </w:rPr>
            </w:pPr>
            <w:r>
              <w:rPr>
                <w:rFonts w:eastAsia="仿宋_GB2312"/>
                <w:szCs w:val="32"/>
                <w:highlight w:val="none"/>
              </w:rPr>
              <w:t>30</w:t>
            </w:r>
          </w:p>
        </w:tc>
        <w:tc>
          <w:tcPr>
            <w:tcW w:w="1253" w:type="dxa"/>
            <w:shd w:val="clear" w:color="auto" w:fill="auto"/>
            <w:vAlign w:val="center"/>
          </w:tcPr>
          <w:p>
            <w:pPr>
              <w:pStyle w:val="13"/>
              <w:spacing w:beforeAutospacing="0" w:afterAutospacing="0" w:line="320" w:lineRule="exact"/>
              <w:jc w:val="center"/>
              <w:rPr>
                <w:rFonts w:eastAsia="仿宋_GB2312"/>
                <w:szCs w:val="32"/>
                <w:highlight w:val="none"/>
              </w:rPr>
            </w:pPr>
            <w:r>
              <w:rPr>
                <w:rFonts w:eastAsia="仿宋_GB2312"/>
                <w:szCs w:val="32"/>
                <w:highlight w:val="none"/>
              </w:rPr>
              <w:t>30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639" w:type="dxa"/>
            <w:vMerge w:val="continue"/>
            <w:shd w:val="clear" w:color="auto" w:fill="auto"/>
            <w:vAlign w:val="center"/>
          </w:tcPr>
          <w:p>
            <w:pPr>
              <w:pStyle w:val="13"/>
              <w:spacing w:beforeAutospacing="0" w:afterAutospacing="0" w:line="320" w:lineRule="exact"/>
              <w:jc w:val="center"/>
              <w:rPr>
                <w:rFonts w:eastAsia="仿宋_GB2312"/>
                <w:b/>
                <w:szCs w:val="32"/>
                <w:highlight w:val="none"/>
              </w:rPr>
            </w:pPr>
          </w:p>
        </w:tc>
        <w:tc>
          <w:tcPr>
            <w:tcW w:w="3428" w:type="dxa"/>
            <w:gridSpan w:val="2"/>
            <w:shd w:val="clear" w:color="auto" w:fill="auto"/>
            <w:vAlign w:val="center"/>
          </w:tcPr>
          <w:p>
            <w:pPr>
              <w:pStyle w:val="13"/>
              <w:spacing w:beforeAutospacing="0" w:afterAutospacing="0" w:line="320" w:lineRule="exact"/>
              <w:rPr>
                <w:rFonts w:eastAsia="仿宋_GB2312"/>
                <w:szCs w:val="32"/>
                <w:highlight w:val="none"/>
              </w:rPr>
            </w:pPr>
            <w:r>
              <w:rPr>
                <w:rFonts w:eastAsia="仿宋_GB2312"/>
                <w:szCs w:val="32"/>
                <w:highlight w:val="none"/>
              </w:rPr>
              <w:t>高中毕业生升入高一级学校比例（%）</w:t>
            </w:r>
          </w:p>
        </w:tc>
        <w:tc>
          <w:tcPr>
            <w:tcW w:w="1252" w:type="dxa"/>
            <w:shd w:val="clear" w:color="auto" w:fill="auto"/>
            <w:vAlign w:val="center"/>
          </w:tcPr>
          <w:p>
            <w:pPr>
              <w:pStyle w:val="13"/>
              <w:spacing w:beforeAutospacing="0" w:afterAutospacing="0" w:line="320" w:lineRule="exact"/>
              <w:jc w:val="center"/>
              <w:rPr>
                <w:rFonts w:eastAsia="仿宋_GB2312"/>
                <w:szCs w:val="32"/>
                <w:highlight w:val="none"/>
              </w:rPr>
            </w:pPr>
            <w:r>
              <w:rPr>
                <w:rFonts w:eastAsia="仿宋_GB2312"/>
                <w:szCs w:val="32"/>
                <w:highlight w:val="none"/>
              </w:rPr>
              <w:t>80</w:t>
            </w:r>
          </w:p>
        </w:tc>
        <w:tc>
          <w:tcPr>
            <w:tcW w:w="1253" w:type="dxa"/>
            <w:shd w:val="clear" w:color="auto" w:fill="auto"/>
            <w:vAlign w:val="center"/>
          </w:tcPr>
          <w:p>
            <w:pPr>
              <w:pStyle w:val="13"/>
              <w:spacing w:beforeAutospacing="0" w:afterAutospacing="0" w:line="320" w:lineRule="exact"/>
              <w:jc w:val="center"/>
              <w:rPr>
                <w:rFonts w:eastAsia="仿宋_GB2312"/>
                <w:szCs w:val="32"/>
                <w:highlight w:val="none"/>
              </w:rPr>
            </w:pPr>
            <w:r>
              <w:rPr>
                <w:rFonts w:eastAsia="仿宋_GB2312"/>
                <w:szCs w:val="32"/>
                <w:highlight w:val="none"/>
              </w:rPr>
              <w:t>/</w:t>
            </w:r>
          </w:p>
        </w:tc>
        <w:tc>
          <w:tcPr>
            <w:tcW w:w="1252" w:type="dxa"/>
            <w:shd w:val="clear" w:color="auto" w:fill="auto"/>
            <w:vAlign w:val="center"/>
          </w:tcPr>
          <w:p>
            <w:pPr>
              <w:pStyle w:val="13"/>
              <w:spacing w:beforeAutospacing="0" w:afterAutospacing="0" w:line="320" w:lineRule="exact"/>
              <w:jc w:val="center"/>
              <w:rPr>
                <w:rFonts w:eastAsia="仿宋_GB2312"/>
                <w:szCs w:val="32"/>
                <w:highlight w:val="none"/>
              </w:rPr>
            </w:pPr>
            <w:r>
              <w:rPr>
                <w:rFonts w:eastAsia="仿宋_GB2312"/>
                <w:szCs w:val="32"/>
                <w:highlight w:val="none"/>
              </w:rPr>
              <w:t>90</w:t>
            </w:r>
          </w:p>
        </w:tc>
        <w:tc>
          <w:tcPr>
            <w:tcW w:w="1253" w:type="dxa"/>
            <w:shd w:val="clear" w:color="auto" w:fill="auto"/>
            <w:vAlign w:val="center"/>
          </w:tcPr>
          <w:p>
            <w:pPr>
              <w:pStyle w:val="13"/>
              <w:spacing w:beforeAutospacing="0" w:afterAutospacing="0" w:line="320" w:lineRule="exact"/>
              <w:jc w:val="center"/>
              <w:rPr>
                <w:rFonts w:eastAsia="仿宋_GB2312"/>
                <w:szCs w:val="32"/>
                <w:highlight w:val="none"/>
              </w:rPr>
            </w:pPr>
            <w:r>
              <w:rPr>
                <w:rFonts w:eastAsia="仿宋_GB2312"/>
                <w:szCs w:val="32"/>
                <w:highlight w:val="none"/>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39" w:type="dxa"/>
            <w:vMerge w:val="continue"/>
            <w:shd w:val="clear" w:color="auto" w:fill="auto"/>
            <w:vAlign w:val="center"/>
          </w:tcPr>
          <w:p>
            <w:pPr>
              <w:pStyle w:val="13"/>
              <w:spacing w:beforeAutospacing="0" w:afterAutospacing="0" w:line="320" w:lineRule="exact"/>
              <w:jc w:val="center"/>
              <w:rPr>
                <w:rFonts w:eastAsia="仿宋_GB2312"/>
                <w:b/>
                <w:szCs w:val="32"/>
                <w:highlight w:val="none"/>
              </w:rPr>
            </w:pPr>
          </w:p>
        </w:tc>
        <w:tc>
          <w:tcPr>
            <w:tcW w:w="3428" w:type="dxa"/>
            <w:gridSpan w:val="2"/>
            <w:shd w:val="clear" w:color="auto" w:fill="auto"/>
            <w:vAlign w:val="center"/>
          </w:tcPr>
          <w:p>
            <w:pPr>
              <w:pStyle w:val="13"/>
              <w:spacing w:beforeAutospacing="0" w:afterAutospacing="0" w:line="320" w:lineRule="exact"/>
              <w:rPr>
                <w:rFonts w:eastAsia="仿宋_GB2312"/>
                <w:szCs w:val="32"/>
                <w:highlight w:val="none"/>
              </w:rPr>
            </w:pPr>
            <w:r>
              <w:rPr>
                <w:rFonts w:eastAsia="仿宋_GB2312"/>
                <w:szCs w:val="32"/>
                <w:highlight w:val="none"/>
              </w:rPr>
              <w:t>普通高中分类办学学业质量</w:t>
            </w:r>
          </w:p>
        </w:tc>
        <w:tc>
          <w:tcPr>
            <w:tcW w:w="1252" w:type="dxa"/>
            <w:shd w:val="clear" w:color="auto" w:fill="auto"/>
            <w:vAlign w:val="center"/>
          </w:tcPr>
          <w:p>
            <w:pPr>
              <w:pStyle w:val="13"/>
              <w:spacing w:beforeAutospacing="0" w:afterAutospacing="0" w:line="320" w:lineRule="exact"/>
              <w:jc w:val="center"/>
              <w:rPr>
                <w:rFonts w:eastAsia="仿宋_GB2312"/>
                <w:szCs w:val="32"/>
                <w:highlight w:val="none"/>
              </w:rPr>
            </w:pPr>
            <w:r>
              <w:rPr>
                <w:rFonts w:eastAsia="仿宋_GB2312"/>
                <w:szCs w:val="32"/>
                <w:highlight w:val="none"/>
              </w:rPr>
              <w:t>省中等位次</w:t>
            </w:r>
          </w:p>
        </w:tc>
        <w:tc>
          <w:tcPr>
            <w:tcW w:w="1253" w:type="dxa"/>
            <w:shd w:val="clear" w:color="auto" w:fill="auto"/>
            <w:vAlign w:val="center"/>
          </w:tcPr>
          <w:p>
            <w:pPr>
              <w:pStyle w:val="13"/>
              <w:spacing w:beforeAutospacing="0" w:afterAutospacing="0" w:line="320" w:lineRule="exact"/>
              <w:jc w:val="center"/>
              <w:rPr>
                <w:rFonts w:eastAsia="仿宋_GB2312"/>
                <w:szCs w:val="32"/>
                <w:highlight w:val="none"/>
              </w:rPr>
            </w:pPr>
            <w:r>
              <w:rPr>
                <w:rFonts w:eastAsia="仿宋_GB2312"/>
                <w:szCs w:val="32"/>
                <w:highlight w:val="none"/>
              </w:rPr>
              <w:t>/</w:t>
            </w:r>
          </w:p>
        </w:tc>
        <w:tc>
          <w:tcPr>
            <w:tcW w:w="1252" w:type="dxa"/>
            <w:shd w:val="clear" w:color="auto" w:fill="auto"/>
            <w:vAlign w:val="center"/>
          </w:tcPr>
          <w:p>
            <w:pPr>
              <w:pStyle w:val="13"/>
              <w:spacing w:beforeAutospacing="0" w:afterAutospacing="0" w:line="320" w:lineRule="exact"/>
              <w:jc w:val="center"/>
              <w:rPr>
                <w:rFonts w:eastAsia="仿宋_GB2312"/>
                <w:szCs w:val="32"/>
                <w:highlight w:val="none"/>
              </w:rPr>
            </w:pPr>
            <w:r>
              <w:rPr>
                <w:rFonts w:eastAsia="仿宋_GB2312"/>
                <w:szCs w:val="32"/>
                <w:highlight w:val="none"/>
              </w:rPr>
              <w:t>省中等位次以上</w:t>
            </w:r>
          </w:p>
        </w:tc>
        <w:tc>
          <w:tcPr>
            <w:tcW w:w="1253" w:type="dxa"/>
            <w:shd w:val="clear" w:color="auto" w:fill="auto"/>
            <w:vAlign w:val="center"/>
          </w:tcPr>
          <w:p>
            <w:pPr>
              <w:pStyle w:val="13"/>
              <w:spacing w:beforeAutospacing="0" w:afterAutospacing="0" w:line="320" w:lineRule="exact"/>
              <w:jc w:val="center"/>
              <w:rPr>
                <w:rFonts w:eastAsia="仿宋_GB2312"/>
                <w:szCs w:val="32"/>
                <w:highlight w:val="none"/>
              </w:rPr>
            </w:pPr>
            <w:r>
              <w:rPr>
                <w:rFonts w:eastAsia="仿宋_GB2312"/>
                <w:szCs w:val="32"/>
                <w:highlight w:val="none"/>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39" w:type="dxa"/>
            <w:vMerge w:val="continue"/>
            <w:shd w:val="clear" w:color="auto" w:fill="auto"/>
            <w:vAlign w:val="center"/>
          </w:tcPr>
          <w:p>
            <w:pPr>
              <w:pStyle w:val="13"/>
              <w:spacing w:beforeAutospacing="0" w:afterAutospacing="0" w:line="320" w:lineRule="exact"/>
              <w:jc w:val="center"/>
              <w:rPr>
                <w:rFonts w:eastAsia="仿宋_GB2312"/>
                <w:b/>
                <w:szCs w:val="32"/>
                <w:highlight w:val="none"/>
              </w:rPr>
            </w:pPr>
          </w:p>
        </w:tc>
        <w:tc>
          <w:tcPr>
            <w:tcW w:w="3428" w:type="dxa"/>
            <w:gridSpan w:val="2"/>
            <w:shd w:val="clear" w:color="auto" w:fill="auto"/>
            <w:vAlign w:val="center"/>
          </w:tcPr>
          <w:p>
            <w:pPr>
              <w:pStyle w:val="13"/>
              <w:spacing w:beforeAutospacing="0" w:afterAutospacing="0" w:line="320" w:lineRule="exact"/>
              <w:rPr>
                <w:rFonts w:eastAsia="仿宋_GB2312"/>
                <w:szCs w:val="32"/>
                <w:highlight w:val="none"/>
              </w:rPr>
            </w:pPr>
            <w:r>
              <w:rPr>
                <w:rFonts w:eastAsia="仿宋_GB2312"/>
                <w:szCs w:val="32"/>
                <w:highlight w:val="none"/>
              </w:rPr>
              <w:t>职业教育办学质量</w:t>
            </w:r>
          </w:p>
        </w:tc>
        <w:tc>
          <w:tcPr>
            <w:tcW w:w="1252" w:type="dxa"/>
            <w:shd w:val="clear" w:color="auto" w:fill="auto"/>
            <w:vAlign w:val="center"/>
          </w:tcPr>
          <w:p>
            <w:pPr>
              <w:pStyle w:val="13"/>
              <w:spacing w:beforeAutospacing="0" w:afterAutospacing="0" w:line="320" w:lineRule="exact"/>
              <w:jc w:val="center"/>
              <w:rPr>
                <w:rFonts w:eastAsia="仿宋_GB2312"/>
                <w:szCs w:val="32"/>
                <w:highlight w:val="none"/>
              </w:rPr>
            </w:pPr>
            <w:r>
              <w:rPr>
                <w:rFonts w:eastAsia="仿宋_GB2312"/>
                <w:szCs w:val="32"/>
                <w:highlight w:val="none"/>
              </w:rPr>
              <w:t>省中等位次</w:t>
            </w:r>
          </w:p>
        </w:tc>
        <w:tc>
          <w:tcPr>
            <w:tcW w:w="1253" w:type="dxa"/>
            <w:shd w:val="clear" w:color="auto" w:fill="auto"/>
            <w:vAlign w:val="center"/>
          </w:tcPr>
          <w:p>
            <w:pPr>
              <w:pStyle w:val="13"/>
              <w:spacing w:beforeAutospacing="0" w:afterAutospacing="0" w:line="320" w:lineRule="exact"/>
              <w:jc w:val="center"/>
              <w:rPr>
                <w:rFonts w:eastAsia="仿宋_GB2312"/>
                <w:szCs w:val="32"/>
                <w:highlight w:val="none"/>
              </w:rPr>
            </w:pPr>
            <w:r>
              <w:rPr>
                <w:rFonts w:eastAsia="仿宋_GB2312"/>
                <w:szCs w:val="32"/>
                <w:highlight w:val="none"/>
              </w:rPr>
              <w:t>/</w:t>
            </w:r>
          </w:p>
        </w:tc>
        <w:tc>
          <w:tcPr>
            <w:tcW w:w="1252" w:type="dxa"/>
            <w:shd w:val="clear" w:color="auto" w:fill="auto"/>
            <w:vAlign w:val="center"/>
          </w:tcPr>
          <w:p>
            <w:pPr>
              <w:pStyle w:val="13"/>
              <w:spacing w:beforeAutospacing="0" w:afterAutospacing="0" w:line="320" w:lineRule="exact"/>
              <w:jc w:val="center"/>
              <w:rPr>
                <w:rFonts w:eastAsia="仿宋_GB2312"/>
                <w:szCs w:val="32"/>
                <w:highlight w:val="none"/>
              </w:rPr>
            </w:pPr>
            <w:r>
              <w:rPr>
                <w:rFonts w:eastAsia="仿宋_GB2312"/>
                <w:szCs w:val="32"/>
                <w:highlight w:val="none"/>
              </w:rPr>
              <w:t>省中等位次以上</w:t>
            </w:r>
          </w:p>
        </w:tc>
        <w:tc>
          <w:tcPr>
            <w:tcW w:w="1253" w:type="dxa"/>
            <w:shd w:val="clear" w:color="auto" w:fill="auto"/>
            <w:vAlign w:val="center"/>
          </w:tcPr>
          <w:p>
            <w:pPr>
              <w:pStyle w:val="13"/>
              <w:spacing w:beforeAutospacing="0" w:afterAutospacing="0" w:line="320" w:lineRule="exact"/>
              <w:jc w:val="center"/>
              <w:rPr>
                <w:rFonts w:eastAsia="仿宋_GB2312"/>
                <w:szCs w:val="32"/>
                <w:highlight w:val="none"/>
              </w:rPr>
            </w:pPr>
            <w:r>
              <w:rPr>
                <w:rFonts w:eastAsia="仿宋_GB2312"/>
                <w:szCs w:val="32"/>
                <w:highlight w:val="none"/>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39" w:type="dxa"/>
            <w:vMerge w:val="continue"/>
            <w:shd w:val="clear" w:color="auto" w:fill="auto"/>
            <w:vAlign w:val="center"/>
          </w:tcPr>
          <w:p>
            <w:pPr>
              <w:pStyle w:val="13"/>
              <w:spacing w:beforeAutospacing="0" w:afterAutospacing="0" w:line="320" w:lineRule="exact"/>
              <w:jc w:val="center"/>
              <w:rPr>
                <w:rFonts w:eastAsia="仿宋_GB2312"/>
                <w:b/>
                <w:szCs w:val="32"/>
                <w:highlight w:val="none"/>
              </w:rPr>
            </w:pPr>
          </w:p>
        </w:tc>
        <w:tc>
          <w:tcPr>
            <w:tcW w:w="3428" w:type="dxa"/>
            <w:gridSpan w:val="2"/>
            <w:shd w:val="clear" w:color="auto" w:fill="auto"/>
            <w:vAlign w:val="center"/>
          </w:tcPr>
          <w:p>
            <w:pPr>
              <w:pStyle w:val="13"/>
              <w:spacing w:beforeAutospacing="0" w:afterAutospacing="0" w:line="320" w:lineRule="exact"/>
              <w:rPr>
                <w:rFonts w:eastAsia="仿宋_GB2312"/>
                <w:szCs w:val="32"/>
                <w:highlight w:val="none"/>
              </w:rPr>
            </w:pPr>
            <w:r>
              <w:rPr>
                <w:rFonts w:eastAsia="仿宋_GB2312"/>
                <w:szCs w:val="32"/>
                <w:highlight w:val="none"/>
              </w:rPr>
              <w:t>中职学生职业技能大赛获奖占比（‰）</w:t>
            </w:r>
          </w:p>
        </w:tc>
        <w:tc>
          <w:tcPr>
            <w:tcW w:w="1252" w:type="dxa"/>
            <w:shd w:val="clear" w:color="auto" w:fill="auto"/>
            <w:vAlign w:val="center"/>
          </w:tcPr>
          <w:p>
            <w:pPr>
              <w:pStyle w:val="13"/>
              <w:spacing w:beforeAutospacing="0" w:afterAutospacing="0" w:line="320" w:lineRule="exact"/>
              <w:jc w:val="center"/>
              <w:rPr>
                <w:rFonts w:eastAsia="仿宋_GB2312"/>
                <w:szCs w:val="32"/>
                <w:highlight w:val="none"/>
              </w:rPr>
            </w:pPr>
            <w:r>
              <w:rPr>
                <w:rFonts w:eastAsia="仿宋_GB2312"/>
                <w:szCs w:val="32"/>
                <w:highlight w:val="none"/>
              </w:rPr>
              <w:t>1</w:t>
            </w:r>
          </w:p>
        </w:tc>
        <w:tc>
          <w:tcPr>
            <w:tcW w:w="1253" w:type="dxa"/>
            <w:shd w:val="clear" w:color="auto" w:fill="auto"/>
            <w:vAlign w:val="center"/>
          </w:tcPr>
          <w:p>
            <w:pPr>
              <w:pStyle w:val="13"/>
              <w:spacing w:beforeAutospacing="0" w:afterAutospacing="0" w:line="320" w:lineRule="exact"/>
              <w:jc w:val="center"/>
              <w:rPr>
                <w:rFonts w:eastAsia="仿宋_GB2312"/>
                <w:szCs w:val="32"/>
                <w:highlight w:val="none"/>
              </w:rPr>
            </w:pPr>
            <w:r>
              <w:rPr>
                <w:rFonts w:eastAsia="仿宋_GB2312"/>
                <w:szCs w:val="32"/>
                <w:highlight w:val="none"/>
              </w:rPr>
              <w:t>3</w:t>
            </w:r>
          </w:p>
        </w:tc>
        <w:tc>
          <w:tcPr>
            <w:tcW w:w="1252" w:type="dxa"/>
            <w:shd w:val="clear" w:color="auto" w:fill="auto"/>
            <w:vAlign w:val="center"/>
          </w:tcPr>
          <w:p>
            <w:pPr>
              <w:pStyle w:val="13"/>
              <w:spacing w:beforeAutospacing="0" w:afterAutospacing="0" w:line="320" w:lineRule="exact"/>
              <w:jc w:val="center"/>
              <w:rPr>
                <w:rFonts w:eastAsia="仿宋_GB2312"/>
                <w:szCs w:val="32"/>
                <w:highlight w:val="none"/>
              </w:rPr>
            </w:pPr>
            <w:r>
              <w:rPr>
                <w:rFonts w:eastAsia="仿宋_GB2312"/>
                <w:szCs w:val="32"/>
                <w:highlight w:val="none"/>
              </w:rPr>
              <w:t>3</w:t>
            </w:r>
          </w:p>
        </w:tc>
        <w:tc>
          <w:tcPr>
            <w:tcW w:w="1253" w:type="dxa"/>
            <w:shd w:val="clear" w:color="auto" w:fill="auto"/>
            <w:vAlign w:val="center"/>
          </w:tcPr>
          <w:p>
            <w:pPr>
              <w:pStyle w:val="13"/>
              <w:spacing w:beforeAutospacing="0" w:afterAutospacing="0" w:line="320" w:lineRule="exact"/>
              <w:jc w:val="center"/>
              <w:rPr>
                <w:rFonts w:eastAsia="仿宋_GB2312"/>
                <w:szCs w:val="32"/>
                <w:highlight w:val="none"/>
              </w:rPr>
            </w:pPr>
            <w:r>
              <w:rPr>
                <w:rFonts w:eastAsia="仿宋_GB2312"/>
                <w:szCs w:val="32"/>
                <w:highlight w:val="none"/>
              </w:rPr>
              <w: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639" w:type="dxa"/>
            <w:vMerge w:val="continue"/>
            <w:shd w:val="clear" w:color="auto" w:fill="auto"/>
            <w:vAlign w:val="center"/>
          </w:tcPr>
          <w:p>
            <w:pPr>
              <w:pStyle w:val="13"/>
              <w:spacing w:beforeAutospacing="0" w:afterAutospacing="0" w:line="320" w:lineRule="exact"/>
              <w:jc w:val="center"/>
              <w:rPr>
                <w:rFonts w:eastAsia="仿宋_GB2312"/>
                <w:b/>
                <w:szCs w:val="32"/>
                <w:highlight w:val="none"/>
              </w:rPr>
            </w:pPr>
          </w:p>
        </w:tc>
        <w:tc>
          <w:tcPr>
            <w:tcW w:w="3428" w:type="dxa"/>
            <w:gridSpan w:val="2"/>
            <w:shd w:val="clear" w:color="auto" w:fill="auto"/>
            <w:vAlign w:val="center"/>
          </w:tcPr>
          <w:p>
            <w:pPr>
              <w:pStyle w:val="13"/>
              <w:spacing w:beforeAutospacing="0" w:afterAutospacing="0" w:line="320" w:lineRule="exact"/>
              <w:rPr>
                <w:rFonts w:eastAsia="仿宋_GB2312"/>
                <w:szCs w:val="32"/>
                <w:highlight w:val="none"/>
              </w:rPr>
            </w:pPr>
            <w:r>
              <w:rPr>
                <w:rFonts w:eastAsia="仿宋_GB2312"/>
                <w:szCs w:val="32"/>
                <w:highlight w:val="none"/>
              </w:rPr>
              <w:t>木玩游戏教育覆盖面（%）</w:t>
            </w:r>
          </w:p>
        </w:tc>
        <w:tc>
          <w:tcPr>
            <w:tcW w:w="1252" w:type="dxa"/>
            <w:shd w:val="clear" w:color="auto" w:fill="auto"/>
            <w:vAlign w:val="center"/>
          </w:tcPr>
          <w:p>
            <w:pPr>
              <w:pStyle w:val="13"/>
              <w:spacing w:beforeAutospacing="0" w:afterAutospacing="0" w:line="320" w:lineRule="exact"/>
              <w:jc w:val="center"/>
              <w:rPr>
                <w:rFonts w:eastAsia="仿宋_GB2312"/>
                <w:szCs w:val="32"/>
                <w:highlight w:val="none"/>
              </w:rPr>
            </w:pPr>
            <w:r>
              <w:rPr>
                <w:rFonts w:eastAsia="仿宋_GB2312"/>
                <w:szCs w:val="32"/>
                <w:highlight w:val="none"/>
              </w:rPr>
              <w:t>60</w:t>
            </w:r>
          </w:p>
        </w:tc>
        <w:tc>
          <w:tcPr>
            <w:tcW w:w="1253" w:type="dxa"/>
            <w:shd w:val="clear" w:color="auto" w:fill="auto"/>
            <w:vAlign w:val="center"/>
          </w:tcPr>
          <w:p>
            <w:pPr>
              <w:pStyle w:val="13"/>
              <w:spacing w:beforeAutospacing="0" w:afterAutospacing="0" w:line="320" w:lineRule="exact"/>
              <w:jc w:val="center"/>
              <w:rPr>
                <w:rFonts w:eastAsia="仿宋_GB2312"/>
                <w:szCs w:val="32"/>
                <w:highlight w:val="none"/>
              </w:rPr>
            </w:pPr>
            <w:r>
              <w:rPr>
                <w:rFonts w:eastAsia="仿宋_GB2312"/>
                <w:szCs w:val="32"/>
                <w:highlight w:val="none"/>
              </w:rPr>
              <w:t>/</w:t>
            </w:r>
          </w:p>
        </w:tc>
        <w:tc>
          <w:tcPr>
            <w:tcW w:w="1252" w:type="dxa"/>
            <w:shd w:val="clear" w:color="auto" w:fill="auto"/>
            <w:vAlign w:val="center"/>
          </w:tcPr>
          <w:p>
            <w:pPr>
              <w:pStyle w:val="13"/>
              <w:spacing w:beforeAutospacing="0" w:afterAutospacing="0" w:line="320" w:lineRule="exact"/>
              <w:jc w:val="center"/>
              <w:rPr>
                <w:rFonts w:eastAsia="仿宋_GB2312"/>
                <w:szCs w:val="32"/>
                <w:highlight w:val="none"/>
              </w:rPr>
            </w:pPr>
            <w:r>
              <w:rPr>
                <w:rFonts w:eastAsia="仿宋_GB2312"/>
                <w:szCs w:val="32"/>
                <w:highlight w:val="none"/>
              </w:rPr>
              <w:t>100</w:t>
            </w:r>
          </w:p>
        </w:tc>
        <w:tc>
          <w:tcPr>
            <w:tcW w:w="1253" w:type="dxa"/>
            <w:shd w:val="clear" w:color="auto" w:fill="auto"/>
            <w:vAlign w:val="center"/>
          </w:tcPr>
          <w:p>
            <w:pPr>
              <w:pStyle w:val="13"/>
              <w:spacing w:beforeAutospacing="0" w:afterAutospacing="0" w:line="320" w:lineRule="exact"/>
              <w:jc w:val="center"/>
              <w:rPr>
                <w:rFonts w:eastAsia="仿宋_GB2312"/>
                <w:szCs w:val="32"/>
                <w:highlight w:val="none"/>
              </w:rPr>
            </w:pPr>
            <w:r>
              <w:rPr>
                <w:rFonts w:eastAsia="仿宋_GB2312"/>
                <w:szCs w:val="32"/>
                <w:highlight w:val="none"/>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39" w:type="dxa"/>
            <w:vMerge w:val="continue"/>
            <w:shd w:val="clear" w:color="auto" w:fill="auto"/>
            <w:vAlign w:val="center"/>
          </w:tcPr>
          <w:p>
            <w:pPr>
              <w:pStyle w:val="13"/>
              <w:spacing w:beforeAutospacing="0" w:afterAutospacing="0" w:line="320" w:lineRule="exact"/>
              <w:jc w:val="center"/>
              <w:rPr>
                <w:rFonts w:eastAsia="仿宋_GB2312"/>
                <w:b/>
                <w:szCs w:val="32"/>
                <w:highlight w:val="none"/>
              </w:rPr>
            </w:pPr>
          </w:p>
        </w:tc>
        <w:tc>
          <w:tcPr>
            <w:tcW w:w="3428" w:type="dxa"/>
            <w:gridSpan w:val="2"/>
            <w:shd w:val="clear" w:color="auto" w:fill="auto"/>
            <w:vAlign w:val="center"/>
          </w:tcPr>
          <w:p>
            <w:pPr>
              <w:pStyle w:val="13"/>
              <w:spacing w:beforeAutospacing="0" w:afterAutospacing="0" w:line="320" w:lineRule="exact"/>
              <w:rPr>
                <w:rFonts w:eastAsia="仿宋_GB2312"/>
                <w:szCs w:val="32"/>
                <w:highlight w:val="none"/>
              </w:rPr>
            </w:pPr>
            <w:r>
              <w:rPr>
                <w:rFonts w:eastAsia="仿宋_GB2312"/>
                <w:szCs w:val="32"/>
                <w:highlight w:val="none"/>
              </w:rPr>
              <w:t>儿童青少年总体近视率（%）</w:t>
            </w:r>
          </w:p>
        </w:tc>
        <w:tc>
          <w:tcPr>
            <w:tcW w:w="1252" w:type="dxa"/>
            <w:shd w:val="clear" w:color="auto" w:fill="auto"/>
            <w:vAlign w:val="center"/>
          </w:tcPr>
          <w:p>
            <w:pPr>
              <w:pStyle w:val="13"/>
              <w:spacing w:beforeAutospacing="0" w:afterAutospacing="0" w:line="320" w:lineRule="exact"/>
              <w:jc w:val="center"/>
              <w:rPr>
                <w:rFonts w:eastAsia="仿宋_GB2312"/>
                <w:szCs w:val="32"/>
                <w:highlight w:val="none"/>
              </w:rPr>
            </w:pPr>
            <w:r>
              <w:rPr>
                <w:rFonts w:eastAsia="仿宋_GB2312"/>
                <w:szCs w:val="32"/>
                <w:highlight w:val="none"/>
              </w:rPr>
              <w:t>55.71</w:t>
            </w:r>
          </w:p>
        </w:tc>
        <w:tc>
          <w:tcPr>
            <w:tcW w:w="1253" w:type="dxa"/>
            <w:shd w:val="clear" w:color="auto" w:fill="auto"/>
            <w:vAlign w:val="center"/>
          </w:tcPr>
          <w:p>
            <w:pPr>
              <w:pStyle w:val="13"/>
              <w:spacing w:beforeAutospacing="0" w:afterAutospacing="0" w:line="320" w:lineRule="exact"/>
              <w:jc w:val="center"/>
              <w:rPr>
                <w:rFonts w:eastAsia="仿宋_GB2312"/>
                <w:szCs w:val="32"/>
                <w:highlight w:val="none"/>
              </w:rPr>
            </w:pPr>
            <w:r>
              <w:rPr>
                <w:rFonts w:eastAsia="仿宋_GB2312"/>
                <w:szCs w:val="32"/>
                <w:highlight w:val="none"/>
              </w:rPr>
              <w:t>55.53</w:t>
            </w:r>
          </w:p>
        </w:tc>
        <w:tc>
          <w:tcPr>
            <w:tcW w:w="1252" w:type="dxa"/>
            <w:shd w:val="clear" w:color="auto" w:fill="auto"/>
            <w:vAlign w:val="center"/>
          </w:tcPr>
          <w:p>
            <w:pPr>
              <w:pStyle w:val="13"/>
              <w:spacing w:beforeAutospacing="0" w:afterAutospacing="0" w:line="320" w:lineRule="exact"/>
              <w:jc w:val="center"/>
              <w:rPr>
                <w:rFonts w:eastAsia="仿宋_GB2312"/>
                <w:szCs w:val="32"/>
                <w:highlight w:val="none"/>
              </w:rPr>
            </w:pPr>
            <w:r>
              <w:rPr>
                <w:rFonts w:eastAsia="仿宋_GB2312"/>
                <w:szCs w:val="32"/>
                <w:highlight w:val="none"/>
              </w:rPr>
              <w:t>降低5个百分点</w:t>
            </w:r>
          </w:p>
        </w:tc>
        <w:tc>
          <w:tcPr>
            <w:tcW w:w="1253" w:type="dxa"/>
            <w:shd w:val="clear" w:color="auto" w:fill="auto"/>
            <w:vAlign w:val="center"/>
          </w:tcPr>
          <w:p>
            <w:pPr>
              <w:pStyle w:val="13"/>
              <w:spacing w:beforeAutospacing="0" w:afterAutospacing="0" w:line="320" w:lineRule="exact"/>
              <w:jc w:val="center"/>
              <w:rPr>
                <w:rFonts w:eastAsia="仿宋_GB2312"/>
                <w:szCs w:val="32"/>
                <w:highlight w:val="none"/>
              </w:rPr>
            </w:pPr>
            <w:r>
              <w:rPr>
                <w:rFonts w:eastAsia="仿宋_GB2312"/>
                <w:szCs w:val="32"/>
                <w:highlight w:val="none"/>
              </w:rPr>
              <w:t>50.53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39" w:type="dxa"/>
            <w:vMerge w:val="continue"/>
            <w:shd w:val="clear" w:color="auto" w:fill="auto"/>
            <w:vAlign w:val="center"/>
          </w:tcPr>
          <w:p>
            <w:pPr>
              <w:pStyle w:val="13"/>
              <w:spacing w:beforeAutospacing="0" w:afterAutospacing="0" w:line="320" w:lineRule="exact"/>
              <w:jc w:val="center"/>
              <w:rPr>
                <w:rFonts w:eastAsia="仿宋_GB2312"/>
                <w:b/>
                <w:szCs w:val="32"/>
                <w:highlight w:val="none"/>
              </w:rPr>
            </w:pPr>
          </w:p>
        </w:tc>
        <w:tc>
          <w:tcPr>
            <w:tcW w:w="3428" w:type="dxa"/>
            <w:gridSpan w:val="2"/>
            <w:shd w:val="clear" w:color="auto" w:fill="auto"/>
            <w:vAlign w:val="center"/>
          </w:tcPr>
          <w:p>
            <w:pPr>
              <w:pStyle w:val="13"/>
              <w:spacing w:beforeAutospacing="0" w:afterAutospacing="0" w:line="320" w:lineRule="exact"/>
              <w:rPr>
                <w:rFonts w:eastAsia="仿宋_GB2312"/>
                <w:szCs w:val="32"/>
                <w:highlight w:val="none"/>
              </w:rPr>
            </w:pPr>
            <w:r>
              <w:rPr>
                <w:rFonts w:eastAsia="仿宋_GB2312"/>
                <w:szCs w:val="32"/>
                <w:highlight w:val="none"/>
              </w:rPr>
              <w:t>中小学生体质健康优良率（%）</w:t>
            </w:r>
          </w:p>
        </w:tc>
        <w:tc>
          <w:tcPr>
            <w:tcW w:w="1252" w:type="dxa"/>
            <w:shd w:val="clear" w:color="auto" w:fill="auto"/>
            <w:vAlign w:val="center"/>
          </w:tcPr>
          <w:p>
            <w:pPr>
              <w:pStyle w:val="13"/>
              <w:spacing w:beforeAutospacing="0" w:afterAutospacing="0" w:line="320" w:lineRule="exact"/>
              <w:jc w:val="center"/>
              <w:rPr>
                <w:rFonts w:eastAsia="仿宋_GB2312"/>
                <w:szCs w:val="32"/>
                <w:highlight w:val="none"/>
              </w:rPr>
            </w:pPr>
            <w:r>
              <w:rPr>
                <w:rFonts w:eastAsia="仿宋_GB2312"/>
                <w:szCs w:val="32"/>
                <w:highlight w:val="none"/>
              </w:rPr>
              <w:t>52.67</w:t>
            </w:r>
          </w:p>
        </w:tc>
        <w:tc>
          <w:tcPr>
            <w:tcW w:w="1253" w:type="dxa"/>
            <w:shd w:val="clear" w:color="auto" w:fill="auto"/>
            <w:vAlign w:val="center"/>
          </w:tcPr>
          <w:p>
            <w:pPr>
              <w:pStyle w:val="13"/>
              <w:spacing w:beforeAutospacing="0" w:afterAutospacing="0" w:line="320" w:lineRule="exact"/>
              <w:jc w:val="center"/>
              <w:rPr>
                <w:rFonts w:eastAsia="仿宋_GB2312"/>
                <w:szCs w:val="32"/>
                <w:highlight w:val="none"/>
              </w:rPr>
            </w:pPr>
            <w:r>
              <w:rPr>
                <w:rFonts w:eastAsia="仿宋_GB2312"/>
                <w:szCs w:val="32"/>
                <w:highlight w:val="none"/>
              </w:rPr>
              <w:t>/</w:t>
            </w:r>
          </w:p>
        </w:tc>
        <w:tc>
          <w:tcPr>
            <w:tcW w:w="1252" w:type="dxa"/>
            <w:shd w:val="clear" w:color="auto" w:fill="auto"/>
            <w:vAlign w:val="center"/>
          </w:tcPr>
          <w:p>
            <w:pPr>
              <w:pStyle w:val="13"/>
              <w:spacing w:beforeAutospacing="0" w:afterAutospacing="0" w:line="320" w:lineRule="exact"/>
              <w:jc w:val="center"/>
              <w:rPr>
                <w:rFonts w:eastAsia="仿宋_GB2312"/>
                <w:szCs w:val="32"/>
                <w:highlight w:val="none"/>
              </w:rPr>
            </w:pPr>
            <w:r>
              <w:rPr>
                <w:rFonts w:eastAsia="仿宋_GB2312"/>
                <w:szCs w:val="32"/>
                <w:highlight w:val="none"/>
              </w:rPr>
              <w:t>55</w:t>
            </w:r>
          </w:p>
        </w:tc>
        <w:tc>
          <w:tcPr>
            <w:tcW w:w="1253" w:type="dxa"/>
            <w:shd w:val="clear" w:color="auto" w:fill="auto"/>
            <w:vAlign w:val="center"/>
          </w:tcPr>
          <w:p>
            <w:pPr>
              <w:pStyle w:val="13"/>
              <w:spacing w:beforeAutospacing="0" w:afterAutospacing="0" w:line="320" w:lineRule="exact"/>
              <w:jc w:val="center"/>
              <w:rPr>
                <w:rFonts w:eastAsia="仿宋_GB2312"/>
                <w:szCs w:val="32"/>
                <w:highlight w:val="none"/>
              </w:rPr>
            </w:pPr>
            <w:r>
              <w:rPr>
                <w:rFonts w:eastAsia="仿宋_GB2312"/>
                <w:szCs w:val="32"/>
                <w:highlight w:val="none"/>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39" w:type="dxa"/>
            <w:vMerge w:val="continue"/>
            <w:shd w:val="clear" w:color="auto" w:fill="auto"/>
            <w:vAlign w:val="center"/>
          </w:tcPr>
          <w:p>
            <w:pPr>
              <w:pStyle w:val="13"/>
              <w:spacing w:beforeAutospacing="0" w:afterAutospacing="0" w:line="320" w:lineRule="exact"/>
              <w:jc w:val="center"/>
              <w:rPr>
                <w:rFonts w:eastAsia="仿宋_GB2312"/>
                <w:b/>
                <w:szCs w:val="32"/>
                <w:highlight w:val="none"/>
              </w:rPr>
            </w:pPr>
          </w:p>
        </w:tc>
        <w:tc>
          <w:tcPr>
            <w:tcW w:w="3428" w:type="dxa"/>
            <w:gridSpan w:val="2"/>
            <w:shd w:val="clear" w:color="auto" w:fill="auto"/>
            <w:vAlign w:val="center"/>
          </w:tcPr>
          <w:p>
            <w:pPr>
              <w:pStyle w:val="13"/>
              <w:spacing w:beforeAutospacing="0" w:afterAutospacing="0" w:line="320" w:lineRule="exact"/>
              <w:rPr>
                <w:rFonts w:eastAsia="仿宋_GB2312"/>
                <w:szCs w:val="32"/>
                <w:highlight w:val="none"/>
              </w:rPr>
            </w:pPr>
            <w:r>
              <w:rPr>
                <w:rFonts w:eastAsia="仿宋_GB2312"/>
                <w:szCs w:val="32"/>
                <w:highlight w:val="none"/>
              </w:rPr>
              <w:t>本省高校丽水籍大学新生体质健康合格率（%）</w:t>
            </w:r>
          </w:p>
        </w:tc>
        <w:tc>
          <w:tcPr>
            <w:tcW w:w="1252" w:type="dxa"/>
            <w:shd w:val="clear" w:color="auto" w:fill="auto"/>
            <w:vAlign w:val="center"/>
          </w:tcPr>
          <w:p>
            <w:pPr>
              <w:pStyle w:val="13"/>
              <w:spacing w:beforeAutospacing="0" w:afterAutospacing="0" w:line="320" w:lineRule="exact"/>
              <w:jc w:val="center"/>
              <w:rPr>
                <w:rFonts w:eastAsia="仿宋_GB2312"/>
                <w:szCs w:val="32"/>
                <w:highlight w:val="none"/>
              </w:rPr>
            </w:pPr>
            <w:r>
              <w:rPr>
                <w:rFonts w:eastAsia="仿宋_GB2312"/>
                <w:szCs w:val="32"/>
                <w:highlight w:val="none"/>
              </w:rPr>
              <w:t>92.04</w:t>
            </w:r>
          </w:p>
        </w:tc>
        <w:tc>
          <w:tcPr>
            <w:tcW w:w="1253" w:type="dxa"/>
            <w:shd w:val="clear" w:color="auto" w:fill="auto"/>
            <w:vAlign w:val="center"/>
          </w:tcPr>
          <w:p>
            <w:pPr>
              <w:pStyle w:val="13"/>
              <w:spacing w:beforeAutospacing="0" w:afterAutospacing="0" w:line="320" w:lineRule="exact"/>
              <w:jc w:val="center"/>
              <w:rPr>
                <w:rFonts w:eastAsia="仿宋_GB2312"/>
                <w:szCs w:val="32"/>
                <w:highlight w:val="none"/>
              </w:rPr>
            </w:pPr>
            <w:r>
              <w:rPr>
                <w:rFonts w:eastAsia="仿宋_GB2312"/>
                <w:szCs w:val="32"/>
                <w:highlight w:val="none"/>
              </w:rPr>
              <w:t>91</w:t>
            </w:r>
          </w:p>
        </w:tc>
        <w:tc>
          <w:tcPr>
            <w:tcW w:w="1252" w:type="dxa"/>
            <w:shd w:val="clear" w:color="auto" w:fill="auto"/>
            <w:vAlign w:val="center"/>
          </w:tcPr>
          <w:p>
            <w:pPr>
              <w:pStyle w:val="13"/>
              <w:spacing w:beforeAutospacing="0" w:afterAutospacing="0" w:line="320" w:lineRule="exact"/>
              <w:jc w:val="center"/>
              <w:rPr>
                <w:rFonts w:eastAsia="仿宋_GB2312"/>
                <w:szCs w:val="32"/>
                <w:highlight w:val="none"/>
              </w:rPr>
            </w:pPr>
            <w:r>
              <w:rPr>
                <w:rFonts w:eastAsia="仿宋_GB2312"/>
                <w:szCs w:val="32"/>
                <w:highlight w:val="none"/>
              </w:rPr>
              <w:t>93.5</w:t>
            </w:r>
          </w:p>
        </w:tc>
        <w:tc>
          <w:tcPr>
            <w:tcW w:w="1253" w:type="dxa"/>
            <w:shd w:val="clear" w:color="auto" w:fill="auto"/>
            <w:vAlign w:val="center"/>
          </w:tcPr>
          <w:p>
            <w:pPr>
              <w:pStyle w:val="13"/>
              <w:spacing w:beforeAutospacing="0" w:afterAutospacing="0" w:line="320" w:lineRule="exact"/>
              <w:jc w:val="center"/>
              <w:rPr>
                <w:rFonts w:eastAsia="仿宋_GB2312"/>
                <w:szCs w:val="32"/>
                <w:highlight w:val="none"/>
              </w:rPr>
            </w:pPr>
            <w:r>
              <w:rPr>
                <w:rFonts w:eastAsia="仿宋_GB2312"/>
                <w:szCs w:val="32"/>
                <w:highlight w:val="none"/>
              </w:rPr>
              <w:t>93.5</w:t>
            </w:r>
          </w:p>
        </w:tc>
      </w:tr>
    </w:tbl>
    <w:p>
      <w:pPr>
        <w:spacing w:line="600" w:lineRule="exact"/>
        <w:ind w:firstLine="640" w:firstLineChars="200"/>
        <w:outlineLvl w:val="0"/>
        <w:rPr>
          <w:rFonts w:eastAsia="黑体"/>
          <w:sz w:val="32"/>
          <w:szCs w:val="32"/>
          <w:highlight w:val="none"/>
        </w:rPr>
      </w:pPr>
      <w:bookmarkStart w:id="13" w:name="_Toc63173868"/>
      <w:bookmarkStart w:id="14" w:name="_Toc85116773"/>
      <w:r>
        <w:rPr>
          <w:rFonts w:eastAsia="黑体"/>
          <w:sz w:val="32"/>
          <w:szCs w:val="32"/>
          <w:highlight w:val="none"/>
        </w:rPr>
        <w:t>三、主要任务</w:t>
      </w:r>
      <w:bookmarkEnd w:id="13"/>
      <w:bookmarkEnd w:id="14"/>
    </w:p>
    <w:p>
      <w:pPr>
        <w:spacing w:line="600" w:lineRule="exact"/>
        <w:ind w:firstLine="642" w:firstLineChars="200"/>
        <w:outlineLvl w:val="1"/>
        <w:rPr>
          <w:rFonts w:eastAsia="楷体_GB2312"/>
          <w:b/>
          <w:sz w:val="32"/>
          <w:szCs w:val="32"/>
          <w:highlight w:val="none"/>
        </w:rPr>
      </w:pPr>
      <w:bookmarkStart w:id="15" w:name="_Toc85116774"/>
      <w:r>
        <w:rPr>
          <w:rFonts w:eastAsia="楷体_GB2312"/>
          <w:b/>
          <w:sz w:val="32"/>
          <w:szCs w:val="32"/>
          <w:highlight w:val="none"/>
        </w:rPr>
        <w:t>（一）健全“五育并举”培养机制</w:t>
      </w:r>
      <w:bookmarkEnd w:id="15"/>
    </w:p>
    <w:p>
      <w:pPr>
        <w:spacing w:line="600" w:lineRule="exact"/>
        <w:ind w:firstLine="640" w:firstLineChars="200"/>
        <w:rPr>
          <w:rFonts w:eastAsia="仿宋_GB2312"/>
          <w:bCs/>
          <w:sz w:val="32"/>
          <w:szCs w:val="32"/>
          <w:highlight w:val="none"/>
        </w:rPr>
      </w:pPr>
      <w:r>
        <w:rPr>
          <w:rFonts w:hint="eastAsia" w:eastAsia="仿宋_GB2312"/>
          <w:bCs/>
          <w:sz w:val="32"/>
          <w:szCs w:val="32"/>
          <w:highlight w:val="none"/>
        </w:rPr>
        <w:t>坚持为党育人、为国育才，坚持社会主义办学方向，健全立德树人落实机制，推进德智体美劳五育并举，促进家校社协同育人，培养具有丽水辨识度的优秀学生。</w:t>
      </w:r>
    </w:p>
    <w:p>
      <w:pPr>
        <w:spacing w:line="600" w:lineRule="exact"/>
        <w:ind w:firstLine="642" w:firstLineChars="200"/>
        <w:rPr>
          <w:rFonts w:eastAsia="仿宋_GB2312"/>
          <w:bCs/>
          <w:kern w:val="0"/>
          <w:sz w:val="32"/>
          <w:szCs w:val="32"/>
          <w:highlight w:val="none"/>
        </w:rPr>
      </w:pPr>
      <w:r>
        <w:rPr>
          <w:rStyle w:val="23"/>
          <w:highlight w:val="none"/>
        </w:rPr>
        <w:t>1.增强德育工作实效</w:t>
      </w:r>
      <w:r>
        <w:rPr>
          <w:rFonts w:eastAsia="仿宋_GB2312"/>
          <w:b/>
          <w:kern w:val="0"/>
          <w:sz w:val="32"/>
          <w:szCs w:val="32"/>
          <w:highlight w:val="none"/>
        </w:rPr>
        <w:t>。</w:t>
      </w:r>
      <w:r>
        <w:rPr>
          <w:rFonts w:eastAsia="仿宋_GB2312"/>
          <w:bCs/>
          <w:sz w:val="32"/>
          <w:szCs w:val="32"/>
          <w:highlight w:val="none"/>
        </w:rPr>
        <w:t>落实《习近平新时代中国特色社会主义思想进课程教材指南》，</w:t>
      </w:r>
      <w:r>
        <w:rPr>
          <w:rFonts w:eastAsia="仿宋_GB2312"/>
          <w:bCs/>
          <w:kern w:val="0"/>
          <w:sz w:val="32"/>
          <w:szCs w:val="32"/>
          <w:highlight w:val="none"/>
        </w:rPr>
        <w:t>深入开展社会主义核心价值观教育、理想信念教育，强化学生品德教育、心理健康教育、行为习惯养成教育，教育引导学生爱党爱国爱人民爱社会主义。办好思政课程，强化课程思政，</w:t>
      </w:r>
      <w:r>
        <w:rPr>
          <w:rFonts w:eastAsia="仿宋_GB2312"/>
          <w:bCs/>
          <w:sz w:val="32"/>
          <w:szCs w:val="32"/>
          <w:highlight w:val="none"/>
        </w:rPr>
        <w:t>推进思政课程与课程思政有机结合，深化思政课改革创新，切实提高思政课质量。全面提升思政教师业务能力，着力打造高初小各学段优质思政样板课，建设市级中小学思政教育一体化协同教研机制。</w:t>
      </w:r>
      <w:r>
        <w:rPr>
          <w:rFonts w:eastAsia="仿宋_GB2312"/>
          <w:bCs/>
          <w:kern w:val="0"/>
          <w:sz w:val="32"/>
          <w:szCs w:val="32"/>
          <w:highlight w:val="none"/>
        </w:rPr>
        <w:t>深入推进丽水“红色、绿色、古色”三色德育品牌建设，</w:t>
      </w:r>
      <w:r>
        <w:rPr>
          <w:rFonts w:eastAsia="仿宋_GB2312"/>
          <w:bCs/>
          <w:sz w:val="32"/>
          <w:szCs w:val="32"/>
          <w:highlight w:val="none"/>
        </w:rPr>
        <w:t>实施新版《浙江绿谷》地方教材，深化“绿谷之梦·人文”活动载体。推进校园文化建设，提升文明校园创建水平</w:t>
      </w:r>
      <w:r>
        <w:rPr>
          <w:rFonts w:eastAsia="仿宋_GB2312"/>
          <w:bCs/>
          <w:kern w:val="0"/>
          <w:sz w:val="32"/>
          <w:szCs w:val="32"/>
          <w:highlight w:val="none"/>
        </w:rPr>
        <w:t>。</w:t>
      </w:r>
    </w:p>
    <w:p>
      <w:pPr>
        <w:spacing w:line="600" w:lineRule="exact"/>
        <w:ind w:firstLine="642" w:firstLineChars="200"/>
        <w:rPr>
          <w:rFonts w:eastAsia="仿宋_GB2312"/>
          <w:bCs/>
          <w:kern w:val="0"/>
          <w:sz w:val="32"/>
          <w:szCs w:val="32"/>
          <w:highlight w:val="none"/>
        </w:rPr>
      </w:pPr>
      <w:r>
        <w:rPr>
          <w:rStyle w:val="23"/>
          <w:highlight w:val="none"/>
        </w:rPr>
        <w:t>2.提高智育工作水平</w:t>
      </w:r>
      <w:r>
        <w:rPr>
          <w:rFonts w:eastAsia="仿宋_GB2312"/>
          <w:b/>
          <w:sz w:val="32"/>
          <w:szCs w:val="32"/>
          <w:highlight w:val="none"/>
        </w:rPr>
        <w:t>。</w:t>
      </w:r>
      <w:bookmarkStart w:id="16" w:name="_Toc63173909"/>
      <w:r>
        <w:rPr>
          <w:rFonts w:eastAsia="仿宋_GB2312"/>
          <w:bCs/>
          <w:kern w:val="0"/>
          <w:sz w:val="32"/>
          <w:szCs w:val="32"/>
          <w:highlight w:val="none"/>
        </w:rPr>
        <w:t>开足开齐开好国家课程，达到国家规定的课程学业质量标准要求。</w:t>
      </w:r>
      <w:r>
        <w:rPr>
          <w:rFonts w:eastAsia="仿宋_GB2312"/>
          <w:bCs/>
          <w:sz w:val="32"/>
          <w:szCs w:val="32"/>
          <w:highlight w:val="none"/>
        </w:rPr>
        <w:t>落实课堂常规，提高课堂效益，推进提质减负，培养学生良好的学习态度和学习方法</w:t>
      </w:r>
      <w:r>
        <w:rPr>
          <w:rFonts w:eastAsia="仿宋_GB2312"/>
          <w:bCs/>
          <w:kern w:val="0"/>
          <w:sz w:val="32"/>
          <w:szCs w:val="32"/>
          <w:highlight w:val="none"/>
        </w:rPr>
        <w:t>，</w:t>
      </w:r>
      <w:r>
        <w:rPr>
          <w:rFonts w:eastAsia="仿宋_GB2312"/>
          <w:bCs/>
          <w:sz w:val="32"/>
          <w:szCs w:val="32"/>
          <w:highlight w:val="none"/>
        </w:rPr>
        <w:t>形成高质高效、绿色轻负的教学生态环境。</w:t>
      </w:r>
      <w:r>
        <w:rPr>
          <w:rFonts w:eastAsia="仿宋_GB2312"/>
          <w:bCs/>
          <w:kern w:val="0"/>
          <w:sz w:val="32"/>
          <w:szCs w:val="32"/>
          <w:highlight w:val="none"/>
        </w:rPr>
        <w:t>坚持因材施教，</w:t>
      </w:r>
      <w:r>
        <w:rPr>
          <w:rFonts w:eastAsia="仿宋_GB2312"/>
          <w:bCs/>
          <w:sz w:val="32"/>
          <w:szCs w:val="32"/>
          <w:highlight w:val="none"/>
        </w:rPr>
        <w:t>科学把握学生认知规律，密切关注不同学业层次学生的全面发展。落实教育部阅读指导书目，广泛开展多种形式的读书活动。加强科学教育和实验教学，丰富 “绿谷之光·科技”活动平台。</w:t>
      </w:r>
      <w:r>
        <w:rPr>
          <w:rFonts w:eastAsia="仿宋_GB2312"/>
          <w:bCs/>
          <w:kern w:val="0"/>
          <w:sz w:val="32"/>
          <w:szCs w:val="32"/>
          <w:highlight w:val="none"/>
        </w:rPr>
        <w:t>加强学生创新意识和实践能力培养，</w:t>
      </w:r>
      <w:r>
        <w:rPr>
          <w:rFonts w:eastAsia="仿宋_GB2312"/>
          <w:bCs/>
          <w:sz w:val="32"/>
          <w:szCs w:val="32"/>
          <w:highlight w:val="none"/>
        </w:rPr>
        <w:t>深化学段学科教学衔接，提升学生学科素养。</w:t>
      </w:r>
    </w:p>
    <w:p>
      <w:pPr>
        <w:spacing w:line="600" w:lineRule="exact"/>
        <w:ind w:firstLine="642" w:firstLineChars="200"/>
        <w:rPr>
          <w:rFonts w:eastAsia="仿宋_GB2312"/>
          <w:bCs/>
          <w:sz w:val="32"/>
          <w:szCs w:val="32"/>
          <w:highlight w:val="none"/>
        </w:rPr>
      </w:pPr>
      <w:r>
        <w:rPr>
          <w:rStyle w:val="23"/>
          <w:highlight w:val="none"/>
        </w:rPr>
        <w:t>3.</w:t>
      </w:r>
      <w:bookmarkEnd w:id="16"/>
      <w:r>
        <w:rPr>
          <w:rStyle w:val="23"/>
          <w:highlight w:val="none"/>
        </w:rPr>
        <w:t>强化体育健康工作。</w:t>
      </w:r>
      <w:r>
        <w:rPr>
          <w:rFonts w:eastAsia="仿宋_GB2312"/>
          <w:bCs/>
          <w:sz w:val="32"/>
          <w:szCs w:val="32"/>
          <w:highlight w:val="none"/>
        </w:rPr>
        <w:t>树立健康第一理念，实施中小学体育工作清单制度，建立学生健康成长智控管理系统，健全体育与健康教育体系。落实体育与健康课程，推进青少年阳光体育运动，保障学生每天校内、校外各1小时体育活动时间，让每位学生掌握1—2项运动技能。建立学校特色体育项目库，建设一批体育特色学校，中小学生体质健康优良率达到55%，学生“运动技能”达标率达到95%以上。注重教体结合，完善学校体育运动队训练机制，提升“绿谷之冬·体育”竞赛水平。按要求配备学校卫生室，儿童青少年近视率降低5个百分点。实施学生营养改善计划，制定学生营养标准和用餐标准，实行带量菜谱，实现师生同菜同质同价。</w:t>
      </w:r>
    </w:p>
    <w:p>
      <w:pPr>
        <w:spacing w:line="600" w:lineRule="exact"/>
        <w:ind w:firstLine="642" w:firstLineChars="200"/>
        <w:rPr>
          <w:rFonts w:eastAsia="仿宋_GB2312"/>
          <w:bCs/>
          <w:sz w:val="32"/>
          <w:szCs w:val="32"/>
          <w:highlight w:val="none"/>
        </w:rPr>
      </w:pPr>
      <w:r>
        <w:rPr>
          <w:rStyle w:val="23"/>
          <w:highlight w:val="none"/>
        </w:rPr>
        <w:t>4.丰富美育实践体验。</w:t>
      </w:r>
      <w:r>
        <w:rPr>
          <w:rFonts w:eastAsia="仿宋_GB2312"/>
          <w:bCs/>
          <w:sz w:val="32"/>
          <w:szCs w:val="32"/>
          <w:highlight w:val="none"/>
        </w:rPr>
        <w:t>加强和改进学校美育，实施学校美育提升行动和中小学美育工作清单制度。开齐开足美育课，培养学生艺术感知、创意表达、审美能力和文化理解素养。广泛开展校园艺术活动，加强高雅艺术进校园，推进中华优秀传统文化艺术传承学校建设，建立学校特色美育项目库，建设一批美育特色学校，学生“艺术特长”达标率达到95%以上。规模学校特色艺术团队（社团）建设实现全覆盖，完善学校艺术团队（社团）训练机制，提升“绿谷之春·艺术”素质展示平台。鼓励专业艺术人才到中小学兼职任教，在中小学创建一批省内外艺术院校对口支援基地。</w:t>
      </w:r>
    </w:p>
    <w:p>
      <w:pPr>
        <w:spacing w:line="600" w:lineRule="exact"/>
        <w:ind w:firstLine="642" w:firstLineChars="200"/>
        <w:rPr>
          <w:rFonts w:eastAsia="仿宋_GB2312"/>
          <w:kern w:val="0"/>
          <w:sz w:val="32"/>
          <w:szCs w:val="32"/>
          <w:highlight w:val="none"/>
        </w:rPr>
      </w:pPr>
      <w:r>
        <w:rPr>
          <w:rStyle w:val="23"/>
          <w:highlight w:val="none"/>
        </w:rPr>
        <w:t>5.加强劳动实践教育。</w:t>
      </w:r>
      <w:r>
        <w:rPr>
          <w:rFonts w:eastAsia="仿宋_GB2312"/>
          <w:bCs/>
          <w:kern w:val="0"/>
          <w:sz w:val="32"/>
          <w:szCs w:val="32"/>
          <w:highlight w:val="none"/>
        </w:rPr>
        <w:t>完善劳动教育体系，开展学校劳动教育清单化管理。</w:t>
      </w:r>
      <w:r>
        <w:rPr>
          <w:rFonts w:eastAsia="仿宋_GB2312"/>
          <w:bCs/>
          <w:sz w:val="32"/>
          <w:szCs w:val="32"/>
          <w:highlight w:val="none"/>
        </w:rPr>
        <w:t>优化综合实践活动课程结构，确保劳动教育课时不少于一半。</w:t>
      </w:r>
      <w:r>
        <w:rPr>
          <w:rFonts w:eastAsia="仿宋_GB2312"/>
          <w:bCs/>
          <w:kern w:val="0"/>
          <w:sz w:val="32"/>
          <w:szCs w:val="32"/>
          <w:highlight w:val="none"/>
        </w:rPr>
        <w:t>创建一批劳动教育实验区和实践项目，</w:t>
      </w:r>
      <w:r>
        <w:rPr>
          <w:rFonts w:eastAsia="仿宋_GB2312"/>
          <w:bCs/>
          <w:sz w:val="32"/>
          <w:szCs w:val="32"/>
          <w:highlight w:val="none"/>
        </w:rPr>
        <w:t>建立学校特色劳动项目库，建设一批劳动教育特色（示范）学校，学生“技术操作”达标率达到95%以上。建立“绿谷之秋·劳动教育”</w:t>
      </w:r>
      <w:r>
        <w:rPr>
          <w:rFonts w:eastAsia="仿宋_GB2312"/>
          <w:bCs/>
          <w:kern w:val="0"/>
          <w:sz w:val="32"/>
          <w:szCs w:val="32"/>
          <w:highlight w:val="none"/>
        </w:rPr>
        <w:t>素质展示平台，将劳动素养纳入中小学生综合素质评价体系。组建“绿谷之夏·实践”素质展示平台，创新开展综合实践活动课程，积极开展STEM教育。</w:t>
      </w:r>
      <w:r>
        <w:rPr>
          <w:rFonts w:eastAsia="仿宋_GB2312"/>
          <w:bCs/>
          <w:sz w:val="32"/>
          <w:szCs w:val="32"/>
          <w:highlight w:val="none"/>
        </w:rPr>
        <w:t>建成丽水市示范性综合实践基地，</w:t>
      </w:r>
      <w:r>
        <w:rPr>
          <w:rFonts w:eastAsia="仿宋_GB2312"/>
          <w:bCs/>
          <w:kern w:val="0"/>
          <w:sz w:val="32"/>
          <w:szCs w:val="32"/>
          <w:highlight w:val="none"/>
        </w:rPr>
        <w:t>积极打造“绿谷知行”研学品牌。</w:t>
      </w:r>
    </w:p>
    <w:p>
      <w:pPr>
        <w:spacing w:line="600" w:lineRule="exact"/>
        <w:ind w:firstLine="642" w:firstLineChars="200"/>
        <w:rPr>
          <w:rFonts w:eastAsia="仿宋_GB2312"/>
          <w:bCs/>
          <w:sz w:val="32"/>
          <w:szCs w:val="32"/>
          <w:highlight w:val="none"/>
        </w:rPr>
      </w:pPr>
      <w:r>
        <w:rPr>
          <w:rFonts w:eastAsia="仿宋_GB2312"/>
          <w:b/>
          <w:kern w:val="0"/>
          <w:sz w:val="32"/>
          <w:szCs w:val="32"/>
          <w:highlight w:val="none"/>
        </w:rPr>
        <w:t>6.健全协同育人机制。</w:t>
      </w:r>
      <w:r>
        <w:rPr>
          <w:rFonts w:eastAsia="仿宋_GB2312"/>
          <w:bCs/>
          <w:kern w:val="0"/>
          <w:sz w:val="32"/>
          <w:szCs w:val="32"/>
          <w:highlight w:val="none"/>
        </w:rPr>
        <w:t>完善全员育人、全过程育人、全方位育人的体制，</w:t>
      </w:r>
      <w:r>
        <w:rPr>
          <w:rFonts w:eastAsia="仿宋_GB2312"/>
          <w:bCs/>
          <w:sz w:val="32"/>
          <w:szCs w:val="32"/>
          <w:highlight w:val="none"/>
        </w:rPr>
        <w:t>健全学校家庭社会协同育人机制，促进学校教育、家庭教育、社会教育有机结合。大力推进生命与健康教育，建立家校社联动的学生心理健康教育、筛查、认定、转介、评估、复学等闭环管理机制。发挥家庭教育基础作用，提升家长素质和家庭教育水平</w:t>
      </w:r>
      <w:r>
        <w:rPr>
          <w:rFonts w:hint="eastAsia" w:eastAsia="仿宋_GB2312"/>
          <w:bCs/>
          <w:sz w:val="32"/>
          <w:szCs w:val="32"/>
          <w:highlight w:val="none"/>
        </w:rPr>
        <w:t>，帮助家长树立科学的教育理念</w:t>
      </w:r>
      <w:r>
        <w:rPr>
          <w:rFonts w:eastAsia="仿宋_GB2312"/>
          <w:bCs/>
          <w:sz w:val="32"/>
          <w:szCs w:val="32"/>
          <w:highlight w:val="none"/>
        </w:rPr>
        <w:t>。</w:t>
      </w:r>
      <w:r>
        <w:rPr>
          <w:rFonts w:eastAsia="仿宋_GB2312"/>
          <w:sz w:val="32"/>
          <w:szCs w:val="32"/>
          <w:highlight w:val="none"/>
        </w:rPr>
        <w:t>建立家长参与学校管理的工作机制，深化家长学校、家委会建设，建设家长学校线上教育资源，建立起覆盖城乡的家庭教育指导服务体系。强化部门和</w:t>
      </w:r>
      <w:r>
        <w:rPr>
          <w:rFonts w:eastAsia="仿宋_GB2312"/>
          <w:bCs/>
          <w:sz w:val="32"/>
          <w:szCs w:val="32"/>
          <w:highlight w:val="none"/>
        </w:rPr>
        <w:t>社会各界合力育人</w:t>
      </w:r>
      <w:r>
        <w:rPr>
          <w:rFonts w:eastAsia="仿宋_GB2312"/>
          <w:sz w:val="32"/>
          <w:szCs w:val="32"/>
          <w:highlight w:val="none"/>
        </w:rPr>
        <w:t>机制，积极运用校内校外各方面资源，推动全社会更加重视和支持教育发展。利用百山祖国家公园、红色教育基地等各类社会资源，推进学生研学活动。</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pPr>
              <w:spacing w:line="600" w:lineRule="exact"/>
              <w:jc w:val="center"/>
              <w:rPr>
                <w:rFonts w:eastAsia="仿宋_GB2312"/>
                <w:b/>
                <w:kern w:val="0"/>
                <w:sz w:val="28"/>
                <w:szCs w:val="32"/>
                <w:highlight w:val="none"/>
              </w:rPr>
            </w:pPr>
            <w:r>
              <w:rPr>
                <w:rFonts w:eastAsia="仿宋_GB2312"/>
                <w:b/>
                <w:kern w:val="0"/>
                <w:sz w:val="28"/>
                <w:szCs w:val="32"/>
                <w:highlight w:val="none"/>
              </w:rPr>
              <w:t>专栏1：思政课程和课程思政建设工程</w:t>
            </w:r>
          </w:p>
          <w:p>
            <w:pPr>
              <w:spacing w:line="600" w:lineRule="exact"/>
              <w:ind w:firstLine="548" w:firstLineChars="196"/>
              <w:jc w:val="left"/>
              <w:rPr>
                <w:rFonts w:eastAsia="仿宋_GB2312"/>
                <w:kern w:val="0"/>
                <w:sz w:val="28"/>
                <w:szCs w:val="32"/>
                <w:highlight w:val="none"/>
              </w:rPr>
            </w:pPr>
            <w:r>
              <w:rPr>
                <w:rFonts w:eastAsia="仿宋_GB2312"/>
                <w:kern w:val="0"/>
                <w:sz w:val="28"/>
                <w:szCs w:val="32"/>
                <w:highlight w:val="none"/>
              </w:rPr>
              <w:t>坚持思政课程与课程思政相结合，推进大中小学思政课程一体化实施和课程思政全域化研究，与丽水“红色、绿色、古色”三色资源有机融合，推进以“浙西南革命精神”为主题的红色传承教育，以国家公园、大花园创建为特色的生态文明教育，以青瓷、宝剑、石雕、传统村落、处州非物质文化遗产</w:t>
            </w:r>
            <w:r>
              <w:rPr>
                <w:rFonts w:hint="eastAsia" w:eastAsia="仿宋_GB2312"/>
                <w:kern w:val="0"/>
                <w:sz w:val="28"/>
                <w:szCs w:val="32"/>
                <w:highlight w:val="none"/>
              </w:rPr>
              <w:t>、黄帝文化</w:t>
            </w:r>
            <w:r>
              <w:rPr>
                <w:rFonts w:eastAsia="仿宋_GB2312"/>
                <w:kern w:val="0"/>
                <w:sz w:val="28"/>
                <w:szCs w:val="32"/>
                <w:highlight w:val="none"/>
              </w:rPr>
              <w:t>等为内容的传统文化教育，以全国生态产品价值实现机制改革试点示范区建设为载体的社会实践教育，打造地方特色思政体系。</w:t>
            </w:r>
          </w:p>
          <w:p>
            <w:pPr>
              <w:spacing w:line="600" w:lineRule="exact"/>
              <w:jc w:val="center"/>
              <w:rPr>
                <w:rFonts w:eastAsia="仿宋_GB2312"/>
                <w:b/>
                <w:kern w:val="0"/>
                <w:sz w:val="28"/>
                <w:szCs w:val="32"/>
                <w:highlight w:val="none"/>
              </w:rPr>
            </w:pPr>
            <w:r>
              <w:rPr>
                <w:rFonts w:eastAsia="仿宋_GB2312"/>
                <w:b/>
                <w:kern w:val="0"/>
                <w:sz w:val="28"/>
                <w:szCs w:val="32"/>
                <w:highlight w:val="none"/>
              </w:rPr>
              <w:t>专栏2：生命与健康教育行动</w:t>
            </w:r>
          </w:p>
          <w:p>
            <w:pPr>
              <w:spacing w:line="600" w:lineRule="exact"/>
              <w:ind w:firstLine="560" w:firstLineChars="200"/>
              <w:rPr>
                <w:rFonts w:eastAsia="仿宋_GB2312"/>
                <w:kern w:val="0"/>
                <w:sz w:val="28"/>
                <w:szCs w:val="32"/>
                <w:highlight w:val="none"/>
              </w:rPr>
            </w:pPr>
            <w:r>
              <w:rPr>
                <w:rFonts w:eastAsia="仿宋_GB2312"/>
                <w:kern w:val="0"/>
                <w:sz w:val="28"/>
                <w:szCs w:val="32"/>
                <w:highlight w:val="none"/>
              </w:rPr>
              <w:t>发挥专业机构等社会力量作用，开展中小学生健康素养测评，丰富健康教育教学资源，加强教师培训和家长培训等，建立基于增值评价的健康教育实验设计，让学生在参与、体验、活动中进行健康教育，全面提升中小学生的健康生活方式、</w:t>
            </w:r>
            <w:r>
              <w:rPr>
                <w:rFonts w:hint="eastAsia" w:eastAsia="仿宋_GB2312"/>
                <w:kern w:val="0"/>
                <w:sz w:val="28"/>
                <w:szCs w:val="32"/>
                <w:highlight w:val="none"/>
              </w:rPr>
              <w:t>学生常见</w:t>
            </w:r>
            <w:r>
              <w:rPr>
                <w:rFonts w:eastAsia="仿宋_GB2312"/>
                <w:kern w:val="0"/>
                <w:sz w:val="28"/>
                <w:szCs w:val="32"/>
                <w:highlight w:val="none"/>
              </w:rPr>
              <w:t>疾病预防、安全应急与避险、珍爱生命健康成长、心理健康、社会适应与环境健康等方面的健康素养。</w:t>
            </w:r>
          </w:p>
          <w:p>
            <w:pPr>
              <w:spacing w:line="600" w:lineRule="exact"/>
              <w:jc w:val="center"/>
              <w:rPr>
                <w:rFonts w:eastAsia="仿宋_GB2312"/>
                <w:b/>
                <w:kern w:val="0"/>
                <w:sz w:val="28"/>
                <w:szCs w:val="32"/>
                <w:highlight w:val="none"/>
              </w:rPr>
            </w:pPr>
            <w:r>
              <w:rPr>
                <w:rFonts w:eastAsia="仿宋_GB2312"/>
                <w:b/>
                <w:kern w:val="0"/>
                <w:sz w:val="28"/>
                <w:szCs w:val="32"/>
                <w:highlight w:val="none"/>
              </w:rPr>
              <w:t>专栏3：“绿谷系列”学生全面发展展示平台</w:t>
            </w:r>
          </w:p>
          <w:p>
            <w:pPr>
              <w:spacing w:line="600" w:lineRule="exact"/>
              <w:ind w:firstLine="548" w:firstLineChars="196"/>
              <w:rPr>
                <w:rFonts w:eastAsia="仿宋_GB2312"/>
                <w:kern w:val="0"/>
                <w:sz w:val="28"/>
                <w:szCs w:val="32"/>
                <w:highlight w:val="none"/>
              </w:rPr>
            </w:pPr>
            <w:r>
              <w:rPr>
                <w:rFonts w:eastAsia="仿宋_GB2312"/>
                <w:kern w:val="0"/>
                <w:sz w:val="28"/>
                <w:szCs w:val="32"/>
                <w:highlight w:val="none"/>
              </w:rPr>
              <w:t>进一步完善学生素质全面发展指导机制，搭建好“绿谷之梦•人文”“绿谷之光•科技”“绿谷之春•艺术”“绿谷之夏•实践”“绿谷之秋•劳动教育”“绿谷之冬•体育”学生素质全面发展展示体系，促进中小学生全面而有个性发展，培养具有“红色基因、绿色理念、品学兼优、阳光气质”的丽水辨识度的优秀学子。</w:t>
            </w:r>
          </w:p>
        </w:tc>
      </w:tr>
    </w:tbl>
    <w:p>
      <w:pPr>
        <w:spacing w:line="600" w:lineRule="exact"/>
        <w:ind w:firstLine="642" w:firstLineChars="200"/>
        <w:outlineLvl w:val="1"/>
        <w:rPr>
          <w:rFonts w:eastAsia="楷体_GB2312"/>
          <w:sz w:val="32"/>
          <w:szCs w:val="32"/>
          <w:highlight w:val="none"/>
        </w:rPr>
      </w:pPr>
      <w:bookmarkStart w:id="17" w:name="_Toc85116775"/>
      <w:r>
        <w:rPr>
          <w:rFonts w:eastAsia="楷体_GB2312"/>
          <w:b/>
          <w:sz w:val="32"/>
          <w:szCs w:val="32"/>
          <w:highlight w:val="none"/>
        </w:rPr>
        <w:t>（二）打造高素质专业化教师队伍</w:t>
      </w:r>
      <w:bookmarkEnd w:id="17"/>
    </w:p>
    <w:p>
      <w:pPr>
        <w:spacing w:line="600" w:lineRule="exact"/>
        <w:ind w:firstLine="640" w:firstLineChars="200"/>
        <w:rPr>
          <w:rFonts w:eastAsia="仿宋_GB2312"/>
          <w:kern w:val="0"/>
          <w:sz w:val="32"/>
          <w:szCs w:val="32"/>
          <w:highlight w:val="none"/>
        </w:rPr>
      </w:pPr>
      <w:r>
        <w:rPr>
          <w:rFonts w:eastAsia="仿宋_GB2312"/>
          <w:kern w:val="0"/>
          <w:sz w:val="32"/>
          <w:szCs w:val="32"/>
          <w:highlight w:val="none"/>
        </w:rPr>
        <w:t>把教师队伍建设作为教育最重要基础工作，</w:t>
      </w:r>
      <w:r>
        <w:rPr>
          <w:rFonts w:eastAsia="仿宋_GB2312"/>
          <w:sz w:val="32"/>
          <w:szCs w:val="32"/>
          <w:highlight w:val="none"/>
        </w:rPr>
        <w:t>坚持师德师风第一标准，</w:t>
      </w:r>
      <w:r>
        <w:rPr>
          <w:rFonts w:eastAsia="仿宋_GB2312"/>
          <w:kern w:val="0"/>
          <w:sz w:val="32"/>
          <w:szCs w:val="32"/>
          <w:highlight w:val="none"/>
        </w:rPr>
        <w:t>强化思想政治建设，</w:t>
      </w:r>
      <w:r>
        <w:rPr>
          <w:rFonts w:hint="eastAsia" w:eastAsia="仿宋_GB2312"/>
          <w:kern w:val="0"/>
          <w:sz w:val="32"/>
          <w:szCs w:val="32"/>
          <w:highlight w:val="none"/>
        </w:rPr>
        <w:t>健全教师成长体系，</w:t>
      </w:r>
      <w:r>
        <w:rPr>
          <w:rFonts w:eastAsia="仿宋_GB2312"/>
          <w:kern w:val="0"/>
          <w:sz w:val="32"/>
          <w:szCs w:val="32"/>
          <w:highlight w:val="none"/>
        </w:rPr>
        <w:t>激发教师</w:t>
      </w:r>
      <w:r>
        <w:rPr>
          <w:rFonts w:hint="eastAsia" w:eastAsia="仿宋_GB2312"/>
          <w:kern w:val="0"/>
          <w:sz w:val="32"/>
          <w:szCs w:val="32"/>
          <w:highlight w:val="none"/>
        </w:rPr>
        <w:t>发展</w:t>
      </w:r>
      <w:r>
        <w:rPr>
          <w:rFonts w:eastAsia="仿宋_GB2312"/>
          <w:kern w:val="0"/>
          <w:sz w:val="32"/>
          <w:szCs w:val="32"/>
          <w:highlight w:val="none"/>
        </w:rPr>
        <w:t>活力，建设高素质专业化创新型教师队伍。</w:t>
      </w:r>
    </w:p>
    <w:p>
      <w:pPr>
        <w:spacing w:line="600" w:lineRule="exact"/>
        <w:ind w:firstLine="642" w:firstLineChars="200"/>
        <w:rPr>
          <w:rFonts w:eastAsia="仿宋_GB2312"/>
          <w:kern w:val="0"/>
          <w:sz w:val="32"/>
          <w:szCs w:val="32"/>
          <w:highlight w:val="none"/>
        </w:rPr>
      </w:pPr>
      <w:r>
        <w:rPr>
          <w:rStyle w:val="23"/>
          <w:highlight w:val="none"/>
        </w:rPr>
        <w:t>1.加强师德师风建设</w:t>
      </w:r>
      <w:r>
        <w:rPr>
          <w:rFonts w:eastAsia="仿宋_GB2312"/>
          <w:b/>
          <w:kern w:val="0"/>
          <w:sz w:val="32"/>
          <w:szCs w:val="32"/>
          <w:highlight w:val="none"/>
        </w:rPr>
        <w:t>。</w:t>
      </w:r>
      <w:r>
        <w:rPr>
          <w:rFonts w:eastAsia="仿宋_GB2312"/>
          <w:kern w:val="0"/>
          <w:sz w:val="32"/>
          <w:szCs w:val="32"/>
          <w:highlight w:val="none"/>
        </w:rPr>
        <w:t>加强教师思想政治素质建设，坚持把师德师风作为教师评价的第一标准，引导教师做有理想信念、有道德情操、有扎实学识、有仁爱之心的“四有”好教师。加强师德养成教育，开展师德专题教育“三大工程”，健全师德建设长效机制，建立正面激励清单和负面警示清单制度。通过教师成长阶梯、教师“积分制”管理、教师教学述评制度、教师家访制度、教师待遇保障机制、月度年度考核奖励等，形成教师师德师风的正确导向。全面落实新时代教师职业行为十项准则，通过丽水市教师人事管理系统记录中小学教师师德考核负面清单、违规处理结果，着力解决师德失范、学术不端等问题。开展中小学有偿补课和教师违规收受礼品礼金问题专项整治，对出现严重师德师风问题的教师，探索实施教育全行业禁入制度。</w:t>
      </w:r>
    </w:p>
    <w:p>
      <w:pPr>
        <w:spacing w:line="600" w:lineRule="exact"/>
        <w:ind w:firstLine="642" w:firstLineChars="200"/>
        <w:rPr>
          <w:rFonts w:eastAsia="仿宋_GB2312"/>
          <w:kern w:val="0"/>
          <w:sz w:val="32"/>
          <w:szCs w:val="32"/>
          <w:highlight w:val="none"/>
        </w:rPr>
      </w:pPr>
      <w:bookmarkStart w:id="18" w:name="_Toc63173915"/>
      <w:r>
        <w:rPr>
          <w:rStyle w:val="23"/>
          <w:highlight w:val="none"/>
        </w:rPr>
        <w:t>2.</w:t>
      </w:r>
      <w:bookmarkEnd w:id="18"/>
      <w:r>
        <w:rPr>
          <w:rStyle w:val="23"/>
          <w:highlight w:val="none"/>
        </w:rPr>
        <w:t>不断提升教师地位待遇</w:t>
      </w:r>
      <w:r>
        <w:rPr>
          <w:rFonts w:eastAsia="仿宋_GB2312"/>
          <w:b/>
          <w:sz w:val="32"/>
          <w:szCs w:val="32"/>
          <w:highlight w:val="none"/>
        </w:rPr>
        <w:t>。</w:t>
      </w:r>
      <w:r>
        <w:rPr>
          <w:rFonts w:eastAsia="仿宋_GB2312"/>
          <w:sz w:val="32"/>
          <w:szCs w:val="32"/>
          <w:highlight w:val="none"/>
        </w:rPr>
        <w:t>完善中小学教师待遇保障机制，建立</w:t>
      </w:r>
      <w:r>
        <w:rPr>
          <w:rFonts w:eastAsia="仿宋_GB2312"/>
          <w:kern w:val="0"/>
          <w:sz w:val="32"/>
          <w:szCs w:val="32"/>
          <w:highlight w:val="none"/>
        </w:rPr>
        <w:t>教师待遇与公务员工资长效联动机制，进一步完善教师收入分配激励机制，有效体现教师工作量和工作绩效，绩效工资分配向班主任以及一线骨干教师、农村学校教师倾斜，形成以“优绩优酬、多劳多得”为导向的分配机制。</w:t>
      </w:r>
      <w:r>
        <w:rPr>
          <w:rFonts w:hint="eastAsia" w:eastAsia="仿宋_GB2312"/>
          <w:kern w:val="0"/>
          <w:sz w:val="32"/>
          <w:szCs w:val="32"/>
          <w:highlight w:val="none"/>
        </w:rPr>
        <w:t>依法依规保障劳动合同制教师的工资收入水平，并按规定缴纳社会保险等。建立健全劳动合同制教师培训教研、考核评优、职称评聘等方面的机制，保障劳动合同制教师合法权益。</w:t>
      </w:r>
      <w:r>
        <w:rPr>
          <w:rFonts w:eastAsia="仿宋_GB2312"/>
          <w:kern w:val="0"/>
          <w:sz w:val="32"/>
          <w:szCs w:val="32"/>
          <w:highlight w:val="none"/>
        </w:rPr>
        <w:t>加大优秀教师表彰和宣传，发挥典型示范引领作用。切实维护教师职业尊严和合法权益，支持教师依法履行职责，关心教师身心健康，合理安排疗休养活动。探索教师编制跨区域跨层级调剂周转使用。</w:t>
      </w:r>
    </w:p>
    <w:p>
      <w:pPr>
        <w:spacing w:line="600" w:lineRule="exact"/>
        <w:ind w:firstLine="642" w:firstLineChars="200"/>
        <w:rPr>
          <w:rFonts w:eastAsia="仿宋_GB2312"/>
          <w:kern w:val="0"/>
          <w:sz w:val="32"/>
          <w:szCs w:val="32"/>
          <w:highlight w:val="none"/>
        </w:rPr>
      </w:pPr>
      <w:r>
        <w:rPr>
          <w:rStyle w:val="23"/>
          <w:highlight w:val="none"/>
        </w:rPr>
        <w:t>3.推进教师素质提升工程</w:t>
      </w:r>
      <w:r>
        <w:rPr>
          <w:rFonts w:eastAsia="仿宋_GB2312"/>
          <w:b/>
          <w:kern w:val="0"/>
          <w:sz w:val="32"/>
          <w:szCs w:val="32"/>
          <w:highlight w:val="none"/>
        </w:rPr>
        <w:t>。</w:t>
      </w:r>
      <w:r>
        <w:rPr>
          <w:rFonts w:eastAsia="仿宋_GB2312"/>
          <w:kern w:val="0"/>
          <w:sz w:val="32"/>
          <w:szCs w:val="32"/>
          <w:highlight w:val="none"/>
        </w:rPr>
        <w:t>深化绿谷名师、名校长“双名”工程，健全</w:t>
      </w:r>
      <w:r>
        <w:rPr>
          <w:rFonts w:eastAsia="仿宋_GB2312"/>
          <w:sz w:val="32"/>
          <w:szCs w:val="32"/>
          <w:highlight w:val="none"/>
        </w:rPr>
        <w:t>“绿谷名师”六级成长阶梯</w:t>
      </w:r>
      <w:r>
        <w:rPr>
          <w:rFonts w:eastAsia="仿宋_GB2312"/>
          <w:kern w:val="0"/>
          <w:sz w:val="32"/>
          <w:szCs w:val="32"/>
          <w:highlight w:val="none"/>
        </w:rPr>
        <w:t>（</w:t>
      </w:r>
      <w:r>
        <w:rPr>
          <w:rFonts w:eastAsia="仿宋_GB2312"/>
          <w:sz w:val="32"/>
          <w:szCs w:val="32"/>
          <w:highlight w:val="none"/>
        </w:rPr>
        <w:t>教坛新苗、教坛新秀、教学能手、学科带头人、教学名师、教学名家</w:t>
      </w:r>
      <w:r>
        <w:rPr>
          <w:rFonts w:eastAsia="仿宋_GB2312"/>
          <w:kern w:val="0"/>
          <w:sz w:val="32"/>
          <w:szCs w:val="32"/>
          <w:highlight w:val="none"/>
        </w:rPr>
        <w:t>）</w:t>
      </w:r>
      <w:r>
        <w:rPr>
          <w:rFonts w:eastAsia="仿宋_GB2312"/>
          <w:sz w:val="32"/>
          <w:szCs w:val="32"/>
          <w:highlight w:val="none"/>
        </w:rPr>
        <w:t>和“绿谷名校长”三级成长阶梯</w:t>
      </w:r>
      <w:r>
        <w:rPr>
          <w:rFonts w:eastAsia="仿宋_GB2312"/>
          <w:kern w:val="0"/>
          <w:sz w:val="32"/>
          <w:szCs w:val="32"/>
          <w:highlight w:val="none"/>
        </w:rPr>
        <w:t>（</w:t>
      </w:r>
      <w:r>
        <w:rPr>
          <w:rFonts w:eastAsia="仿宋_GB2312"/>
          <w:sz w:val="32"/>
          <w:szCs w:val="32"/>
          <w:highlight w:val="none"/>
        </w:rPr>
        <w:t>骨干校长、名校长、教育管理名家</w:t>
      </w:r>
      <w:r>
        <w:rPr>
          <w:rFonts w:eastAsia="仿宋_GB2312"/>
          <w:kern w:val="0"/>
          <w:sz w:val="32"/>
          <w:szCs w:val="32"/>
          <w:highlight w:val="none"/>
        </w:rPr>
        <w:t>）</w:t>
      </w:r>
      <w:r>
        <w:rPr>
          <w:rFonts w:eastAsia="仿宋_GB2312"/>
          <w:sz w:val="32"/>
          <w:szCs w:val="32"/>
          <w:highlight w:val="none"/>
        </w:rPr>
        <w:t>，</w:t>
      </w:r>
      <w:r>
        <w:rPr>
          <w:rFonts w:eastAsia="仿宋_GB2312"/>
          <w:kern w:val="0"/>
          <w:sz w:val="32"/>
          <w:szCs w:val="32"/>
          <w:highlight w:val="none"/>
        </w:rPr>
        <w:t>完善理论、实践双导师培养机制，特级教师、正高级</w:t>
      </w:r>
      <w:r>
        <w:rPr>
          <w:rFonts w:eastAsia="仿宋_GB2312"/>
          <w:sz w:val="32"/>
          <w:szCs w:val="32"/>
          <w:highlight w:val="none"/>
        </w:rPr>
        <w:t>教师等名师、名校长比例达到全省中等位次。推进教师全员进阶计划，落实青年教师成长行动，</w:t>
      </w:r>
      <w:r>
        <w:rPr>
          <w:rFonts w:eastAsia="仿宋_GB2312"/>
          <w:kern w:val="0"/>
          <w:sz w:val="32"/>
          <w:szCs w:val="32"/>
          <w:highlight w:val="none"/>
        </w:rPr>
        <w:t>推进教师专业化水平人人发展。</w:t>
      </w:r>
      <w:r>
        <w:rPr>
          <w:rFonts w:eastAsia="仿宋_GB2312"/>
          <w:sz w:val="32"/>
          <w:szCs w:val="32"/>
          <w:highlight w:val="none"/>
        </w:rPr>
        <w:t>建设丽水数字化教师学院，构建市县校组四个层级、线上线下相结合、</w:t>
      </w:r>
      <w:r>
        <w:rPr>
          <w:rFonts w:eastAsia="仿宋_GB2312"/>
          <w:kern w:val="0"/>
          <w:sz w:val="32"/>
          <w:szCs w:val="32"/>
          <w:highlight w:val="none"/>
        </w:rPr>
        <w:t>教研训一体</w:t>
      </w:r>
      <w:r>
        <w:rPr>
          <w:rFonts w:eastAsia="仿宋_GB2312"/>
          <w:sz w:val="32"/>
          <w:szCs w:val="32"/>
          <w:highlight w:val="none"/>
        </w:rPr>
        <w:t>的教师培训新机制。</w:t>
      </w:r>
      <w:r>
        <w:rPr>
          <w:rFonts w:eastAsia="仿宋_GB2312"/>
          <w:kern w:val="0"/>
          <w:sz w:val="32"/>
          <w:szCs w:val="32"/>
          <w:highlight w:val="none"/>
        </w:rPr>
        <w:t>实施中小学教师学历提升工程，通过招引人才、教师在职学历提升等途径，</w:t>
      </w:r>
      <w:r>
        <w:rPr>
          <w:rFonts w:eastAsia="仿宋_GB2312"/>
          <w:sz w:val="32"/>
          <w:szCs w:val="32"/>
          <w:highlight w:val="none"/>
        </w:rPr>
        <w:t>初中、普高、中职教师研究生学历比例分别达到8%、20%、20%，中职</w:t>
      </w:r>
      <w:r>
        <w:rPr>
          <w:rFonts w:eastAsia="仿宋_GB2312"/>
          <w:kern w:val="0"/>
          <w:sz w:val="32"/>
          <w:szCs w:val="32"/>
          <w:highlight w:val="none"/>
        </w:rPr>
        <w:t xml:space="preserve"> “双师型”教师比例达到90%。</w:t>
      </w:r>
      <w:r>
        <w:rPr>
          <w:rFonts w:eastAsia="仿宋_GB2312"/>
          <w:sz w:val="32"/>
          <w:szCs w:val="32"/>
          <w:highlight w:val="none"/>
        </w:rPr>
        <w:t>完善服务地方的师范教育体系，</w:t>
      </w:r>
      <w:r>
        <w:rPr>
          <w:rFonts w:eastAsia="仿宋_GB2312"/>
          <w:kern w:val="0"/>
          <w:sz w:val="32"/>
          <w:szCs w:val="32"/>
          <w:highlight w:val="none"/>
        </w:rPr>
        <w:t>加大对丽水学院师范教育支持力度，打造丽水市中小学教师教育培养基地。加大优秀人才引进力度，新招聘优秀毕业生比例达到25%以上。探索建立本地优秀高中毕业生教师职业生涯规划引导体系。</w:t>
      </w:r>
    </w:p>
    <w:p>
      <w:pPr>
        <w:spacing w:line="600" w:lineRule="exact"/>
        <w:ind w:firstLine="642" w:firstLineChars="200"/>
        <w:rPr>
          <w:rFonts w:eastAsia="仿宋_GB2312"/>
          <w:kern w:val="0"/>
          <w:sz w:val="32"/>
          <w:szCs w:val="32"/>
          <w:highlight w:val="none"/>
        </w:rPr>
      </w:pPr>
      <w:r>
        <w:rPr>
          <w:rFonts w:eastAsia="仿宋_GB2312"/>
          <w:b/>
          <w:kern w:val="0"/>
          <w:sz w:val="32"/>
          <w:szCs w:val="32"/>
          <w:highlight w:val="none"/>
        </w:rPr>
        <w:t>4.加强校长队伍建设。</w:t>
      </w:r>
      <w:r>
        <w:rPr>
          <w:rFonts w:eastAsia="仿宋_GB2312"/>
          <w:kern w:val="0"/>
          <w:sz w:val="32"/>
          <w:szCs w:val="32"/>
          <w:highlight w:val="none"/>
        </w:rPr>
        <w:t>推进中小学校长职级制改革，</w:t>
      </w:r>
      <w:r>
        <w:rPr>
          <w:rFonts w:eastAsia="仿宋_GB2312"/>
          <w:sz w:val="32"/>
          <w:szCs w:val="32"/>
          <w:highlight w:val="none"/>
        </w:rPr>
        <w:t>引导校长走专业化、职业化发展道路，培养和造就一支政治素质好、业务能力强、管理水平高的中小学校长队伍。</w:t>
      </w:r>
      <w:r>
        <w:rPr>
          <w:rFonts w:eastAsia="仿宋_GB2312"/>
          <w:kern w:val="0"/>
          <w:sz w:val="32"/>
          <w:szCs w:val="32"/>
          <w:highlight w:val="none"/>
        </w:rPr>
        <w:t>完善中小学校长培训制度，加强校长后备人才队伍建设，开展校长专题培训，着力提升校长的政治素质、管理能力和专业水平。加强考核管理，研制校长考核评价制度，完善校长收入分配办法，实行校长交流制度。</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pPr>
              <w:spacing w:line="600" w:lineRule="exact"/>
              <w:jc w:val="center"/>
              <w:rPr>
                <w:rFonts w:eastAsia="仿宋_GB2312"/>
                <w:b/>
                <w:sz w:val="28"/>
                <w:szCs w:val="32"/>
                <w:highlight w:val="none"/>
              </w:rPr>
            </w:pPr>
            <w:r>
              <w:rPr>
                <w:rFonts w:eastAsia="仿宋_GB2312"/>
                <w:b/>
                <w:sz w:val="28"/>
                <w:szCs w:val="32"/>
                <w:highlight w:val="none"/>
              </w:rPr>
              <w:t>专栏4：“双名”培育工程</w:t>
            </w:r>
          </w:p>
          <w:p>
            <w:pPr>
              <w:spacing w:line="600" w:lineRule="exact"/>
              <w:ind w:firstLine="570"/>
              <w:rPr>
                <w:rFonts w:eastAsia="仿宋_GB2312"/>
                <w:bCs/>
                <w:sz w:val="28"/>
                <w:szCs w:val="32"/>
                <w:highlight w:val="none"/>
              </w:rPr>
            </w:pPr>
            <w:r>
              <w:rPr>
                <w:rFonts w:eastAsia="仿宋_GB2312"/>
                <w:bCs/>
                <w:sz w:val="28"/>
                <w:szCs w:val="32"/>
                <w:highlight w:val="none"/>
              </w:rPr>
              <w:t>深化绿谷名校长、名教师“双名”培育工程，聘请省内外知名教育专家为理论导师与实践导师，健全理论、实践双导师培养机制，全过程记录学员成长。获评</w:t>
            </w:r>
            <w:r>
              <w:rPr>
                <w:rFonts w:eastAsia="仿宋_GB2312"/>
                <w:bCs/>
                <w:sz w:val="28"/>
                <w:szCs w:val="28"/>
                <w:highlight w:val="none"/>
              </w:rPr>
              <w:t>省特级教师、正高级教师60名以上，省级名师比例达全省中等位次。</w:t>
            </w:r>
          </w:p>
          <w:p>
            <w:pPr>
              <w:spacing w:line="600" w:lineRule="exact"/>
              <w:jc w:val="center"/>
              <w:rPr>
                <w:rFonts w:eastAsia="仿宋_GB2312"/>
                <w:b/>
                <w:sz w:val="28"/>
                <w:szCs w:val="32"/>
                <w:highlight w:val="none"/>
              </w:rPr>
            </w:pPr>
            <w:r>
              <w:rPr>
                <w:rFonts w:eastAsia="仿宋_GB2312"/>
                <w:b/>
                <w:sz w:val="28"/>
                <w:szCs w:val="32"/>
                <w:highlight w:val="none"/>
              </w:rPr>
              <w:t>专栏5：教师全员进阶计划</w:t>
            </w:r>
          </w:p>
          <w:p>
            <w:pPr>
              <w:spacing w:line="600" w:lineRule="exact"/>
              <w:ind w:firstLine="560" w:firstLineChars="200"/>
              <w:rPr>
                <w:rFonts w:eastAsia="仿宋_GB2312"/>
                <w:bCs/>
                <w:sz w:val="28"/>
                <w:szCs w:val="28"/>
                <w:highlight w:val="none"/>
              </w:rPr>
            </w:pPr>
            <w:r>
              <w:rPr>
                <w:rFonts w:eastAsia="仿宋_GB2312"/>
                <w:bCs/>
                <w:sz w:val="28"/>
                <w:szCs w:val="28"/>
                <w:highlight w:val="none"/>
              </w:rPr>
              <w:t>制订市、县、校三级的教师成长计划，市级以教学名师、教学名家为主，县级以教学能手、学科带头人为主，校级以教坛新苗、教坛新秀为主，建立覆盖所有教师的培养方案，推广理论、实践双导师培养机制，促进教师人人有目标、人人有发展。制订“绿谷名教师”系列教学能手及以下评选计划与评选方式，放宽教坛新苗、教坛新秀、教学能手参评名额限制，推动新进教师、教坛新苗、教坛新秀实现全员进阶，中青年教师评聘高级教师要求达到能手以上水平。培养绿谷名教师4000名，学科（德育）带头人达1200名左右、教学（德育）名师达360名左右、教学（德育、管理）名家达120名左右。</w:t>
            </w:r>
          </w:p>
          <w:p>
            <w:pPr>
              <w:spacing w:line="600" w:lineRule="exact"/>
              <w:jc w:val="center"/>
              <w:rPr>
                <w:rFonts w:eastAsia="仿宋_GB2312"/>
                <w:b/>
                <w:sz w:val="28"/>
                <w:szCs w:val="32"/>
                <w:highlight w:val="none"/>
              </w:rPr>
            </w:pPr>
            <w:r>
              <w:rPr>
                <w:rFonts w:eastAsia="仿宋_GB2312"/>
                <w:b/>
                <w:sz w:val="28"/>
                <w:szCs w:val="32"/>
                <w:highlight w:val="none"/>
              </w:rPr>
              <w:t>专栏6：建设丽水数字化教师学院</w:t>
            </w:r>
          </w:p>
          <w:p>
            <w:pPr>
              <w:spacing w:line="600" w:lineRule="exact"/>
              <w:ind w:firstLine="590"/>
              <w:rPr>
                <w:rFonts w:eastAsia="仿宋_GB2312"/>
                <w:bCs/>
                <w:sz w:val="28"/>
                <w:szCs w:val="28"/>
                <w:highlight w:val="none"/>
              </w:rPr>
            </w:pPr>
            <w:bookmarkStart w:id="19" w:name="OLE_LINK2"/>
            <w:bookmarkStart w:id="20" w:name="OLE_LINK1"/>
            <w:r>
              <w:rPr>
                <w:rFonts w:eastAsia="仿宋_GB2312"/>
                <w:bCs/>
                <w:sz w:val="28"/>
                <w:szCs w:val="28"/>
                <w:highlight w:val="none"/>
              </w:rPr>
              <w:t>建立线上教师发展平台，落实教师分层培养计划和培养课程，构建市、县、校、组四个层级，学科教研纵向到底的教研训一体教师培训管理新机制，加强教师培训过程性、指令性、实效性、可量化管理。通过数字化教师学院建设，优化教育教学资源库、打造研修学习社区、开展培训项目化管理、推进互动课堂和在线教研，对研修过程和结果进行量化，</w:t>
            </w:r>
            <w:r>
              <w:rPr>
                <w:rFonts w:hint="eastAsia" w:eastAsia="仿宋_GB2312"/>
                <w:bCs/>
                <w:sz w:val="28"/>
                <w:szCs w:val="28"/>
                <w:highlight w:val="none"/>
              </w:rPr>
              <w:t>推进</w:t>
            </w:r>
            <w:r>
              <w:rPr>
                <w:rFonts w:eastAsia="仿宋_GB2312"/>
                <w:bCs/>
                <w:sz w:val="28"/>
                <w:szCs w:val="28"/>
                <w:highlight w:val="none"/>
              </w:rPr>
              <w:t>教师“积分制”</w:t>
            </w:r>
            <w:r>
              <w:rPr>
                <w:rFonts w:hint="eastAsia" w:eastAsia="仿宋_GB2312"/>
                <w:bCs/>
                <w:sz w:val="28"/>
                <w:szCs w:val="28"/>
                <w:highlight w:val="none"/>
              </w:rPr>
              <w:t>管理，</w:t>
            </w:r>
            <w:r>
              <w:rPr>
                <w:rFonts w:eastAsia="仿宋_GB2312"/>
                <w:bCs/>
                <w:sz w:val="28"/>
                <w:szCs w:val="28"/>
                <w:highlight w:val="none"/>
              </w:rPr>
              <w:t>支撑教师全员进阶过程性管理，培训信息和数据纳入教师培训管理系统。</w:t>
            </w:r>
            <w:bookmarkEnd w:id="19"/>
            <w:bookmarkEnd w:id="20"/>
          </w:p>
          <w:p>
            <w:pPr>
              <w:spacing w:line="600" w:lineRule="exact"/>
              <w:jc w:val="center"/>
              <w:rPr>
                <w:rFonts w:eastAsia="仿宋_GB2312"/>
                <w:b/>
                <w:sz w:val="28"/>
                <w:szCs w:val="28"/>
                <w:highlight w:val="none"/>
              </w:rPr>
            </w:pPr>
            <w:r>
              <w:rPr>
                <w:rFonts w:hint="eastAsia" w:eastAsia="仿宋_GB2312"/>
                <w:b/>
                <w:sz w:val="28"/>
                <w:szCs w:val="28"/>
                <w:highlight w:val="none"/>
              </w:rPr>
              <w:t>专栏7：中小学教师学历提升工程</w:t>
            </w:r>
          </w:p>
          <w:p>
            <w:pPr>
              <w:spacing w:line="600" w:lineRule="exact"/>
              <w:ind w:firstLine="590"/>
              <w:rPr>
                <w:rFonts w:eastAsia="仿宋_GB2312"/>
                <w:bCs/>
                <w:sz w:val="28"/>
                <w:szCs w:val="28"/>
                <w:highlight w:val="none"/>
              </w:rPr>
            </w:pPr>
            <w:r>
              <w:rPr>
                <w:rFonts w:hint="eastAsia" w:eastAsia="仿宋_GB2312"/>
                <w:bCs/>
                <w:sz w:val="28"/>
                <w:szCs w:val="28"/>
                <w:highlight w:val="none"/>
              </w:rPr>
              <w:t>实施中小学教师学历提升工程，加大研究生招引力度，通过教师在职学历提升等途径培养850名教育类硕士，初中、普高、中职教师研究生学历比例分别达到8%、20%、20%。</w:t>
            </w:r>
          </w:p>
        </w:tc>
      </w:tr>
    </w:tbl>
    <w:p>
      <w:pPr>
        <w:spacing w:line="600" w:lineRule="exact"/>
        <w:ind w:firstLine="642" w:firstLineChars="200"/>
        <w:outlineLvl w:val="1"/>
        <w:rPr>
          <w:rFonts w:eastAsia="楷体_GB2312"/>
          <w:b/>
          <w:sz w:val="32"/>
          <w:szCs w:val="32"/>
          <w:highlight w:val="none"/>
        </w:rPr>
      </w:pPr>
      <w:bookmarkStart w:id="21" w:name="_Toc85116776"/>
      <w:r>
        <w:rPr>
          <w:rFonts w:eastAsia="楷体_GB2312"/>
          <w:b/>
          <w:sz w:val="32"/>
          <w:szCs w:val="32"/>
          <w:highlight w:val="none"/>
        </w:rPr>
        <w:t>（三）扩大优质教育资源供给</w:t>
      </w:r>
      <w:bookmarkEnd w:id="21"/>
    </w:p>
    <w:p>
      <w:pPr>
        <w:spacing w:line="600" w:lineRule="exact"/>
        <w:ind w:firstLine="640" w:firstLineChars="200"/>
        <w:rPr>
          <w:rFonts w:eastAsia="仿宋_GB2312"/>
          <w:kern w:val="0"/>
          <w:sz w:val="32"/>
          <w:szCs w:val="32"/>
          <w:highlight w:val="none"/>
        </w:rPr>
      </w:pPr>
      <w:r>
        <w:rPr>
          <w:rFonts w:eastAsia="仿宋_GB2312"/>
          <w:sz w:val="32"/>
          <w:szCs w:val="32"/>
          <w:highlight w:val="none"/>
        </w:rPr>
        <w:t>按照“优质均衡、适度超前”的要求，优化教育资源布局，统筹教育资源配置，增加</w:t>
      </w:r>
      <w:r>
        <w:rPr>
          <w:rFonts w:hint="eastAsia" w:eastAsia="仿宋_GB2312"/>
          <w:sz w:val="32"/>
          <w:szCs w:val="32"/>
          <w:highlight w:val="none"/>
        </w:rPr>
        <w:t>优质</w:t>
      </w:r>
      <w:r>
        <w:rPr>
          <w:rFonts w:eastAsia="仿宋_GB2312"/>
          <w:sz w:val="32"/>
          <w:szCs w:val="32"/>
          <w:highlight w:val="none"/>
        </w:rPr>
        <w:t>资源供给，</w:t>
      </w:r>
      <w:r>
        <w:rPr>
          <w:rFonts w:hint="eastAsia" w:eastAsia="仿宋_GB2312"/>
          <w:sz w:val="32"/>
          <w:szCs w:val="32"/>
          <w:highlight w:val="none"/>
        </w:rPr>
        <w:t>打造优质</w:t>
      </w:r>
      <w:r>
        <w:rPr>
          <w:rFonts w:eastAsia="仿宋_GB2312"/>
          <w:sz w:val="32"/>
          <w:szCs w:val="32"/>
          <w:highlight w:val="none"/>
        </w:rPr>
        <w:t>教育品牌，</w:t>
      </w:r>
      <w:r>
        <w:rPr>
          <w:rFonts w:hint="eastAsia" w:eastAsia="仿宋_GB2312"/>
          <w:sz w:val="32"/>
          <w:szCs w:val="32"/>
          <w:highlight w:val="none"/>
        </w:rPr>
        <w:t>努力满足人民群众日益增长的对优质教育的需求</w:t>
      </w:r>
      <w:r>
        <w:rPr>
          <w:rFonts w:eastAsia="仿宋_GB2312"/>
          <w:sz w:val="32"/>
          <w:szCs w:val="32"/>
          <w:highlight w:val="none"/>
        </w:rPr>
        <w:t>。</w:t>
      </w:r>
    </w:p>
    <w:p>
      <w:pPr>
        <w:spacing w:line="600" w:lineRule="exact"/>
        <w:ind w:firstLine="642" w:firstLineChars="200"/>
        <w:rPr>
          <w:rFonts w:eastAsia="仿宋_GB2312"/>
          <w:kern w:val="0"/>
          <w:sz w:val="32"/>
          <w:szCs w:val="32"/>
          <w:highlight w:val="none"/>
        </w:rPr>
      </w:pPr>
      <w:r>
        <w:rPr>
          <w:rStyle w:val="23"/>
          <w:highlight w:val="none"/>
        </w:rPr>
        <w:t>1.优化教育资源布局规划</w:t>
      </w:r>
      <w:r>
        <w:rPr>
          <w:rFonts w:eastAsia="仿宋_GB2312"/>
          <w:b/>
          <w:bCs/>
          <w:sz w:val="32"/>
          <w:szCs w:val="32"/>
          <w:highlight w:val="none"/>
        </w:rPr>
        <w:t>。</w:t>
      </w:r>
      <w:r>
        <w:rPr>
          <w:rFonts w:eastAsia="仿宋_GB2312"/>
          <w:kern w:val="0"/>
          <w:sz w:val="32"/>
          <w:szCs w:val="32"/>
          <w:highlight w:val="none"/>
        </w:rPr>
        <w:t>各地结合区域空间发展布局、城镇化发展、人口变动趋势，开展教育布局专项规划修编。人口流入区域以新建、扩建、集团化办学为主，人口流出区域以整合资源、建好中心学校为主。丽水南城、碧湖新城、高铁新城等产城融合新城要适度超前布局优质教育资源，变“人等学位”为“学位等人”。到2025年，基本解决学位供给不足、城区学校超规模办学、优质资源紧缺等问题，实现城区优质教育资源配置水平从全省后列向全省前列的转变。丽水中心城区非九年一贯制学校，通过建立小学、初中教育共同体和集团化等方式，探索开展公办初中按小学划分学区，实行小学与初中“校校对口”。探索开展多校划片招生。</w:t>
      </w:r>
    </w:p>
    <w:p>
      <w:pPr>
        <w:spacing w:line="600" w:lineRule="exact"/>
        <w:ind w:firstLine="642" w:firstLineChars="200"/>
        <w:rPr>
          <w:rFonts w:eastAsia="仿宋_GB2312"/>
          <w:sz w:val="32"/>
          <w:szCs w:val="32"/>
          <w:highlight w:val="none"/>
        </w:rPr>
      </w:pPr>
      <w:r>
        <w:rPr>
          <w:rStyle w:val="23"/>
          <w:highlight w:val="none"/>
        </w:rPr>
        <w:t>2.增加城区优质学位供给</w:t>
      </w:r>
      <w:r>
        <w:rPr>
          <w:rFonts w:eastAsia="仿宋_GB2312"/>
          <w:b/>
          <w:sz w:val="32"/>
          <w:szCs w:val="32"/>
          <w:highlight w:val="none"/>
        </w:rPr>
        <w:t>。</w:t>
      </w:r>
      <w:r>
        <w:rPr>
          <w:rFonts w:eastAsia="仿宋_GB2312"/>
          <w:sz w:val="32"/>
          <w:szCs w:val="32"/>
          <w:highlight w:val="none"/>
        </w:rPr>
        <w:t>实施中心城区和县市教育项目“双百亿工程”， “十四五”期间，安排教育项目16</w:t>
      </w:r>
      <w:r>
        <w:rPr>
          <w:rFonts w:hint="eastAsia" w:eastAsia="仿宋_GB2312"/>
          <w:sz w:val="32"/>
          <w:szCs w:val="32"/>
          <w:highlight w:val="none"/>
        </w:rPr>
        <w:t>4</w:t>
      </w:r>
      <w:r>
        <w:rPr>
          <w:rFonts w:eastAsia="仿宋_GB2312"/>
          <w:sz w:val="32"/>
          <w:szCs w:val="32"/>
          <w:highlight w:val="none"/>
        </w:rPr>
        <w:t>个，规划总投资2</w:t>
      </w:r>
      <w:r>
        <w:rPr>
          <w:rFonts w:hint="eastAsia" w:eastAsia="仿宋_GB2312"/>
          <w:sz w:val="32"/>
          <w:szCs w:val="32"/>
          <w:highlight w:val="none"/>
        </w:rPr>
        <w:t>39.06</w:t>
      </w:r>
      <w:r>
        <w:rPr>
          <w:rFonts w:eastAsia="仿宋_GB2312"/>
          <w:sz w:val="32"/>
          <w:szCs w:val="32"/>
          <w:highlight w:val="none"/>
        </w:rPr>
        <w:t>亿元，新增学位11</w:t>
      </w:r>
      <w:r>
        <w:rPr>
          <w:rFonts w:hint="eastAsia" w:eastAsia="仿宋_GB2312"/>
          <w:sz w:val="32"/>
          <w:szCs w:val="32"/>
          <w:highlight w:val="none"/>
        </w:rPr>
        <w:t>830</w:t>
      </w:r>
      <w:r>
        <w:rPr>
          <w:rFonts w:eastAsia="仿宋_GB2312"/>
          <w:sz w:val="32"/>
          <w:szCs w:val="32"/>
          <w:highlight w:val="none"/>
        </w:rPr>
        <w:t>3个（幼儿园学位27330个、小学学位4</w:t>
      </w:r>
      <w:r>
        <w:rPr>
          <w:rFonts w:hint="eastAsia" w:eastAsia="仿宋_GB2312"/>
          <w:sz w:val="32"/>
          <w:szCs w:val="32"/>
          <w:highlight w:val="none"/>
        </w:rPr>
        <w:t>7390</w:t>
      </w:r>
      <w:r>
        <w:rPr>
          <w:rFonts w:eastAsia="仿宋_GB2312"/>
          <w:sz w:val="32"/>
          <w:szCs w:val="32"/>
          <w:highlight w:val="none"/>
        </w:rPr>
        <w:t>个、初中学位23</w:t>
      </w:r>
      <w:r>
        <w:rPr>
          <w:rFonts w:hint="eastAsia" w:eastAsia="仿宋_GB2312"/>
          <w:sz w:val="32"/>
          <w:szCs w:val="32"/>
          <w:highlight w:val="none"/>
        </w:rPr>
        <w:t>320</w:t>
      </w:r>
      <w:r>
        <w:rPr>
          <w:rFonts w:eastAsia="仿宋_GB2312"/>
          <w:sz w:val="32"/>
          <w:szCs w:val="32"/>
          <w:highlight w:val="none"/>
        </w:rPr>
        <w:t>个、高中学位19720个，特殊教育学位543个）</w:t>
      </w:r>
      <w:r>
        <w:rPr>
          <w:rFonts w:eastAsia="仿宋_GB2312"/>
          <w:kern w:val="0"/>
          <w:sz w:val="32"/>
          <w:szCs w:val="32"/>
          <w:highlight w:val="none"/>
        </w:rPr>
        <w:t>。</w:t>
      </w:r>
      <w:r>
        <w:rPr>
          <w:rFonts w:eastAsia="仿宋_GB2312"/>
          <w:sz w:val="32"/>
          <w:szCs w:val="32"/>
          <w:highlight w:val="none"/>
        </w:rPr>
        <w:t>其中，丽水市中心城区项目7</w:t>
      </w:r>
      <w:r>
        <w:rPr>
          <w:rFonts w:hint="eastAsia" w:eastAsia="仿宋_GB2312"/>
          <w:sz w:val="32"/>
          <w:szCs w:val="32"/>
          <w:highlight w:val="none"/>
        </w:rPr>
        <w:t>5</w:t>
      </w:r>
      <w:r>
        <w:rPr>
          <w:rFonts w:eastAsia="仿宋_GB2312"/>
          <w:sz w:val="32"/>
          <w:szCs w:val="32"/>
          <w:highlight w:val="none"/>
        </w:rPr>
        <w:t>个，规划总投资10</w:t>
      </w:r>
      <w:r>
        <w:rPr>
          <w:rFonts w:hint="eastAsia" w:eastAsia="仿宋_GB2312"/>
          <w:sz w:val="32"/>
          <w:szCs w:val="32"/>
          <w:highlight w:val="none"/>
        </w:rPr>
        <w:t>6</w:t>
      </w:r>
      <w:r>
        <w:rPr>
          <w:rFonts w:eastAsia="仿宋_GB2312"/>
          <w:sz w:val="32"/>
          <w:szCs w:val="32"/>
          <w:highlight w:val="none"/>
        </w:rPr>
        <w:t>.31亿元，其它8个县市项目89个，规划总投资132.75亿元。中心城区以小区配套幼儿园为主要建设模式，中心镇、较大乡结合人口情况，建设以政府投入为主的公办幼儿园。按照教育现代化学校建设标准，启动一批老城区义务教育阶段学校改扩建项目。加快建成一批义务教育项目，新建义务教育阶段学校以九年一贯制学校为主体。中心城区依据“一脉三城”空间格局，重点在南城、碧湖新城建设高中项目。推动丽水旅游学校、丽水护士学校、丽水技师学院等项目建设，推进松阳县、景宁县、庆元县迁建职业高级中学。</w:t>
      </w:r>
    </w:p>
    <w:p>
      <w:pPr>
        <w:spacing w:line="600" w:lineRule="exact"/>
        <w:ind w:firstLine="642" w:firstLineChars="200"/>
        <w:rPr>
          <w:rFonts w:eastAsia="仿宋_GB2312"/>
          <w:sz w:val="32"/>
          <w:szCs w:val="32"/>
          <w:highlight w:val="none"/>
        </w:rPr>
      </w:pPr>
      <w:r>
        <w:rPr>
          <w:rStyle w:val="23"/>
          <w:highlight w:val="none"/>
        </w:rPr>
        <w:t>3.提高优质教育资源覆盖面</w:t>
      </w:r>
      <w:r>
        <w:rPr>
          <w:rFonts w:eastAsia="仿宋_GB2312"/>
          <w:b/>
          <w:sz w:val="32"/>
          <w:szCs w:val="32"/>
          <w:highlight w:val="none"/>
        </w:rPr>
        <w:t>。</w:t>
      </w:r>
      <w:r>
        <w:rPr>
          <w:rFonts w:eastAsia="仿宋_GB2312"/>
          <w:sz w:val="32"/>
          <w:szCs w:val="32"/>
          <w:highlight w:val="none"/>
        </w:rPr>
        <w:t>构建市级现代化学校评估体系，分级分类实施现代化学校评估，推进各级各类现代化学校创建。到2025年，30%的幼儿园、小学、初中、普通高中、中职学校、社区学校创建成为省现代化学校。整合市内外优质教育资源，</w:t>
      </w:r>
      <w:r>
        <w:rPr>
          <w:rFonts w:eastAsia="仿宋_GB2312"/>
          <w:kern w:val="0"/>
          <w:sz w:val="32"/>
          <w:szCs w:val="32"/>
          <w:highlight w:val="none"/>
        </w:rPr>
        <w:t>形成“内培外引”优质学校培育新机制，做到新建学校“办一所优一所”、薄弱老学校补短提升、品牌学校提质升级，</w:t>
      </w:r>
      <w:r>
        <w:rPr>
          <w:rFonts w:eastAsia="仿宋_GB2312"/>
          <w:sz w:val="32"/>
          <w:szCs w:val="32"/>
          <w:highlight w:val="none"/>
        </w:rPr>
        <w:t>办好家门口的每一所学校，全面提高优质教育资源覆盖面。到2025年，全市幼儿园、小学、初中、高中优质教育资源覆盖面均达到80%以上。</w:t>
      </w:r>
    </w:p>
    <w:p>
      <w:pPr>
        <w:spacing w:line="600" w:lineRule="exact"/>
        <w:ind w:firstLine="640" w:firstLineChars="200"/>
        <w:rPr>
          <w:rFonts w:eastAsia="仿宋_GB2312"/>
          <w:sz w:val="32"/>
          <w:szCs w:val="32"/>
          <w:highlight w:val="none"/>
        </w:rPr>
      </w:pP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pPr>
              <w:spacing w:line="600" w:lineRule="exact"/>
              <w:jc w:val="center"/>
              <w:rPr>
                <w:rFonts w:eastAsia="仿宋_GB2312"/>
                <w:b/>
                <w:sz w:val="28"/>
                <w:szCs w:val="32"/>
                <w:highlight w:val="none"/>
              </w:rPr>
            </w:pPr>
            <w:r>
              <w:rPr>
                <w:rFonts w:eastAsia="仿宋_GB2312"/>
                <w:b/>
                <w:sz w:val="28"/>
                <w:szCs w:val="32"/>
                <w:highlight w:val="none"/>
              </w:rPr>
              <w:t>专栏8：实施资源供给“双百亿”工程</w:t>
            </w:r>
          </w:p>
          <w:p>
            <w:pPr>
              <w:spacing w:line="600" w:lineRule="exact"/>
              <w:ind w:firstLine="560" w:firstLineChars="200"/>
              <w:rPr>
                <w:rFonts w:eastAsia="仿宋_GB2312"/>
                <w:sz w:val="28"/>
                <w:szCs w:val="32"/>
                <w:highlight w:val="none"/>
              </w:rPr>
            </w:pPr>
            <w:r>
              <w:rPr>
                <w:rFonts w:eastAsia="仿宋_GB2312"/>
                <w:sz w:val="28"/>
                <w:szCs w:val="32"/>
                <w:highlight w:val="none"/>
              </w:rPr>
              <w:t>“十四五”期间安排教育项目16</w:t>
            </w:r>
            <w:r>
              <w:rPr>
                <w:rFonts w:hint="eastAsia" w:eastAsia="仿宋_GB2312"/>
                <w:sz w:val="28"/>
                <w:szCs w:val="32"/>
                <w:highlight w:val="none"/>
              </w:rPr>
              <w:t>4</w:t>
            </w:r>
            <w:r>
              <w:rPr>
                <w:rFonts w:eastAsia="仿宋_GB2312"/>
                <w:sz w:val="28"/>
                <w:szCs w:val="32"/>
                <w:highlight w:val="none"/>
              </w:rPr>
              <w:t>个，规划总投资2</w:t>
            </w:r>
            <w:r>
              <w:rPr>
                <w:rFonts w:hint="eastAsia" w:eastAsia="仿宋_GB2312"/>
                <w:sz w:val="28"/>
                <w:szCs w:val="32"/>
                <w:highlight w:val="none"/>
              </w:rPr>
              <w:t>39</w:t>
            </w:r>
            <w:r>
              <w:rPr>
                <w:rFonts w:eastAsia="仿宋_GB2312"/>
                <w:sz w:val="28"/>
                <w:szCs w:val="32"/>
                <w:highlight w:val="none"/>
              </w:rPr>
              <w:t>.06亿元，计划投资20</w:t>
            </w:r>
            <w:r>
              <w:rPr>
                <w:rFonts w:hint="eastAsia" w:eastAsia="仿宋_GB2312"/>
                <w:sz w:val="28"/>
                <w:szCs w:val="32"/>
                <w:highlight w:val="none"/>
              </w:rPr>
              <w:t>2.07</w:t>
            </w:r>
            <w:r>
              <w:rPr>
                <w:rFonts w:eastAsia="仿宋_GB2312"/>
                <w:sz w:val="28"/>
                <w:szCs w:val="32"/>
                <w:highlight w:val="none"/>
              </w:rPr>
              <w:t>亿元，新增学位11</w:t>
            </w:r>
            <w:r>
              <w:rPr>
                <w:rFonts w:hint="eastAsia" w:eastAsia="仿宋_GB2312"/>
                <w:sz w:val="28"/>
                <w:szCs w:val="32"/>
                <w:highlight w:val="none"/>
              </w:rPr>
              <w:t>830</w:t>
            </w:r>
            <w:r>
              <w:rPr>
                <w:rFonts w:eastAsia="仿宋_GB2312"/>
                <w:sz w:val="28"/>
                <w:szCs w:val="32"/>
                <w:highlight w:val="none"/>
              </w:rPr>
              <w:t>3个。其中，学前教育项目48个，规划总投资28.1亿元，计划完成投资26.2亿元，增加学位27330个；义务教育项目7</w:t>
            </w:r>
            <w:r>
              <w:rPr>
                <w:rFonts w:hint="eastAsia" w:eastAsia="仿宋_GB2312"/>
                <w:sz w:val="28"/>
                <w:szCs w:val="32"/>
                <w:highlight w:val="none"/>
              </w:rPr>
              <w:t>1</w:t>
            </w:r>
            <w:r>
              <w:rPr>
                <w:rFonts w:eastAsia="仿宋_GB2312"/>
                <w:sz w:val="28"/>
                <w:szCs w:val="32"/>
                <w:highlight w:val="none"/>
              </w:rPr>
              <w:t>个，规划总投资11</w:t>
            </w:r>
            <w:r>
              <w:rPr>
                <w:rFonts w:hint="eastAsia" w:eastAsia="仿宋_GB2312"/>
                <w:sz w:val="28"/>
                <w:szCs w:val="32"/>
                <w:highlight w:val="none"/>
              </w:rPr>
              <w:t>6</w:t>
            </w:r>
            <w:r>
              <w:rPr>
                <w:rFonts w:eastAsia="仿宋_GB2312"/>
                <w:sz w:val="28"/>
                <w:szCs w:val="32"/>
                <w:highlight w:val="none"/>
              </w:rPr>
              <w:t>.92亿元，计划完成投资</w:t>
            </w:r>
            <w:r>
              <w:rPr>
                <w:rFonts w:hint="eastAsia" w:eastAsia="仿宋_GB2312"/>
                <w:sz w:val="28"/>
                <w:szCs w:val="32"/>
                <w:highlight w:val="none"/>
              </w:rPr>
              <w:t>97</w:t>
            </w:r>
            <w:r>
              <w:rPr>
                <w:rFonts w:eastAsia="仿宋_GB2312"/>
                <w:sz w:val="28"/>
                <w:szCs w:val="32"/>
                <w:highlight w:val="none"/>
              </w:rPr>
              <w:t>.73亿元，增加小学学位4</w:t>
            </w:r>
            <w:r>
              <w:rPr>
                <w:rFonts w:hint="eastAsia" w:eastAsia="仿宋_GB2312"/>
                <w:sz w:val="28"/>
                <w:szCs w:val="32"/>
                <w:highlight w:val="none"/>
              </w:rPr>
              <w:t>7390</w:t>
            </w:r>
            <w:r>
              <w:rPr>
                <w:rFonts w:eastAsia="仿宋_GB2312"/>
                <w:sz w:val="28"/>
                <w:szCs w:val="32"/>
                <w:highlight w:val="none"/>
              </w:rPr>
              <w:t>个、初中学位23</w:t>
            </w:r>
            <w:r>
              <w:rPr>
                <w:rFonts w:hint="eastAsia" w:eastAsia="仿宋_GB2312"/>
                <w:sz w:val="28"/>
                <w:szCs w:val="32"/>
                <w:highlight w:val="none"/>
              </w:rPr>
              <w:t>320</w:t>
            </w:r>
            <w:r>
              <w:rPr>
                <w:rFonts w:eastAsia="仿宋_GB2312"/>
                <w:sz w:val="28"/>
                <w:szCs w:val="32"/>
                <w:highlight w:val="none"/>
              </w:rPr>
              <w:t>个；高中教育项目2</w:t>
            </w:r>
            <w:r>
              <w:rPr>
                <w:rFonts w:hint="eastAsia" w:eastAsia="仿宋_GB2312"/>
                <w:sz w:val="28"/>
                <w:szCs w:val="32"/>
                <w:highlight w:val="none"/>
              </w:rPr>
              <w:t>2</w:t>
            </w:r>
            <w:r>
              <w:rPr>
                <w:rFonts w:eastAsia="仿宋_GB2312"/>
                <w:sz w:val="28"/>
                <w:szCs w:val="32"/>
                <w:highlight w:val="none"/>
              </w:rPr>
              <w:t>个，规划总投资6</w:t>
            </w:r>
            <w:r>
              <w:rPr>
                <w:rFonts w:hint="eastAsia" w:eastAsia="仿宋_GB2312"/>
                <w:sz w:val="28"/>
                <w:szCs w:val="32"/>
                <w:highlight w:val="none"/>
              </w:rPr>
              <w:t>7</w:t>
            </w:r>
            <w:r>
              <w:rPr>
                <w:rFonts w:eastAsia="仿宋_GB2312"/>
                <w:sz w:val="28"/>
                <w:szCs w:val="32"/>
                <w:highlight w:val="none"/>
              </w:rPr>
              <w:t>.93亿元，计划完成投资5</w:t>
            </w:r>
            <w:r>
              <w:rPr>
                <w:rFonts w:hint="eastAsia" w:eastAsia="仿宋_GB2312"/>
                <w:sz w:val="28"/>
                <w:szCs w:val="32"/>
                <w:highlight w:val="none"/>
              </w:rPr>
              <w:t>2</w:t>
            </w:r>
            <w:r>
              <w:rPr>
                <w:rFonts w:eastAsia="仿宋_GB2312"/>
                <w:sz w:val="28"/>
                <w:szCs w:val="32"/>
                <w:highlight w:val="none"/>
              </w:rPr>
              <w:t>.6亿元，增加高中学位19720个；其他类项目12个，规划总投资16.43亿元，计划完成投资15.86亿元，增加特殊教育学位543个；教育信息化新基建项目11个，规划总投资9.68亿元，计划完成投资9.68亿元。</w:t>
            </w:r>
          </w:p>
          <w:p>
            <w:pPr>
              <w:spacing w:line="600" w:lineRule="exact"/>
              <w:jc w:val="center"/>
              <w:rPr>
                <w:rFonts w:eastAsia="仿宋_GB2312"/>
                <w:b/>
                <w:sz w:val="28"/>
                <w:szCs w:val="32"/>
                <w:highlight w:val="none"/>
              </w:rPr>
            </w:pPr>
            <w:r>
              <w:rPr>
                <w:rFonts w:eastAsia="仿宋_GB2312"/>
                <w:b/>
                <w:sz w:val="28"/>
                <w:szCs w:val="32"/>
                <w:highlight w:val="none"/>
              </w:rPr>
              <w:t>专栏9：实施优质学校“内培外引”工程</w:t>
            </w:r>
          </w:p>
          <w:p>
            <w:pPr>
              <w:spacing w:line="600" w:lineRule="exact"/>
              <w:jc w:val="left"/>
              <w:rPr>
                <w:rFonts w:eastAsia="仿宋_GB2312"/>
                <w:sz w:val="28"/>
                <w:szCs w:val="32"/>
                <w:highlight w:val="none"/>
              </w:rPr>
            </w:pPr>
            <w:r>
              <w:rPr>
                <w:rFonts w:eastAsia="仿宋_GB2312"/>
                <w:b/>
                <w:sz w:val="28"/>
                <w:szCs w:val="32"/>
                <w:highlight w:val="none"/>
              </w:rPr>
              <w:t xml:space="preserve">    </w:t>
            </w:r>
            <w:r>
              <w:rPr>
                <w:rFonts w:eastAsia="仿宋_GB2312"/>
                <w:sz w:val="28"/>
                <w:szCs w:val="32"/>
                <w:highlight w:val="none"/>
              </w:rPr>
              <w:t xml:space="preserve"> “内培”方面，整合在丽高校、市内优质学校、教研部门等优质教育资源，对学校开展委托管理；推进城镇优质学校与农村薄弱学校的实质性集团化，实行财政、人事、绩效捆绑考核，促进教师、管理、资源、教研等要素流动。“外引”方面，引进市外优质教育品牌或管理团队，以委托管理或项目合作开展合作办学；推动发达地区名校与我市学校建立教育共同体，给予更大的办学自主权，提升我市学校办学水平。“内培”和“外引”，</w:t>
            </w:r>
            <w:r>
              <w:rPr>
                <w:rFonts w:hint="eastAsia" w:eastAsia="仿宋_GB2312"/>
                <w:sz w:val="28"/>
                <w:szCs w:val="32"/>
                <w:highlight w:val="none"/>
              </w:rPr>
              <w:t>由政府向托管机构支付委托</w:t>
            </w:r>
            <w:r>
              <w:rPr>
                <w:rFonts w:eastAsia="仿宋_GB2312"/>
                <w:sz w:val="28"/>
                <w:szCs w:val="32"/>
                <w:highlight w:val="none"/>
              </w:rPr>
              <w:t>管理服务费。到2025年，全市幼儿园、小学、初中、高中优质教育资源覆盖面均达到80%以上。</w:t>
            </w:r>
          </w:p>
        </w:tc>
      </w:tr>
    </w:tbl>
    <w:p>
      <w:pPr>
        <w:spacing w:line="600" w:lineRule="exact"/>
        <w:ind w:firstLine="645"/>
        <w:outlineLvl w:val="1"/>
        <w:rPr>
          <w:rFonts w:eastAsia="楷体_GB2312"/>
          <w:b/>
          <w:sz w:val="32"/>
          <w:szCs w:val="32"/>
          <w:highlight w:val="none"/>
        </w:rPr>
      </w:pPr>
      <w:bookmarkStart w:id="22" w:name="_Toc85116777"/>
      <w:r>
        <w:rPr>
          <w:rFonts w:eastAsia="楷体_GB2312"/>
          <w:b/>
          <w:sz w:val="32"/>
          <w:szCs w:val="32"/>
          <w:highlight w:val="none"/>
        </w:rPr>
        <w:t>（四）深化教育教学改革</w:t>
      </w:r>
      <w:bookmarkEnd w:id="22"/>
    </w:p>
    <w:p>
      <w:pPr>
        <w:spacing w:line="600" w:lineRule="exact"/>
        <w:ind w:firstLine="645"/>
        <w:rPr>
          <w:rStyle w:val="23"/>
          <w:b w:val="0"/>
          <w:bCs/>
          <w:highlight w:val="none"/>
        </w:rPr>
      </w:pPr>
      <w:r>
        <w:rPr>
          <w:rStyle w:val="23"/>
          <w:rFonts w:hint="eastAsia"/>
          <w:b w:val="0"/>
          <w:bCs/>
          <w:highlight w:val="none"/>
        </w:rPr>
        <w:t>深化育人方式变革，推进课程改革，创新教学方法，构建符合学科特点、时代要求和学生成长规律的教育教学模式，形成全面发展的人才培养体系。</w:t>
      </w:r>
    </w:p>
    <w:p>
      <w:pPr>
        <w:spacing w:line="600" w:lineRule="exact"/>
        <w:ind w:firstLine="645"/>
        <w:rPr>
          <w:rFonts w:eastAsia="仿宋_GB2312"/>
          <w:sz w:val="32"/>
          <w:szCs w:val="32"/>
          <w:highlight w:val="none"/>
        </w:rPr>
      </w:pPr>
      <w:r>
        <w:rPr>
          <w:rStyle w:val="23"/>
          <w:highlight w:val="none"/>
        </w:rPr>
        <w:t>1.深化中小学课程改革</w:t>
      </w:r>
      <w:r>
        <w:rPr>
          <w:rFonts w:eastAsia="仿宋_GB2312"/>
          <w:b/>
          <w:sz w:val="32"/>
          <w:szCs w:val="32"/>
          <w:highlight w:val="none"/>
        </w:rPr>
        <w:t>。</w:t>
      </w:r>
      <w:r>
        <w:rPr>
          <w:rFonts w:hint="eastAsia" w:eastAsia="仿宋_GB2312"/>
          <w:bCs/>
          <w:sz w:val="32"/>
          <w:szCs w:val="32"/>
          <w:highlight w:val="none"/>
        </w:rPr>
        <w:t>切实落实好国家课程标准，</w:t>
      </w:r>
      <w:r>
        <w:rPr>
          <w:rFonts w:hint="eastAsia" w:eastAsia="仿宋_GB2312"/>
          <w:sz w:val="32"/>
          <w:szCs w:val="32"/>
          <w:highlight w:val="none"/>
        </w:rPr>
        <w:t>推进基于课程标准的国家课程校本化，</w:t>
      </w:r>
      <w:r>
        <w:rPr>
          <w:rFonts w:eastAsia="仿宋_GB2312"/>
          <w:sz w:val="32"/>
          <w:szCs w:val="32"/>
          <w:highlight w:val="none"/>
        </w:rPr>
        <w:t>构建基于学校办学理念和特色的校本课程</w:t>
      </w:r>
      <w:r>
        <w:rPr>
          <w:rFonts w:hint="eastAsia" w:eastAsia="仿宋_GB2312"/>
          <w:sz w:val="32"/>
          <w:szCs w:val="32"/>
          <w:highlight w:val="none"/>
        </w:rPr>
        <w:t>。</w:t>
      </w:r>
      <w:r>
        <w:rPr>
          <w:rFonts w:eastAsia="仿宋_GB2312"/>
          <w:sz w:val="32"/>
          <w:szCs w:val="32"/>
          <w:highlight w:val="none"/>
        </w:rPr>
        <w:t>以学科课程标准为依据，建立以发展学生核心素养为导向的学科教学体系，在研究课标、教材、评价的基础上，编制丽水市中小学学科教学指南，中小学通过校本化研发形成学校教学手册，教师结合学情制订学科教学方案。加强和改进教研工作，完善市、县、校教研体系，完善区域教研、校本教研、网络教研制度，强化名师工作室示范引领作用，重点打造40个以上市级名师工作室，200个以上县级名师工作室。</w:t>
      </w:r>
    </w:p>
    <w:p>
      <w:pPr>
        <w:spacing w:line="600" w:lineRule="exact"/>
        <w:ind w:firstLine="642" w:firstLineChars="200"/>
        <w:rPr>
          <w:rFonts w:eastAsia="仿宋_GB2312"/>
          <w:sz w:val="32"/>
          <w:szCs w:val="32"/>
          <w:highlight w:val="none"/>
        </w:rPr>
      </w:pPr>
      <w:r>
        <w:rPr>
          <w:rStyle w:val="23"/>
          <w:rFonts w:hint="eastAsia"/>
          <w:highlight w:val="none"/>
        </w:rPr>
        <w:t>2.</w:t>
      </w:r>
      <w:r>
        <w:rPr>
          <w:rStyle w:val="23"/>
          <w:highlight w:val="none"/>
        </w:rPr>
        <w:t>促进教学方式变革</w:t>
      </w:r>
      <w:r>
        <w:rPr>
          <w:rFonts w:eastAsia="仿宋_GB2312"/>
          <w:b/>
          <w:sz w:val="32"/>
          <w:szCs w:val="32"/>
          <w:highlight w:val="none"/>
        </w:rPr>
        <w:t>。</w:t>
      </w:r>
      <w:r>
        <w:rPr>
          <w:rFonts w:eastAsia="仿宋_GB2312"/>
          <w:sz w:val="32"/>
          <w:szCs w:val="32"/>
          <w:highlight w:val="none"/>
        </w:rPr>
        <w:t>加强教育教学质量过程管理，重视过程性评价和总结性评价相结合。坚持“学为中心”理念，注重启发式、互动式、探究式教学，开展研究型、项目化、合作式学习。推进中小学作业改革，精心设计基础性作业，加强探究性、实践性、综合性作业设计研究，不断提高作业设计质量，建设学校校本化作业，培养学生自主学习能力、创新能力。推进信息技术与教育教学深度融合，深入实施以大数据、云计算、人工智能为支撑的精准教学改革，促进教学方式转型升级和教育质量全面提高，精准教学改革实现全覆盖，成为全省精准教学改革示范区。</w:t>
      </w:r>
    </w:p>
    <w:p>
      <w:pPr>
        <w:spacing w:line="600" w:lineRule="exact"/>
        <w:ind w:firstLine="642" w:firstLineChars="200"/>
        <w:rPr>
          <w:rFonts w:eastAsia="仿宋_GB2312"/>
          <w:sz w:val="32"/>
          <w:szCs w:val="32"/>
          <w:highlight w:val="none"/>
        </w:rPr>
      </w:pPr>
      <w:r>
        <w:rPr>
          <w:rFonts w:eastAsia="仿宋_GB2312"/>
          <w:b/>
          <w:sz w:val="32"/>
          <w:szCs w:val="32"/>
          <w:highlight w:val="none"/>
        </w:rPr>
        <w:t>3.加强学生管理工作。</w:t>
      </w:r>
      <w:r>
        <w:rPr>
          <w:rFonts w:eastAsia="仿宋_GB2312"/>
          <w:sz w:val="32"/>
          <w:szCs w:val="32"/>
          <w:highlight w:val="none"/>
        </w:rPr>
        <w:t>加强学生规范管理，完善作业、手机、睡眠、读物、体质等管理举措，促进青少年身心健康发展。完善学生作业管理办法，引导孩子自主完成、自我管理作业。加强手机管理，按照“有限带入校园、禁止带入课堂”的要求细化管理措施，同时通过多种方式满足学生应急通话需求。加强学生睡眠管理，确保孩子们睡眠充足。做好课外读物和教辅管理，推进地方教材、校本教材开发。重视学生体质健康，提高学生身体素质和心理素质，做好学生情绪管理教育。</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pPr>
              <w:spacing w:line="600" w:lineRule="exact"/>
              <w:jc w:val="center"/>
              <w:rPr>
                <w:rFonts w:eastAsia="仿宋_GB2312"/>
                <w:b/>
                <w:sz w:val="28"/>
                <w:szCs w:val="32"/>
                <w:highlight w:val="none"/>
              </w:rPr>
            </w:pPr>
            <w:r>
              <w:rPr>
                <w:rFonts w:eastAsia="仿宋_GB2312"/>
                <w:b/>
                <w:sz w:val="28"/>
                <w:szCs w:val="32"/>
                <w:highlight w:val="none"/>
              </w:rPr>
              <w:t>专栏10：中小学学科教学指南建设</w:t>
            </w:r>
          </w:p>
          <w:p>
            <w:pPr>
              <w:spacing w:line="600" w:lineRule="exact"/>
              <w:ind w:firstLine="548" w:firstLineChars="196"/>
              <w:rPr>
                <w:rFonts w:eastAsia="仿宋_GB2312"/>
                <w:sz w:val="28"/>
                <w:szCs w:val="32"/>
                <w:highlight w:val="none"/>
              </w:rPr>
            </w:pPr>
            <w:r>
              <w:rPr>
                <w:rFonts w:eastAsia="仿宋_GB2312"/>
                <w:sz w:val="28"/>
                <w:szCs w:val="32"/>
                <w:highlight w:val="none"/>
              </w:rPr>
              <w:t>围绕基于核心素养下的新课程标准、学业质量水平标准，结合新教材将课程标准进行教学目标解析，制定学科教学指南，指导学校进行校本化改造，编制学校教学手册，为一线教师提供有力教学支持。</w:t>
            </w:r>
          </w:p>
          <w:p>
            <w:pPr>
              <w:spacing w:line="600" w:lineRule="exact"/>
              <w:jc w:val="center"/>
              <w:rPr>
                <w:rFonts w:eastAsia="仿宋_GB2312"/>
                <w:b/>
                <w:sz w:val="28"/>
                <w:szCs w:val="32"/>
                <w:highlight w:val="none"/>
              </w:rPr>
            </w:pPr>
            <w:r>
              <w:rPr>
                <w:rFonts w:eastAsia="仿宋_GB2312"/>
                <w:b/>
                <w:sz w:val="28"/>
                <w:szCs w:val="32"/>
                <w:highlight w:val="none"/>
              </w:rPr>
              <w:t>专栏11：深化精准教学改革</w:t>
            </w:r>
          </w:p>
          <w:p>
            <w:pPr>
              <w:spacing w:line="600" w:lineRule="exact"/>
              <w:ind w:firstLine="555"/>
              <w:rPr>
                <w:rFonts w:eastAsia="仿宋_GB2312"/>
                <w:b/>
                <w:sz w:val="28"/>
                <w:szCs w:val="32"/>
                <w:highlight w:val="none"/>
              </w:rPr>
            </w:pPr>
            <w:r>
              <w:rPr>
                <w:rFonts w:eastAsia="仿宋_GB2312"/>
                <w:sz w:val="28"/>
                <w:szCs w:val="32"/>
                <w:highlight w:val="none"/>
              </w:rPr>
              <w:t>通过平台实现教学过程、行为数据和结果数据的持续采集，动态汇聚成教学大数据，通过对其深度挖掘和多元分析，助力教师进行更精准的“教”，指导学生更精准的“学”。深入开展基于大数据的学科教学实践研究、大数据个性化学习实践研究、大数据实证教研实践研究、大数据智慧评价实践研究，提炼总结符合丽水实际的精准教学模式。</w:t>
            </w:r>
          </w:p>
        </w:tc>
      </w:tr>
    </w:tbl>
    <w:p>
      <w:pPr>
        <w:spacing w:line="600" w:lineRule="exact"/>
        <w:ind w:firstLine="642" w:firstLineChars="200"/>
        <w:outlineLvl w:val="1"/>
        <w:rPr>
          <w:rFonts w:eastAsia="楷体_GB2312"/>
          <w:b/>
          <w:sz w:val="32"/>
          <w:szCs w:val="32"/>
          <w:highlight w:val="none"/>
        </w:rPr>
      </w:pPr>
      <w:bookmarkStart w:id="23" w:name="_Toc85116778"/>
      <w:r>
        <w:rPr>
          <w:rFonts w:eastAsia="楷体_GB2312"/>
          <w:b/>
          <w:sz w:val="32"/>
          <w:szCs w:val="32"/>
          <w:highlight w:val="none"/>
        </w:rPr>
        <w:t>（五）加快教育信息化建设</w:t>
      </w:r>
      <w:bookmarkEnd w:id="23"/>
    </w:p>
    <w:p>
      <w:pPr>
        <w:spacing w:line="600" w:lineRule="exact"/>
        <w:ind w:firstLine="645"/>
        <w:rPr>
          <w:rFonts w:eastAsia="仿宋_GB2312"/>
          <w:sz w:val="32"/>
          <w:szCs w:val="32"/>
          <w:highlight w:val="none"/>
        </w:rPr>
      </w:pPr>
      <w:r>
        <w:rPr>
          <w:rFonts w:eastAsia="仿宋_GB2312"/>
          <w:sz w:val="32"/>
          <w:szCs w:val="32"/>
          <w:highlight w:val="none"/>
        </w:rPr>
        <w:t>坚持数字赋能、创新驱动，提升教育信息化</w:t>
      </w:r>
      <w:r>
        <w:rPr>
          <w:rFonts w:hint="eastAsia" w:eastAsia="仿宋_GB2312"/>
          <w:sz w:val="32"/>
          <w:szCs w:val="32"/>
          <w:highlight w:val="none"/>
        </w:rPr>
        <w:t>装备</w:t>
      </w:r>
      <w:r>
        <w:rPr>
          <w:rFonts w:eastAsia="仿宋_GB2312"/>
          <w:sz w:val="32"/>
          <w:szCs w:val="32"/>
          <w:highlight w:val="none"/>
        </w:rPr>
        <w:t>水平，促进信息技术与教育教学融合创新，构建高质量教育数字化智治体系。</w:t>
      </w:r>
    </w:p>
    <w:p>
      <w:pPr>
        <w:spacing w:line="600" w:lineRule="exact"/>
        <w:ind w:firstLine="645"/>
        <w:rPr>
          <w:rFonts w:eastAsia="仿宋_GB2312"/>
          <w:sz w:val="32"/>
          <w:szCs w:val="32"/>
          <w:highlight w:val="none"/>
        </w:rPr>
      </w:pPr>
      <w:r>
        <w:rPr>
          <w:rStyle w:val="23"/>
          <w:highlight w:val="none"/>
        </w:rPr>
        <w:t>1.构建丽水教育信息化生态圈。</w:t>
      </w:r>
      <w:r>
        <w:rPr>
          <w:rStyle w:val="23"/>
          <w:b w:val="0"/>
          <w:highlight w:val="none"/>
        </w:rPr>
        <w:t>健全教育信息化顶层设计，深入实施教育信息化2.0行动计划，形成</w:t>
      </w:r>
      <w:r>
        <w:rPr>
          <w:rFonts w:hint="eastAsia" w:eastAsia="仿宋_GB2312"/>
          <w:sz w:val="32"/>
          <w:szCs w:val="32"/>
          <w:highlight w:val="none"/>
        </w:rPr>
        <w:t>“1+4+N”</w:t>
      </w:r>
      <w:r>
        <w:rPr>
          <w:rStyle w:val="23"/>
          <w:b w:val="0"/>
          <w:highlight w:val="none"/>
        </w:rPr>
        <w:t>教育信息化生态圈，呈现快捷、高效、安全的数字化格局。建设</w:t>
      </w:r>
      <w:r>
        <w:rPr>
          <w:rFonts w:hint="eastAsia" w:eastAsia="仿宋_GB2312"/>
          <w:sz w:val="32"/>
          <w:szCs w:val="32"/>
          <w:highlight w:val="none"/>
        </w:rPr>
        <w:t>丽水教育e平台</w:t>
      </w:r>
      <w:r>
        <w:rPr>
          <w:rStyle w:val="23"/>
          <w:b w:val="0"/>
          <w:highlight w:val="none"/>
        </w:rPr>
        <w:t>，汇集所有教育应用场景和数据，实现</w:t>
      </w:r>
      <w:r>
        <w:rPr>
          <w:rStyle w:val="23"/>
          <w:rFonts w:hint="eastAsia"/>
          <w:b w:val="0"/>
          <w:highlight w:val="none"/>
        </w:rPr>
        <w:t>统一门户、统一认证、统一管理、统一数据、统一接口</w:t>
      </w:r>
      <w:r>
        <w:rPr>
          <w:rStyle w:val="23"/>
          <w:b w:val="0"/>
          <w:highlight w:val="none"/>
        </w:rPr>
        <w:t>。打造</w:t>
      </w:r>
      <w:r>
        <w:rPr>
          <w:rFonts w:hint="eastAsia" w:eastAsia="仿宋_GB2312"/>
          <w:sz w:val="32"/>
          <w:szCs w:val="32"/>
          <w:highlight w:val="none"/>
        </w:rPr>
        <w:t>教育管理、教育教学、教育数据、教育民生四个业务体系</w:t>
      </w:r>
      <w:r>
        <w:rPr>
          <w:rStyle w:val="23"/>
          <w:b w:val="0"/>
          <w:highlight w:val="none"/>
        </w:rPr>
        <w:t>，</w:t>
      </w:r>
      <w:r>
        <w:rPr>
          <w:rFonts w:eastAsia="仿宋_GB2312"/>
          <w:sz w:val="32"/>
          <w:szCs w:val="32"/>
          <w:highlight w:val="none"/>
        </w:rPr>
        <w:t>实现以教育管理和教育资源丰富教育数据</w:t>
      </w:r>
      <w:r>
        <w:rPr>
          <w:rFonts w:hint="eastAsia" w:eastAsia="仿宋_GB2312"/>
          <w:sz w:val="32"/>
          <w:szCs w:val="32"/>
          <w:highlight w:val="none"/>
        </w:rPr>
        <w:t>，</w:t>
      </w:r>
      <w:r>
        <w:rPr>
          <w:rFonts w:eastAsia="仿宋_GB2312"/>
          <w:sz w:val="32"/>
          <w:szCs w:val="32"/>
          <w:highlight w:val="none"/>
        </w:rPr>
        <w:t>教育数据支撑教育管理和教育资源</w:t>
      </w:r>
      <w:r>
        <w:rPr>
          <w:rFonts w:hint="eastAsia" w:eastAsia="仿宋_GB2312"/>
          <w:sz w:val="32"/>
          <w:szCs w:val="32"/>
          <w:highlight w:val="none"/>
        </w:rPr>
        <w:t>，开发一批教育民生应用，为老百姓提供教育服务。</w:t>
      </w:r>
      <w:r>
        <w:rPr>
          <w:rStyle w:val="23"/>
          <w:b w:val="0"/>
          <w:highlight w:val="none"/>
        </w:rPr>
        <w:t>优化</w:t>
      </w:r>
      <w:r>
        <w:rPr>
          <w:rStyle w:val="23"/>
          <w:rFonts w:hint="eastAsia"/>
          <w:b w:val="0"/>
          <w:highlight w:val="none"/>
        </w:rPr>
        <w:t>四</w:t>
      </w:r>
      <w:r>
        <w:rPr>
          <w:rStyle w:val="23"/>
          <w:b w:val="0"/>
          <w:highlight w:val="none"/>
        </w:rPr>
        <w:t>个业务系统内N个应用模块，实现所有应用场景模块化构筑。</w:t>
      </w:r>
      <w:r>
        <w:rPr>
          <w:rFonts w:eastAsia="仿宋_GB2312"/>
          <w:sz w:val="32"/>
          <w:szCs w:val="32"/>
          <w:highlight w:val="none"/>
        </w:rPr>
        <w:t>加强网络安全保障运维体系建设，建设网络安全管控平台，推动新技术、新应用进校园审核备案。</w:t>
      </w:r>
    </w:p>
    <w:p>
      <w:pPr>
        <w:spacing w:line="600" w:lineRule="exact"/>
        <w:ind w:firstLine="645"/>
        <w:rPr>
          <w:rFonts w:eastAsia="仿宋_GB2312"/>
          <w:sz w:val="32"/>
          <w:szCs w:val="32"/>
          <w:highlight w:val="none"/>
        </w:rPr>
      </w:pPr>
      <w:r>
        <w:rPr>
          <w:rFonts w:eastAsia="仿宋_GB2312"/>
          <w:b/>
          <w:sz w:val="32"/>
          <w:szCs w:val="32"/>
          <w:highlight w:val="none"/>
        </w:rPr>
        <w:t>2.推进教育数字化改革。</w:t>
      </w:r>
      <w:r>
        <w:rPr>
          <w:rFonts w:eastAsia="仿宋_GB2312"/>
          <w:sz w:val="32"/>
          <w:szCs w:val="32"/>
          <w:highlight w:val="none"/>
        </w:rPr>
        <w:t>构建基于大数据、人工智能的现代化教育智治体系，推动教育行政由传统治理向数字治理转变、由条线治理向整体智治转变。优化“浙里办”教育服务事项，完善“浙政钉”政务办公平台，深化“丽教钉”各项应用，构建社会服务、教育管理、教学支撑的数字化应用体系。加快教育数据共享和开放，逐步实现市县校教育数据交换全覆盖。优化政务网和教育专网的互联互通，统筹建设教育行业云与教育网。</w:t>
      </w:r>
    </w:p>
    <w:p>
      <w:pPr>
        <w:spacing w:line="600" w:lineRule="exact"/>
        <w:ind w:firstLine="645"/>
        <w:rPr>
          <w:rFonts w:eastAsia="仿宋_GB2312"/>
          <w:b/>
          <w:sz w:val="32"/>
          <w:szCs w:val="32"/>
          <w:highlight w:val="none"/>
        </w:rPr>
      </w:pPr>
      <w:r>
        <w:rPr>
          <w:rStyle w:val="23"/>
          <w:highlight w:val="none"/>
        </w:rPr>
        <w:t>3.深入实施智慧校园建设。</w:t>
      </w:r>
      <w:r>
        <w:rPr>
          <w:rStyle w:val="23"/>
          <w:b w:val="0"/>
          <w:highlight w:val="none"/>
        </w:rPr>
        <w:t>优化信息化基础环境，推进大数据、云计算、物联网、5G、人工智能等新基建，建设一批基于新基建的智慧校园示范校。到2025年，全市中小学智慧校园实现全覆盖（其中示范校达10%以上，优质校达25%以上）。校园网络万兆接入率（小规模学校除外）、交互式一体机覆盖率、新型教学空间覆盖率、录播教室覆盖率、校园物联网覆盖率、网阅系统覆盖率、初中学校实验智慧考试系统覆盖率、智能灯光覆盖率均达到100%。进一步完善精准教学的支撑和服务体系，配备符合技术标准和学习需要的个人学习终端，支撑网络条件下个性化的教与学，在个人学习终端增加青少年保护功能。建设满足教学和管理需求的视频交互系统，支撑居家学习和家校互动。升级校园安全“三化”管理系统，建设智慧食堂管理系统。全面提升师生信息素养，在各级各类学校推行首席信息官制度。</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pPr>
              <w:spacing w:line="600" w:lineRule="exact"/>
              <w:jc w:val="center"/>
              <w:rPr>
                <w:rFonts w:eastAsia="仿宋_GB2312"/>
                <w:b/>
                <w:sz w:val="28"/>
                <w:szCs w:val="32"/>
                <w:highlight w:val="none"/>
              </w:rPr>
            </w:pPr>
            <w:r>
              <w:rPr>
                <w:rFonts w:eastAsia="仿宋_GB2312"/>
                <w:b/>
                <w:sz w:val="28"/>
                <w:szCs w:val="32"/>
                <w:highlight w:val="none"/>
              </w:rPr>
              <w:t>专栏12：</w:t>
            </w:r>
            <w:r>
              <w:rPr>
                <w:rFonts w:hint="eastAsia" w:eastAsia="仿宋_GB2312"/>
                <w:b/>
                <w:sz w:val="28"/>
                <w:szCs w:val="32"/>
                <w:highlight w:val="none"/>
              </w:rPr>
              <w:t>丽水教育e平台</w:t>
            </w:r>
          </w:p>
          <w:p>
            <w:pPr>
              <w:spacing w:line="600" w:lineRule="exact"/>
              <w:ind w:firstLine="560" w:firstLineChars="200"/>
              <w:jc w:val="left"/>
              <w:rPr>
                <w:rFonts w:hint="eastAsia" w:eastAsia="仿宋_GB2312"/>
                <w:b w:val="0"/>
                <w:bCs/>
                <w:sz w:val="28"/>
                <w:szCs w:val="32"/>
                <w:highlight w:val="none"/>
              </w:rPr>
            </w:pPr>
            <w:r>
              <w:rPr>
                <w:rFonts w:hint="eastAsia" w:eastAsia="仿宋_GB2312"/>
                <w:b w:val="0"/>
                <w:bCs/>
                <w:sz w:val="28"/>
                <w:szCs w:val="32"/>
                <w:highlight w:val="none"/>
              </w:rPr>
              <w:t>建设丽水教育e平台，打造教育管理、教育教学、教育数据、教育民生四个业务体系</w:t>
            </w:r>
            <w:r>
              <w:rPr>
                <w:rFonts w:hint="eastAsia" w:eastAsia="仿宋_GB2312"/>
                <w:b w:val="0"/>
                <w:bCs/>
                <w:sz w:val="28"/>
                <w:szCs w:val="32"/>
                <w:highlight w:val="none"/>
                <w:lang w:eastAsia="zh-CN"/>
              </w:rPr>
              <w:t>和</w:t>
            </w:r>
            <w:r>
              <w:rPr>
                <w:rFonts w:hint="eastAsia" w:eastAsia="仿宋_GB2312"/>
                <w:b w:val="0"/>
                <w:bCs/>
                <w:sz w:val="28"/>
                <w:szCs w:val="32"/>
                <w:highlight w:val="none"/>
              </w:rPr>
              <w:t>N个应用模块，汇集所有教育应用场景和数据，实现统一门户、统一认证、统一</w:t>
            </w:r>
            <w:r>
              <w:rPr>
                <w:rFonts w:hint="eastAsia" w:eastAsia="仿宋_GB2312"/>
                <w:b w:val="0"/>
                <w:bCs/>
                <w:sz w:val="28"/>
                <w:szCs w:val="32"/>
                <w:highlight w:val="none"/>
                <w:lang w:eastAsia="zh-CN"/>
              </w:rPr>
              <w:t>管理</w:t>
            </w:r>
            <w:r>
              <w:rPr>
                <w:rFonts w:hint="eastAsia" w:eastAsia="仿宋_GB2312"/>
                <w:b w:val="0"/>
                <w:bCs/>
                <w:sz w:val="28"/>
                <w:szCs w:val="32"/>
                <w:highlight w:val="none"/>
              </w:rPr>
              <w:t>、统一数据、统一接</w:t>
            </w:r>
            <w:r>
              <w:rPr>
                <w:rFonts w:hint="eastAsia" w:eastAsia="仿宋_GB2312"/>
                <w:b w:val="0"/>
                <w:bCs/>
                <w:sz w:val="28"/>
                <w:szCs w:val="32"/>
                <w:highlight w:val="none"/>
                <w:lang w:eastAsia="zh-CN"/>
              </w:rPr>
              <w:t>口，</w:t>
            </w:r>
            <w:r>
              <w:rPr>
                <w:rFonts w:hint="eastAsia" w:eastAsia="仿宋_GB2312"/>
                <w:b w:val="0"/>
                <w:bCs/>
                <w:sz w:val="28"/>
                <w:szCs w:val="32"/>
                <w:highlight w:val="none"/>
              </w:rPr>
              <w:t>形成“1+4+N”教育信息化生态圈。</w:t>
            </w:r>
          </w:p>
          <w:p>
            <w:pPr>
              <w:spacing w:line="600" w:lineRule="exact"/>
              <w:ind w:firstLine="560" w:firstLineChars="200"/>
              <w:jc w:val="left"/>
              <w:rPr>
                <w:rFonts w:hint="eastAsia" w:eastAsia="仿宋_GB2312"/>
                <w:b w:val="0"/>
                <w:bCs/>
                <w:sz w:val="28"/>
                <w:szCs w:val="32"/>
                <w:highlight w:val="none"/>
              </w:rPr>
            </w:pPr>
          </w:p>
          <w:p>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eastAsia="仿宋_GB2312"/>
                <w:b/>
                <w:sz w:val="28"/>
                <w:szCs w:val="32"/>
                <w:highlight w:val="none"/>
              </w:rPr>
            </w:pPr>
            <w:r>
              <w:rPr>
                <w:rFonts w:hint="eastAsia" w:eastAsia="仿宋_GB2312"/>
                <w:b w:val="0"/>
                <w:bCs/>
                <w:sz w:val="28"/>
                <w:szCs w:val="32"/>
                <w:highlight w:val="none"/>
                <w:lang w:eastAsia="zh-CN"/>
              </w:rPr>
              <w:drawing>
                <wp:inline distT="0" distB="0" distL="114300" distR="114300">
                  <wp:extent cx="5266690" cy="2962910"/>
                  <wp:effectExtent l="0" t="0" r="10160" b="8890"/>
                  <wp:docPr id="2" name="图片 2" descr="丽水教育E平台"/>
                  <wp:cNvGraphicFramePr>
                    <a:graphicFrameLocks xmlns:a="http://schemas.openxmlformats.org/drawingml/2006/main" noChangeAspect="true"/>
                  </wp:cNvGraphicFramePr>
                  <a:graphic xmlns:a="http://schemas.openxmlformats.org/drawingml/2006/main">
                    <a:graphicData uri="http://schemas.openxmlformats.org/drawingml/2006/picture">
                      <pic:pic xmlns:pic="http://schemas.openxmlformats.org/drawingml/2006/picture">
                        <pic:nvPicPr>
                          <pic:cNvPr id="2" name="图片 2" descr="丽水教育E平台"/>
                          <pic:cNvPicPr>
                            <a:picLocks noChangeAspect="true"/>
                          </pic:cNvPicPr>
                        </pic:nvPicPr>
                        <pic:blipFill>
                          <a:blip r:embed="rId7"/>
                          <a:stretch>
                            <a:fillRect/>
                          </a:stretch>
                        </pic:blipFill>
                        <pic:spPr>
                          <a:xfrm>
                            <a:off x="0" y="0"/>
                            <a:ext cx="5266690" cy="2962910"/>
                          </a:xfrm>
                          <a:prstGeom prst="rect">
                            <a:avLst/>
                          </a:prstGeom>
                        </pic:spPr>
                      </pic:pic>
                    </a:graphicData>
                  </a:graphic>
                </wp:inline>
              </w:drawing>
            </w:r>
          </w:p>
          <w:p>
            <w:pPr>
              <w:spacing w:line="600" w:lineRule="exact"/>
              <w:jc w:val="center"/>
              <w:rPr>
                <w:rFonts w:eastAsia="仿宋_GB2312"/>
                <w:b/>
                <w:sz w:val="28"/>
                <w:szCs w:val="32"/>
                <w:highlight w:val="none"/>
              </w:rPr>
            </w:pPr>
          </w:p>
          <w:p>
            <w:pPr>
              <w:spacing w:line="600" w:lineRule="exact"/>
              <w:jc w:val="center"/>
              <w:rPr>
                <w:rFonts w:eastAsia="仿宋_GB2312"/>
                <w:b/>
                <w:sz w:val="28"/>
                <w:szCs w:val="32"/>
                <w:highlight w:val="none"/>
              </w:rPr>
            </w:pPr>
            <w:r>
              <w:rPr>
                <w:rFonts w:eastAsia="仿宋_GB2312"/>
                <w:b/>
                <w:sz w:val="28"/>
                <w:szCs w:val="32"/>
                <w:highlight w:val="none"/>
              </w:rPr>
              <w:t>专栏1</w:t>
            </w:r>
            <w:r>
              <w:rPr>
                <w:rFonts w:hint="eastAsia" w:eastAsia="仿宋_GB2312"/>
                <w:b/>
                <w:sz w:val="28"/>
                <w:szCs w:val="32"/>
                <w:highlight w:val="none"/>
                <w:lang w:val="en-US" w:eastAsia="zh-CN"/>
              </w:rPr>
              <w:t>3</w:t>
            </w:r>
            <w:r>
              <w:rPr>
                <w:rFonts w:eastAsia="仿宋_GB2312"/>
                <w:b/>
                <w:sz w:val="28"/>
                <w:szCs w:val="32"/>
                <w:highlight w:val="none"/>
              </w:rPr>
              <w:t>：新型教学空间培育工程</w:t>
            </w:r>
          </w:p>
          <w:p>
            <w:pPr>
              <w:spacing w:line="600" w:lineRule="exact"/>
              <w:ind w:firstLine="615"/>
              <w:rPr>
                <w:rFonts w:eastAsia="仿宋_GB2312"/>
                <w:sz w:val="28"/>
                <w:szCs w:val="32"/>
                <w:highlight w:val="none"/>
              </w:rPr>
            </w:pPr>
            <w:r>
              <w:rPr>
                <w:rFonts w:eastAsia="仿宋_GB2312"/>
                <w:sz w:val="28"/>
                <w:szCs w:val="32"/>
                <w:highlight w:val="none"/>
              </w:rPr>
              <w:t>推进建设多样化新型教学空间，包括各类学科教室和创新实验室（含数字化物理化学生物地理等创新实验室、英语人机对话实验室、人体生命实验室、机器人实验室、人工智能实验室、气象园地、数字绘画实验室等），统一配备交互式一体机、智能灯光、VR或AR仿真实验、高清录播直播和管控终端等信息化装备。建有新型教学空间的学校比例达到100%，小规模学校建设新型教学空间达2个以上，中等规模学校建设新型教学空间达3个以上，大规模学校建设新型教学空间达4个以上。</w:t>
            </w:r>
          </w:p>
        </w:tc>
      </w:tr>
    </w:tbl>
    <w:p>
      <w:pPr>
        <w:spacing w:line="600" w:lineRule="exact"/>
        <w:ind w:firstLine="630"/>
        <w:outlineLvl w:val="1"/>
        <w:rPr>
          <w:rFonts w:eastAsia="楷体_GB2312"/>
          <w:b/>
          <w:sz w:val="32"/>
          <w:szCs w:val="32"/>
          <w:highlight w:val="none"/>
        </w:rPr>
      </w:pPr>
      <w:bookmarkStart w:id="24" w:name="_Toc85116779"/>
      <w:r>
        <w:rPr>
          <w:rFonts w:eastAsia="楷体_GB2312"/>
          <w:b/>
          <w:sz w:val="32"/>
          <w:szCs w:val="32"/>
          <w:highlight w:val="none"/>
        </w:rPr>
        <w:t>（六）全面提高教育开放水平</w:t>
      </w:r>
      <w:bookmarkEnd w:id="24"/>
    </w:p>
    <w:p>
      <w:pPr>
        <w:spacing w:line="600" w:lineRule="exact"/>
        <w:ind w:firstLine="630"/>
        <w:rPr>
          <w:rStyle w:val="23"/>
          <w:b w:val="0"/>
          <w:bCs/>
          <w:highlight w:val="none"/>
        </w:rPr>
      </w:pPr>
      <w:r>
        <w:rPr>
          <w:rStyle w:val="23"/>
          <w:rFonts w:hint="eastAsia"/>
          <w:b w:val="0"/>
          <w:bCs/>
          <w:highlight w:val="none"/>
        </w:rPr>
        <w:t>坚持“走出去”“请进来”相结合，</w:t>
      </w:r>
      <w:r>
        <w:rPr>
          <w:rFonts w:hint="eastAsia" w:eastAsia="仿宋_GB2312"/>
          <w:sz w:val="32"/>
          <w:szCs w:val="32"/>
          <w:highlight w:val="none"/>
        </w:rPr>
        <w:t>落实</w:t>
      </w:r>
      <w:r>
        <w:rPr>
          <w:rFonts w:eastAsia="仿宋_GB2312"/>
          <w:sz w:val="32"/>
          <w:szCs w:val="32"/>
          <w:highlight w:val="none"/>
        </w:rPr>
        <w:t>“双招双引”</w:t>
      </w:r>
      <w:r>
        <w:rPr>
          <w:rFonts w:hint="eastAsia" w:eastAsia="仿宋_GB2312"/>
          <w:sz w:val="32"/>
          <w:szCs w:val="32"/>
          <w:highlight w:val="none"/>
        </w:rPr>
        <w:t>战略，</w:t>
      </w:r>
      <w:r>
        <w:rPr>
          <w:rFonts w:eastAsia="仿宋_GB2312"/>
          <w:sz w:val="32"/>
          <w:szCs w:val="32"/>
          <w:highlight w:val="none"/>
        </w:rPr>
        <w:t>用好“问海借力”金钥匙，</w:t>
      </w:r>
      <w:r>
        <w:rPr>
          <w:rFonts w:hint="eastAsia" w:eastAsia="仿宋_GB2312"/>
          <w:sz w:val="32"/>
          <w:szCs w:val="32"/>
          <w:highlight w:val="none"/>
        </w:rPr>
        <w:t>加强教育领域交流与合作，打造</w:t>
      </w:r>
      <w:r>
        <w:rPr>
          <w:rFonts w:eastAsia="仿宋_GB2312"/>
          <w:sz w:val="32"/>
          <w:szCs w:val="32"/>
          <w:highlight w:val="none"/>
        </w:rPr>
        <w:t>开放办学</w:t>
      </w:r>
      <w:r>
        <w:rPr>
          <w:rFonts w:hint="eastAsia" w:eastAsia="仿宋_GB2312"/>
          <w:sz w:val="32"/>
          <w:szCs w:val="32"/>
          <w:highlight w:val="none"/>
        </w:rPr>
        <w:t>新</w:t>
      </w:r>
      <w:r>
        <w:rPr>
          <w:rFonts w:eastAsia="仿宋_GB2312"/>
          <w:sz w:val="32"/>
          <w:szCs w:val="32"/>
          <w:highlight w:val="none"/>
        </w:rPr>
        <w:t>格局</w:t>
      </w:r>
      <w:r>
        <w:rPr>
          <w:rFonts w:hint="eastAsia" w:eastAsia="仿宋_GB2312"/>
          <w:sz w:val="32"/>
          <w:szCs w:val="32"/>
          <w:highlight w:val="none"/>
        </w:rPr>
        <w:t>。</w:t>
      </w:r>
    </w:p>
    <w:p>
      <w:pPr>
        <w:spacing w:line="600" w:lineRule="exact"/>
        <w:ind w:firstLine="630"/>
        <w:rPr>
          <w:rFonts w:eastAsia="仿宋_GB2312"/>
          <w:sz w:val="32"/>
          <w:szCs w:val="32"/>
          <w:highlight w:val="none"/>
        </w:rPr>
      </w:pPr>
      <w:r>
        <w:rPr>
          <w:rStyle w:val="23"/>
          <w:highlight w:val="none"/>
        </w:rPr>
        <w:t>1.深化教育“双招双引”工作</w:t>
      </w:r>
      <w:r>
        <w:rPr>
          <w:rFonts w:eastAsia="仿宋_GB2312"/>
          <w:b/>
          <w:sz w:val="32"/>
          <w:szCs w:val="32"/>
          <w:highlight w:val="none"/>
        </w:rPr>
        <w:t>。</w:t>
      </w:r>
      <w:r>
        <w:rPr>
          <w:rFonts w:eastAsia="仿宋_GB2312"/>
          <w:sz w:val="32"/>
          <w:szCs w:val="32"/>
          <w:highlight w:val="none"/>
        </w:rPr>
        <w:t>推进基础教育优质资源“内培外引”，推动高等教育和职业教育“产教融合”发展，围绕丽水五大产业集群和传统优势产业，提高科研、孵化和人才培养等方面的能力。全面推进长三角区域一体化教育高质量发展，大力引进国内高校、优质教育资源和管理团队开展合作办学。深度构建与上海、深圳、杭州、宁波等教育发达地区的紧密合作机制。深入开展基础教育、职业教育、教师队伍、信息化建设等方面的项目合作。加大优秀人才招引力度，积极引进长三角教育人才。建立人才子女入学、转学、升学绿色通道机制。深化教育山海协作，切实推进与宁波百校千师结对工程，积极开展体育、美育、研学实践等方面的交流合作。</w:t>
      </w:r>
    </w:p>
    <w:p>
      <w:pPr>
        <w:spacing w:line="600" w:lineRule="exact"/>
        <w:ind w:firstLine="630"/>
        <w:rPr>
          <w:rFonts w:eastAsia="仿宋_GB2312"/>
          <w:kern w:val="0"/>
          <w:sz w:val="32"/>
          <w:szCs w:val="32"/>
          <w:highlight w:val="none"/>
        </w:rPr>
      </w:pPr>
      <w:r>
        <w:rPr>
          <w:rFonts w:eastAsia="仿宋_GB2312"/>
          <w:b/>
          <w:sz w:val="32"/>
          <w:szCs w:val="32"/>
          <w:highlight w:val="none"/>
        </w:rPr>
        <w:t>2.推进教育国际交流合作。</w:t>
      </w:r>
      <w:r>
        <w:rPr>
          <w:rFonts w:eastAsia="仿宋_GB2312"/>
          <w:sz w:val="32"/>
          <w:szCs w:val="32"/>
          <w:highlight w:val="none"/>
        </w:rPr>
        <w:t>深入实施“千校结好”提升工程，推进中小学校开展深层次的国际交流与合作，积极学习国际先进办学经验。</w:t>
      </w:r>
      <w:r>
        <w:rPr>
          <w:rFonts w:hint="eastAsia" w:eastAsia="仿宋_GB2312"/>
          <w:sz w:val="32"/>
          <w:szCs w:val="32"/>
          <w:highlight w:val="none"/>
        </w:rPr>
        <w:t>推进国际理解教育，培养全球化时代共生之人。</w:t>
      </w:r>
      <w:r>
        <w:rPr>
          <w:rFonts w:eastAsia="仿宋_GB2312"/>
          <w:sz w:val="32"/>
          <w:szCs w:val="32"/>
          <w:highlight w:val="none"/>
        </w:rPr>
        <w:t>扩大教育对外开放，深化与国际友城教育合作，加强中外人文交流。深化对外合作办学，深化丽水学院中外合作办学，推进丽水职业技术学院中德合作。探索建立普通高中国际班。</w:t>
      </w:r>
      <w:r>
        <w:rPr>
          <w:rFonts w:eastAsia="仿宋_GB2312"/>
          <w:kern w:val="0"/>
          <w:sz w:val="32"/>
          <w:szCs w:val="32"/>
          <w:highlight w:val="none"/>
        </w:rPr>
        <w:t>加大教师海外研修力度，提高教师国际化视野。</w:t>
      </w:r>
    </w:p>
    <w:p>
      <w:pPr>
        <w:spacing w:line="600" w:lineRule="exact"/>
        <w:ind w:firstLine="630"/>
        <w:rPr>
          <w:rFonts w:eastAsia="仿宋_GB2312"/>
          <w:sz w:val="32"/>
          <w:szCs w:val="32"/>
          <w:highlight w:val="none"/>
        </w:rPr>
      </w:pPr>
      <w:r>
        <w:rPr>
          <w:rFonts w:eastAsia="仿宋_GB2312"/>
          <w:b/>
          <w:sz w:val="32"/>
          <w:szCs w:val="32"/>
          <w:highlight w:val="none"/>
        </w:rPr>
        <w:t>3.深化教育援建工作。</w:t>
      </w:r>
      <w:r>
        <w:rPr>
          <w:rFonts w:eastAsia="仿宋_GB2312"/>
          <w:sz w:val="32"/>
          <w:szCs w:val="32"/>
          <w:highlight w:val="none"/>
        </w:rPr>
        <w:t>落实援疆、援藏、援川等教育援建工作。根据受援地需求精准帮扶，分批次分层次选派优秀教师支教，充分发挥“互联网+教育”功能，深化“空中课堂”项目，扩大丽新两地中小学校结对范围，组织省特级教师、正高级教师、市教学名师、市学科带头人、名校长等丽水名师团队赴受援地送教送培训，促进两地教育教学交流，进一步提升西部地区基础教育水平。</w:t>
      </w:r>
    </w:p>
    <w:p>
      <w:pPr>
        <w:spacing w:line="600" w:lineRule="exact"/>
        <w:ind w:firstLine="630"/>
        <w:outlineLvl w:val="1"/>
        <w:rPr>
          <w:rFonts w:eastAsia="楷体_GB2312"/>
          <w:b/>
          <w:sz w:val="32"/>
          <w:szCs w:val="32"/>
          <w:highlight w:val="none"/>
        </w:rPr>
      </w:pPr>
      <w:bookmarkStart w:id="25" w:name="_Toc85116780"/>
      <w:r>
        <w:rPr>
          <w:rFonts w:eastAsia="楷体_GB2312"/>
          <w:b/>
          <w:sz w:val="32"/>
          <w:szCs w:val="32"/>
          <w:highlight w:val="none"/>
        </w:rPr>
        <w:t>（七）加快推进教育治理现代化</w:t>
      </w:r>
      <w:bookmarkEnd w:id="25"/>
    </w:p>
    <w:p>
      <w:pPr>
        <w:spacing w:line="600" w:lineRule="exact"/>
        <w:ind w:firstLine="630"/>
        <w:rPr>
          <w:rFonts w:eastAsia="仿宋_GB2312"/>
          <w:sz w:val="32"/>
          <w:szCs w:val="32"/>
          <w:highlight w:val="none"/>
        </w:rPr>
      </w:pPr>
      <w:r>
        <w:rPr>
          <w:rFonts w:hint="eastAsia" w:eastAsia="仿宋_GB2312"/>
          <w:sz w:val="32"/>
          <w:szCs w:val="32"/>
          <w:highlight w:val="none"/>
        </w:rPr>
        <w:t>深化教育领域“放管服”改革，扩大和落实学校办学自主权，激发办学内生动力，深化教育评价改革</w:t>
      </w:r>
      <w:r>
        <w:rPr>
          <w:rFonts w:eastAsia="仿宋_GB2312"/>
          <w:sz w:val="32"/>
          <w:szCs w:val="32"/>
          <w:highlight w:val="none"/>
        </w:rPr>
        <w:t>，</w:t>
      </w:r>
      <w:r>
        <w:rPr>
          <w:rFonts w:hint="eastAsia" w:eastAsia="仿宋_GB2312"/>
          <w:sz w:val="32"/>
          <w:szCs w:val="32"/>
          <w:highlight w:val="none"/>
        </w:rPr>
        <w:t>提高依法治教水平。</w:t>
      </w:r>
    </w:p>
    <w:p>
      <w:pPr>
        <w:spacing w:line="600" w:lineRule="exact"/>
        <w:ind w:firstLine="645"/>
        <w:rPr>
          <w:rFonts w:eastAsia="仿宋_GB2312"/>
          <w:sz w:val="32"/>
          <w:szCs w:val="32"/>
          <w:highlight w:val="none"/>
        </w:rPr>
      </w:pPr>
      <w:r>
        <w:rPr>
          <w:rStyle w:val="23"/>
          <w:highlight w:val="none"/>
        </w:rPr>
        <w:t>1.深化教育评价制度改革</w:t>
      </w:r>
      <w:r>
        <w:rPr>
          <w:rFonts w:eastAsia="楷体_GB2312"/>
          <w:b/>
          <w:bCs/>
          <w:sz w:val="32"/>
          <w:szCs w:val="32"/>
          <w:highlight w:val="none"/>
        </w:rPr>
        <w:t>。</w:t>
      </w:r>
      <w:r>
        <w:rPr>
          <w:rFonts w:eastAsia="仿宋_GB2312"/>
          <w:sz w:val="32"/>
          <w:szCs w:val="32"/>
          <w:highlight w:val="none"/>
        </w:rPr>
        <w:t>全面贯彻落实《深化新时代教育评价改革总体方案》，积极推进党委、政府科学履行教育职责，建立对县级人民政府的教育现代化核心指标监测体系，引导树立正确的教育政绩观和科学的教育发展观。探索建立符合学段特征、激发各方活力、凝聚多方共识、契合丽水实践的现代化教育评价体系，完善学校发展性评价，分类实施现代化学校督导评估，改进教师评价、学生评价、用人评价，提高教育评价的科学性、专业性、客观性。</w:t>
      </w:r>
      <w:r>
        <w:rPr>
          <w:rFonts w:hint="eastAsia" w:eastAsia="仿宋_GB2312"/>
          <w:sz w:val="32"/>
          <w:szCs w:val="32"/>
          <w:highlight w:val="none"/>
        </w:rPr>
        <w:t>落实国家制定的幼儿园、义务教育、普通高中办学质量评价标准，做好中小学（幼儿园）办学质量评价。</w:t>
      </w:r>
    </w:p>
    <w:p>
      <w:pPr>
        <w:spacing w:line="600" w:lineRule="exact"/>
        <w:ind w:firstLine="645"/>
        <w:rPr>
          <w:rFonts w:eastAsia="仿宋_GB2312"/>
          <w:sz w:val="32"/>
          <w:szCs w:val="32"/>
          <w:highlight w:val="none"/>
        </w:rPr>
      </w:pPr>
      <w:bookmarkStart w:id="26" w:name="_Toc63173927"/>
      <w:r>
        <w:rPr>
          <w:rStyle w:val="23"/>
          <w:highlight w:val="none"/>
        </w:rPr>
        <w:t>2.</w:t>
      </w:r>
      <w:bookmarkEnd w:id="26"/>
      <w:r>
        <w:rPr>
          <w:rFonts w:eastAsia="仿宋_GB2312"/>
          <w:b/>
          <w:sz w:val="32"/>
          <w:szCs w:val="32"/>
          <w:highlight w:val="none"/>
        </w:rPr>
        <w:t>激发中小学校办学活力。</w:t>
      </w:r>
      <w:r>
        <w:rPr>
          <w:rStyle w:val="23"/>
          <w:b w:val="0"/>
          <w:highlight w:val="none"/>
        </w:rPr>
        <w:t>深化教育领域“放管服”改革</w:t>
      </w:r>
      <w:r>
        <w:rPr>
          <w:rFonts w:eastAsia="仿宋_GB2312"/>
          <w:b/>
          <w:bCs/>
          <w:sz w:val="32"/>
          <w:szCs w:val="32"/>
          <w:highlight w:val="none"/>
        </w:rPr>
        <w:t>，</w:t>
      </w:r>
      <w:r>
        <w:rPr>
          <w:rFonts w:eastAsia="仿宋_GB2312"/>
          <w:sz w:val="32"/>
          <w:szCs w:val="32"/>
          <w:highlight w:val="none"/>
        </w:rPr>
        <w:t>理清政府、部门、学校、社会的权责界限，加大学校在人事、教学、经费等方面的办学自主权，增强学校办学内生动力。扩大人事工作自主权，加大学校行政领导人员聘任制推行力度，进一步扩大学校在副校长、中层聘任中的参与权和选择权；持续推进教师“县管校聘”改革，充分尊重和发挥学校在教师公开招聘工作中的重要作用，对具备条件的学校，可逐步放权由其自主按规定组织公开招聘；扩大职称自主评聘覆盖面，推动教师岗位能上能下、人员能进能出。保证教育教学自主权，支持学校结合本地本校实际办出特色、办出水平，大力精简、严格规范各类“进校园”活动，有效排除对学校正常教育教学秩序的干扰。落实经费使用自主权，完善学校绩效分配办法，引导学校充分发挥绩效工资的激励功能，奖励性绩效工资根据“优绩优酬、多劳多得”的原则，由学校在考核的基础上自主分配。完善有利于教育提质发展的体制机制，健全教育管理体制机制，加快理顺市区教育管理体制。</w:t>
      </w:r>
    </w:p>
    <w:p>
      <w:pPr>
        <w:spacing w:line="600" w:lineRule="exact"/>
        <w:ind w:firstLine="642" w:firstLineChars="200"/>
        <w:rPr>
          <w:highlight w:val="none"/>
        </w:rPr>
      </w:pPr>
      <w:r>
        <w:rPr>
          <w:rStyle w:val="23"/>
          <w:highlight w:val="none"/>
        </w:rPr>
        <w:t>3.深化教育督导体制改革</w:t>
      </w:r>
      <w:r>
        <w:rPr>
          <w:rFonts w:eastAsia="仿宋_GB2312"/>
          <w:b/>
          <w:bCs/>
          <w:sz w:val="32"/>
          <w:szCs w:val="32"/>
          <w:highlight w:val="none"/>
        </w:rPr>
        <w:t>。</w:t>
      </w:r>
      <w:r>
        <w:rPr>
          <w:rFonts w:eastAsia="仿宋_GB2312"/>
          <w:sz w:val="32"/>
          <w:szCs w:val="32"/>
          <w:highlight w:val="none"/>
        </w:rPr>
        <w:t>加强对教育督导工作的顶层设计，深化新时代教育督导体制机制改革。充分发挥教育督导委员会成员单位作用，优化沟通联络和工作协作机制，强化对县级政府及相关职能部门履行教育职责的督导。规范总督学、副总督学和教育督导机构设置，加强教育督导人员配备和督学队伍建设，推进责任督学常态化工作机制，提升督政、督学、评估监测职能履行能力。加强教育督导结果运用，建立健全督导问责机制，推进党和国家的教育方针政策落实到位。推进中小学校发展性评价，修订完善学校发展性评价指标体系，推进学校三年发展规划的制定和落实。</w:t>
      </w:r>
    </w:p>
    <w:p>
      <w:pPr>
        <w:spacing w:line="600" w:lineRule="exact"/>
        <w:ind w:firstLine="645"/>
        <w:rPr>
          <w:rFonts w:eastAsia="仿宋_GB2312"/>
          <w:sz w:val="32"/>
          <w:szCs w:val="32"/>
          <w:highlight w:val="none"/>
        </w:rPr>
      </w:pPr>
      <w:r>
        <w:rPr>
          <w:rStyle w:val="23"/>
          <w:highlight w:val="none"/>
        </w:rPr>
        <w:t>4.切实维护校园安全稳定</w:t>
      </w:r>
      <w:r>
        <w:rPr>
          <w:rFonts w:eastAsia="仿宋_GB2312"/>
          <w:b/>
          <w:sz w:val="32"/>
          <w:szCs w:val="32"/>
          <w:highlight w:val="none"/>
        </w:rPr>
        <w:t>。</w:t>
      </w:r>
      <w:r>
        <w:rPr>
          <w:rFonts w:eastAsia="仿宋_GB2312"/>
          <w:sz w:val="32"/>
          <w:szCs w:val="32"/>
          <w:highlight w:val="none"/>
        </w:rPr>
        <w:t>深化“平安校园”建设，健全全链条、精准化的校园安全管控体系，进一步压实各级各类学校安全管理主体责任和各职能部门的监管责任，形成校园安全稳定联合监管的工作格局。强化安全教育、安全预警和应急演练，提高师生安全意识，增强知险避险逃生自救能力，有效遏制学生溺水、交通事故、坠楼等伤亡事件和网络诈骗多发高发态势，最大限度减少学生非正常死亡，有效防范校园安全责任事故。推动校园安全“三化”管理模式向学校全领域管理延伸，充分发挥校园视频监控、智慧阳光厨房、校园周边雪亮工程、安全教育平台等信息化作用，把数字赋能贯穿于校园安全监管的全领域全过程，提升校园安全风险隐患闭环管理能力。</w:t>
      </w:r>
    </w:p>
    <w:p>
      <w:pPr>
        <w:spacing w:line="600" w:lineRule="exact"/>
        <w:ind w:firstLine="645"/>
        <w:rPr>
          <w:rFonts w:eastAsia="仿宋_GB2312"/>
          <w:sz w:val="32"/>
          <w:szCs w:val="32"/>
          <w:highlight w:val="none"/>
        </w:rPr>
      </w:pP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pPr>
              <w:spacing w:line="600" w:lineRule="exact"/>
              <w:jc w:val="center"/>
              <w:rPr>
                <w:rFonts w:eastAsia="仿宋_GB2312"/>
                <w:b/>
                <w:sz w:val="28"/>
                <w:szCs w:val="32"/>
                <w:highlight w:val="none"/>
              </w:rPr>
            </w:pPr>
            <w:r>
              <w:rPr>
                <w:rFonts w:eastAsia="仿宋_GB2312"/>
                <w:b/>
                <w:sz w:val="28"/>
                <w:szCs w:val="32"/>
                <w:highlight w:val="none"/>
              </w:rPr>
              <w:t>专栏1</w:t>
            </w:r>
            <w:r>
              <w:rPr>
                <w:rFonts w:hint="eastAsia" w:eastAsia="仿宋_GB2312"/>
                <w:b/>
                <w:sz w:val="28"/>
                <w:szCs w:val="32"/>
                <w:highlight w:val="none"/>
                <w:lang w:val="en-US" w:eastAsia="zh-CN"/>
              </w:rPr>
              <w:t>4</w:t>
            </w:r>
            <w:r>
              <w:rPr>
                <w:rFonts w:eastAsia="仿宋_GB2312"/>
                <w:b/>
                <w:sz w:val="28"/>
                <w:szCs w:val="32"/>
                <w:highlight w:val="none"/>
              </w:rPr>
              <w:t>：构建教育现代化核心指标监测体系</w:t>
            </w:r>
          </w:p>
          <w:p>
            <w:pPr>
              <w:spacing w:line="600" w:lineRule="exact"/>
              <w:ind w:firstLine="560" w:firstLineChars="200"/>
              <w:jc w:val="left"/>
              <w:rPr>
                <w:rFonts w:eastAsia="仿宋_GB2312"/>
                <w:sz w:val="28"/>
                <w:szCs w:val="32"/>
                <w:highlight w:val="none"/>
              </w:rPr>
            </w:pPr>
            <w:r>
              <w:rPr>
                <w:rFonts w:eastAsia="仿宋_GB2312"/>
                <w:sz w:val="28"/>
                <w:szCs w:val="32"/>
                <w:highlight w:val="none"/>
              </w:rPr>
              <w:t>强化对县级党委和政府教育履职评价，建立对县级人民政府的教育现代化核心指标监测体系，从硬件保障、师资保障、教育治理、办学成效等方面对各县（市、区）教育现代化核心指标进行监测，实现教育现代化指标智治一张图，为党委政府和教育部门提供决策依据。</w:t>
            </w:r>
          </w:p>
          <w:p>
            <w:pPr>
              <w:spacing w:line="600" w:lineRule="exact"/>
              <w:jc w:val="center"/>
              <w:rPr>
                <w:rFonts w:eastAsia="仿宋_GB2312"/>
                <w:b/>
                <w:sz w:val="28"/>
                <w:szCs w:val="32"/>
                <w:highlight w:val="none"/>
              </w:rPr>
            </w:pPr>
            <w:r>
              <w:rPr>
                <w:rFonts w:eastAsia="仿宋_GB2312"/>
                <w:b/>
                <w:sz w:val="28"/>
                <w:szCs w:val="32"/>
                <w:highlight w:val="none"/>
              </w:rPr>
              <w:t>专栏1</w:t>
            </w:r>
            <w:r>
              <w:rPr>
                <w:rFonts w:hint="eastAsia" w:eastAsia="仿宋_GB2312"/>
                <w:b/>
                <w:sz w:val="28"/>
                <w:szCs w:val="32"/>
                <w:highlight w:val="none"/>
                <w:lang w:val="en-US" w:eastAsia="zh-CN"/>
              </w:rPr>
              <w:t>5</w:t>
            </w:r>
            <w:r>
              <w:rPr>
                <w:rFonts w:eastAsia="仿宋_GB2312"/>
                <w:b/>
                <w:sz w:val="28"/>
                <w:szCs w:val="32"/>
                <w:highlight w:val="none"/>
              </w:rPr>
              <w:t>：改进学校、教师、学生评价体系</w:t>
            </w:r>
          </w:p>
          <w:p>
            <w:pPr>
              <w:spacing w:line="600" w:lineRule="exact"/>
              <w:ind w:firstLine="560" w:firstLineChars="200"/>
              <w:rPr>
                <w:rFonts w:eastAsia="仿宋_GB2312"/>
                <w:sz w:val="28"/>
                <w:szCs w:val="32"/>
                <w:highlight w:val="none"/>
              </w:rPr>
            </w:pPr>
            <w:r>
              <w:rPr>
                <w:rFonts w:eastAsia="仿宋_GB2312"/>
                <w:sz w:val="28"/>
                <w:szCs w:val="32"/>
                <w:highlight w:val="none"/>
              </w:rPr>
              <w:t>改进中小学校发展评价，落实国家幼儿园、义务教育、普通高中质量评价标准，编制丽水市各学段学科教学指南。改革教师评价机制，探索建立中小学教师教学述评制度，深入开展教师“积分制”管理。推进学生综合评价，构建学生德育、体育、美育、劳动教育评价制度，改进学生学业评价。</w:t>
            </w:r>
          </w:p>
        </w:tc>
      </w:tr>
    </w:tbl>
    <w:p>
      <w:pPr>
        <w:spacing w:line="600" w:lineRule="exact"/>
        <w:ind w:firstLine="642" w:firstLineChars="200"/>
        <w:outlineLvl w:val="1"/>
        <w:rPr>
          <w:rFonts w:eastAsia="楷体_GB2312"/>
          <w:b/>
          <w:sz w:val="32"/>
          <w:szCs w:val="32"/>
          <w:highlight w:val="none"/>
        </w:rPr>
      </w:pPr>
      <w:bookmarkStart w:id="27" w:name="_Toc85116781"/>
      <w:r>
        <w:rPr>
          <w:rFonts w:eastAsia="楷体_GB2312"/>
          <w:b/>
          <w:sz w:val="32"/>
          <w:szCs w:val="32"/>
          <w:highlight w:val="none"/>
        </w:rPr>
        <w:t>（八）推动学前教育优质普惠发展</w:t>
      </w:r>
      <w:bookmarkEnd w:id="27"/>
    </w:p>
    <w:p>
      <w:pPr>
        <w:spacing w:line="600" w:lineRule="exact"/>
        <w:ind w:firstLine="645"/>
        <w:rPr>
          <w:rFonts w:eastAsia="仿宋_GB2312"/>
          <w:sz w:val="32"/>
          <w:szCs w:val="32"/>
          <w:highlight w:val="none"/>
        </w:rPr>
      </w:pPr>
      <w:r>
        <w:rPr>
          <w:rFonts w:hint="eastAsia" w:eastAsia="仿宋_GB2312"/>
          <w:sz w:val="32"/>
          <w:szCs w:val="32"/>
          <w:highlight w:val="none"/>
        </w:rPr>
        <w:t>扩大优质普惠学前教育资源供给，发展公办幼儿园，扶持民办幼儿园，完善学前教育公共服务网络，打造云和木玩游戏特色品牌。</w:t>
      </w:r>
    </w:p>
    <w:p>
      <w:pPr>
        <w:spacing w:line="600" w:lineRule="exact"/>
        <w:ind w:firstLine="642" w:firstLineChars="200"/>
        <w:contextualSpacing/>
        <w:rPr>
          <w:rFonts w:eastAsia="仿宋_GB2312"/>
          <w:sz w:val="32"/>
          <w:szCs w:val="32"/>
          <w:highlight w:val="none"/>
        </w:rPr>
      </w:pPr>
      <w:r>
        <w:rPr>
          <w:rFonts w:eastAsia="仿宋_GB2312"/>
          <w:b/>
          <w:sz w:val="32"/>
          <w:szCs w:val="32"/>
          <w:highlight w:val="none"/>
        </w:rPr>
        <w:t>1.推动学前教育提供普惠服务。</w:t>
      </w:r>
      <w:r>
        <w:rPr>
          <w:rFonts w:eastAsia="仿宋_GB2312"/>
          <w:sz w:val="32"/>
          <w:szCs w:val="32"/>
          <w:highlight w:val="none"/>
        </w:rPr>
        <w:t>推进全国学前教育普及普惠县创建全覆盖，实施第四轮发展学前教育行动计划。修改完善学前教育布局规划，优化城乡幼儿园布局，推进农村幼儿园补短提升工程，加强住宅小区配套幼儿园建设和管理。创新公办幼儿园办学体制，公办幼儿园在园幼儿比例达到60%以上，普惠性幼儿园在园幼儿比例保持在95%以上。贯彻落实《浙江省学前教育条例》，确保县级财政性学前教育经费占同级财政性教育经费的比例不低于百分之五。</w:t>
      </w:r>
    </w:p>
    <w:p>
      <w:pPr>
        <w:spacing w:line="600" w:lineRule="exact"/>
        <w:ind w:firstLine="642" w:firstLineChars="200"/>
        <w:contextualSpacing/>
        <w:rPr>
          <w:rStyle w:val="23"/>
          <w:b w:val="0"/>
          <w:highlight w:val="none"/>
        </w:rPr>
      </w:pPr>
      <w:r>
        <w:rPr>
          <w:rStyle w:val="23"/>
          <w:highlight w:val="none"/>
        </w:rPr>
        <w:t>2.提升幼儿园保育保教质量。</w:t>
      </w:r>
      <w:r>
        <w:rPr>
          <w:rStyle w:val="23"/>
          <w:b w:val="0"/>
          <w:highlight w:val="none"/>
        </w:rPr>
        <w:t>坚持以游戏为基本活动，全面推进幼儿园课程园本化，打造以云和木玩游戏教育为特色的全国游戏教育示范区。加强幼儿园管理，实现等级幼儿园全覆盖，省一二级幼儿园在园幼儿比例达到80%以上。扩大优质学前教育资源，学前教育集团化覆盖面达到80%以上。完善学前教育教研体系，加强园本教研、区域教研，强化专业引领和实践指导。</w:t>
      </w:r>
    </w:p>
    <w:p>
      <w:pPr>
        <w:spacing w:line="600" w:lineRule="exact"/>
        <w:ind w:firstLine="642" w:firstLineChars="200"/>
        <w:contextualSpacing/>
        <w:rPr>
          <w:rStyle w:val="23"/>
          <w:b w:val="0"/>
          <w:highlight w:val="none"/>
        </w:rPr>
      </w:pPr>
      <w:r>
        <w:rPr>
          <w:rStyle w:val="23"/>
          <w:highlight w:val="none"/>
        </w:rPr>
        <w:t>3.优化学前教育师资队伍。</w:t>
      </w:r>
      <w:r>
        <w:rPr>
          <w:rStyle w:val="23"/>
          <w:b w:val="0"/>
          <w:highlight w:val="none"/>
        </w:rPr>
        <w:t>扩大学前教育本专科层次培养规模，大力支持丽水学院幼儿师范学院办好学前教育专业，成为学前教育师资职前培养、职后培训基地。落实每班“两教一保”人员的配备标准，按照国家相关规定配备卫生保健人员和保育员，幼儿园专任教师持证率达到100%</w:t>
      </w:r>
      <w:r>
        <w:rPr>
          <w:rStyle w:val="23"/>
          <w:rFonts w:hint="eastAsia"/>
          <w:b w:val="0"/>
          <w:highlight w:val="none"/>
          <w:lang w:eastAsia="zh-CN"/>
        </w:rPr>
        <w:t>，</w:t>
      </w:r>
      <w:r>
        <w:rPr>
          <w:rStyle w:val="23"/>
          <w:rFonts w:hint="eastAsia"/>
          <w:b w:val="0"/>
          <w:highlight w:val="none"/>
          <w:lang w:val="en-US" w:eastAsia="zh-CN"/>
        </w:rPr>
        <w:t>持学前教育专业教师资格证的比例达到80%以上，本科及以上学历教师比例达到65%以上</w:t>
      </w:r>
      <w:r>
        <w:rPr>
          <w:rStyle w:val="23"/>
          <w:b w:val="0"/>
          <w:highlight w:val="none"/>
        </w:rPr>
        <w:t>。落实公办幼儿园教师待遇保障政策，依法保障幼儿园劳动合同制教师工资待遇。充分发挥“名师工作室”“名园长工作室”在教师专业发展方面的引领带动作用。</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pPr>
              <w:spacing w:line="600" w:lineRule="exact"/>
              <w:contextualSpacing/>
              <w:jc w:val="center"/>
              <w:rPr>
                <w:rFonts w:eastAsia="仿宋_GB2312"/>
                <w:b/>
                <w:sz w:val="28"/>
                <w:szCs w:val="32"/>
                <w:highlight w:val="none"/>
              </w:rPr>
            </w:pPr>
            <w:r>
              <w:rPr>
                <w:rFonts w:eastAsia="仿宋_GB2312"/>
                <w:b/>
                <w:sz w:val="28"/>
                <w:szCs w:val="32"/>
                <w:highlight w:val="none"/>
              </w:rPr>
              <w:t>专栏1</w:t>
            </w:r>
            <w:r>
              <w:rPr>
                <w:rFonts w:hint="eastAsia" w:eastAsia="仿宋_GB2312"/>
                <w:b/>
                <w:sz w:val="28"/>
                <w:szCs w:val="32"/>
                <w:highlight w:val="none"/>
                <w:lang w:val="en-US" w:eastAsia="zh-CN"/>
              </w:rPr>
              <w:t>6</w:t>
            </w:r>
            <w:r>
              <w:rPr>
                <w:rFonts w:eastAsia="仿宋_GB2312"/>
                <w:b/>
                <w:sz w:val="28"/>
                <w:szCs w:val="32"/>
                <w:highlight w:val="none"/>
              </w:rPr>
              <w:t>：第四轮发展学前教育行动计划</w:t>
            </w:r>
          </w:p>
          <w:p>
            <w:pPr>
              <w:spacing w:line="600" w:lineRule="exact"/>
              <w:ind w:firstLine="560" w:firstLineChars="200"/>
              <w:contextualSpacing/>
              <w:rPr>
                <w:rFonts w:eastAsia="仿宋_GB2312"/>
                <w:sz w:val="28"/>
                <w:szCs w:val="32"/>
                <w:highlight w:val="none"/>
              </w:rPr>
            </w:pPr>
            <w:r>
              <w:rPr>
                <w:rFonts w:eastAsia="仿宋_GB2312"/>
                <w:sz w:val="28"/>
                <w:szCs w:val="32"/>
                <w:highlight w:val="none"/>
              </w:rPr>
              <w:t>加大学前教育投入力度，到202</w:t>
            </w:r>
            <w:r>
              <w:rPr>
                <w:rFonts w:hint="eastAsia" w:eastAsia="仿宋_GB2312"/>
                <w:sz w:val="28"/>
                <w:szCs w:val="32"/>
                <w:highlight w:val="none"/>
                <w:lang w:val="en-US" w:eastAsia="zh-CN"/>
              </w:rPr>
              <w:t>5</w:t>
            </w:r>
            <w:r>
              <w:rPr>
                <w:rFonts w:eastAsia="仿宋_GB2312"/>
                <w:sz w:val="28"/>
                <w:szCs w:val="32"/>
                <w:highlight w:val="none"/>
              </w:rPr>
              <w:t>年，公办园在园幼儿比例达到</w:t>
            </w:r>
            <w:r>
              <w:rPr>
                <w:rFonts w:hint="eastAsia" w:eastAsia="仿宋_GB2312"/>
                <w:sz w:val="28"/>
                <w:szCs w:val="32"/>
                <w:highlight w:val="none"/>
                <w:lang w:val="en-US" w:eastAsia="zh-CN"/>
              </w:rPr>
              <w:t>60</w:t>
            </w:r>
            <w:r>
              <w:rPr>
                <w:rFonts w:eastAsia="仿宋_GB2312"/>
                <w:sz w:val="28"/>
                <w:szCs w:val="32"/>
                <w:highlight w:val="none"/>
              </w:rPr>
              <w:t>%以上，普惠性幼儿园在园幼儿比例保持在95%以上，省一二级幼儿园在园幼儿比例达到</w:t>
            </w:r>
            <w:r>
              <w:rPr>
                <w:rFonts w:hint="eastAsia" w:eastAsia="仿宋_GB2312"/>
                <w:sz w:val="28"/>
                <w:szCs w:val="32"/>
                <w:highlight w:val="none"/>
                <w:lang w:val="en-US" w:eastAsia="zh-CN"/>
              </w:rPr>
              <w:t>80</w:t>
            </w:r>
            <w:r>
              <w:rPr>
                <w:rFonts w:eastAsia="仿宋_GB2312"/>
                <w:sz w:val="28"/>
                <w:szCs w:val="32"/>
                <w:highlight w:val="none"/>
              </w:rPr>
              <w:t>%以上。幼儿园教师持证率达到100%</w:t>
            </w:r>
            <w:r>
              <w:rPr>
                <w:rFonts w:hint="eastAsia" w:eastAsia="仿宋_GB2312"/>
                <w:sz w:val="28"/>
                <w:szCs w:val="32"/>
                <w:highlight w:val="none"/>
              </w:rPr>
              <w:t>，持学前教育专业教师资格证的比例达到80%以上，本科及以上学历教师比例达到65%以上</w:t>
            </w:r>
            <w:r>
              <w:rPr>
                <w:rFonts w:hint="eastAsia" w:eastAsia="仿宋_GB2312"/>
                <w:sz w:val="28"/>
                <w:szCs w:val="32"/>
                <w:highlight w:val="none"/>
                <w:lang w:eastAsia="zh-CN"/>
              </w:rPr>
              <w:t>。</w:t>
            </w:r>
            <w:bookmarkStart w:id="48" w:name="_GoBack"/>
            <w:bookmarkEnd w:id="48"/>
            <w:r>
              <w:rPr>
                <w:rFonts w:hint="eastAsia" w:eastAsia="仿宋_GB2312"/>
                <w:sz w:val="28"/>
                <w:szCs w:val="32"/>
                <w:highlight w:val="none"/>
              </w:rPr>
              <w:t>公办幼儿园劳动合同制教师平均工资不低于当地在编幼儿教师的平均工资（基本工资+绩效工资），民办</w:t>
            </w:r>
            <w:r>
              <w:rPr>
                <w:rFonts w:eastAsia="仿宋_GB2312"/>
                <w:sz w:val="28"/>
                <w:szCs w:val="32"/>
                <w:highlight w:val="none"/>
              </w:rPr>
              <w:t>幼儿园</w:t>
            </w:r>
            <w:r>
              <w:rPr>
                <w:rFonts w:hint="eastAsia" w:eastAsia="仿宋_GB2312"/>
                <w:sz w:val="28"/>
                <w:szCs w:val="32"/>
                <w:highlight w:val="none"/>
              </w:rPr>
              <w:t>教师最低年收入不低于上一年度所在地全社会单位在岗职工年平均工资</w:t>
            </w:r>
            <w:r>
              <w:rPr>
                <w:rFonts w:eastAsia="仿宋_GB2312"/>
                <w:sz w:val="28"/>
                <w:szCs w:val="32"/>
                <w:highlight w:val="none"/>
              </w:rPr>
              <w:t>。</w:t>
            </w:r>
          </w:p>
          <w:p>
            <w:pPr>
              <w:spacing w:line="600" w:lineRule="exact"/>
              <w:contextualSpacing/>
              <w:jc w:val="center"/>
              <w:rPr>
                <w:rFonts w:eastAsia="仿宋_GB2312"/>
                <w:b/>
                <w:sz w:val="28"/>
                <w:szCs w:val="32"/>
                <w:highlight w:val="none"/>
              </w:rPr>
            </w:pPr>
            <w:r>
              <w:rPr>
                <w:rFonts w:eastAsia="仿宋_GB2312"/>
                <w:b/>
                <w:sz w:val="28"/>
                <w:szCs w:val="32"/>
                <w:highlight w:val="none"/>
              </w:rPr>
              <w:t>专栏1</w:t>
            </w:r>
            <w:r>
              <w:rPr>
                <w:rFonts w:hint="eastAsia" w:eastAsia="仿宋_GB2312"/>
                <w:b/>
                <w:sz w:val="28"/>
                <w:szCs w:val="32"/>
                <w:highlight w:val="none"/>
                <w:lang w:val="en-US" w:eastAsia="zh-CN"/>
              </w:rPr>
              <w:t>7</w:t>
            </w:r>
            <w:r>
              <w:rPr>
                <w:rFonts w:eastAsia="仿宋_GB2312"/>
                <w:b/>
                <w:sz w:val="28"/>
                <w:szCs w:val="32"/>
                <w:highlight w:val="none"/>
              </w:rPr>
              <w:t>：云和木玩游戏教育推广计划</w:t>
            </w:r>
          </w:p>
          <w:p>
            <w:pPr>
              <w:spacing w:line="600" w:lineRule="exact"/>
              <w:contextualSpacing/>
              <w:jc w:val="left"/>
              <w:rPr>
                <w:rFonts w:eastAsia="仿宋_GB2312"/>
                <w:sz w:val="32"/>
                <w:szCs w:val="32"/>
                <w:highlight w:val="none"/>
              </w:rPr>
            </w:pPr>
            <w:r>
              <w:rPr>
                <w:rFonts w:eastAsia="仿宋_GB2312"/>
                <w:b/>
                <w:sz w:val="28"/>
                <w:szCs w:val="32"/>
                <w:highlight w:val="none"/>
              </w:rPr>
              <w:t xml:space="preserve">    </w:t>
            </w:r>
            <w:r>
              <w:rPr>
                <w:rFonts w:eastAsia="仿宋_GB2312"/>
                <w:sz w:val="28"/>
                <w:szCs w:val="32"/>
                <w:highlight w:val="none"/>
              </w:rPr>
              <w:t>坚持以游戏为基本活动，开展以儿童发展为本的实践探索，通过丽水市“云和木玩”游戏教育发展联盟，全面推进“云和木玩”游戏教育课程改革，覆盖面达到100%，打造全国游戏教育示范区。</w:t>
            </w:r>
          </w:p>
        </w:tc>
      </w:tr>
    </w:tbl>
    <w:p>
      <w:pPr>
        <w:spacing w:line="600" w:lineRule="exact"/>
        <w:ind w:firstLine="642" w:firstLineChars="200"/>
        <w:outlineLvl w:val="1"/>
        <w:rPr>
          <w:rFonts w:eastAsia="楷体_GB2312"/>
          <w:b/>
          <w:sz w:val="32"/>
          <w:szCs w:val="32"/>
          <w:highlight w:val="none"/>
        </w:rPr>
      </w:pPr>
      <w:bookmarkStart w:id="28" w:name="_Toc85116782"/>
      <w:r>
        <w:rPr>
          <w:rFonts w:eastAsia="楷体_GB2312"/>
          <w:b/>
          <w:sz w:val="32"/>
          <w:szCs w:val="32"/>
          <w:highlight w:val="none"/>
        </w:rPr>
        <w:t>（九）促进义务教育优质均衡发展</w:t>
      </w:r>
      <w:bookmarkEnd w:id="28"/>
    </w:p>
    <w:p>
      <w:pPr>
        <w:spacing w:line="600" w:lineRule="exact"/>
        <w:ind w:firstLine="640" w:firstLineChars="200"/>
        <w:rPr>
          <w:rStyle w:val="23"/>
          <w:b w:val="0"/>
          <w:bCs/>
          <w:highlight w:val="none"/>
        </w:rPr>
      </w:pPr>
      <w:r>
        <w:rPr>
          <w:rStyle w:val="23"/>
          <w:rFonts w:hint="eastAsia"/>
          <w:b w:val="0"/>
          <w:bCs/>
          <w:highlight w:val="none"/>
        </w:rPr>
        <w:t>优化义务教育资源配置，</w:t>
      </w:r>
      <w:r>
        <w:rPr>
          <w:rFonts w:eastAsia="仿宋_GB2312"/>
          <w:sz w:val="32"/>
          <w:szCs w:val="32"/>
          <w:highlight w:val="none"/>
        </w:rPr>
        <w:t>促进城乡一体化发展</w:t>
      </w:r>
      <w:r>
        <w:rPr>
          <w:rFonts w:hint="eastAsia" w:eastAsia="仿宋_GB2312"/>
          <w:sz w:val="32"/>
          <w:szCs w:val="32"/>
          <w:highlight w:val="none"/>
        </w:rPr>
        <w:t>，</w:t>
      </w:r>
      <w:r>
        <w:rPr>
          <w:rStyle w:val="23"/>
          <w:rFonts w:hint="eastAsia"/>
          <w:b w:val="0"/>
          <w:bCs/>
          <w:highlight w:val="none"/>
        </w:rPr>
        <w:t>深化义务教育“双减”工作，</w:t>
      </w:r>
      <w:r>
        <w:rPr>
          <w:rFonts w:hint="eastAsia" w:eastAsia="仿宋_GB2312"/>
          <w:sz w:val="32"/>
          <w:szCs w:val="32"/>
          <w:highlight w:val="none"/>
        </w:rPr>
        <w:t>提升教育教学质量、课后服务质量，</w:t>
      </w:r>
      <w:r>
        <w:rPr>
          <w:rStyle w:val="23"/>
          <w:rFonts w:hint="eastAsia"/>
          <w:b w:val="0"/>
          <w:bCs/>
          <w:highlight w:val="none"/>
        </w:rPr>
        <w:t>推动义务教育高质量优质均衡。</w:t>
      </w:r>
    </w:p>
    <w:p>
      <w:pPr>
        <w:spacing w:line="600" w:lineRule="exact"/>
        <w:ind w:firstLine="642" w:firstLineChars="200"/>
        <w:rPr>
          <w:rFonts w:eastAsia="仿宋_GB2312"/>
          <w:sz w:val="32"/>
          <w:szCs w:val="32"/>
          <w:highlight w:val="none"/>
        </w:rPr>
      </w:pPr>
      <w:r>
        <w:rPr>
          <w:rStyle w:val="23"/>
          <w:highlight w:val="none"/>
        </w:rPr>
        <w:t>1.推进义务教育均衡发展。</w:t>
      </w:r>
      <w:r>
        <w:rPr>
          <w:rFonts w:eastAsia="仿宋_GB2312"/>
          <w:sz w:val="32"/>
          <w:szCs w:val="32"/>
          <w:highlight w:val="none"/>
        </w:rPr>
        <w:t>推进全国义务教育优质均衡县创建，60%以上县（市、区）创建成为全国义务教育优质均衡县。促进义务教育城乡一体化发展，加快缩小区域、城乡、校际差距，小学、初中城乡学校差异系数分别小于0.3和0.25。深化集团化品牌化办学，强化城乡教育共同体和“互联网+义务教育”建设，义务教育集团化覆盖面达到90%以上，乡村学校城乡共同体实现全覆盖。</w:t>
      </w:r>
    </w:p>
    <w:p>
      <w:pPr>
        <w:spacing w:line="600" w:lineRule="exact"/>
        <w:ind w:firstLine="642" w:firstLineChars="200"/>
        <w:rPr>
          <w:rFonts w:eastAsia="仿宋_GB2312"/>
          <w:sz w:val="32"/>
          <w:szCs w:val="32"/>
          <w:highlight w:val="none"/>
        </w:rPr>
      </w:pPr>
      <w:r>
        <w:rPr>
          <w:rStyle w:val="23"/>
          <w:highlight w:val="none"/>
        </w:rPr>
        <w:t>2.推进义务教育优质发展。</w:t>
      </w:r>
      <w:r>
        <w:rPr>
          <w:rFonts w:eastAsia="仿宋_GB2312"/>
          <w:sz w:val="32"/>
          <w:szCs w:val="32"/>
          <w:highlight w:val="none"/>
        </w:rPr>
        <w:t>落实《义务教育质量评价指南》，强化县域、学校、学生质量评价，构建科学的义务教育质量评价体系</w:t>
      </w:r>
      <w:r>
        <w:rPr>
          <w:rFonts w:hint="eastAsia" w:eastAsia="仿宋_GB2312"/>
          <w:sz w:val="32"/>
          <w:szCs w:val="32"/>
          <w:highlight w:val="none"/>
        </w:rPr>
        <w:t>，学生学业水平校际差异率低</w:t>
      </w:r>
      <w:r>
        <w:rPr>
          <w:rFonts w:eastAsia="仿宋_GB2312"/>
          <w:sz w:val="32"/>
          <w:szCs w:val="32"/>
          <w:highlight w:val="none"/>
        </w:rPr>
        <w:t>于</w:t>
      </w:r>
      <w:r>
        <w:rPr>
          <w:rFonts w:hint="eastAsia" w:eastAsia="仿宋_GB2312"/>
          <w:sz w:val="32"/>
          <w:szCs w:val="32"/>
          <w:highlight w:val="none"/>
        </w:rPr>
        <w:t>0.15。</w:t>
      </w:r>
      <w:r>
        <w:rPr>
          <w:rFonts w:eastAsia="仿宋_GB2312"/>
          <w:sz w:val="32"/>
          <w:szCs w:val="32"/>
          <w:highlight w:val="none"/>
        </w:rPr>
        <w:t>深入开展小学阅读教育，推进书香校园建设全覆盖。深入实施初中“壮腰”工程，积极推进初中强校建设，着力提高公办初中办学水平。深化初中基础性课程分层走班教学改革，推进中考制度改革，促进创新型后备人才培养。实施学困生关注工程，关注学习困难和行为偏差两类学生，建立帮扶转化救济制度。关心关爱特殊教育群体，促进留守儿童、残疾儿童、进城务工人员子女等群体健康成长。</w:t>
      </w:r>
    </w:p>
    <w:p>
      <w:pPr>
        <w:spacing w:line="600" w:lineRule="exact"/>
        <w:ind w:firstLine="642" w:firstLineChars="200"/>
        <w:rPr>
          <w:rFonts w:eastAsia="仿宋_GB2312"/>
          <w:sz w:val="32"/>
          <w:szCs w:val="32"/>
          <w:highlight w:val="none"/>
        </w:rPr>
      </w:pPr>
      <w:r>
        <w:rPr>
          <w:rStyle w:val="23"/>
          <w:highlight w:val="none"/>
        </w:rPr>
        <w:t>3.</w:t>
      </w:r>
      <w:r>
        <w:rPr>
          <w:rStyle w:val="23"/>
          <w:rFonts w:hint="eastAsia"/>
          <w:highlight w:val="none"/>
        </w:rPr>
        <w:t>做好义务教育“双减”工作。</w:t>
      </w:r>
      <w:r>
        <w:rPr>
          <w:rFonts w:eastAsia="仿宋_GB2312"/>
          <w:sz w:val="32"/>
          <w:szCs w:val="32"/>
          <w:highlight w:val="none"/>
        </w:rPr>
        <w:t>全面落实《关于进一步减轻义务教育阶段学生作业负担和校外培训负担的意见》，强化学校教育主阵地作用，促进教育回归常态、培训回归育人、学生回归校园</w:t>
      </w:r>
      <w:r>
        <w:rPr>
          <w:rFonts w:eastAsia="仿宋_GB2312"/>
          <w:bCs/>
          <w:kern w:val="36"/>
          <w:sz w:val="32"/>
          <w:szCs w:val="32"/>
          <w:highlight w:val="none"/>
        </w:rPr>
        <w:t>。</w:t>
      </w:r>
      <w:r>
        <w:rPr>
          <w:rFonts w:hint="eastAsia" w:eastAsia="仿宋_GB2312"/>
          <w:sz w:val="32"/>
          <w:szCs w:val="32"/>
          <w:highlight w:val="none"/>
        </w:rPr>
        <w:t>推进</w:t>
      </w:r>
      <w:r>
        <w:rPr>
          <w:rFonts w:eastAsia="仿宋_GB2312"/>
          <w:sz w:val="32"/>
          <w:szCs w:val="32"/>
          <w:highlight w:val="none"/>
        </w:rPr>
        <w:t>“减负”工作和教育“提质”并重</w:t>
      </w:r>
      <w:r>
        <w:rPr>
          <w:rFonts w:hint="eastAsia" w:eastAsia="仿宋_GB2312"/>
          <w:sz w:val="32"/>
          <w:szCs w:val="32"/>
          <w:highlight w:val="none"/>
        </w:rPr>
        <w:t>，提升</w:t>
      </w:r>
      <w:r>
        <w:rPr>
          <w:rFonts w:eastAsia="仿宋_GB2312"/>
          <w:sz w:val="32"/>
          <w:szCs w:val="32"/>
          <w:highlight w:val="none"/>
        </w:rPr>
        <w:t>作业管理水平、课后服务水平、课堂教学质量，</w:t>
      </w:r>
      <w:r>
        <w:rPr>
          <w:rFonts w:hint="eastAsia" w:eastAsia="仿宋_GB2312"/>
          <w:sz w:val="32"/>
          <w:szCs w:val="32"/>
          <w:highlight w:val="none"/>
        </w:rPr>
        <w:t>做到“七个精心、七个提升”：精心上好每一堂课，实现课堂教学质量明显提升；精心布置每一次作业，实现作业的精准性、有效性明显提升；精心帮扶每一位学困生，实现学生学业及格率明显提升；精心拓展每一位学优生，实现学生学业优秀率明显提升；精心培养每一位学生养成自主学习习惯，实现学生自主学习能力明显提升；精心指导每一位学生用好社会资源进行学习，实现学生社会实践能力明显提升；精心呵护每一位学生心理健康，实现学生心理健康水平明显提升。</w:t>
      </w:r>
      <w:r>
        <w:rPr>
          <w:rFonts w:eastAsia="仿宋_GB2312"/>
          <w:sz w:val="32"/>
          <w:szCs w:val="32"/>
          <w:highlight w:val="none"/>
        </w:rPr>
        <w:t>深化义务教育“公民同招”改革，规范民办义务教育学校招生行为，促进公民办学校协同优质发展，营造良好教育生态。</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pPr>
              <w:spacing w:line="600" w:lineRule="exact"/>
              <w:contextualSpacing/>
              <w:jc w:val="center"/>
              <w:rPr>
                <w:rFonts w:eastAsia="仿宋_GB2312"/>
                <w:b/>
                <w:sz w:val="28"/>
                <w:szCs w:val="32"/>
                <w:highlight w:val="none"/>
              </w:rPr>
            </w:pPr>
            <w:r>
              <w:rPr>
                <w:rFonts w:eastAsia="仿宋_GB2312"/>
                <w:b/>
                <w:sz w:val="28"/>
                <w:szCs w:val="32"/>
                <w:highlight w:val="none"/>
              </w:rPr>
              <w:t>专栏1</w:t>
            </w:r>
            <w:r>
              <w:rPr>
                <w:rFonts w:hint="eastAsia" w:eastAsia="仿宋_GB2312"/>
                <w:b/>
                <w:sz w:val="28"/>
                <w:szCs w:val="32"/>
                <w:highlight w:val="none"/>
                <w:lang w:val="en-US" w:eastAsia="zh-CN"/>
              </w:rPr>
              <w:t>8</w:t>
            </w:r>
            <w:r>
              <w:rPr>
                <w:rFonts w:eastAsia="仿宋_GB2312"/>
                <w:b/>
                <w:sz w:val="28"/>
                <w:szCs w:val="32"/>
                <w:highlight w:val="none"/>
              </w:rPr>
              <w:t>：新时代城乡教育共同体建设</w:t>
            </w:r>
          </w:p>
          <w:p>
            <w:pPr>
              <w:spacing w:line="600" w:lineRule="exact"/>
              <w:ind w:firstLine="555"/>
              <w:contextualSpacing/>
              <w:jc w:val="left"/>
              <w:rPr>
                <w:rFonts w:eastAsia="仿宋_GB2312"/>
                <w:sz w:val="28"/>
                <w:szCs w:val="32"/>
                <w:highlight w:val="none"/>
              </w:rPr>
            </w:pPr>
            <w:r>
              <w:rPr>
                <w:rFonts w:eastAsia="仿宋_GB2312"/>
                <w:sz w:val="28"/>
                <w:szCs w:val="32"/>
                <w:highlight w:val="none"/>
              </w:rPr>
              <w:t>推进以融合型、共建型、协作型、托管型等四种模式的城乡教育共同体建设，2022年，全市中小学实现城乡教育共同体乡村学校全覆盖。2025年，县域内融合型、共建型、托管型比例不低于80%。</w:t>
            </w:r>
          </w:p>
          <w:p>
            <w:pPr>
              <w:spacing w:line="600" w:lineRule="exact"/>
              <w:jc w:val="center"/>
              <w:rPr>
                <w:rFonts w:eastAsia="仿宋_GB2312"/>
                <w:b/>
                <w:sz w:val="28"/>
                <w:szCs w:val="32"/>
                <w:highlight w:val="none"/>
              </w:rPr>
            </w:pPr>
            <w:r>
              <w:rPr>
                <w:rFonts w:eastAsia="仿宋_GB2312"/>
                <w:b/>
                <w:sz w:val="28"/>
                <w:szCs w:val="32"/>
                <w:highlight w:val="none"/>
              </w:rPr>
              <w:t>专栏1</w:t>
            </w:r>
            <w:r>
              <w:rPr>
                <w:rFonts w:hint="eastAsia" w:eastAsia="仿宋_GB2312"/>
                <w:b/>
                <w:sz w:val="28"/>
                <w:szCs w:val="32"/>
                <w:highlight w:val="none"/>
                <w:lang w:val="en-US" w:eastAsia="zh-CN"/>
              </w:rPr>
              <w:t>9</w:t>
            </w:r>
            <w:r>
              <w:rPr>
                <w:rFonts w:eastAsia="仿宋_GB2312"/>
                <w:b/>
                <w:sz w:val="28"/>
                <w:szCs w:val="32"/>
                <w:highlight w:val="none"/>
              </w:rPr>
              <w:t>：实施小学阅读工程</w:t>
            </w:r>
          </w:p>
          <w:p>
            <w:pPr>
              <w:spacing w:line="600" w:lineRule="exact"/>
              <w:ind w:firstLine="560" w:firstLineChars="200"/>
              <w:jc w:val="left"/>
              <w:rPr>
                <w:rFonts w:eastAsia="仿宋_GB2312"/>
                <w:sz w:val="28"/>
                <w:szCs w:val="28"/>
                <w:highlight w:val="none"/>
              </w:rPr>
            </w:pPr>
            <w:r>
              <w:rPr>
                <w:rFonts w:eastAsia="仿宋_GB2312"/>
                <w:sz w:val="28"/>
                <w:szCs w:val="28"/>
                <w:highlight w:val="none"/>
              </w:rPr>
              <w:t>统筹推进“书香校园”建设，到2022年，实现“书香校园”全覆盖。推广阅读工程基础书目，构建具有丽水特色的阅读课程体系。推动学校搭建阅读活动平台，开展全科阅读、深度阅读、海量阅读实践，整体推进阅读行动。</w:t>
            </w:r>
          </w:p>
          <w:p>
            <w:pPr>
              <w:spacing w:line="600" w:lineRule="exact"/>
              <w:contextualSpacing/>
              <w:jc w:val="center"/>
              <w:rPr>
                <w:rFonts w:eastAsia="仿宋_GB2312"/>
                <w:b/>
                <w:sz w:val="28"/>
                <w:szCs w:val="32"/>
                <w:highlight w:val="none"/>
              </w:rPr>
            </w:pPr>
            <w:r>
              <w:rPr>
                <w:rFonts w:eastAsia="仿宋_GB2312"/>
                <w:b/>
                <w:sz w:val="28"/>
                <w:szCs w:val="32"/>
                <w:highlight w:val="none"/>
              </w:rPr>
              <w:t>专栏</w:t>
            </w:r>
            <w:r>
              <w:rPr>
                <w:rFonts w:hint="eastAsia" w:eastAsia="仿宋_GB2312"/>
                <w:b/>
                <w:sz w:val="28"/>
                <w:szCs w:val="32"/>
                <w:highlight w:val="none"/>
                <w:lang w:val="en-US" w:eastAsia="zh-CN"/>
              </w:rPr>
              <w:t>20</w:t>
            </w:r>
            <w:r>
              <w:rPr>
                <w:rFonts w:eastAsia="仿宋_GB2312"/>
                <w:b/>
                <w:sz w:val="28"/>
                <w:szCs w:val="32"/>
                <w:highlight w:val="none"/>
              </w:rPr>
              <w:t>：实施初中“壮腰”工程</w:t>
            </w:r>
          </w:p>
          <w:p>
            <w:pPr>
              <w:spacing w:line="600" w:lineRule="exact"/>
              <w:contextualSpacing/>
              <w:jc w:val="left"/>
              <w:rPr>
                <w:rFonts w:eastAsia="仿宋_GB2312"/>
                <w:sz w:val="28"/>
                <w:szCs w:val="28"/>
                <w:highlight w:val="none"/>
              </w:rPr>
            </w:pPr>
            <w:r>
              <w:rPr>
                <w:rFonts w:eastAsia="仿宋_GB2312"/>
                <w:sz w:val="28"/>
                <w:szCs w:val="28"/>
                <w:highlight w:val="none"/>
              </w:rPr>
              <w:t xml:space="preserve">    统筹实施初中强校行动三年规划，推动专家团队对强校培育学校的“一对一”帮扶机制，开展初中强校督导团巡回督导，建立大数据质量监测体系，推进初中教学状态明显改善，整体办学质量明显提高，学校办学特色明显增强。</w:t>
            </w:r>
          </w:p>
          <w:p>
            <w:pPr>
              <w:spacing w:line="600" w:lineRule="exact"/>
              <w:contextualSpacing/>
              <w:jc w:val="center"/>
              <w:rPr>
                <w:rFonts w:eastAsia="仿宋_GB2312"/>
                <w:b/>
                <w:sz w:val="28"/>
                <w:szCs w:val="32"/>
                <w:highlight w:val="none"/>
              </w:rPr>
            </w:pPr>
            <w:r>
              <w:rPr>
                <w:rFonts w:eastAsia="仿宋_GB2312"/>
                <w:b/>
                <w:sz w:val="28"/>
                <w:szCs w:val="32"/>
                <w:highlight w:val="none"/>
              </w:rPr>
              <w:t>专栏2</w:t>
            </w:r>
            <w:r>
              <w:rPr>
                <w:rFonts w:hint="eastAsia" w:eastAsia="仿宋_GB2312"/>
                <w:b/>
                <w:sz w:val="28"/>
                <w:szCs w:val="32"/>
                <w:highlight w:val="none"/>
                <w:lang w:val="en-US" w:eastAsia="zh-CN"/>
              </w:rPr>
              <w:t>1</w:t>
            </w:r>
            <w:r>
              <w:rPr>
                <w:rFonts w:eastAsia="仿宋_GB2312"/>
                <w:b/>
                <w:sz w:val="28"/>
                <w:szCs w:val="32"/>
                <w:highlight w:val="none"/>
              </w:rPr>
              <w:t>：实施学困生关注工程</w:t>
            </w:r>
          </w:p>
          <w:p>
            <w:pPr>
              <w:spacing w:line="600" w:lineRule="exact"/>
              <w:ind w:firstLine="560" w:firstLineChars="200"/>
              <w:rPr>
                <w:rFonts w:eastAsia="仿宋_GB2312"/>
                <w:sz w:val="28"/>
                <w:szCs w:val="28"/>
                <w:highlight w:val="none"/>
              </w:rPr>
            </w:pPr>
            <w:r>
              <w:rPr>
                <w:rFonts w:eastAsia="仿宋_GB2312"/>
                <w:sz w:val="28"/>
                <w:szCs w:val="28"/>
                <w:highlight w:val="none"/>
              </w:rPr>
              <w:t>关注学习困难学生，建立帮扶转化救济制度，针对性开展学业辅导，帮助其养成良好的学习和生活习惯，增强学习动力和学习信心，不让一个初中学生掉队。</w:t>
            </w:r>
          </w:p>
        </w:tc>
      </w:tr>
    </w:tbl>
    <w:p>
      <w:pPr>
        <w:spacing w:line="600" w:lineRule="exact"/>
        <w:ind w:firstLine="642" w:firstLineChars="200"/>
        <w:outlineLvl w:val="1"/>
        <w:rPr>
          <w:rFonts w:eastAsia="楷体_GB2312"/>
          <w:b/>
          <w:sz w:val="32"/>
          <w:szCs w:val="32"/>
          <w:highlight w:val="none"/>
        </w:rPr>
      </w:pPr>
      <w:bookmarkStart w:id="29" w:name="_Toc85116783"/>
      <w:r>
        <w:rPr>
          <w:rFonts w:eastAsia="楷体_GB2312"/>
          <w:b/>
          <w:sz w:val="32"/>
          <w:szCs w:val="32"/>
          <w:highlight w:val="none"/>
        </w:rPr>
        <w:t>（十）推进普通高中优质特色发展</w:t>
      </w:r>
      <w:bookmarkEnd w:id="29"/>
    </w:p>
    <w:p>
      <w:pPr>
        <w:spacing w:line="600" w:lineRule="exact"/>
        <w:ind w:firstLine="640" w:firstLineChars="200"/>
        <w:rPr>
          <w:rFonts w:eastAsia="仿宋_GB2312"/>
          <w:sz w:val="32"/>
          <w:szCs w:val="32"/>
          <w:highlight w:val="none"/>
        </w:rPr>
      </w:pPr>
      <w:bookmarkStart w:id="30" w:name="_Toc63173878"/>
      <w:r>
        <w:rPr>
          <w:rFonts w:hint="eastAsia" w:eastAsia="仿宋_GB2312"/>
          <w:sz w:val="32"/>
          <w:szCs w:val="32"/>
          <w:highlight w:val="none"/>
        </w:rPr>
        <w:t>深化</w:t>
      </w:r>
      <w:r>
        <w:rPr>
          <w:rFonts w:eastAsia="仿宋_GB2312"/>
          <w:sz w:val="32"/>
          <w:szCs w:val="32"/>
          <w:highlight w:val="none"/>
        </w:rPr>
        <w:t>普通高中育人方式改革，</w:t>
      </w:r>
      <w:r>
        <w:rPr>
          <w:rFonts w:hint="eastAsia" w:eastAsia="仿宋_GB2312"/>
          <w:sz w:val="32"/>
          <w:szCs w:val="32"/>
          <w:highlight w:val="none"/>
        </w:rPr>
        <w:t>推动普通高中分类特色发展，优化</w:t>
      </w:r>
      <w:r>
        <w:rPr>
          <w:rFonts w:eastAsia="仿宋_GB2312"/>
          <w:sz w:val="32"/>
          <w:szCs w:val="32"/>
          <w:highlight w:val="none"/>
        </w:rPr>
        <w:t>创新人才培养</w:t>
      </w:r>
      <w:r>
        <w:rPr>
          <w:rFonts w:hint="eastAsia" w:eastAsia="仿宋_GB2312"/>
          <w:sz w:val="32"/>
          <w:szCs w:val="32"/>
          <w:highlight w:val="none"/>
        </w:rPr>
        <w:t>机制，加快县域普通高中发展，</w:t>
      </w:r>
      <w:r>
        <w:rPr>
          <w:rFonts w:eastAsia="仿宋_GB2312"/>
          <w:sz w:val="32"/>
          <w:szCs w:val="32"/>
          <w:highlight w:val="none"/>
        </w:rPr>
        <w:t>形成普通高中优质多样化办学格局。</w:t>
      </w:r>
    </w:p>
    <w:p>
      <w:pPr>
        <w:spacing w:line="600" w:lineRule="exact"/>
        <w:ind w:firstLine="642" w:firstLineChars="200"/>
        <w:rPr>
          <w:rFonts w:eastAsia="仿宋_GB2312"/>
          <w:sz w:val="32"/>
          <w:szCs w:val="32"/>
          <w:highlight w:val="none"/>
        </w:rPr>
      </w:pPr>
      <w:r>
        <w:rPr>
          <w:rStyle w:val="23"/>
          <w:highlight w:val="none"/>
        </w:rPr>
        <w:t>1.</w:t>
      </w:r>
      <w:bookmarkEnd w:id="30"/>
      <w:r>
        <w:rPr>
          <w:rStyle w:val="23"/>
          <w:highlight w:val="none"/>
        </w:rPr>
        <w:t>强化普通高中市域统筹</w:t>
      </w:r>
      <w:r>
        <w:rPr>
          <w:rFonts w:eastAsia="仿宋_GB2312"/>
          <w:b/>
          <w:sz w:val="32"/>
          <w:szCs w:val="32"/>
          <w:highlight w:val="none"/>
        </w:rPr>
        <w:t>。</w:t>
      </w:r>
      <w:r>
        <w:rPr>
          <w:rFonts w:eastAsia="仿宋_GB2312"/>
          <w:sz w:val="32"/>
          <w:szCs w:val="32"/>
          <w:highlight w:val="none"/>
        </w:rPr>
        <w:t>强化“一带三区”战略，加大资源统筹整合力度，扩充普通高中优质资源，积极探索管理、教学、教研、师资、评价等共建共享机制。完善普通高中发展性评价机制，深化教育教学质量监测体系。推进普通高中“公民同招”，统一招生平台，促进县域普通高中崛起。优化公办、民办普通高中优势互补、共同发展。</w:t>
      </w:r>
    </w:p>
    <w:p>
      <w:pPr>
        <w:spacing w:line="600" w:lineRule="exact"/>
        <w:ind w:firstLine="642" w:firstLineChars="200"/>
        <w:rPr>
          <w:rFonts w:eastAsia="仿宋_GB2312"/>
          <w:sz w:val="32"/>
          <w:szCs w:val="32"/>
          <w:highlight w:val="none"/>
        </w:rPr>
      </w:pPr>
      <w:r>
        <w:rPr>
          <w:rFonts w:eastAsia="仿宋_GB2312"/>
          <w:b/>
          <w:sz w:val="32"/>
          <w:szCs w:val="32"/>
          <w:highlight w:val="none"/>
        </w:rPr>
        <w:t>2.实施分类办学特色发展。</w:t>
      </w:r>
      <w:r>
        <w:rPr>
          <w:rFonts w:eastAsia="仿宋_GB2312"/>
          <w:sz w:val="32"/>
          <w:szCs w:val="32"/>
          <w:highlight w:val="none"/>
        </w:rPr>
        <w:t>落实普通高中育人方式改革，探索建立优质特色的普通高中课程体系。统筹推进普通高中分类办学特色发展，打造科技类、人文类、体艺类、综合类等各类特色高中，加强同类高中联盟建设。强化生涯规划教育，让学生积极主动选择多样性高中教育，实现人人选择适合自己的高中教育。</w:t>
      </w:r>
    </w:p>
    <w:p>
      <w:pPr>
        <w:spacing w:line="600" w:lineRule="exact"/>
        <w:ind w:firstLine="642" w:firstLineChars="200"/>
        <w:rPr>
          <w:rFonts w:eastAsia="仿宋_GB2312"/>
          <w:sz w:val="32"/>
          <w:szCs w:val="32"/>
          <w:highlight w:val="none"/>
        </w:rPr>
      </w:pPr>
      <w:bookmarkStart w:id="31" w:name="_Toc896"/>
      <w:r>
        <w:rPr>
          <w:rStyle w:val="23"/>
          <w:highlight w:val="none"/>
        </w:rPr>
        <w:t>3.</w:t>
      </w:r>
      <w:bookmarkEnd w:id="31"/>
      <w:r>
        <w:rPr>
          <w:rStyle w:val="23"/>
          <w:highlight w:val="none"/>
        </w:rPr>
        <w:t>深化创新型人才培养</w:t>
      </w:r>
      <w:r>
        <w:rPr>
          <w:rFonts w:eastAsia="仿宋_GB2312"/>
          <w:b/>
          <w:sz w:val="32"/>
          <w:szCs w:val="32"/>
          <w:highlight w:val="none"/>
        </w:rPr>
        <w:t>。</w:t>
      </w:r>
      <w:r>
        <w:rPr>
          <w:rFonts w:eastAsia="仿宋_GB2312"/>
          <w:sz w:val="32"/>
          <w:szCs w:val="32"/>
          <w:highlight w:val="none"/>
        </w:rPr>
        <w:t>主动适应高考招生改革，紧密对接强基计划、三位一体等招生制度，推进初中毕业生学业水平考试和普通高中升学考试改革。加强对拔尖创新型人才的培养，健全初高中有效衔接机制，实行初高中“双导师”制度，加大与高校协同培养“强基计划”人才的力度，推动拔尖创新人才培养实现质的突破。</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pPr>
              <w:spacing w:line="600" w:lineRule="exact"/>
              <w:contextualSpacing/>
              <w:jc w:val="center"/>
              <w:rPr>
                <w:rFonts w:eastAsia="仿宋_GB2312"/>
                <w:b/>
                <w:sz w:val="28"/>
                <w:szCs w:val="32"/>
                <w:highlight w:val="none"/>
              </w:rPr>
            </w:pPr>
            <w:r>
              <w:rPr>
                <w:rFonts w:eastAsia="仿宋_GB2312"/>
                <w:b/>
                <w:sz w:val="28"/>
                <w:szCs w:val="32"/>
                <w:highlight w:val="none"/>
              </w:rPr>
              <w:t>专栏2</w:t>
            </w:r>
            <w:r>
              <w:rPr>
                <w:rFonts w:hint="eastAsia" w:eastAsia="仿宋_GB2312"/>
                <w:b/>
                <w:sz w:val="28"/>
                <w:szCs w:val="32"/>
                <w:highlight w:val="none"/>
                <w:lang w:val="en-US" w:eastAsia="zh-CN"/>
              </w:rPr>
              <w:t>2</w:t>
            </w:r>
            <w:r>
              <w:rPr>
                <w:rFonts w:eastAsia="仿宋_GB2312"/>
                <w:b/>
                <w:sz w:val="28"/>
                <w:szCs w:val="32"/>
                <w:highlight w:val="none"/>
              </w:rPr>
              <w:t>：普通高中分类办学改革</w:t>
            </w:r>
          </w:p>
          <w:p>
            <w:pPr>
              <w:spacing w:line="600" w:lineRule="exact"/>
              <w:ind w:firstLine="548" w:firstLineChars="196"/>
              <w:contextualSpacing/>
              <w:jc w:val="left"/>
              <w:rPr>
                <w:rFonts w:eastAsia="仿宋_GB2312"/>
                <w:sz w:val="28"/>
                <w:szCs w:val="32"/>
                <w:highlight w:val="none"/>
              </w:rPr>
            </w:pPr>
            <w:r>
              <w:rPr>
                <w:rFonts w:eastAsia="仿宋_GB2312"/>
                <w:sz w:val="28"/>
                <w:szCs w:val="32"/>
                <w:highlight w:val="none"/>
              </w:rPr>
              <w:t>推进普通高中学校分类办学特色发展，探索区域分类办学机制，培育一批不同办学特色，在全市全省起示范作用的现代化普通高中学校。</w:t>
            </w:r>
          </w:p>
          <w:p>
            <w:pPr>
              <w:spacing w:line="600" w:lineRule="exact"/>
              <w:contextualSpacing/>
              <w:jc w:val="center"/>
              <w:rPr>
                <w:rFonts w:eastAsia="仿宋_GB2312"/>
                <w:b/>
                <w:sz w:val="28"/>
                <w:szCs w:val="32"/>
                <w:highlight w:val="none"/>
              </w:rPr>
            </w:pPr>
            <w:r>
              <w:rPr>
                <w:rFonts w:eastAsia="仿宋_GB2312"/>
                <w:b/>
                <w:sz w:val="28"/>
                <w:szCs w:val="32"/>
                <w:highlight w:val="none"/>
              </w:rPr>
              <w:t>专栏2</w:t>
            </w:r>
            <w:r>
              <w:rPr>
                <w:rFonts w:hint="eastAsia" w:eastAsia="仿宋_GB2312"/>
                <w:b/>
                <w:sz w:val="28"/>
                <w:szCs w:val="32"/>
                <w:highlight w:val="none"/>
                <w:lang w:val="en-US" w:eastAsia="zh-CN"/>
              </w:rPr>
              <w:t>3</w:t>
            </w:r>
            <w:r>
              <w:rPr>
                <w:rFonts w:eastAsia="仿宋_GB2312"/>
                <w:b/>
                <w:sz w:val="28"/>
                <w:szCs w:val="32"/>
                <w:highlight w:val="none"/>
              </w:rPr>
              <w:t>：“强基计划”人才培养</w:t>
            </w:r>
          </w:p>
          <w:p>
            <w:pPr>
              <w:spacing w:line="600" w:lineRule="exact"/>
              <w:ind w:firstLine="560" w:firstLineChars="200"/>
              <w:contextualSpacing/>
              <w:jc w:val="left"/>
              <w:rPr>
                <w:rFonts w:eastAsia="仿宋_GB2312"/>
                <w:sz w:val="32"/>
                <w:szCs w:val="32"/>
                <w:highlight w:val="none"/>
              </w:rPr>
            </w:pPr>
            <w:r>
              <w:rPr>
                <w:rFonts w:eastAsia="仿宋_GB2312"/>
                <w:sz w:val="28"/>
                <w:szCs w:val="32"/>
                <w:highlight w:val="none"/>
              </w:rPr>
              <w:t>市域统筹初高中有效衔接机制，健全基础教育优秀人才一体化培养体系，探索拔尖创新人才的培养路径，开发针对拔尖创新人才培养的课程资源，培养一批擅长初高中衔接与培优的优秀教师，进一步提升优秀人才培养能力。</w:t>
            </w:r>
          </w:p>
        </w:tc>
      </w:tr>
    </w:tbl>
    <w:p>
      <w:pPr>
        <w:spacing w:line="600" w:lineRule="exact"/>
        <w:ind w:firstLine="642" w:firstLineChars="200"/>
        <w:outlineLvl w:val="1"/>
        <w:rPr>
          <w:rFonts w:eastAsia="楷体_GB2312"/>
          <w:b/>
          <w:sz w:val="32"/>
          <w:szCs w:val="32"/>
          <w:highlight w:val="none"/>
        </w:rPr>
      </w:pPr>
      <w:bookmarkStart w:id="32" w:name="_Toc85116784"/>
      <w:r>
        <w:rPr>
          <w:rFonts w:eastAsia="楷体_GB2312"/>
          <w:b/>
          <w:sz w:val="32"/>
          <w:szCs w:val="32"/>
          <w:highlight w:val="none"/>
        </w:rPr>
        <w:t>（十一）深化职业教育产教融合发展</w:t>
      </w:r>
      <w:bookmarkEnd w:id="32"/>
    </w:p>
    <w:p>
      <w:pPr>
        <w:spacing w:line="600" w:lineRule="exact"/>
        <w:ind w:firstLine="640" w:firstLineChars="200"/>
        <w:rPr>
          <w:rStyle w:val="23"/>
          <w:b w:val="0"/>
          <w:highlight w:val="none"/>
        </w:rPr>
      </w:pPr>
      <w:r>
        <w:rPr>
          <w:rFonts w:eastAsia="仿宋_GB2312"/>
          <w:sz w:val="32"/>
          <w:szCs w:val="32"/>
          <w:highlight w:val="none"/>
        </w:rPr>
        <w:t>着力增强职业教育适应性，深化普职融通、产教融合，</w:t>
      </w:r>
      <w:r>
        <w:rPr>
          <w:rStyle w:val="23"/>
          <w:rFonts w:hint="eastAsia"/>
          <w:b w:val="0"/>
          <w:highlight w:val="none"/>
        </w:rPr>
        <w:t>加快</w:t>
      </w:r>
      <w:r>
        <w:rPr>
          <w:rStyle w:val="23"/>
          <w:b w:val="0"/>
          <w:highlight w:val="none"/>
        </w:rPr>
        <w:t>中职“双高”建设，提升职业教育服务地方发展能力，推动现代职业教育高质量发展</w:t>
      </w:r>
      <w:r>
        <w:rPr>
          <w:rStyle w:val="23"/>
          <w:rFonts w:hint="eastAsia"/>
          <w:b w:val="0"/>
          <w:highlight w:val="none"/>
        </w:rPr>
        <w:t>。</w:t>
      </w:r>
    </w:p>
    <w:p>
      <w:pPr>
        <w:spacing w:line="600" w:lineRule="exact"/>
        <w:ind w:firstLine="629" w:firstLineChars="196"/>
        <w:rPr>
          <w:rFonts w:eastAsia="仿宋_GB2312"/>
          <w:kern w:val="0"/>
          <w:sz w:val="32"/>
          <w:szCs w:val="32"/>
          <w:highlight w:val="none"/>
        </w:rPr>
      </w:pPr>
      <w:r>
        <w:rPr>
          <w:rStyle w:val="23"/>
          <w:highlight w:val="none"/>
        </w:rPr>
        <w:t>1.推进现代职业教育体系建设</w:t>
      </w:r>
      <w:r>
        <w:rPr>
          <w:rFonts w:eastAsia="仿宋_GB2312"/>
          <w:b/>
          <w:bCs/>
          <w:sz w:val="32"/>
          <w:szCs w:val="32"/>
          <w:highlight w:val="none"/>
        </w:rPr>
        <w:t>。</w:t>
      </w:r>
      <w:r>
        <w:rPr>
          <w:rFonts w:eastAsia="仿宋_GB2312"/>
          <w:sz w:val="32"/>
          <w:szCs w:val="32"/>
          <w:highlight w:val="none"/>
        </w:rPr>
        <w:t>加大职业教育市域统筹力度，建立跨县域财政分担的体制机制，组建丽缙青、松遂、云景、龙庆等跨区域联盟中职校。</w:t>
      </w:r>
      <w:r>
        <w:rPr>
          <w:rFonts w:eastAsia="仿宋_GB2312"/>
          <w:bCs/>
          <w:sz w:val="32"/>
          <w:szCs w:val="32"/>
          <w:highlight w:val="none"/>
        </w:rPr>
        <w:t>对接产业</w:t>
      </w:r>
      <w:r>
        <w:rPr>
          <w:rFonts w:eastAsia="仿宋_GB2312"/>
          <w:bCs/>
          <w:kern w:val="0"/>
          <w:sz w:val="32"/>
          <w:szCs w:val="32"/>
          <w:highlight w:val="none"/>
        </w:rPr>
        <w:t>动态优化专业布局，</w:t>
      </w:r>
      <w:r>
        <w:rPr>
          <w:rFonts w:eastAsia="仿宋_GB2312"/>
          <w:kern w:val="0"/>
          <w:sz w:val="32"/>
          <w:szCs w:val="32"/>
          <w:highlight w:val="none"/>
        </w:rPr>
        <w:t>重点建设培育现代服</w:t>
      </w:r>
      <w:r>
        <w:rPr>
          <w:rFonts w:eastAsia="仿宋_GB2312"/>
          <w:sz w:val="32"/>
          <w:szCs w:val="32"/>
          <w:highlight w:val="none"/>
        </w:rPr>
        <w:t>务业专业群、机械制造专业群、现代农业专业群、农村电子商务专业群、民间传统工艺专业群，积极拓展</w:t>
      </w:r>
      <w:r>
        <w:rPr>
          <w:rFonts w:eastAsia="仿宋_GB2312"/>
          <w:kern w:val="0"/>
          <w:sz w:val="32"/>
          <w:szCs w:val="32"/>
          <w:highlight w:val="none"/>
        </w:rPr>
        <w:t>中医制药、数字经济等领域的专业，</w:t>
      </w:r>
      <w:r>
        <w:rPr>
          <w:rFonts w:eastAsia="仿宋_GB2312"/>
          <w:sz w:val="32"/>
          <w:szCs w:val="32"/>
          <w:highlight w:val="none"/>
        </w:rPr>
        <w:t>创建产业特色学校6所</w:t>
      </w:r>
      <w:r>
        <w:rPr>
          <w:rFonts w:eastAsia="仿宋_GB2312"/>
          <w:kern w:val="0"/>
          <w:sz w:val="32"/>
          <w:szCs w:val="32"/>
          <w:highlight w:val="none"/>
        </w:rPr>
        <w:t>。</w:t>
      </w:r>
    </w:p>
    <w:p>
      <w:pPr>
        <w:numPr>
          <w:ilvl w:val="255"/>
          <w:numId w:val="0"/>
        </w:numPr>
        <w:spacing w:line="600" w:lineRule="exact"/>
        <w:ind w:firstLine="642" w:firstLineChars="200"/>
        <w:rPr>
          <w:rFonts w:eastAsia="仿宋_GB2312"/>
          <w:bCs/>
          <w:sz w:val="32"/>
          <w:szCs w:val="32"/>
          <w:highlight w:val="none"/>
        </w:rPr>
      </w:pPr>
      <w:r>
        <w:rPr>
          <w:rStyle w:val="23"/>
          <w:highlight w:val="none"/>
        </w:rPr>
        <w:t>2.提升职业教育人才培养质量</w:t>
      </w:r>
      <w:r>
        <w:rPr>
          <w:rFonts w:eastAsia="仿宋_GB2312"/>
          <w:b/>
          <w:bCs/>
          <w:sz w:val="32"/>
          <w:szCs w:val="32"/>
          <w:highlight w:val="none"/>
        </w:rPr>
        <w:t>。</w:t>
      </w:r>
      <w:bookmarkStart w:id="33" w:name="_Toc63173884"/>
      <w:r>
        <w:rPr>
          <w:rFonts w:eastAsia="仿宋_GB2312"/>
          <w:bCs/>
          <w:sz w:val="32"/>
          <w:szCs w:val="32"/>
          <w:highlight w:val="none"/>
        </w:rPr>
        <w:t>大力推进“双高”建设，</w:t>
      </w:r>
      <w:r>
        <w:rPr>
          <w:rFonts w:eastAsia="仿宋_GB2312"/>
          <w:sz w:val="32"/>
          <w:szCs w:val="32"/>
          <w:highlight w:val="none"/>
        </w:rPr>
        <w:t>创建高水平中职学校4个、高水平专业19个。创新“双元制”人才</w:t>
      </w:r>
      <w:r>
        <w:rPr>
          <w:rFonts w:eastAsia="仿宋_GB2312"/>
          <w:bCs/>
          <w:sz w:val="32"/>
          <w:szCs w:val="32"/>
          <w:highlight w:val="none"/>
        </w:rPr>
        <w:t>培养模式，推进“1+X”证书制度，积极探索职业教育国际化。深入实施“百名大师、千名高徒”工程，打造现代学徒制培养“丽水样板”，为经济社会转型发展培养大批高素质的“丽水技工”。全面实施“校企校”升学直通车项目，采用“2+2.5”学习制，建立丽水电大与各中职学校、企业的联合培养机制。全面实施《丽水市中等职业学校学生毕业标准》，推进文化统测、专业监测，构建丽水特色的中职学生评价体系。全面提升中职技能水平，实现省职业能力大赛获奖人数比例达到省中等位次。拓宽升学渠道，中职毕业生升入高一级学校比例达到85%以上。</w:t>
      </w:r>
    </w:p>
    <w:p>
      <w:pPr>
        <w:spacing w:line="600" w:lineRule="exact"/>
        <w:ind w:firstLine="629" w:firstLineChars="196"/>
        <w:rPr>
          <w:rFonts w:eastAsia="仿宋_GB2312"/>
          <w:sz w:val="32"/>
          <w:szCs w:val="32"/>
          <w:highlight w:val="none"/>
        </w:rPr>
      </w:pPr>
      <w:r>
        <w:rPr>
          <w:rStyle w:val="23"/>
          <w:highlight w:val="none"/>
        </w:rPr>
        <w:t>3.</w:t>
      </w:r>
      <w:bookmarkEnd w:id="33"/>
      <w:r>
        <w:rPr>
          <w:rStyle w:val="23"/>
          <w:highlight w:val="none"/>
        </w:rPr>
        <w:t>推进职业教育高水平产教融合</w:t>
      </w:r>
      <w:r>
        <w:rPr>
          <w:rFonts w:eastAsia="仿宋_GB2312"/>
          <w:b/>
          <w:bCs/>
          <w:sz w:val="32"/>
          <w:szCs w:val="32"/>
          <w:highlight w:val="none"/>
        </w:rPr>
        <w:t>。</w:t>
      </w:r>
      <w:r>
        <w:rPr>
          <w:rFonts w:eastAsia="仿宋_GB2312"/>
          <w:bCs/>
          <w:sz w:val="32"/>
          <w:szCs w:val="32"/>
          <w:highlight w:val="none"/>
        </w:rPr>
        <w:t>大力推进产教深度融合，</w:t>
      </w:r>
      <w:r>
        <w:rPr>
          <w:rFonts w:eastAsia="仿宋_GB2312"/>
          <w:sz w:val="32"/>
          <w:szCs w:val="32"/>
          <w:highlight w:val="none"/>
        </w:rPr>
        <w:t>积极对接丽水主导产业，培育30个产教融合型企业。构建高精尖职教资源共建共享机制，</w:t>
      </w:r>
      <w:r>
        <w:rPr>
          <w:rFonts w:eastAsia="仿宋_GB2312"/>
          <w:bCs/>
          <w:kern w:val="0"/>
          <w:sz w:val="32"/>
          <w:szCs w:val="32"/>
          <w:highlight w:val="none"/>
        </w:rPr>
        <w:t>建设高水平产教融合实训基地10个。</w:t>
      </w:r>
      <w:r>
        <w:rPr>
          <w:rFonts w:eastAsia="仿宋_GB2312"/>
          <w:sz w:val="32"/>
          <w:szCs w:val="32"/>
          <w:highlight w:val="none"/>
        </w:rPr>
        <w:t>鼓励企业特别是大企业</w:t>
      </w:r>
      <w:r>
        <w:rPr>
          <w:rFonts w:eastAsia="仿宋_GB2312"/>
          <w:bCs/>
          <w:sz w:val="32"/>
          <w:szCs w:val="32"/>
          <w:highlight w:val="none"/>
        </w:rPr>
        <w:t>以独资、合资、合作等方式依法参与举办职业教育。支持</w:t>
      </w:r>
      <w:r>
        <w:rPr>
          <w:rFonts w:eastAsia="仿宋_GB2312"/>
          <w:sz w:val="32"/>
          <w:szCs w:val="32"/>
          <w:highlight w:val="none"/>
        </w:rPr>
        <w:t>职业院校根据自身特点和人才培养需要，主动与具备条件的企业在人才培养、专业共建、实训基地建设、师资建设等方面开展合作。积极探索引厂进校、引校进厂、前店后校等合作形式，实现“做中学、做中教”的理实一体化教学。推进服务社会机制改革，以丽水市职业教育集团为龙头，建立线上线下相结合的职业教育社会培训机制。</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pPr>
              <w:spacing w:line="600" w:lineRule="exact"/>
              <w:contextualSpacing/>
              <w:jc w:val="center"/>
              <w:rPr>
                <w:rFonts w:eastAsia="仿宋_GB2312"/>
                <w:b/>
                <w:sz w:val="28"/>
                <w:szCs w:val="32"/>
                <w:highlight w:val="none"/>
              </w:rPr>
            </w:pPr>
            <w:r>
              <w:rPr>
                <w:rFonts w:eastAsia="仿宋_GB2312"/>
                <w:b/>
                <w:sz w:val="28"/>
                <w:szCs w:val="32"/>
                <w:highlight w:val="none"/>
              </w:rPr>
              <w:t>专栏2</w:t>
            </w:r>
            <w:r>
              <w:rPr>
                <w:rFonts w:hint="eastAsia" w:eastAsia="仿宋_GB2312"/>
                <w:b/>
                <w:sz w:val="28"/>
                <w:szCs w:val="32"/>
                <w:highlight w:val="none"/>
                <w:lang w:val="en-US" w:eastAsia="zh-CN"/>
              </w:rPr>
              <w:t>4</w:t>
            </w:r>
            <w:r>
              <w:rPr>
                <w:rFonts w:eastAsia="仿宋_GB2312"/>
                <w:b/>
                <w:sz w:val="28"/>
                <w:szCs w:val="32"/>
                <w:highlight w:val="none"/>
              </w:rPr>
              <w:t>：中职“双高”建设</w:t>
            </w:r>
          </w:p>
          <w:p>
            <w:pPr>
              <w:spacing w:line="600" w:lineRule="exact"/>
              <w:ind w:firstLine="548" w:firstLineChars="196"/>
              <w:contextualSpacing/>
              <w:jc w:val="left"/>
              <w:rPr>
                <w:rFonts w:eastAsia="仿宋_GB2312"/>
                <w:sz w:val="28"/>
                <w:szCs w:val="32"/>
                <w:highlight w:val="none"/>
              </w:rPr>
            </w:pPr>
            <w:r>
              <w:rPr>
                <w:rFonts w:eastAsia="仿宋_GB2312"/>
                <w:sz w:val="28"/>
                <w:szCs w:val="32"/>
                <w:highlight w:val="none"/>
              </w:rPr>
              <w:t>以产教融合为核心，以内涵建设为重点，以“一校一特”为目标，打造4所省级高水平中职学校、19个高水平专业。</w:t>
            </w:r>
          </w:p>
          <w:p>
            <w:pPr>
              <w:spacing w:line="600" w:lineRule="exact"/>
              <w:contextualSpacing/>
              <w:jc w:val="center"/>
              <w:rPr>
                <w:rFonts w:eastAsia="仿宋_GB2312"/>
                <w:b/>
                <w:sz w:val="28"/>
                <w:szCs w:val="32"/>
                <w:highlight w:val="none"/>
              </w:rPr>
            </w:pPr>
            <w:r>
              <w:rPr>
                <w:rFonts w:eastAsia="仿宋_GB2312"/>
                <w:b/>
                <w:sz w:val="28"/>
                <w:szCs w:val="32"/>
                <w:highlight w:val="none"/>
              </w:rPr>
              <w:t>专栏2</w:t>
            </w:r>
            <w:r>
              <w:rPr>
                <w:rFonts w:hint="eastAsia" w:eastAsia="仿宋_GB2312"/>
                <w:b/>
                <w:sz w:val="28"/>
                <w:szCs w:val="32"/>
                <w:highlight w:val="none"/>
                <w:lang w:val="en-US" w:eastAsia="zh-CN"/>
              </w:rPr>
              <w:t>5</w:t>
            </w:r>
            <w:r>
              <w:rPr>
                <w:rFonts w:eastAsia="仿宋_GB2312"/>
                <w:b/>
                <w:sz w:val="28"/>
                <w:szCs w:val="32"/>
                <w:highlight w:val="none"/>
              </w:rPr>
              <w:t>：市域统筹职业教育发展</w:t>
            </w:r>
          </w:p>
          <w:p>
            <w:pPr>
              <w:spacing w:line="600" w:lineRule="exact"/>
              <w:ind w:firstLine="560" w:firstLineChars="200"/>
              <w:contextualSpacing/>
              <w:jc w:val="left"/>
              <w:rPr>
                <w:rFonts w:eastAsia="仿宋_GB2312"/>
                <w:sz w:val="28"/>
                <w:szCs w:val="32"/>
                <w:highlight w:val="none"/>
              </w:rPr>
            </w:pPr>
            <w:r>
              <w:rPr>
                <w:rFonts w:eastAsia="仿宋_GB2312"/>
                <w:sz w:val="28"/>
                <w:szCs w:val="32"/>
                <w:highlight w:val="none"/>
              </w:rPr>
              <w:t>大力推进招生、专业、实训、师资、就业等五方面的统筹工作，组建丽缙青、松遂、云景、龙庆等4个区域联盟中职校。</w:t>
            </w:r>
          </w:p>
          <w:p>
            <w:pPr>
              <w:spacing w:line="600" w:lineRule="exact"/>
              <w:contextualSpacing/>
              <w:jc w:val="center"/>
              <w:rPr>
                <w:rFonts w:eastAsia="仿宋_GB2312"/>
                <w:b/>
                <w:sz w:val="28"/>
                <w:szCs w:val="32"/>
                <w:highlight w:val="none"/>
              </w:rPr>
            </w:pPr>
            <w:r>
              <w:rPr>
                <w:rFonts w:eastAsia="仿宋_GB2312"/>
                <w:b/>
                <w:sz w:val="28"/>
                <w:szCs w:val="32"/>
                <w:highlight w:val="none"/>
              </w:rPr>
              <w:t>专栏2</w:t>
            </w:r>
            <w:r>
              <w:rPr>
                <w:rFonts w:hint="eastAsia" w:eastAsia="仿宋_GB2312"/>
                <w:b/>
                <w:sz w:val="28"/>
                <w:szCs w:val="32"/>
                <w:highlight w:val="none"/>
                <w:lang w:val="en-US" w:eastAsia="zh-CN"/>
              </w:rPr>
              <w:t>6</w:t>
            </w:r>
            <w:r>
              <w:rPr>
                <w:rFonts w:eastAsia="仿宋_GB2312"/>
                <w:b/>
                <w:sz w:val="28"/>
                <w:szCs w:val="32"/>
                <w:highlight w:val="none"/>
              </w:rPr>
              <w:t>：深化“百名大师、千名高徒”工程</w:t>
            </w:r>
          </w:p>
          <w:p>
            <w:pPr>
              <w:spacing w:line="600" w:lineRule="exact"/>
              <w:ind w:firstLine="560" w:firstLineChars="200"/>
              <w:rPr>
                <w:rFonts w:eastAsia="仿宋_GB2312"/>
                <w:sz w:val="32"/>
                <w:szCs w:val="32"/>
                <w:highlight w:val="none"/>
              </w:rPr>
            </w:pPr>
            <w:r>
              <w:rPr>
                <w:rFonts w:eastAsia="仿宋_GB2312"/>
                <w:sz w:val="28"/>
                <w:szCs w:val="32"/>
                <w:highlight w:val="none"/>
              </w:rPr>
              <w:t>以建设“丽水特色、机制灵活”的现代职业教育体系为导向，以培养大批高素质的“丽水技工”为目标，形成具有丽水特色的“大师结对带高徒”的培养机制，到2025年，全市每所职业院校有10名左右企业大师深度介入学校的人才培养，每所职业院校有50名以上优秀学生接受大师的精心培育。</w:t>
            </w:r>
          </w:p>
        </w:tc>
      </w:tr>
    </w:tbl>
    <w:p>
      <w:pPr>
        <w:spacing w:line="600" w:lineRule="exact"/>
        <w:ind w:firstLine="642" w:firstLineChars="200"/>
        <w:outlineLvl w:val="1"/>
        <w:rPr>
          <w:rFonts w:eastAsia="楷体_GB2312"/>
          <w:b/>
          <w:sz w:val="32"/>
          <w:szCs w:val="32"/>
          <w:highlight w:val="none"/>
        </w:rPr>
      </w:pPr>
      <w:bookmarkStart w:id="34" w:name="_Toc85116785"/>
      <w:r>
        <w:rPr>
          <w:rFonts w:eastAsia="楷体_GB2312"/>
          <w:b/>
          <w:sz w:val="32"/>
          <w:szCs w:val="32"/>
          <w:highlight w:val="none"/>
        </w:rPr>
        <w:t>（十二）加快高等教育优质内涵发展</w:t>
      </w:r>
      <w:bookmarkEnd w:id="34"/>
    </w:p>
    <w:p>
      <w:pPr>
        <w:spacing w:line="600" w:lineRule="exact"/>
        <w:ind w:firstLine="640" w:firstLineChars="200"/>
        <w:contextualSpacing/>
        <w:rPr>
          <w:rFonts w:eastAsia="仿宋_GB2312"/>
          <w:bCs/>
          <w:sz w:val="32"/>
          <w:szCs w:val="32"/>
          <w:highlight w:val="none"/>
        </w:rPr>
      </w:pPr>
      <w:r>
        <w:rPr>
          <w:rStyle w:val="23"/>
          <w:rFonts w:hint="eastAsia"/>
          <w:b w:val="0"/>
          <w:bCs/>
          <w:highlight w:val="none"/>
        </w:rPr>
        <w:t>深入实施高等教育强省战略，</w:t>
      </w:r>
      <w:r>
        <w:rPr>
          <w:rFonts w:hint="eastAsia" w:eastAsia="仿宋_GB2312"/>
          <w:bCs/>
          <w:sz w:val="32"/>
          <w:szCs w:val="32"/>
          <w:highlight w:val="none"/>
        </w:rPr>
        <w:t>推进在丽高校高质量发展，</w:t>
      </w:r>
      <w:r>
        <w:rPr>
          <w:rStyle w:val="23"/>
          <w:rFonts w:hint="eastAsia"/>
          <w:b w:val="0"/>
          <w:bCs/>
          <w:highlight w:val="none"/>
        </w:rPr>
        <w:t>加快建设高水平人才培养体系，提升</w:t>
      </w:r>
      <w:r>
        <w:rPr>
          <w:rFonts w:eastAsia="仿宋_GB2312"/>
          <w:bCs/>
          <w:sz w:val="32"/>
          <w:szCs w:val="32"/>
          <w:highlight w:val="none"/>
        </w:rPr>
        <w:t>高等教育服务</w:t>
      </w:r>
      <w:r>
        <w:rPr>
          <w:rFonts w:hint="eastAsia" w:eastAsia="仿宋_GB2312"/>
          <w:bCs/>
          <w:sz w:val="32"/>
          <w:szCs w:val="32"/>
          <w:highlight w:val="none"/>
        </w:rPr>
        <w:t>丽水</w:t>
      </w:r>
      <w:r>
        <w:rPr>
          <w:rFonts w:eastAsia="仿宋_GB2312"/>
          <w:bCs/>
          <w:sz w:val="32"/>
          <w:szCs w:val="32"/>
          <w:highlight w:val="none"/>
        </w:rPr>
        <w:t>发展能力</w:t>
      </w:r>
      <w:r>
        <w:rPr>
          <w:rFonts w:hint="eastAsia" w:eastAsia="仿宋_GB2312"/>
          <w:bCs/>
          <w:sz w:val="32"/>
          <w:szCs w:val="32"/>
          <w:highlight w:val="none"/>
        </w:rPr>
        <w:t>，</w:t>
      </w:r>
      <w:r>
        <w:rPr>
          <w:rFonts w:eastAsia="仿宋_GB2312"/>
          <w:bCs/>
          <w:sz w:val="32"/>
          <w:szCs w:val="32"/>
          <w:highlight w:val="none"/>
        </w:rPr>
        <w:t>打造高校创新高地。</w:t>
      </w:r>
    </w:p>
    <w:p>
      <w:pPr>
        <w:spacing w:line="600" w:lineRule="exact"/>
        <w:ind w:firstLine="642" w:firstLineChars="200"/>
        <w:contextualSpacing/>
        <w:rPr>
          <w:rFonts w:eastAsia="仿宋_GB2312"/>
          <w:bCs/>
          <w:sz w:val="32"/>
          <w:szCs w:val="32"/>
          <w:highlight w:val="none"/>
        </w:rPr>
      </w:pPr>
      <w:r>
        <w:rPr>
          <w:rStyle w:val="23"/>
          <w:highlight w:val="none"/>
        </w:rPr>
        <w:t>1.推动丽水学院建设服务绿色发展的高水平应用型大学</w:t>
      </w:r>
      <w:r>
        <w:rPr>
          <w:rFonts w:eastAsia="仿宋_GB2312"/>
          <w:b/>
          <w:bCs/>
          <w:sz w:val="32"/>
          <w:szCs w:val="32"/>
          <w:highlight w:val="none"/>
        </w:rPr>
        <w:t>。</w:t>
      </w:r>
      <w:r>
        <w:rPr>
          <w:rFonts w:eastAsia="仿宋_GB2312"/>
          <w:bCs/>
          <w:sz w:val="32"/>
          <w:szCs w:val="32"/>
          <w:highlight w:val="none"/>
        </w:rPr>
        <w:t>全面提升办学层次和水平，成为硕士学位授予单位，建立完善的硕士研究生教育体系和现代大学制度体系。大力引进和培育高层次人才，新增6个以上专业硕士学位点，力争1-2个特色学科入选省级A类一流学科，新增5个国家级一流专业、20门一流课程，打造1-2个省部级以上创新团队，实现国家级教学成果奖和科学技术奖零的突破。妥善完成丽水中专体制改革，高标准建设丽水学院松阳校区二期，构建以学前教育专业为主适当部署工科农科医科专业，以高职为主适当发展本科的专业布局。</w:t>
      </w:r>
    </w:p>
    <w:p>
      <w:pPr>
        <w:spacing w:line="600" w:lineRule="exact"/>
        <w:ind w:firstLine="560"/>
        <w:contextualSpacing/>
        <w:rPr>
          <w:rFonts w:eastAsia="仿宋_GB2312"/>
          <w:bCs/>
          <w:sz w:val="32"/>
          <w:szCs w:val="32"/>
          <w:highlight w:val="none"/>
        </w:rPr>
      </w:pPr>
      <w:r>
        <w:rPr>
          <w:rStyle w:val="23"/>
          <w:highlight w:val="none"/>
        </w:rPr>
        <w:t>2.推进丽水职业技术学院建成省高水平高职院校</w:t>
      </w:r>
      <w:r>
        <w:rPr>
          <w:rFonts w:eastAsia="仿宋_GB2312"/>
          <w:b/>
          <w:bCs/>
          <w:sz w:val="32"/>
          <w:szCs w:val="32"/>
          <w:highlight w:val="none"/>
        </w:rPr>
        <w:t>。</w:t>
      </w:r>
      <w:r>
        <w:rPr>
          <w:rFonts w:eastAsia="仿宋_GB2312"/>
          <w:bCs/>
          <w:sz w:val="32"/>
          <w:szCs w:val="32"/>
          <w:highlight w:val="none"/>
        </w:rPr>
        <w:t>丽水职业技术学院</w:t>
      </w:r>
      <w:r>
        <w:rPr>
          <w:rFonts w:eastAsia="仿宋_GB2312"/>
          <w:sz w:val="32"/>
          <w:szCs w:val="32"/>
          <w:highlight w:val="none"/>
        </w:rPr>
        <w:t>综合实力全面提升，高质量建成浙江省高水平高职院校和一举创成全国文明校园。围绕丽水五大产业集群，深度对接生态经济建设、乡村振兴战略、浙江大花园最美核心区和国家公园建设，打造林业技术、会计、建筑工程、智能制造、商贸、旅游健康和文化创意等七大专业群，重点将林业技术和会计专业群建成省级高水平A类专业群。打造现代林业技术协同创新中心、智能制造技术推广中心、农村电商与经贸研究中心、美丽乡村建设研究基地等创新服务平台和精品培训项目</w:t>
      </w:r>
      <w:r>
        <w:rPr>
          <w:rFonts w:eastAsia="仿宋_GB2312"/>
          <w:bCs/>
          <w:sz w:val="32"/>
          <w:szCs w:val="32"/>
          <w:highlight w:val="none"/>
        </w:rPr>
        <w:t>。</w:t>
      </w:r>
    </w:p>
    <w:p>
      <w:pPr>
        <w:spacing w:line="600" w:lineRule="exact"/>
        <w:ind w:firstLine="642" w:firstLineChars="200"/>
        <w:rPr>
          <w:rFonts w:eastAsia="仿宋_GB2312"/>
          <w:sz w:val="32"/>
          <w:szCs w:val="32"/>
          <w:highlight w:val="none"/>
        </w:rPr>
      </w:pPr>
      <w:r>
        <w:rPr>
          <w:rStyle w:val="23"/>
          <w:highlight w:val="none"/>
        </w:rPr>
        <w:t>3.推进丽水电大建设高水平开放大学</w:t>
      </w:r>
      <w:r>
        <w:rPr>
          <w:rFonts w:eastAsia="仿宋_GB2312"/>
          <w:b/>
          <w:bCs/>
          <w:sz w:val="32"/>
          <w:szCs w:val="32"/>
          <w:highlight w:val="none"/>
        </w:rPr>
        <w:t>。</w:t>
      </w:r>
      <w:r>
        <w:rPr>
          <w:rFonts w:eastAsia="仿宋_GB2312"/>
          <w:sz w:val="32"/>
          <w:szCs w:val="32"/>
          <w:highlight w:val="none"/>
        </w:rPr>
        <w:t>大力拓展和提升社会服务能力，实现与地方社会经济发展的深度融合。与缙云县人民政府共同建设丽水开放技师学院，与莲都区人民政府共同建设莲都学院，推进教育学院、直播学院、培训学院等二级学院建设。打造浙江省开放大学系统养生养老、网络营销、短视频人才培养、智能制造、农业农村区域协同创新和人才培养中心。</w:t>
      </w:r>
    </w:p>
    <w:p>
      <w:pPr>
        <w:numPr>
          <w:ilvl w:val="255"/>
          <w:numId w:val="0"/>
        </w:numPr>
        <w:spacing w:line="600" w:lineRule="exact"/>
        <w:ind w:firstLine="642" w:firstLineChars="200"/>
        <w:rPr>
          <w:rFonts w:eastAsia="仿宋_GB2312"/>
          <w:sz w:val="32"/>
          <w:szCs w:val="32"/>
          <w:highlight w:val="none"/>
        </w:rPr>
      </w:pPr>
      <w:r>
        <w:rPr>
          <w:rStyle w:val="23"/>
          <w:highlight w:val="none"/>
        </w:rPr>
        <w:t>4.全面打造高校创新高地</w:t>
      </w:r>
      <w:r>
        <w:rPr>
          <w:rFonts w:eastAsia="仿宋_GB2312"/>
          <w:b/>
          <w:bCs/>
          <w:sz w:val="32"/>
          <w:szCs w:val="32"/>
          <w:highlight w:val="none"/>
        </w:rPr>
        <w:t>。</w:t>
      </w:r>
      <w:r>
        <w:rPr>
          <w:rFonts w:eastAsia="仿宋_GB2312"/>
          <w:sz w:val="32"/>
          <w:szCs w:val="32"/>
          <w:highlight w:val="none"/>
        </w:rPr>
        <w:t>推进浙西南科创走廊高校创新高地建设，引进国内高水平大学、科研机构和规上企业，积极打造与丽水五大产业和传统产业相匹配的“高水平、高融合、高标准”现代产业学院、研究院，构建高校与产业集群联动发展机制，成为浙西南科创走廊建设的关键先导技术的研发攻关基地、产业核心产品的孵化推广基地、高新技术人才培育集聚基地，为地方经济提高产业竞争力和汇聚发展新动能提供人才支持和智力支撑。</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pPr>
              <w:spacing w:line="600" w:lineRule="exact"/>
              <w:contextualSpacing/>
              <w:jc w:val="center"/>
              <w:rPr>
                <w:rFonts w:eastAsia="仿宋_GB2312"/>
                <w:b/>
                <w:sz w:val="28"/>
                <w:szCs w:val="32"/>
                <w:highlight w:val="none"/>
              </w:rPr>
            </w:pPr>
            <w:r>
              <w:rPr>
                <w:rFonts w:eastAsia="仿宋_GB2312"/>
                <w:b/>
                <w:sz w:val="28"/>
                <w:szCs w:val="32"/>
                <w:highlight w:val="none"/>
              </w:rPr>
              <w:t>专栏2</w:t>
            </w:r>
            <w:r>
              <w:rPr>
                <w:rFonts w:hint="eastAsia" w:eastAsia="仿宋_GB2312"/>
                <w:b/>
                <w:sz w:val="28"/>
                <w:szCs w:val="32"/>
                <w:highlight w:val="none"/>
                <w:lang w:val="en-US" w:eastAsia="zh-CN"/>
              </w:rPr>
              <w:t>7</w:t>
            </w:r>
            <w:r>
              <w:rPr>
                <w:rFonts w:eastAsia="仿宋_GB2312"/>
                <w:b/>
                <w:sz w:val="28"/>
                <w:szCs w:val="32"/>
                <w:highlight w:val="none"/>
              </w:rPr>
              <w:t>：建设中医药与健康产业学院</w:t>
            </w:r>
          </w:p>
          <w:p>
            <w:pPr>
              <w:spacing w:line="600" w:lineRule="exact"/>
              <w:ind w:firstLine="560" w:firstLineChars="200"/>
              <w:contextualSpacing/>
              <w:jc w:val="left"/>
              <w:rPr>
                <w:rFonts w:eastAsia="仿宋_GB2312"/>
                <w:sz w:val="28"/>
                <w:szCs w:val="32"/>
                <w:highlight w:val="none"/>
              </w:rPr>
            </w:pPr>
            <w:r>
              <w:rPr>
                <w:rFonts w:eastAsia="仿宋_GB2312"/>
                <w:sz w:val="28"/>
                <w:szCs w:val="32"/>
                <w:highlight w:val="none"/>
              </w:rPr>
              <w:t>依托中国药科大学合作共建中医药与健康产业学院，成为浙西南区域中医药与健康产业领域的高端研究院、中医药与健康产业孵化基地、中医药与健康领域研究生联合培养基地、中医药与健康领域技能人才培养基地，力争成为国家级产业学院。</w:t>
            </w:r>
          </w:p>
        </w:tc>
      </w:tr>
    </w:tbl>
    <w:p>
      <w:pPr>
        <w:spacing w:line="600" w:lineRule="exact"/>
        <w:ind w:firstLine="642" w:firstLineChars="200"/>
        <w:outlineLvl w:val="1"/>
        <w:rPr>
          <w:rFonts w:eastAsia="楷体_GB2312"/>
          <w:b/>
          <w:sz w:val="32"/>
          <w:szCs w:val="32"/>
          <w:highlight w:val="none"/>
        </w:rPr>
      </w:pPr>
      <w:bookmarkStart w:id="35" w:name="_Toc85116786"/>
      <w:r>
        <w:rPr>
          <w:rFonts w:eastAsia="楷体_GB2312"/>
          <w:b/>
          <w:sz w:val="32"/>
          <w:szCs w:val="32"/>
          <w:highlight w:val="none"/>
        </w:rPr>
        <w:t>（十三）推动特殊教育优质融合发展</w:t>
      </w:r>
      <w:bookmarkEnd w:id="35"/>
    </w:p>
    <w:p>
      <w:pPr>
        <w:spacing w:line="600" w:lineRule="exact"/>
        <w:ind w:firstLine="640" w:firstLineChars="200"/>
        <w:rPr>
          <w:rStyle w:val="23"/>
          <w:b w:val="0"/>
          <w:bCs/>
          <w:highlight w:val="none"/>
        </w:rPr>
      </w:pPr>
      <w:bookmarkStart w:id="36" w:name="_Toc63173891"/>
      <w:r>
        <w:rPr>
          <w:rStyle w:val="23"/>
          <w:rFonts w:hint="eastAsia"/>
          <w:b w:val="0"/>
          <w:bCs/>
          <w:highlight w:val="none"/>
        </w:rPr>
        <w:t>加大特殊教育资源供给，推进特殊教育学校标准化建设，提高特殊教育质量，建成布局合理、学段衔接、普职融通、医教结合的特殊教育体系。</w:t>
      </w:r>
    </w:p>
    <w:p>
      <w:pPr>
        <w:spacing w:line="600" w:lineRule="exact"/>
        <w:ind w:firstLine="642" w:firstLineChars="200"/>
        <w:rPr>
          <w:rFonts w:eastAsia="仿宋_GB2312"/>
          <w:sz w:val="32"/>
          <w:szCs w:val="32"/>
          <w:highlight w:val="none"/>
        </w:rPr>
      </w:pPr>
      <w:r>
        <w:rPr>
          <w:rStyle w:val="23"/>
          <w:highlight w:val="none"/>
        </w:rPr>
        <w:t>1.</w:t>
      </w:r>
      <w:bookmarkEnd w:id="36"/>
      <w:r>
        <w:rPr>
          <w:rStyle w:val="23"/>
          <w:highlight w:val="none"/>
        </w:rPr>
        <w:t>优化特殊教育资源布局</w:t>
      </w:r>
      <w:r>
        <w:rPr>
          <w:rFonts w:eastAsia="仿宋_GB2312"/>
          <w:b/>
          <w:bCs/>
          <w:sz w:val="32"/>
          <w:szCs w:val="32"/>
          <w:highlight w:val="none"/>
        </w:rPr>
        <w:t>。</w:t>
      </w:r>
      <w:r>
        <w:rPr>
          <w:rFonts w:eastAsia="仿宋_GB2312"/>
          <w:sz w:val="32"/>
          <w:szCs w:val="32"/>
          <w:highlight w:val="none"/>
        </w:rPr>
        <w:t>依据残疾儿童少年现状，将特殊教育纳入当地经济和社会发展规划以及教育发展规划，不断优化特殊教育学校布局。改善特殊教育学校办学条件，推进标准化改造提升工作</w:t>
      </w:r>
      <w:r>
        <w:rPr>
          <w:rFonts w:eastAsia="仿宋_GB2312"/>
          <w:kern w:val="0"/>
          <w:sz w:val="32"/>
          <w:szCs w:val="32"/>
          <w:highlight w:val="none"/>
          <w:lang w:bidi="ar"/>
        </w:rPr>
        <w:t>，实现县（市、区）特殊教育学校标准化建设全覆盖</w:t>
      </w:r>
      <w:r>
        <w:rPr>
          <w:rFonts w:eastAsia="仿宋_GB2312"/>
          <w:sz w:val="32"/>
          <w:szCs w:val="32"/>
          <w:highlight w:val="none"/>
        </w:rPr>
        <w:t>。</w:t>
      </w:r>
    </w:p>
    <w:p>
      <w:pPr>
        <w:autoSpaceDE w:val="0"/>
        <w:autoSpaceDN w:val="0"/>
        <w:spacing w:line="600" w:lineRule="exact"/>
        <w:ind w:firstLine="642" w:firstLineChars="200"/>
        <w:jc w:val="left"/>
        <w:rPr>
          <w:rFonts w:eastAsia="仿宋_GB2312"/>
          <w:sz w:val="32"/>
          <w:highlight w:val="none"/>
        </w:rPr>
      </w:pPr>
      <w:r>
        <w:rPr>
          <w:rStyle w:val="23"/>
          <w:highlight w:val="none"/>
        </w:rPr>
        <w:t>2.畅通特殊儿童少年就学渠道</w:t>
      </w:r>
      <w:r>
        <w:rPr>
          <w:rFonts w:eastAsia="仿宋_GB2312"/>
          <w:b/>
          <w:bCs/>
          <w:sz w:val="32"/>
          <w:szCs w:val="32"/>
          <w:highlight w:val="none"/>
        </w:rPr>
        <w:t>。</w:t>
      </w:r>
      <w:r>
        <w:rPr>
          <w:rFonts w:eastAsia="仿宋_GB2312"/>
          <w:sz w:val="32"/>
          <w:highlight w:val="none"/>
        </w:rPr>
        <w:t>建立完善的随班就读支持保障体系，开展示范性资源教室评定，加快全市“卫星班”开办进度，</w:t>
      </w:r>
      <w:r>
        <w:rPr>
          <w:rFonts w:eastAsia="仿宋_GB2312"/>
          <w:sz w:val="32"/>
          <w:szCs w:val="32"/>
          <w:highlight w:val="none"/>
        </w:rPr>
        <w:t>提高送教上门工作质量，</w:t>
      </w:r>
      <w:r>
        <w:rPr>
          <w:rFonts w:eastAsia="仿宋_GB2312"/>
          <w:sz w:val="32"/>
          <w:highlight w:val="none"/>
        </w:rPr>
        <w:t>探索融合教育的新模式。</w:t>
      </w:r>
      <w:r>
        <w:rPr>
          <w:rFonts w:eastAsia="仿宋_GB2312"/>
          <w:sz w:val="32"/>
          <w:szCs w:val="32"/>
          <w:highlight w:val="none"/>
        </w:rPr>
        <w:t>创办市特殊教育学校听障融合学前班，鼓励有条件的县（市、区）开办启智学前班或融合学前班。</w:t>
      </w:r>
      <w:r>
        <w:rPr>
          <w:rFonts w:eastAsia="仿宋_GB2312"/>
          <w:sz w:val="32"/>
          <w:highlight w:val="none"/>
        </w:rPr>
        <w:t>扩充高中特殊教育资源，统筹推进相关</w:t>
      </w:r>
      <w:r>
        <w:rPr>
          <w:rFonts w:eastAsia="仿宋_GB2312"/>
          <w:sz w:val="32"/>
          <w:szCs w:val="32"/>
          <w:highlight w:val="none"/>
        </w:rPr>
        <w:t>县（市）培智学校创办高中部，统筹高中段学校实施特殊教育工作。</w:t>
      </w:r>
    </w:p>
    <w:p>
      <w:pPr>
        <w:spacing w:line="600" w:lineRule="exact"/>
        <w:ind w:firstLine="642" w:firstLineChars="200"/>
        <w:rPr>
          <w:rFonts w:eastAsia="仿宋_GB2312"/>
          <w:sz w:val="32"/>
          <w:szCs w:val="32"/>
          <w:highlight w:val="none"/>
        </w:rPr>
      </w:pPr>
      <w:r>
        <w:rPr>
          <w:rStyle w:val="23"/>
          <w:highlight w:val="none"/>
        </w:rPr>
        <w:t>3.增强特殊教育发展保障能力</w:t>
      </w:r>
      <w:r>
        <w:rPr>
          <w:rFonts w:eastAsia="仿宋_GB2312"/>
          <w:b/>
          <w:sz w:val="32"/>
          <w:szCs w:val="32"/>
          <w:highlight w:val="none"/>
        </w:rPr>
        <w:t>。</w:t>
      </w:r>
      <w:r>
        <w:rPr>
          <w:rFonts w:eastAsia="仿宋_GB2312"/>
          <w:sz w:val="32"/>
          <w:szCs w:val="32"/>
          <w:highlight w:val="none"/>
        </w:rPr>
        <w:t>落实送教上门教师经费和随班就读教师的特教津贴。</w:t>
      </w:r>
      <w:r>
        <w:rPr>
          <w:rFonts w:eastAsia="仿宋_GB2312"/>
          <w:bCs/>
          <w:kern w:val="0"/>
          <w:sz w:val="32"/>
          <w:szCs w:val="32"/>
          <w:highlight w:val="none"/>
        </w:rPr>
        <w:t>拓宽特殊教育教师招聘渠道，引进医学康复、言语康复、自闭症康复、心理健康等专业师资。强化医教结合工作，加强支持性教育研究。积极</w:t>
      </w:r>
      <w:r>
        <w:rPr>
          <w:rFonts w:eastAsia="仿宋_GB2312"/>
          <w:sz w:val="32"/>
          <w:highlight w:val="none"/>
        </w:rPr>
        <w:t>开展普通学校随班就读教师、送教上门教师轮训，建立随班就读教师、随班就读班主任及随班就读学校普通教师必修特殊教育课程制度。</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pPr>
              <w:spacing w:line="600" w:lineRule="exact"/>
              <w:contextualSpacing/>
              <w:jc w:val="center"/>
              <w:rPr>
                <w:rFonts w:eastAsia="仿宋_GB2312"/>
                <w:b/>
                <w:sz w:val="28"/>
                <w:szCs w:val="32"/>
                <w:highlight w:val="none"/>
              </w:rPr>
            </w:pPr>
            <w:r>
              <w:rPr>
                <w:rFonts w:eastAsia="仿宋_GB2312"/>
                <w:b/>
                <w:sz w:val="28"/>
                <w:szCs w:val="32"/>
                <w:highlight w:val="none"/>
              </w:rPr>
              <w:t>专栏2</w:t>
            </w:r>
            <w:r>
              <w:rPr>
                <w:rFonts w:hint="eastAsia" w:eastAsia="仿宋_GB2312"/>
                <w:b/>
                <w:sz w:val="28"/>
                <w:szCs w:val="32"/>
                <w:highlight w:val="none"/>
                <w:lang w:val="en-US" w:eastAsia="zh-CN"/>
              </w:rPr>
              <w:t>8</w:t>
            </w:r>
            <w:r>
              <w:rPr>
                <w:rFonts w:eastAsia="仿宋_GB2312"/>
                <w:b/>
                <w:sz w:val="28"/>
                <w:szCs w:val="32"/>
                <w:highlight w:val="none"/>
              </w:rPr>
              <w:t>：培智学校提升工程</w:t>
            </w:r>
          </w:p>
          <w:p>
            <w:pPr>
              <w:spacing w:line="600" w:lineRule="exact"/>
              <w:ind w:firstLine="560" w:firstLineChars="200"/>
              <w:rPr>
                <w:rFonts w:eastAsia="仿宋_GB2312"/>
                <w:sz w:val="32"/>
                <w:szCs w:val="32"/>
                <w:highlight w:val="none"/>
              </w:rPr>
            </w:pPr>
            <w:r>
              <w:rPr>
                <w:rFonts w:eastAsia="仿宋_GB2312"/>
                <w:sz w:val="28"/>
                <w:szCs w:val="32"/>
                <w:highlight w:val="none"/>
              </w:rPr>
              <w:t>统筹推进全市培智学校标准化建设，大力改善办学条件，扩大办学规模，满足当地特殊儿童少年“有书读、读好书”需求，实现县（市、区）特殊教育学校标准化建设全覆盖。</w:t>
            </w:r>
          </w:p>
        </w:tc>
      </w:tr>
    </w:tbl>
    <w:p>
      <w:pPr>
        <w:spacing w:line="600" w:lineRule="exact"/>
        <w:ind w:firstLine="642" w:firstLineChars="200"/>
        <w:outlineLvl w:val="1"/>
        <w:rPr>
          <w:rFonts w:eastAsia="楷体_GB2312"/>
          <w:b/>
          <w:sz w:val="32"/>
          <w:szCs w:val="32"/>
          <w:highlight w:val="none"/>
        </w:rPr>
      </w:pPr>
      <w:bookmarkStart w:id="37" w:name="_Toc85116787"/>
      <w:r>
        <w:rPr>
          <w:rFonts w:eastAsia="楷体_GB2312"/>
          <w:b/>
          <w:sz w:val="32"/>
          <w:szCs w:val="32"/>
          <w:highlight w:val="none"/>
        </w:rPr>
        <w:t>（十四）构建全民终身学习体系</w:t>
      </w:r>
      <w:bookmarkEnd w:id="37"/>
    </w:p>
    <w:p>
      <w:pPr>
        <w:spacing w:line="600" w:lineRule="exact"/>
        <w:ind w:firstLine="640" w:firstLineChars="200"/>
        <w:rPr>
          <w:rFonts w:eastAsia="仿宋_GB2312"/>
          <w:sz w:val="32"/>
          <w:szCs w:val="32"/>
          <w:highlight w:val="none"/>
        </w:rPr>
      </w:pPr>
      <w:r>
        <w:rPr>
          <w:rFonts w:eastAsia="仿宋_GB2312"/>
          <w:sz w:val="32"/>
          <w:szCs w:val="32"/>
          <w:highlight w:val="none"/>
        </w:rPr>
        <w:t>不断完善终身学习教育体系，加快建设学习型社会，整合社会成人教育资源，</w:t>
      </w:r>
      <w:r>
        <w:rPr>
          <w:rFonts w:hint="eastAsia" w:eastAsia="仿宋_GB2312"/>
          <w:sz w:val="32"/>
          <w:szCs w:val="32"/>
          <w:highlight w:val="none"/>
        </w:rPr>
        <w:t>推动</w:t>
      </w:r>
      <w:r>
        <w:rPr>
          <w:rFonts w:eastAsia="仿宋_GB2312"/>
          <w:sz w:val="32"/>
          <w:szCs w:val="32"/>
          <w:highlight w:val="none"/>
        </w:rPr>
        <w:t>形成服务全民终身学习的发展合力。</w:t>
      </w:r>
    </w:p>
    <w:p>
      <w:pPr>
        <w:spacing w:line="600" w:lineRule="exact"/>
        <w:ind w:firstLine="642" w:firstLineChars="200"/>
        <w:rPr>
          <w:rFonts w:eastAsia="仿宋_GB2312"/>
          <w:sz w:val="32"/>
          <w:szCs w:val="32"/>
          <w:highlight w:val="none"/>
        </w:rPr>
      </w:pPr>
      <w:r>
        <w:rPr>
          <w:rStyle w:val="23"/>
          <w:highlight w:val="none"/>
        </w:rPr>
        <w:t>1.健全社区教育网络</w:t>
      </w:r>
      <w:r>
        <w:rPr>
          <w:rFonts w:eastAsia="仿宋_GB2312"/>
          <w:b/>
          <w:sz w:val="32"/>
          <w:szCs w:val="32"/>
          <w:highlight w:val="none"/>
        </w:rPr>
        <w:t>。</w:t>
      </w:r>
      <w:r>
        <w:rPr>
          <w:rFonts w:eastAsia="仿宋_GB2312"/>
          <w:sz w:val="32"/>
          <w:szCs w:val="32"/>
          <w:highlight w:val="none"/>
        </w:rPr>
        <w:t>明确社区学校职能定位，制定社区教育工作者岗位规范，探索解决社区教育工作者职称评审和待遇问题，扩大社区教育资源供给，培育50个省市级学习型社区，建成省现代化社区学校15所。</w:t>
      </w:r>
    </w:p>
    <w:p>
      <w:pPr>
        <w:spacing w:line="600" w:lineRule="exact"/>
        <w:ind w:firstLine="642" w:firstLineChars="200"/>
        <w:rPr>
          <w:rFonts w:eastAsia="仿宋_GB2312"/>
          <w:sz w:val="32"/>
          <w:szCs w:val="32"/>
          <w:highlight w:val="none"/>
        </w:rPr>
      </w:pPr>
      <w:r>
        <w:rPr>
          <w:rStyle w:val="23"/>
          <w:highlight w:val="none"/>
        </w:rPr>
        <w:t>2.推进职工继续教育</w:t>
      </w:r>
      <w:r>
        <w:rPr>
          <w:rFonts w:eastAsia="仿宋_GB2312"/>
          <w:b/>
          <w:sz w:val="32"/>
          <w:szCs w:val="32"/>
          <w:highlight w:val="none"/>
        </w:rPr>
        <w:t>。</w:t>
      </w:r>
      <w:r>
        <w:rPr>
          <w:rFonts w:eastAsia="仿宋_GB2312"/>
          <w:sz w:val="32"/>
          <w:szCs w:val="32"/>
          <w:highlight w:val="none"/>
        </w:rPr>
        <w:t>发挥院校的继续教育与社会培训服务功能，开展对社会各类人员的技能培训及继续教育，积极推进家政服务、养老护理等人员的培养培训工作，各中等职业学校年培训量保持在全日制学生数的1.2倍以上。到2025年，每所中等职业学校开设10门以上社区课程。</w:t>
      </w:r>
      <w:r>
        <w:rPr>
          <w:rFonts w:hint="eastAsia" w:eastAsia="仿宋_GB2312"/>
          <w:sz w:val="32"/>
          <w:szCs w:val="32"/>
          <w:highlight w:val="none"/>
        </w:rPr>
        <w:t>加强新型农民培养和培训，助力乡村人才队伍建设。</w:t>
      </w:r>
    </w:p>
    <w:p>
      <w:pPr>
        <w:spacing w:line="600" w:lineRule="exact"/>
        <w:ind w:firstLine="645"/>
        <w:rPr>
          <w:rFonts w:eastAsia="仿宋_GB2312"/>
          <w:sz w:val="32"/>
          <w:szCs w:val="32"/>
          <w:highlight w:val="none"/>
        </w:rPr>
      </w:pPr>
      <w:r>
        <w:rPr>
          <w:rStyle w:val="23"/>
          <w:highlight w:val="none"/>
        </w:rPr>
        <w:t>3.大力发展老年教育</w:t>
      </w:r>
      <w:r>
        <w:rPr>
          <w:rFonts w:eastAsia="仿宋_GB2312"/>
          <w:b/>
          <w:sz w:val="32"/>
          <w:szCs w:val="32"/>
          <w:highlight w:val="none"/>
        </w:rPr>
        <w:t>。</w:t>
      </w:r>
      <w:bookmarkStart w:id="38" w:name="_Toc19488"/>
      <w:r>
        <w:rPr>
          <w:rFonts w:eastAsia="仿宋_GB2312"/>
          <w:sz w:val="32"/>
          <w:szCs w:val="32"/>
          <w:highlight w:val="none"/>
        </w:rPr>
        <w:t>依托丽水老年开放大学，加快发展城乡社区老年教育，培育40所老年教育示范校（学堂），经常性参加老年教育人口比例达到25%。运用“第三年龄学堂”平台，引导老年人网上学习，老年学位培训成果全部存入学分银行，全年存入学分银行学习成果数（按人次计）比例达到本地常住人口数的14%。</w:t>
      </w:r>
      <w:bookmarkEnd w:id="38"/>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pPr>
              <w:spacing w:line="600" w:lineRule="exact"/>
              <w:contextualSpacing/>
              <w:jc w:val="center"/>
              <w:rPr>
                <w:rFonts w:eastAsia="仿宋_GB2312"/>
                <w:b/>
                <w:sz w:val="28"/>
                <w:szCs w:val="28"/>
                <w:highlight w:val="none"/>
              </w:rPr>
            </w:pPr>
            <w:r>
              <w:rPr>
                <w:rFonts w:eastAsia="仿宋_GB2312"/>
                <w:b/>
                <w:sz w:val="28"/>
                <w:szCs w:val="28"/>
                <w:highlight w:val="none"/>
              </w:rPr>
              <w:t>专栏2</w:t>
            </w:r>
            <w:r>
              <w:rPr>
                <w:rFonts w:hint="eastAsia" w:eastAsia="仿宋_GB2312"/>
                <w:b/>
                <w:sz w:val="28"/>
                <w:szCs w:val="28"/>
                <w:highlight w:val="none"/>
                <w:lang w:val="en-US" w:eastAsia="zh-CN"/>
              </w:rPr>
              <w:t>9</w:t>
            </w:r>
            <w:r>
              <w:rPr>
                <w:rFonts w:eastAsia="仿宋_GB2312"/>
                <w:b/>
                <w:sz w:val="28"/>
                <w:szCs w:val="28"/>
                <w:highlight w:val="none"/>
              </w:rPr>
              <w:t>：社会培训服务</w:t>
            </w:r>
          </w:p>
          <w:p>
            <w:pPr>
              <w:spacing w:line="600" w:lineRule="exact"/>
              <w:ind w:firstLine="560" w:firstLineChars="200"/>
              <w:contextualSpacing/>
              <w:jc w:val="left"/>
              <w:rPr>
                <w:rFonts w:eastAsia="仿宋_GB2312"/>
                <w:sz w:val="28"/>
                <w:szCs w:val="28"/>
                <w:highlight w:val="none"/>
              </w:rPr>
            </w:pPr>
            <w:r>
              <w:rPr>
                <w:rFonts w:eastAsia="仿宋_GB2312"/>
                <w:sz w:val="28"/>
                <w:szCs w:val="28"/>
                <w:highlight w:val="none"/>
              </w:rPr>
              <w:t>通过联席会议制度，整合社会成人教育资源，充分利用浙江终身学习在线、第三年龄学堂、浙里学、浙里养等在线学习平台，建立线上线下培训服务平台，提供菜单式培训，每年培训20万人次。</w:t>
            </w:r>
          </w:p>
        </w:tc>
      </w:tr>
    </w:tbl>
    <w:p>
      <w:pPr>
        <w:spacing w:line="600" w:lineRule="exact"/>
        <w:ind w:firstLine="642" w:firstLineChars="200"/>
        <w:outlineLvl w:val="1"/>
        <w:rPr>
          <w:rFonts w:eastAsia="楷体_GB2312"/>
          <w:b/>
          <w:sz w:val="32"/>
          <w:szCs w:val="32"/>
          <w:highlight w:val="none"/>
        </w:rPr>
      </w:pPr>
      <w:bookmarkStart w:id="39" w:name="_Toc85116788"/>
      <w:r>
        <w:rPr>
          <w:rFonts w:eastAsia="楷体_GB2312"/>
          <w:b/>
          <w:sz w:val="32"/>
          <w:szCs w:val="32"/>
          <w:highlight w:val="none"/>
        </w:rPr>
        <w:t>（十五）促进民办教育规范健康发展</w:t>
      </w:r>
      <w:bookmarkEnd w:id="39"/>
    </w:p>
    <w:p>
      <w:pPr>
        <w:spacing w:line="600" w:lineRule="exact"/>
        <w:ind w:firstLine="640" w:firstLineChars="200"/>
        <w:rPr>
          <w:rFonts w:eastAsia="仿宋_GB2312"/>
          <w:bCs/>
          <w:kern w:val="36"/>
          <w:sz w:val="32"/>
          <w:szCs w:val="32"/>
          <w:highlight w:val="none"/>
        </w:rPr>
      </w:pPr>
      <w:bookmarkStart w:id="40" w:name="_Toc63173899"/>
      <w:r>
        <w:rPr>
          <w:rFonts w:hint="eastAsia" w:eastAsia="仿宋_GB2312"/>
          <w:bCs/>
          <w:kern w:val="36"/>
          <w:sz w:val="32"/>
          <w:szCs w:val="32"/>
          <w:highlight w:val="none"/>
        </w:rPr>
        <w:t>按照支持与规范并举原则，全面推行民办教育分类管理，规范民办学校办学行为，加强民办学校和校外培训机构监管，推动民办教育健康发展。</w:t>
      </w:r>
    </w:p>
    <w:p>
      <w:pPr>
        <w:spacing w:line="600" w:lineRule="exact"/>
        <w:ind w:firstLine="642" w:firstLineChars="200"/>
        <w:rPr>
          <w:rFonts w:eastAsia="仿宋_GB2312"/>
          <w:sz w:val="32"/>
          <w:szCs w:val="32"/>
          <w:highlight w:val="none"/>
        </w:rPr>
      </w:pPr>
      <w:r>
        <w:rPr>
          <w:rStyle w:val="23"/>
          <w:highlight w:val="none"/>
        </w:rPr>
        <w:t>1.</w:t>
      </w:r>
      <w:bookmarkEnd w:id="40"/>
      <w:r>
        <w:rPr>
          <w:rFonts w:eastAsia="仿宋_GB2312"/>
          <w:b/>
          <w:sz w:val="32"/>
          <w:szCs w:val="32"/>
          <w:highlight w:val="none"/>
        </w:rPr>
        <w:t>推进分类登记管理。</w:t>
      </w:r>
      <w:r>
        <w:rPr>
          <w:rFonts w:eastAsia="仿宋_GB2312"/>
          <w:bCs/>
          <w:kern w:val="36"/>
          <w:sz w:val="32"/>
          <w:szCs w:val="32"/>
          <w:highlight w:val="none"/>
        </w:rPr>
        <w:t>贯彻落实《中华人民共和国民办教育促进法实施条例》，支持和规范民办教育发展，鼓励、引导民办学校提高质量、办出特色，满足多样化教育需求。</w:t>
      </w:r>
      <w:r>
        <w:rPr>
          <w:rFonts w:eastAsia="仿宋_GB2312"/>
          <w:sz w:val="32"/>
          <w:szCs w:val="32"/>
          <w:highlight w:val="none"/>
        </w:rPr>
        <w:t>出台《丽水市民办学校分类登记管理办法》，实施营利性民办学校和非营利性民办学校分类管理，实施差别化的政策，对非营利性民办学校加大扶持力度，到2022年底前完成分类登记。建立符合</w:t>
      </w:r>
      <w:r>
        <w:rPr>
          <w:rFonts w:hint="eastAsia" w:eastAsia="仿宋_GB2312"/>
          <w:sz w:val="32"/>
          <w:szCs w:val="32"/>
          <w:highlight w:val="none"/>
        </w:rPr>
        <w:t>各类</w:t>
      </w:r>
      <w:r>
        <w:rPr>
          <w:rFonts w:eastAsia="仿宋_GB2312"/>
          <w:sz w:val="32"/>
          <w:szCs w:val="32"/>
          <w:highlight w:val="none"/>
        </w:rPr>
        <w:t>民办学校特点的人事管理体制，大力推行民办学校教师编制报备员额制度。积极引导民办学校树立正确的办学理念，把立德树人作为办学首要任务，创新人才培养和育人模式，努力形成学校办学特色，更好地满足人民日益增长的多样教育需求。</w:t>
      </w:r>
    </w:p>
    <w:p>
      <w:pPr>
        <w:spacing w:line="600" w:lineRule="exact"/>
        <w:ind w:firstLine="642" w:firstLineChars="200"/>
        <w:rPr>
          <w:rFonts w:eastAsia="仿宋_GB2312"/>
          <w:sz w:val="32"/>
          <w:szCs w:val="32"/>
          <w:highlight w:val="none"/>
        </w:rPr>
      </w:pPr>
      <w:r>
        <w:rPr>
          <w:rStyle w:val="23"/>
          <w:highlight w:val="none"/>
        </w:rPr>
        <w:t>2.规范民办学校办学行为</w:t>
      </w:r>
      <w:r>
        <w:rPr>
          <w:rFonts w:eastAsia="仿宋_GB2312"/>
          <w:b/>
          <w:sz w:val="32"/>
          <w:szCs w:val="32"/>
          <w:highlight w:val="none"/>
        </w:rPr>
        <w:t>。</w:t>
      </w:r>
      <w:r>
        <w:rPr>
          <w:rFonts w:eastAsia="仿宋_GB2312"/>
          <w:bCs/>
          <w:kern w:val="36"/>
          <w:sz w:val="32"/>
          <w:szCs w:val="32"/>
          <w:highlight w:val="none"/>
        </w:rPr>
        <w:t>落实中办国办《关于规范民办义务教育发展的意见》，优化民办义务教育学校布局，</w:t>
      </w:r>
      <w:r>
        <w:rPr>
          <w:rFonts w:hint="eastAsia" w:eastAsia="仿宋_GB2312"/>
          <w:bCs/>
          <w:kern w:val="36"/>
          <w:sz w:val="32"/>
          <w:szCs w:val="32"/>
          <w:highlight w:val="none"/>
          <w:lang w:eastAsia="zh-CN"/>
        </w:rPr>
        <w:t>按要求控制</w:t>
      </w:r>
      <w:r>
        <w:rPr>
          <w:rFonts w:eastAsia="仿宋_GB2312"/>
          <w:bCs/>
          <w:kern w:val="36"/>
          <w:sz w:val="32"/>
          <w:szCs w:val="32"/>
          <w:highlight w:val="none"/>
        </w:rPr>
        <w:t>民办义务教育在校生比例。</w:t>
      </w:r>
      <w:r>
        <w:rPr>
          <w:rFonts w:eastAsia="仿宋_GB2312"/>
          <w:sz w:val="32"/>
          <w:szCs w:val="32"/>
          <w:highlight w:val="none"/>
        </w:rPr>
        <w:t>督促民办学校依法制定章程，按规定建立董事会或理事会、行政机构和监事会，建立健全民办学校内部决策、执行和监督机制，实行举办者与办学者相分离，实现民办学校内部科学、民主管理。制定出台《丽水市民办学校资金管理办法》，建立与银行联手监控学校资金机制。健全部门沟通联络机制，建立定期通报制度，通过“互联网+”等智能手段改进和提高管理服务水平。定期表彰奖励为民办教育改革发展作出突出贡献的先进集体和个人，总结宣传民办教育先进典型。</w:t>
      </w:r>
    </w:p>
    <w:p>
      <w:pPr>
        <w:spacing w:line="600" w:lineRule="exact"/>
        <w:ind w:firstLine="642" w:firstLineChars="200"/>
        <w:rPr>
          <w:rFonts w:eastAsia="仿宋_GB2312"/>
          <w:sz w:val="32"/>
          <w:szCs w:val="32"/>
          <w:highlight w:val="none"/>
        </w:rPr>
      </w:pPr>
      <w:r>
        <w:rPr>
          <w:rFonts w:eastAsia="仿宋_GB2312"/>
          <w:b/>
          <w:sz w:val="32"/>
          <w:szCs w:val="32"/>
          <w:highlight w:val="none"/>
        </w:rPr>
        <w:t>3.强化校外培训机构监管。</w:t>
      </w:r>
      <w:r>
        <w:rPr>
          <w:rFonts w:eastAsia="仿宋_GB2312"/>
          <w:bCs/>
          <w:kern w:val="36"/>
          <w:sz w:val="32"/>
          <w:szCs w:val="32"/>
          <w:highlight w:val="none"/>
        </w:rPr>
        <w:t>落实中央关于“双减”工作要求，停止审批新的面向义务教育阶段学生的学科类校外培训机构，将现有学科类培训机构统一登记为非营利性机构，严禁校外培训机构占用国家法定节假日、休息日及寒暑假期组织学科类培训</w:t>
      </w:r>
      <w:r>
        <w:rPr>
          <w:rFonts w:eastAsia="仿宋_GB2312"/>
          <w:sz w:val="32"/>
          <w:szCs w:val="32"/>
          <w:highlight w:val="none"/>
        </w:rPr>
        <w:t>，切实减轻学生校外培训负担。</w:t>
      </w:r>
      <w:r>
        <w:rPr>
          <w:rFonts w:eastAsia="仿宋_GB2312"/>
          <w:bCs/>
          <w:kern w:val="36"/>
          <w:sz w:val="32"/>
          <w:szCs w:val="32"/>
          <w:highlight w:val="none"/>
        </w:rPr>
        <w:t>积极治理校外培训机构存在的证照不全、违规进行学科类培训、超时教学、虚假宣传、违规代理招生等问题。</w:t>
      </w:r>
      <w:r>
        <w:rPr>
          <w:rFonts w:eastAsia="仿宋_GB2312"/>
          <w:sz w:val="32"/>
          <w:szCs w:val="32"/>
          <w:highlight w:val="none"/>
        </w:rPr>
        <w:t>建立校外培训机构长效管理机制，搭建信息化管理平台，实现对校外培训机构的办学审批、广告宣传、师资建设、教学质量、服务质量、诚信评价等全生命周期管理。完善科学化监管机制，全面开展校外培训机构资金监管。开展校外培训机构办学水平分等定级评估。</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pPr>
              <w:spacing w:line="600" w:lineRule="exact"/>
              <w:contextualSpacing/>
              <w:jc w:val="center"/>
              <w:rPr>
                <w:rFonts w:eastAsia="仿宋_GB2312"/>
                <w:b/>
                <w:sz w:val="28"/>
                <w:szCs w:val="32"/>
                <w:highlight w:val="none"/>
              </w:rPr>
            </w:pPr>
            <w:r>
              <w:rPr>
                <w:rFonts w:eastAsia="仿宋_GB2312"/>
                <w:b/>
                <w:sz w:val="28"/>
                <w:szCs w:val="32"/>
                <w:highlight w:val="none"/>
              </w:rPr>
              <w:t>专栏</w:t>
            </w:r>
            <w:r>
              <w:rPr>
                <w:rFonts w:hint="eastAsia" w:eastAsia="仿宋_GB2312"/>
                <w:b/>
                <w:sz w:val="28"/>
                <w:szCs w:val="32"/>
                <w:highlight w:val="none"/>
                <w:lang w:val="en-US" w:eastAsia="zh-CN"/>
              </w:rPr>
              <w:t>30</w:t>
            </w:r>
            <w:r>
              <w:rPr>
                <w:rFonts w:eastAsia="仿宋_GB2312"/>
                <w:b/>
                <w:sz w:val="28"/>
                <w:szCs w:val="32"/>
                <w:highlight w:val="none"/>
              </w:rPr>
              <w:t>：全面实施民办教育机构的智能监管</w:t>
            </w:r>
          </w:p>
          <w:p>
            <w:pPr>
              <w:spacing w:line="600" w:lineRule="exact"/>
              <w:ind w:firstLine="548" w:firstLineChars="196"/>
              <w:rPr>
                <w:rFonts w:eastAsia="仿宋_GB2312"/>
                <w:sz w:val="32"/>
                <w:szCs w:val="32"/>
                <w:highlight w:val="none"/>
              </w:rPr>
            </w:pPr>
            <w:r>
              <w:rPr>
                <w:rFonts w:eastAsia="仿宋_GB2312"/>
                <w:sz w:val="28"/>
                <w:szCs w:val="32"/>
                <w:highlight w:val="none"/>
              </w:rPr>
              <w:t>积极构建“互联网+教育监管”平台，推动教育部门对民办教育机构的监管，由教育监管向部门共管转变、由传统监管向智能监管转变。</w:t>
            </w:r>
          </w:p>
        </w:tc>
      </w:tr>
    </w:tbl>
    <w:p>
      <w:pPr>
        <w:spacing w:line="600" w:lineRule="exact"/>
        <w:ind w:firstLine="640" w:firstLineChars="200"/>
        <w:outlineLvl w:val="0"/>
        <w:rPr>
          <w:rFonts w:eastAsia="黑体"/>
          <w:sz w:val="32"/>
          <w:szCs w:val="32"/>
          <w:highlight w:val="none"/>
        </w:rPr>
      </w:pPr>
      <w:bookmarkStart w:id="41" w:name="_Toc63173930"/>
      <w:bookmarkStart w:id="42" w:name="_Toc85116789"/>
      <w:r>
        <w:rPr>
          <w:rFonts w:eastAsia="黑体"/>
          <w:sz w:val="32"/>
          <w:szCs w:val="32"/>
          <w:highlight w:val="none"/>
        </w:rPr>
        <w:t>四、保障措施</w:t>
      </w:r>
      <w:bookmarkEnd w:id="41"/>
      <w:bookmarkEnd w:id="42"/>
    </w:p>
    <w:p>
      <w:pPr>
        <w:pStyle w:val="27"/>
        <w:spacing w:line="600" w:lineRule="exact"/>
        <w:ind w:firstLine="629" w:firstLineChars="196"/>
        <w:rPr>
          <w:rFonts w:ascii="Times New Roman" w:hAnsi="Times New Roman" w:eastAsia="仿宋_GB2312"/>
          <w:sz w:val="32"/>
          <w:szCs w:val="32"/>
          <w:highlight w:val="none"/>
        </w:rPr>
      </w:pPr>
      <w:bookmarkStart w:id="43" w:name="_Toc85116790"/>
      <w:r>
        <w:rPr>
          <w:rStyle w:val="22"/>
          <w:rFonts w:ascii="Times New Roman" w:hAnsi="Times New Roman" w:eastAsia="楷体_GB2312"/>
          <w:highlight w:val="none"/>
        </w:rPr>
        <w:t>（一）强化党的领导</w:t>
      </w:r>
      <w:bookmarkEnd w:id="43"/>
      <w:r>
        <w:rPr>
          <w:rFonts w:ascii="Times New Roman" w:hAnsi="Times New Roman" w:eastAsia="楷体_GB2312"/>
          <w:b/>
          <w:sz w:val="32"/>
          <w:szCs w:val="32"/>
          <w:highlight w:val="none"/>
        </w:rPr>
        <w:t>。</w:t>
      </w:r>
      <w:r>
        <w:rPr>
          <w:rFonts w:ascii="Times New Roman" w:hAnsi="Times New Roman" w:eastAsia="仿宋_GB2312"/>
          <w:sz w:val="32"/>
          <w:szCs w:val="32"/>
          <w:highlight w:val="none"/>
        </w:rPr>
        <w:t>全面加强党对教育工作的领导，完善党委教育工作领导小组的组织体系和工作机制。进一步强化党的政治建设，坚持不懈用习近平新时代中国特色社会主义思想武装头脑、指导实践、推动工作，全面开展党史学习教育，学史明理、学史增信、学史崇德、学史力行。充分发挥中小学校党组织的政治核心作用，扎实推进中小学校党组织领导下的校长负责制，明确学校党组织把方向、管大局、做决策、抓班子、带队伍、保落实的领导职责，厘清学校党组织与学校行政的关系，形成新的学校领导体制和管理机制。牢牢把握教育领域意识形态工作领导权，强化学校教育教学活动的政治导向。全面提升中小学校党组织建设水平，推进党组织和党的工作有效覆盖，选优配强党组织书记，健全把骨干教师培养成党员、把党员教师培养成教学管理骨干的“双培养”机制。深入推进“清廉学校”示范校、“清廉食堂”典型样本校建设，把学校食堂打造成为安全食堂、清廉食堂、营养食堂、美味食堂。</w:t>
      </w:r>
      <w:r>
        <w:rPr>
          <w:rFonts w:hint="eastAsia" w:ascii="Times New Roman" w:hAnsi="Times New Roman" w:eastAsia="仿宋_GB2312"/>
          <w:sz w:val="32"/>
          <w:szCs w:val="32"/>
          <w:highlight w:val="none"/>
        </w:rPr>
        <w:t>加强学校群团组织建设，推进“红领巾学院”建设。</w:t>
      </w:r>
    </w:p>
    <w:p>
      <w:pPr>
        <w:pStyle w:val="27"/>
        <w:spacing w:line="600" w:lineRule="exact"/>
        <w:ind w:firstLine="629" w:firstLineChars="196"/>
        <w:rPr>
          <w:rFonts w:ascii="Times New Roman" w:hAnsi="Times New Roman" w:eastAsia="仿宋_GB2312"/>
          <w:sz w:val="32"/>
          <w:szCs w:val="32"/>
          <w:highlight w:val="none"/>
        </w:rPr>
      </w:pPr>
      <w:bookmarkStart w:id="44" w:name="_Toc85116791"/>
      <w:r>
        <w:rPr>
          <w:rStyle w:val="22"/>
          <w:rFonts w:ascii="Times New Roman" w:hAnsi="Times New Roman" w:eastAsia="楷体_GB2312"/>
          <w:highlight w:val="none"/>
        </w:rPr>
        <w:t>（二）强化依法治教</w:t>
      </w:r>
      <w:bookmarkEnd w:id="44"/>
      <w:r>
        <w:rPr>
          <w:rFonts w:ascii="Times New Roman" w:hAnsi="Times New Roman" w:eastAsia="楷体_GB2312"/>
          <w:b/>
          <w:sz w:val="32"/>
          <w:szCs w:val="32"/>
          <w:highlight w:val="none"/>
        </w:rPr>
        <w:t>。</w:t>
      </w:r>
      <w:r>
        <w:rPr>
          <w:rFonts w:ascii="Times New Roman" w:hAnsi="Times New Roman" w:eastAsia="仿宋_GB2312"/>
          <w:sz w:val="32"/>
          <w:szCs w:val="32"/>
          <w:highlight w:val="none"/>
        </w:rPr>
        <w:t>推进教育领域重大决策科学化民主化法治化建设，完善公众参与、专家论证、风险评估等重要教育决策法定程序。加强教育行政执法工作，健全依法行政机制，完善教育制度实施体系。加强青少年法治教育，提高教育系统普法水平，全面提升广大教师和学生的法治意识。全面推进依法治校，提升学校内部治理水平，健全学校教代会、工会等参与和监督的有效机制。推进教育管理改革，创新教育管理体制机制。</w:t>
      </w:r>
    </w:p>
    <w:p>
      <w:pPr>
        <w:pStyle w:val="27"/>
        <w:spacing w:line="600" w:lineRule="exact"/>
        <w:ind w:firstLine="629" w:firstLineChars="196"/>
        <w:rPr>
          <w:rFonts w:ascii="Times New Roman" w:hAnsi="Times New Roman" w:eastAsia="仿宋_GB2312"/>
          <w:sz w:val="32"/>
          <w:szCs w:val="32"/>
          <w:highlight w:val="none"/>
        </w:rPr>
      </w:pPr>
      <w:bookmarkStart w:id="45" w:name="_Toc85116792"/>
      <w:r>
        <w:rPr>
          <w:rStyle w:val="22"/>
          <w:rFonts w:ascii="Times New Roman" w:hAnsi="Times New Roman" w:eastAsia="楷体_GB2312"/>
          <w:highlight w:val="none"/>
        </w:rPr>
        <w:t>（三）强化要素保障</w:t>
      </w:r>
      <w:bookmarkEnd w:id="45"/>
      <w:r>
        <w:rPr>
          <w:rFonts w:ascii="Times New Roman" w:hAnsi="Times New Roman" w:eastAsia="楷体_GB2312"/>
          <w:b/>
          <w:sz w:val="32"/>
          <w:szCs w:val="32"/>
          <w:highlight w:val="none"/>
        </w:rPr>
        <w:t>。</w:t>
      </w:r>
      <w:r>
        <w:rPr>
          <w:rFonts w:ascii="Times New Roman" w:hAnsi="Times New Roman" w:eastAsia="仿宋_GB2312"/>
          <w:sz w:val="32"/>
          <w:szCs w:val="32"/>
          <w:highlight w:val="none"/>
        </w:rPr>
        <w:t>强化政府履行优先发展教育事业的职责，各地要切实抓好教育各项任务的落实，在经济社会发展规划上优先安排教育、财政资金投入上优先保障教育、公共资源配置上优先满足教育和人力资源开发需要。各部门要统筹协同，充分发挥职能作用，协调解决教育改革发展的重大问题，为教育现代化建设提供有力支撑、创造有利条件。加大对教育经费的投入，健全教育财政投入保障机制，建立各级各类教育的成本分担机制，落实“两个只增不减”。加强对各类事业编制的统筹，优先向教师队伍倾斜。</w:t>
      </w:r>
    </w:p>
    <w:p>
      <w:pPr>
        <w:pStyle w:val="27"/>
        <w:spacing w:line="600" w:lineRule="exact"/>
        <w:ind w:firstLine="629" w:firstLineChars="196"/>
        <w:rPr>
          <w:rFonts w:ascii="Times New Roman" w:hAnsi="Times New Roman" w:eastAsia="仿宋_GB2312"/>
          <w:sz w:val="32"/>
          <w:szCs w:val="32"/>
          <w:highlight w:val="none"/>
        </w:rPr>
      </w:pPr>
      <w:bookmarkStart w:id="46" w:name="_Toc85116793"/>
      <w:r>
        <w:rPr>
          <w:rStyle w:val="22"/>
          <w:rFonts w:ascii="Times New Roman" w:hAnsi="Times New Roman" w:eastAsia="楷体_GB2312"/>
          <w:highlight w:val="none"/>
        </w:rPr>
        <w:t>（四）强化规划实施</w:t>
      </w:r>
      <w:bookmarkEnd w:id="46"/>
      <w:r>
        <w:rPr>
          <w:rFonts w:ascii="Times New Roman" w:hAnsi="Times New Roman" w:eastAsia="楷体_GB2312"/>
          <w:b/>
          <w:sz w:val="32"/>
          <w:szCs w:val="32"/>
          <w:highlight w:val="none"/>
        </w:rPr>
        <w:t>。</w:t>
      </w:r>
      <w:r>
        <w:rPr>
          <w:rFonts w:ascii="Times New Roman" w:hAnsi="Times New Roman" w:eastAsia="仿宋_GB2312"/>
          <w:sz w:val="32"/>
          <w:szCs w:val="32"/>
          <w:highlight w:val="none"/>
        </w:rPr>
        <w:t>加强对规划实施的组织，分解目标任务，明确职责分工，将相关任务列入年度工作计划，建立规划年度监测分析、中期评价和总结评估机制，确保规划落地见效。发挥教育督导职能，健全督政、督学、评估监测三位一体的教育督导体系。建立教育规划实施督查制度，及时跟踪督促教育规划进展，健全教育督导问责机制，确保教育督导“长牙齿”。动员社会各方力量共同关心和支持教育，大力弘扬尊师重教的良好风尚，为教育规划实施营造良好的社会环境。</w:t>
      </w:r>
    </w:p>
    <w:p>
      <w:pPr>
        <w:pStyle w:val="27"/>
        <w:spacing w:line="600" w:lineRule="exact"/>
        <w:ind w:firstLine="627" w:firstLineChars="196"/>
        <w:rPr>
          <w:rFonts w:ascii="Times New Roman" w:hAnsi="Times New Roman" w:eastAsia="仿宋_GB2312"/>
          <w:sz w:val="32"/>
          <w:szCs w:val="32"/>
          <w:highlight w:val="none"/>
        </w:rPr>
      </w:pPr>
    </w:p>
    <w:p>
      <w:pPr>
        <w:pStyle w:val="27"/>
        <w:spacing w:line="600" w:lineRule="exact"/>
        <w:ind w:firstLine="627" w:firstLineChars="196"/>
        <w:rPr>
          <w:rFonts w:ascii="Times New Roman" w:hAnsi="Times New Roman" w:eastAsia="仿宋_GB2312"/>
          <w:sz w:val="32"/>
          <w:szCs w:val="32"/>
          <w:highlight w:val="none"/>
        </w:rPr>
      </w:pPr>
      <w:r>
        <w:rPr>
          <w:rFonts w:ascii="Times New Roman" w:hAnsi="Times New Roman" w:eastAsia="仿宋_GB2312"/>
          <w:sz w:val="32"/>
          <w:szCs w:val="32"/>
          <w:highlight w:val="none"/>
        </w:rPr>
        <w:t>附件：丽水市教育“十四五”规划项目清单</w:t>
      </w:r>
    </w:p>
    <w:p>
      <w:pPr>
        <w:pStyle w:val="27"/>
        <w:spacing w:line="580" w:lineRule="exact"/>
        <w:ind w:firstLine="627" w:firstLineChars="196"/>
        <w:rPr>
          <w:rFonts w:ascii="Times New Roman" w:hAnsi="Times New Roman" w:eastAsia="仿宋_GB2312"/>
          <w:sz w:val="32"/>
          <w:szCs w:val="32"/>
          <w:highlight w:val="none"/>
        </w:rPr>
        <w:sectPr>
          <w:footerReference r:id="rId5" w:type="default"/>
          <w:pgSz w:w="11906" w:h="16838"/>
          <w:pgMar w:top="1440" w:right="1797" w:bottom="1440" w:left="1797" w:header="851" w:footer="992" w:gutter="0"/>
          <w:pgNumType w:start="1"/>
          <w:cols w:space="425" w:num="1"/>
          <w:docGrid w:linePitch="312" w:charSpace="0"/>
        </w:sectPr>
      </w:pPr>
    </w:p>
    <w:p>
      <w:pPr>
        <w:pStyle w:val="27"/>
        <w:spacing w:line="600" w:lineRule="exact"/>
        <w:jc w:val="center"/>
        <w:rPr>
          <w:rFonts w:hint="eastAsia" w:ascii="方正小标宋简体" w:hAnsi="宋体" w:eastAsia="方正小标宋简体" w:cs="宋体"/>
          <w:bCs/>
          <w:kern w:val="0"/>
          <w:sz w:val="36"/>
          <w:szCs w:val="36"/>
          <w:highlight w:val="none"/>
        </w:rPr>
      </w:pPr>
      <w:bookmarkStart w:id="47" w:name="RANGE!A1:R92"/>
      <w:r>
        <w:rPr>
          <w:rFonts w:hint="eastAsia" w:ascii="方正小标宋简体" w:hAnsi="宋体" w:eastAsia="方正小标宋简体" w:cs="宋体"/>
          <w:bCs/>
          <w:kern w:val="0"/>
          <w:sz w:val="36"/>
          <w:szCs w:val="36"/>
          <w:highlight w:val="none"/>
        </w:rPr>
        <w:t>丽水市中心城区“十四五”教育项目清单</w:t>
      </w:r>
      <w:bookmarkEnd w:id="47"/>
    </w:p>
    <w:p>
      <w:pPr>
        <w:pStyle w:val="27"/>
        <w:spacing w:line="240" w:lineRule="exact"/>
        <w:jc w:val="center"/>
        <w:rPr>
          <w:rFonts w:ascii="Times New Roman" w:hAnsi="Times New Roman" w:eastAsia="仿宋_GB2312"/>
          <w:sz w:val="32"/>
          <w:szCs w:val="32"/>
          <w:highlight w:val="none"/>
        </w:rPr>
      </w:pPr>
    </w:p>
    <w:tbl>
      <w:tblPr>
        <w:tblStyle w:val="14"/>
        <w:tblW w:w="15409" w:type="dxa"/>
        <w:jc w:val="center"/>
        <w:tblLayout w:type="fixed"/>
        <w:tblCellMar>
          <w:top w:w="0" w:type="dxa"/>
          <w:left w:w="108" w:type="dxa"/>
          <w:bottom w:w="0" w:type="dxa"/>
          <w:right w:w="108" w:type="dxa"/>
        </w:tblCellMar>
      </w:tblPr>
      <w:tblGrid>
        <w:gridCol w:w="433"/>
        <w:gridCol w:w="1375"/>
        <w:gridCol w:w="928"/>
        <w:gridCol w:w="3199"/>
        <w:gridCol w:w="991"/>
        <w:gridCol w:w="683"/>
        <w:gridCol w:w="1105"/>
        <w:gridCol w:w="1105"/>
        <w:gridCol w:w="1085"/>
        <w:gridCol w:w="988"/>
        <w:gridCol w:w="728"/>
        <w:gridCol w:w="880"/>
        <w:gridCol w:w="669"/>
        <w:gridCol w:w="668"/>
        <w:gridCol w:w="572"/>
      </w:tblGrid>
      <w:tr>
        <w:tblPrEx>
          <w:tblCellMar>
            <w:top w:w="0" w:type="dxa"/>
            <w:left w:w="108" w:type="dxa"/>
            <w:bottom w:w="0" w:type="dxa"/>
            <w:right w:w="108" w:type="dxa"/>
          </w:tblCellMar>
        </w:tblPrEx>
        <w:trPr>
          <w:trHeight w:val="836" w:hRule="atLeast"/>
          <w:jc w:val="center"/>
        </w:trPr>
        <w:tc>
          <w:tcPr>
            <w:tcW w:w="433"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序号</w:t>
            </w:r>
          </w:p>
        </w:tc>
        <w:tc>
          <w:tcPr>
            <w:tcW w:w="1375" w:type="dxa"/>
            <w:tcBorders>
              <w:top w:val="single" w:color="auto" w:sz="4" w:space="0"/>
              <w:left w:val="nil"/>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项目名称</w:t>
            </w:r>
          </w:p>
        </w:tc>
        <w:tc>
          <w:tcPr>
            <w:tcW w:w="928" w:type="dxa"/>
            <w:tcBorders>
              <w:top w:val="single" w:color="auto" w:sz="4" w:space="0"/>
              <w:left w:val="nil"/>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学段</w:t>
            </w:r>
          </w:p>
        </w:tc>
        <w:tc>
          <w:tcPr>
            <w:tcW w:w="3199" w:type="dxa"/>
            <w:tcBorders>
              <w:top w:val="single" w:color="auto" w:sz="4" w:space="0"/>
              <w:left w:val="nil"/>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建设规模和内容</w:t>
            </w:r>
          </w:p>
        </w:tc>
        <w:tc>
          <w:tcPr>
            <w:tcW w:w="991" w:type="dxa"/>
            <w:tcBorders>
              <w:top w:val="single" w:color="auto" w:sz="4" w:space="0"/>
              <w:left w:val="nil"/>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建设</w:t>
            </w:r>
          </w:p>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地点</w:t>
            </w:r>
          </w:p>
        </w:tc>
        <w:tc>
          <w:tcPr>
            <w:tcW w:w="683" w:type="dxa"/>
            <w:tcBorders>
              <w:top w:val="single" w:color="auto" w:sz="4" w:space="0"/>
              <w:left w:val="nil"/>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建设性质</w:t>
            </w:r>
          </w:p>
        </w:tc>
        <w:tc>
          <w:tcPr>
            <w:tcW w:w="1105" w:type="dxa"/>
            <w:tcBorders>
              <w:top w:val="single" w:color="auto" w:sz="4" w:space="0"/>
              <w:left w:val="nil"/>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起止年限</w:t>
            </w:r>
          </w:p>
        </w:tc>
        <w:tc>
          <w:tcPr>
            <w:tcW w:w="1105" w:type="dxa"/>
            <w:tcBorders>
              <w:top w:val="single" w:color="auto" w:sz="4" w:space="0"/>
              <w:left w:val="nil"/>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总投资（亿元）</w:t>
            </w:r>
          </w:p>
        </w:tc>
        <w:tc>
          <w:tcPr>
            <w:tcW w:w="1085" w:type="dxa"/>
            <w:tcBorders>
              <w:top w:val="single" w:color="auto" w:sz="4" w:space="0"/>
              <w:left w:val="nil"/>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计划投资（亿元）</w:t>
            </w:r>
          </w:p>
        </w:tc>
        <w:tc>
          <w:tcPr>
            <w:tcW w:w="988" w:type="dxa"/>
            <w:tcBorders>
              <w:top w:val="single" w:color="auto" w:sz="4" w:space="0"/>
              <w:left w:val="nil"/>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新增学位（个）</w:t>
            </w:r>
          </w:p>
        </w:tc>
        <w:tc>
          <w:tcPr>
            <w:tcW w:w="72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项目业主</w:t>
            </w:r>
          </w:p>
        </w:tc>
        <w:tc>
          <w:tcPr>
            <w:tcW w:w="880" w:type="dxa"/>
            <w:tcBorders>
              <w:top w:val="single" w:color="auto" w:sz="4" w:space="0"/>
              <w:left w:val="nil"/>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责任单位</w:t>
            </w:r>
          </w:p>
        </w:tc>
        <w:tc>
          <w:tcPr>
            <w:tcW w:w="669" w:type="dxa"/>
            <w:tcBorders>
              <w:top w:val="single" w:color="auto" w:sz="4" w:space="0"/>
              <w:left w:val="nil"/>
              <w:bottom w:val="single" w:color="auto" w:sz="4" w:space="0"/>
              <w:right w:val="nil"/>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项目类别</w:t>
            </w:r>
          </w:p>
        </w:tc>
        <w:tc>
          <w:tcPr>
            <w:tcW w:w="66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建设模式</w:t>
            </w:r>
          </w:p>
        </w:tc>
        <w:tc>
          <w:tcPr>
            <w:tcW w:w="572" w:type="dxa"/>
            <w:tcBorders>
              <w:top w:val="single" w:color="auto" w:sz="4" w:space="0"/>
              <w:left w:val="nil"/>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备注</w:t>
            </w:r>
          </w:p>
        </w:tc>
      </w:tr>
      <w:tr>
        <w:tblPrEx>
          <w:tblCellMar>
            <w:top w:w="0" w:type="dxa"/>
            <w:left w:w="108" w:type="dxa"/>
            <w:bottom w:w="0" w:type="dxa"/>
            <w:right w:w="108" w:type="dxa"/>
          </w:tblCellMar>
        </w:tblPrEx>
        <w:trPr>
          <w:trHeight w:val="492" w:hRule="exact"/>
          <w:jc w:val="center"/>
        </w:trPr>
        <w:tc>
          <w:tcPr>
            <w:tcW w:w="2736" w:type="dxa"/>
            <w:gridSpan w:val="3"/>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市区合计</w:t>
            </w:r>
          </w:p>
        </w:tc>
        <w:tc>
          <w:tcPr>
            <w:tcW w:w="3199" w:type="dxa"/>
            <w:tcBorders>
              <w:top w:val="nil"/>
              <w:left w:val="nil"/>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 xml:space="preserve">75 </w:t>
            </w:r>
          </w:p>
        </w:tc>
        <w:tc>
          <w:tcPr>
            <w:tcW w:w="991" w:type="dxa"/>
            <w:tcBorders>
              <w:top w:val="nil"/>
              <w:left w:val="nil"/>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　</w:t>
            </w:r>
          </w:p>
        </w:tc>
        <w:tc>
          <w:tcPr>
            <w:tcW w:w="683" w:type="dxa"/>
            <w:tcBorders>
              <w:top w:val="nil"/>
              <w:left w:val="nil"/>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　</w:t>
            </w:r>
          </w:p>
        </w:tc>
        <w:tc>
          <w:tcPr>
            <w:tcW w:w="1105" w:type="dxa"/>
            <w:tcBorders>
              <w:top w:val="nil"/>
              <w:left w:val="nil"/>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　</w:t>
            </w:r>
          </w:p>
        </w:tc>
        <w:tc>
          <w:tcPr>
            <w:tcW w:w="1105" w:type="dxa"/>
            <w:tcBorders>
              <w:top w:val="nil"/>
              <w:left w:val="nil"/>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 xml:space="preserve">106.31 </w:t>
            </w:r>
          </w:p>
        </w:tc>
        <w:tc>
          <w:tcPr>
            <w:tcW w:w="1085" w:type="dxa"/>
            <w:tcBorders>
              <w:top w:val="nil"/>
              <w:left w:val="nil"/>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 xml:space="preserve">90.22 </w:t>
            </w:r>
          </w:p>
        </w:tc>
        <w:tc>
          <w:tcPr>
            <w:tcW w:w="988" w:type="dxa"/>
            <w:tcBorders>
              <w:top w:val="nil"/>
              <w:left w:val="nil"/>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 xml:space="preserve">57420 </w:t>
            </w:r>
          </w:p>
        </w:tc>
        <w:tc>
          <w:tcPr>
            <w:tcW w:w="728" w:type="dxa"/>
            <w:tcBorders>
              <w:top w:val="nil"/>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　</w:t>
            </w:r>
          </w:p>
        </w:tc>
        <w:tc>
          <w:tcPr>
            <w:tcW w:w="880" w:type="dxa"/>
            <w:tcBorders>
              <w:top w:val="nil"/>
              <w:left w:val="nil"/>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　</w:t>
            </w:r>
          </w:p>
        </w:tc>
        <w:tc>
          <w:tcPr>
            <w:tcW w:w="669" w:type="dxa"/>
            <w:tcBorders>
              <w:top w:val="nil"/>
              <w:left w:val="nil"/>
              <w:bottom w:val="single" w:color="auto" w:sz="4" w:space="0"/>
              <w:right w:val="nil"/>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　</w:t>
            </w:r>
          </w:p>
        </w:tc>
        <w:tc>
          <w:tcPr>
            <w:tcW w:w="668" w:type="dxa"/>
            <w:tcBorders>
              <w:top w:val="nil"/>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　</w:t>
            </w:r>
          </w:p>
        </w:tc>
        <w:tc>
          <w:tcPr>
            <w:tcW w:w="572" w:type="dxa"/>
            <w:tcBorders>
              <w:top w:val="nil"/>
              <w:left w:val="nil"/>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　</w:t>
            </w:r>
          </w:p>
        </w:tc>
      </w:tr>
      <w:tr>
        <w:tblPrEx>
          <w:tblCellMar>
            <w:top w:w="0" w:type="dxa"/>
            <w:left w:w="108" w:type="dxa"/>
            <w:bottom w:w="0" w:type="dxa"/>
            <w:right w:w="108" w:type="dxa"/>
          </w:tblCellMar>
        </w:tblPrEx>
        <w:trPr>
          <w:trHeight w:val="472" w:hRule="atLeast"/>
          <w:jc w:val="center"/>
        </w:trPr>
        <w:tc>
          <w:tcPr>
            <w:tcW w:w="2736" w:type="dxa"/>
            <w:gridSpan w:val="3"/>
            <w:tcBorders>
              <w:top w:val="single" w:color="auto" w:sz="4" w:space="0"/>
              <w:left w:val="single" w:color="auto" w:sz="4" w:space="0"/>
              <w:bottom w:val="single" w:color="auto" w:sz="4" w:space="0"/>
              <w:right w:val="nil"/>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北城小计</w:t>
            </w:r>
          </w:p>
        </w:tc>
        <w:tc>
          <w:tcPr>
            <w:tcW w:w="3199" w:type="dxa"/>
            <w:tcBorders>
              <w:top w:val="nil"/>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50</w:t>
            </w:r>
          </w:p>
        </w:tc>
        <w:tc>
          <w:tcPr>
            <w:tcW w:w="991" w:type="dxa"/>
            <w:tcBorders>
              <w:top w:val="nil"/>
              <w:left w:val="nil"/>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　</w:t>
            </w:r>
          </w:p>
        </w:tc>
        <w:tc>
          <w:tcPr>
            <w:tcW w:w="683" w:type="dxa"/>
            <w:tcBorders>
              <w:top w:val="nil"/>
              <w:left w:val="nil"/>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　</w:t>
            </w:r>
          </w:p>
        </w:tc>
        <w:tc>
          <w:tcPr>
            <w:tcW w:w="1105" w:type="dxa"/>
            <w:tcBorders>
              <w:top w:val="nil"/>
              <w:left w:val="nil"/>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　</w:t>
            </w:r>
          </w:p>
        </w:tc>
        <w:tc>
          <w:tcPr>
            <w:tcW w:w="1105" w:type="dxa"/>
            <w:tcBorders>
              <w:top w:val="nil"/>
              <w:left w:val="nil"/>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 xml:space="preserve">65.59 </w:t>
            </w:r>
          </w:p>
        </w:tc>
        <w:tc>
          <w:tcPr>
            <w:tcW w:w="1085" w:type="dxa"/>
            <w:tcBorders>
              <w:top w:val="nil"/>
              <w:left w:val="nil"/>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 xml:space="preserve">55.66 </w:t>
            </w:r>
          </w:p>
        </w:tc>
        <w:tc>
          <w:tcPr>
            <w:tcW w:w="988" w:type="dxa"/>
            <w:tcBorders>
              <w:top w:val="nil"/>
              <w:left w:val="nil"/>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 xml:space="preserve">35820 </w:t>
            </w:r>
          </w:p>
        </w:tc>
        <w:tc>
          <w:tcPr>
            <w:tcW w:w="728" w:type="dxa"/>
            <w:tcBorders>
              <w:top w:val="nil"/>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　</w:t>
            </w:r>
          </w:p>
        </w:tc>
        <w:tc>
          <w:tcPr>
            <w:tcW w:w="880" w:type="dxa"/>
            <w:tcBorders>
              <w:top w:val="nil"/>
              <w:left w:val="nil"/>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　</w:t>
            </w:r>
          </w:p>
        </w:tc>
        <w:tc>
          <w:tcPr>
            <w:tcW w:w="669" w:type="dxa"/>
            <w:tcBorders>
              <w:top w:val="nil"/>
              <w:left w:val="nil"/>
              <w:bottom w:val="single" w:color="auto" w:sz="4" w:space="0"/>
              <w:right w:val="nil"/>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　</w:t>
            </w:r>
          </w:p>
        </w:tc>
        <w:tc>
          <w:tcPr>
            <w:tcW w:w="668" w:type="dxa"/>
            <w:tcBorders>
              <w:top w:val="nil"/>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　</w:t>
            </w:r>
          </w:p>
        </w:tc>
        <w:tc>
          <w:tcPr>
            <w:tcW w:w="572" w:type="dxa"/>
            <w:tcBorders>
              <w:top w:val="nil"/>
              <w:left w:val="nil"/>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　</w:t>
            </w:r>
          </w:p>
        </w:tc>
      </w:tr>
      <w:tr>
        <w:tblPrEx>
          <w:tblCellMar>
            <w:top w:w="0" w:type="dxa"/>
            <w:left w:w="108" w:type="dxa"/>
            <w:bottom w:w="0" w:type="dxa"/>
            <w:right w:w="108" w:type="dxa"/>
          </w:tblCellMar>
        </w:tblPrEx>
        <w:trPr>
          <w:trHeight w:val="503" w:hRule="atLeast"/>
          <w:jc w:val="center"/>
        </w:trPr>
        <w:tc>
          <w:tcPr>
            <w:tcW w:w="2736" w:type="dxa"/>
            <w:gridSpan w:val="3"/>
            <w:tcBorders>
              <w:top w:val="single" w:color="auto" w:sz="4" w:space="0"/>
              <w:left w:val="single" w:color="auto" w:sz="4" w:space="0"/>
              <w:bottom w:val="single" w:color="auto" w:sz="4" w:space="0"/>
              <w:right w:val="nil"/>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幼儿园小计</w:t>
            </w:r>
          </w:p>
        </w:tc>
        <w:tc>
          <w:tcPr>
            <w:tcW w:w="3199" w:type="dxa"/>
            <w:tcBorders>
              <w:top w:val="nil"/>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 xml:space="preserve">22 </w:t>
            </w:r>
          </w:p>
        </w:tc>
        <w:tc>
          <w:tcPr>
            <w:tcW w:w="991" w:type="dxa"/>
            <w:tcBorders>
              <w:top w:val="nil"/>
              <w:left w:val="nil"/>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　</w:t>
            </w:r>
          </w:p>
        </w:tc>
        <w:tc>
          <w:tcPr>
            <w:tcW w:w="683" w:type="dxa"/>
            <w:tcBorders>
              <w:top w:val="nil"/>
              <w:left w:val="nil"/>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　</w:t>
            </w:r>
          </w:p>
        </w:tc>
        <w:tc>
          <w:tcPr>
            <w:tcW w:w="1105" w:type="dxa"/>
            <w:tcBorders>
              <w:top w:val="nil"/>
              <w:left w:val="nil"/>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　</w:t>
            </w:r>
          </w:p>
        </w:tc>
        <w:tc>
          <w:tcPr>
            <w:tcW w:w="1105" w:type="dxa"/>
            <w:tcBorders>
              <w:top w:val="nil"/>
              <w:left w:val="nil"/>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 xml:space="preserve">6.25 </w:t>
            </w:r>
          </w:p>
        </w:tc>
        <w:tc>
          <w:tcPr>
            <w:tcW w:w="1085" w:type="dxa"/>
            <w:tcBorders>
              <w:top w:val="nil"/>
              <w:left w:val="nil"/>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 xml:space="preserve">6.25 </w:t>
            </w:r>
          </w:p>
        </w:tc>
        <w:tc>
          <w:tcPr>
            <w:tcW w:w="988" w:type="dxa"/>
            <w:tcBorders>
              <w:top w:val="nil"/>
              <w:left w:val="nil"/>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 xml:space="preserve">6750 </w:t>
            </w:r>
          </w:p>
        </w:tc>
        <w:tc>
          <w:tcPr>
            <w:tcW w:w="728" w:type="dxa"/>
            <w:tcBorders>
              <w:top w:val="nil"/>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　</w:t>
            </w:r>
          </w:p>
        </w:tc>
        <w:tc>
          <w:tcPr>
            <w:tcW w:w="880" w:type="dxa"/>
            <w:tcBorders>
              <w:top w:val="nil"/>
              <w:left w:val="nil"/>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　</w:t>
            </w:r>
          </w:p>
        </w:tc>
        <w:tc>
          <w:tcPr>
            <w:tcW w:w="669" w:type="dxa"/>
            <w:tcBorders>
              <w:top w:val="nil"/>
              <w:left w:val="nil"/>
              <w:bottom w:val="single" w:color="auto" w:sz="4" w:space="0"/>
              <w:right w:val="nil"/>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　</w:t>
            </w:r>
          </w:p>
        </w:tc>
        <w:tc>
          <w:tcPr>
            <w:tcW w:w="668" w:type="dxa"/>
            <w:tcBorders>
              <w:top w:val="nil"/>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　</w:t>
            </w:r>
          </w:p>
        </w:tc>
        <w:tc>
          <w:tcPr>
            <w:tcW w:w="572" w:type="dxa"/>
            <w:tcBorders>
              <w:top w:val="nil"/>
              <w:left w:val="nil"/>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　</w:t>
            </w:r>
          </w:p>
        </w:tc>
      </w:tr>
      <w:tr>
        <w:tblPrEx>
          <w:tblCellMar>
            <w:top w:w="0" w:type="dxa"/>
            <w:left w:w="108" w:type="dxa"/>
            <w:bottom w:w="0" w:type="dxa"/>
            <w:right w:w="108" w:type="dxa"/>
          </w:tblCellMar>
        </w:tblPrEx>
        <w:trPr>
          <w:trHeight w:val="529" w:hRule="atLeast"/>
          <w:jc w:val="center"/>
        </w:trPr>
        <w:tc>
          <w:tcPr>
            <w:tcW w:w="433" w:type="dxa"/>
            <w:tcBorders>
              <w:top w:val="nil"/>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1</w:t>
            </w:r>
          </w:p>
        </w:tc>
        <w:tc>
          <w:tcPr>
            <w:tcW w:w="1375" w:type="dxa"/>
            <w:tcBorders>
              <w:top w:val="nil"/>
              <w:left w:val="nil"/>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天宸一号幼儿园</w:t>
            </w:r>
          </w:p>
        </w:tc>
        <w:tc>
          <w:tcPr>
            <w:tcW w:w="928" w:type="dxa"/>
            <w:tcBorders>
              <w:top w:val="nil"/>
              <w:left w:val="nil"/>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幼儿园</w:t>
            </w:r>
          </w:p>
        </w:tc>
        <w:tc>
          <w:tcPr>
            <w:tcW w:w="3199" w:type="dxa"/>
            <w:tcBorders>
              <w:top w:val="nil"/>
              <w:left w:val="nil"/>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9个班，用地面积5000平方米，建筑面积4000平方米</w:t>
            </w:r>
          </w:p>
        </w:tc>
        <w:tc>
          <w:tcPr>
            <w:tcW w:w="991" w:type="dxa"/>
            <w:tcBorders>
              <w:top w:val="nil"/>
              <w:left w:val="nil"/>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城西小学对面</w:t>
            </w:r>
          </w:p>
        </w:tc>
        <w:tc>
          <w:tcPr>
            <w:tcW w:w="683" w:type="dxa"/>
            <w:tcBorders>
              <w:top w:val="nil"/>
              <w:left w:val="nil"/>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新建</w:t>
            </w:r>
          </w:p>
        </w:tc>
        <w:tc>
          <w:tcPr>
            <w:tcW w:w="1105" w:type="dxa"/>
            <w:tcBorders>
              <w:top w:val="nil"/>
              <w:left w:val="nil"/>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2019-2021</w:t>
            </w:r>
          </w:p>
        </w:tc>
        <w:tc>
          <w:tcPr>
            <w:tcW w:w="1105" w:type="dxa"/>
            <w:tcBorders>
              <w:top w:val="nil"/>
              <w:left w:val="nil"/>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0.25</w:t>
            </w:r>
          </w:p>
        </w:tc>
        <w:tc>
          <w:tcPr>
            <w:tcW w:w="1085" w:type="dxa"/>
            <w:tcBorders>
              <w:top w:val="nil"/>
              <w:left w:val="nil"/>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0.25</w:t>
            </w:r>
          </w:p>
        </w:tc>
        <w:tc>
          <w:tcPr>
            <w:tcW w:w="988" w:type="dxa"/>
            <w:tcBorders>
              <w:top w:val="nil"/>
              <w:left w:val="nil"/>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 xml:space="preserve">270 </w:t>
            </w:r>
          </w:p>
        </w:tc>
        <w:tc>
          <w:tcPr>
            <w:tcW w:w="728" w:type="dxa"/>
            <w:tcBorders>
              <w:top w:val="nil"/>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市实验幼儿园</w:t>
            </w:r>
          </w:p>
        </w:tc>
        <w:tc>
          <w:tcPr>
            <w:tcW w:w="880" w:type="dxa"/>
            <w:tcBorders>
              <w:top w:val="nil"/>
              <w:left w:val="nil"/>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市教育局</w:t>
            </w:r>
          </w:p>
        </w:tc>
        <w:tc>
          <w:tcPr>
            <w:tcW w:w="669" w:type="dxa"/>
            <w:tcBorders>
              <w:top w:val="nil"/>
              <w:left w:val="nil"/>
              <w:bottom w:val="single" w:color="auto" w:sz="4" w:space="0"/>
              <w:right w:val="nil"/>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实施类</w:t>
            </w:r>
          </w:p>
        </w:tc>
        <w:tc>
          <w:tcPr>
            <w:tcW w:w="668" w:type="dxa"/>
            <w:tcBorders>
              <w:top w:val="nil"/>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配建</w:t>
            </w:r>
          </w:p>
        </w:tc>
        <w:tc>
          <w:tcPr>
            <w:tcW w:w="572" w:type="dxa"/>
            <w:tcBorders>
              <w:top w:val="nil"/>
              <w:left w:val="nil"/>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　</w:t>
            </w:r>
          </w:p>
        </w:tc>
      </w:tr>
      <w:tr>
        <w:tblPrEx>
          <w:tblCellMar>
            <w:top w:w="0" w:type="dxa"/>
            <w:left w:w="108" w:type="dxa"/>
            <w:bottom w:w="0" w:type="dxa"/>
            <w:right w:w="108" w:type="dxa"/>
          </w:tblCellMar>
        </w:tblPrEx>
        <w:trPr>
          <w:trHeight w:val="529" w:hRule="atLeast"/>
          <w:jc w:val="center"/>
        </w:trPr>
        <w:tc>
          <w:tcPr>
            <w:tcW w:w="433" w:type="dxa"/>
            <w:tcBorders>
              <w:top w:val="nil"/>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2</w:t>
            </w:r>
          </w:p>
        </w:tc>
        <w:tc>
          <w:tcPr>
            <w:tcW w:w="1375" w:type="dxa"/>
            <w:tcBorders>
              <w:top w:val="nil"/>
              <w:left w:val="nil"/>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香树湾小区配套幼儿园</w:t>
            </w:r>
          </w:p>
        </w:tc>
        <w:tc>
          <w:tcPr>
            <w:tcW w:w="928" w:type="dxa"/>
            <w:tcBorders>
              <w:top w:val="nil"/>
              <w:left w:val="nil"/>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幼儿园</w:t>
            </w:r>
          </w:p>
        </w:tc>
        <w:tc>
          <w:tcPr>
            <w:tcW w:w="3199" w:type="dxa"/>
            <w:tcBorders>
              <w:top w:val="nil"/>
              <w:left w:val="nil"/>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9个班，用地面积5000平方米，建筑面积4000平方米</w:t>
            </w:r>
          </w:p>
        </w:tc>
        <w:tc>
          <w:tcPr>
            <w:tcW w:w="991" w:type="dxa"/>
            <w:tcBorders>
              <w:top w:val="nil"/>
              <w:left w:val="nil"/>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路湾</w:t>
            </w:r>
          </w:p>
        </w:tc>
        <w:tc>
          <w:tcPr>
            <w:tcW w:w="683" w:type="dxa"/>
            <w:tcBorders>
              <w:top w:val="nil"/>
              <w:left w:val="nil"/>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新建</w:t>
            </w:r>
          </w:p>
        </w:tc>
        <w:tc>
          <w:tcPr>
            <w:tcW w:w="1105" w:type="dxa"/>
            <w:tcBorders>
              <w:top w:val="nil"/>
              <w:left w:val="nil"/>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2019-2022</w:t>
            </w:r>
          </w:p>
        </w:tc>
        <w:tc>
          <w:tcPr>
            <w:tcW w:w="1105" w:type="dxa"/>
            <w:tcBorders>
              <w:top w:val="nil"/>
              <w:left w:val="nil"/>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0.25</w:t>
            </w:r>
          </w:p>
        </w:tc>
        <w:tc>
          <w:tcPr>
            <w:tcW w:w="1085" w:type="dxa"/>
            <w:tcBorders>
              <w:top w:val="nil"/>
              <w:left w:val="nil"/>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0.25</w:t>
            </w:r>
          </w:p>
        </w:tc>
        <w:tc>
          <w:tcPr>
            <w:tcW w:w="988" w:type="dxa"/>
            <w:tcBorders>
              <w:top w:val="nil"/>
              <w:left w:val="nil"/>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 xml:space="preserve">270 </w:t>
            </w:r>
          </w:p>
        </w:tc>
        <w:tc>
          <w:tcPr>
            <w:tcW w:w="728" w:type="dxa"/>
            <w:tcBorders>
              <w:top w:val="nil"/>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　</w:t>
            </w:r>
          </w:p>
        </w:tc>
        <w:tc>
          <w:tcPr>
            <w:tcW w:w="880" w:type="dxa"/>
            <w:tcBorders>
              <w:top w:val="nil"/>
              <w:left w:val="nil"/>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莲都区教育局</w:t>
            </w:r>
          </w:p>
        </w:tc>
        <w:tc>
          <w:tcPr>
            <w:tcW w:w="669" w:type="dxa"/>
            <w:tcBorders>
              <w:top w:val="nil"/>
              <w:left w:val="nil"/>
              <w:bottom w:val="single" w:color="auto" w:sz="4" w:space="0"/>
              <w:right w:val="nil"/>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实施类</w:t>
            </w:r>
          </w:p>
        </w:tc>
        <w:tc>
          <w:tcPr>
            <w:tcW w:w="668" w:type="dxa"/>
            <w:tcBorders>
              <w:top w:val="nil"/>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配建</w:t>
            </w:r>
          </w:p>
        </w:tc>
        <w:tc>
          <w:tcPr>
            <w:tcW w:w="572" w:type="dxa"/>
            <w:tcBorders>
              <w:top w:val="nil"/>
              <w:left w:val="nil"/>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　</w:t>
            </w:r>
          </w:p>
        </w:tc>
      </w:tr>
      <w:tr>
        <w:tblPrEx>
          <w:tblCellMar>
            <w:top w:w="0" w:type="dxa"/>
            <w:left w:w="108" w:type="dxa"/>
            <w:bottom w:w="0" w:type="dxa"/>
            <w:right w:w="108" w:type="dxa"/>
          </w:tblCellMar>
        </w:tblPrEx>
        <w:trPr>
          <w:trHeight w:val="529" w:hRule="atLeast"/>
          <w:jc w:val="center"/>
        </w:trPr>
        <w:tc>
          <w:tcPr>
            <w:tcW w:w="433" w:type="dxa"/>
            <w:tcBorders>
              <w:top w:val="nil"/>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3</w:t>
            </w:r>
          </w:p>
        </w:tc>
        <w:tc>
          <w:tcPr>
            <w:tcW w:w="1375" w:type="dxa"/>
            <w:tcBorders>
              <w:top w:val="nil"/>
              <w:left w:val="nil"/>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白云山脚幼儿园</w:t>
            </w:r>
          </w:p>
        </w:tc>
        <w:tc>
          <w:tcPr>
            <w:tcW w:w="928" w:type="dxa"/>
            <w:tcBorders>
              <w:top w:val="nil"/>
              <w:left w:val="nil"/>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幼儿园</w:t>
            </w:r>
          </w:p>
        </w:tc>
        <w:tc>
          <w:tcPr>
            <w:tcW w:w="3199" w:type="dxa"/>
            <w:tcBorders>
              <w:top w:val="nil"/>
              <w:left w:val="nil"/>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12个班，用地面积6200平方米，建筑面积4960平方米</w:t>
            </w:r>
          </w:p>
        </w:tc>
        <w:tc>
          <w:tcPr>
            <w:tcW w:w="991" w:type="dxa"/>
            <w:tcBorders>
              <w:top w:val="nil"/>
              <w:left w:val="nil"/>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白云山脚</w:t>
            </w:r>
          </w:p>
        </w:tc>
        <w:tc>
          <w:tcPr>
            <w:tcW w:w="683" w:type="dxa"/>
            <w:tcBorders>
              <w:top w:val="nil"/>
              <w:left w:val="nil"/>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新建</w:t>
            </w:r>
          </w:p>
        </w:tc>
        <w:tc>
          <w:tcPr>
            <w:tcW w:w="1105" w:type="dxa"/>
            <w:tcBorders>
              <w:top w:val="nil"/>
              <w:left w:val="nil"/>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2021-2022</w:t>
            </w:r>
          </w:p>
        </w:tc>
        <w:tc>
          <w:tcPr>
            <w:tcW w:w="1105" w:type="dxa"/>
            <w:tcBorders>
              <w:top w:val="nil"/>
              <w:left w:val="nil"/>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0.35</w:t>
            </w:r>
          </w:p>
        </w:tc>
        <w:tc>
          <w:tcPr>
            <w:tcW w:w="1085" w:type="dxa"/>
            <w:tcBorders>
              <w:top w:val="nil"/>
              <w:left w:val="nil"/>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0.35</w:t>
            </w:r>
          </w:p>
        </w:tc>
        <w:tc>
          <w:tcPr>
            <w:tcW w:w="988" w:type="dxa"/>
            <w:tcBorders>
              <w:top w:val="nil"/>
              <w:left w:val="nil"/>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 xml:space="preserve">360 </w:t>
            </w:r>
          </w:p>
        </w:tc>
        <w:tc>
          <w:tcPr>
            <w:tcW w:w="728" w:type="dxa"/>
            <w:tcBorders>
              <w:top w:val="nil"/>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　</w:t>
            </w:r>
          </w:p>
        </w:tc>
        <w:tc>
          <w:tcPr>
            <w:tcW w:w="880" w:type="dxa"/>
            <w:tcBorders>
              <w:top w:val="nil"/>
              <w:left w:val="nil"/>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莲都区教育局</w:t>
            </w:r>
          </w:p>
        </w:tc>
        <w:tc>
          <w:tcPr>
            <w:tcW w:w="669" w:type="dxa"/>
            <w:tcBorders>
              <w:top w:val="nil"/>
              <w:left w:val="nil"/>
              <w:bottom w:val="single" w:color="auto" w:sz="4" w:space="0"/>
              <w:right w:val="nil"/>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实施类</w:t>
            </w:r>
          </w:p>
        </w:tc>
        <w:tc>
          <w:tcPr>
            <w:tcW w:w="668" w:type="dxa"/>
            <w:tcBorders>
              <w:top w:val="nil"/>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自建</w:t>
            </w:r>
          </w:p>
        </w:tc>
        <w:tc>
          <w:tcPr>
            <w:tcW w:w="572" w:type="dxa"/>
            <w:tcBorders>
              <w:top w:val="nil"/>
              <w:left w:val="nil"/>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　</w:t>
            </w:r>
          </w:p>
        </w:tc>
      </w:tr>
      <w:tr>
        <w:tblPrEx>
          <w:tblCellMar>
            <w:top w:w="0" w:type="dxa"/>
            <w:left w:w="108" w:type="dxa"/>
            <w:bottom w:w="0" w:type="dxa"/>
            <w:right w:w="108" w:type="dxa"/>
          </w:tblCellMar>
        </w:tblPrEx>
        <w:trPr>
          <w:trHeight w:val="747" w:hRule="atLeast"/>
          <w:jc w:val="center"/>
        </w:trPr>
        <w:tc>
          <w:tcPr>
            <w:tcW w:w="433" w:type="dxa"/>
            <w:tcBorders>
              <w:top w:val="nil"/>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4</w:t>
            </w:r>
          </w:p>
        </w:tc>
        <w:tc>
          <w:tcPr>
            <w:tcW w:w="1375" w:type="dxa"/>
            <w:tcBorders>
              <w:top w:val="nil"/>
              <w:left w:val="nil"/>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元湖一号幼儿园</w:t>
            </w:r>
          </w:p>
        </w:tc>
        <w:tc>
          <w:tcPr>
            <w:tcW w:w="928" w:type="dxa"/>
            <w:tcBorders>
              <w:top w:val="nil"/>
              <w:left w:val="nil"/>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幼儿园</w:t>
            </w:r>
          </w:p>
        </w:tc>
        <w:tc>
          <w:tcPr>
            <w:tcW w:w="3199" w:type="dxa"/>
            <w:tcBorders>
              <w:top w:val="nil"/>
              <w:left w:val="nil"/>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12个班，用地面积6200平方米，建筑面积4960平方米</w:t>
            </w:r>
          </w:p>
        </w:tc>
        <w:tc>
          <w:tcPr>
            <w:tcW w:w="991" w:type="dxa"/>
            <w:tcBorders>
              <w:top w:val="nil"/>
              <w:left w:val="nil"/>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紫金路东、寿元路北</w:t>
            </w:r>
          </w:p>
        </w:tc>
        <w:tc>
          <w:tcPr>
            <w:tcW w:w="683" w:type="dxa"/>
            <w:tcBorders>
              <w:top w:val="nil"/>
              <w:left w:val="nil"/>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新建</w:t>
            </w:r>
          </w:p>
        </w:tc>
        <w:tc>
          <w:tcPr>
            <w:tcW w:w="1105" w:type="dxa"/>
            <w:tcBorders>
              <w:top w:val="nil"/>
              <w:left w:val="nil"/>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2021-2022</w:t>
            </w:r>
          </w:p>
        </w:tc>
        <w:tc>
          <w:tcPr>
            <w:tcW w:w="1105" w:type="dxa"/>
            <w:tcBorders>
              <w:top w:val="nil"/>
              <w:left w:val="nil"/>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0.35</w:t>
            </w:r>
          </w:p>
        </w:tc>
        <w:tc>
          <w:tcPr>
            <w:tcW w:w="1085" w:type="dxa"/>
            <w:tcBorders>
              <w:top w:val="nil"/>
              <w:left w:val="nil"/>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0.35</w:t>
            </w:r>
          </w:p>
        </w:tc>
        <w:tc>
          <w:tcPr>
            <w:tcW w:w="988" w:type="dxa"/>
            <w:tcBorders>
              <w:top w:val="nil"/>
              <w:left w:val="nil"/>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 xml:space="preserve">360 </w:t>
            </w:r>
          </w:p>
        </w:tc>
        <w:tc>
          <w:tcPr>
            <w:tcW w:w="728" w:type="dxa"/>
            <w:tcBorders>
              <w:top w:val="nil"/>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　</w:t>
            </w:r>
          </w:p>
        </w:tc>
        <w:tc>
          <w:tcPr>
            <w:tcW w:w="880" w:type="dxa"/>
            <w:tcBorders>
              <w:top w:val="nil"/>
              <w:left w:val="nil"/>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市教育局</w:t>
            </w:r>
          </w:p>
        </w:tc>
        <w:tc>
          <w:tcPr>
            <w:tcW w:w="669" w:type="dxa"/>
            <w:tcBorders>
              <w:top w:val="nil"/>
              <w:left w:val="nil"/>
              <w:bottom w:val="single" w:color="auto" w:sz="4" w:space="0"/>
              <w:right w:val="nil"/>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实施类</w:t>
            </w:r>
          </w:p>
        </w:tc>
        <w:tc>
          <w:tcPr>
            <w:tcW w:w="668" w:type="dxa"/>
            <w:tcBorders>
              <w:top w:val="nil"/>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自建</w:t>
            </w:r>
          </w:p>
        </w:tc>
        <w:tc>
          <w:tcPr>
            <w:tcW w:w="572" w:type="dxa"/>
            <w:tcBorders>
              <w:top w:val="nil"/>
              <w:left w:val="nil"/>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　</w:t>
            </w:r>
          </w:p>
        </w:tc>
      </w:tr>
      <w:tr>
        <w:tblPrEx>
          <w:tblCellMar>
            <w:top w:w="0" w:type="dxa"/>
            <w:left w:w="108" w:type="dxa"/>
            <w:bottom w:w="0" w:type="dxa"/>
            <w:right w:w="108" w:type="dxa"/>
          </w:tblCellMar>
        </w:tblPrEx>
        <w:trPr>
          <w:trHeight w:val="747" w:hRule="atLeast"/>
          <w:jc w:val="center"/>
        </w:trPr>
        <w:tc>
          <w:tcPr>
            <w:tcW w:w="433" w:type="dxa"/>
            <w:tcBorders>
              <w:top w:val="nil"/>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5</w:t>
            </w:r>
          </w:p>
        </w:tc>
        <w:tc>
          <w:tcPr>
            <w:tcW w:w="1375" w:type="dxa"/>
            <w:tcBorders>
              <w:top w:val="nil"/>
              <w:left w:val="nil"/>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水东公寓幼儿园</w:t>
            </w:r>
          </w:p>
        </w:tc>
        <w:tc>
          <w:tcPr>
            <w:tcW w:w="928" w:type="dxa"/>
            <w:tcBorders>
              <w:top w:val="nil"/>
              <w:left w:val="nil"/>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幼儿园</w:t>
            </w:r>
          </w:p>
        </w:tc>
        <w:tc>
          <w:tcPr>
            <w:tcW w:w="3199" w:type="dxa"/>
            <w:tcBorders>
              <w:top w:val="nil"/>
              <w:left w:val="nil"/>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12个班，用地面积6200平方米，建筑面积4960平方米</w:t>
            </w:r>
          </w:p>
        </w:tc>
        <w:tc>
          <w:tcPr>
            <w:tcW w:w="991" w:type="dxa"/>
            <w:tcBorders>
              <w:top w:val="nil"/>
              <w:left w:val="nil"/>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东地路南、水东路西</w:t>
            </w:r>
          </w:p>
        </w:tc>
        <w:tc>
          <w:tcPr>
            <w:tcW w:w="683" w:type="dxa"/>
            <w:tcBorders>
              <w:top w:val="nil"/>
              <w:left w:val="nil"/>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新建</w:t>
            </w:r>
          </w:p>
        </w:tc>
        <w:tc>
          <w:tcPr>
            <w:tcW w:w="1105" w:type="dxa"/>
            <w:tcBorders>
              <w:top w:val="nil"/>
              <w:left w:val="nil"/>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2020-2021</w:t>
            </w:r>
          </w:p>
        </w:tc>
        <w:tc>
          <w:tcPr>
            <w:tcW w:w="1105" w:type="dxa"/>
            <w:tcBorders>
              <w:top w:val="nil"/>
              <w:left w:val="nil"/>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0.35</w:t>
            </w:r>
          </w:p>
        </w:tc>
        <w:tc>
          <w:tcPr>
            <w:tcW w:w="1085" w:type="dxa"/>
            <w:tcBorders>
              <w:top w:val="nil"/>
              <w:left w:val="nil"/>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0.35</w:t>
            </w:r>
          </w:p>
        </w:tc>
        <w:tc>
          <w:tcPr>
            <w:tcW w:w="988" w:type="dxa"/>
            <w:tcBorders>
              <w:top w:val="nil"/>
              <w:left w:val="nil"/>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 xml:space="preserve">360 </w:t>
            </w:r>
          </w:p>
        </w:tc>
        <w:tc>
          <w:tcPr>
            <w:tcW w:w="728" w:type="dxa"/>
            <w:tcBorders>
              <w:top w:val="nil"/>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　</w:t>
            </w:r>
          </w:p>
        </w:tc>
        <w:tc>
          <w:tcPr>
            <w:tcW w:w="880" w:type="dxa"/>
            <w:tcBorders>
              <w:top w:val="nil"/>
              <w:left w:val="nil"/>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市教育局</w:t>
            </w:r>
          </w:p>
        </w:tc>
        <w:tc>
          <w:tcPr>
            <w:tcW w:w="669" w:type="dxa"/>
            <w:tcBorders>
              <w:top w:val="nil"/>
              <w:left w:val="nil"/>
              <w:bottom w:val="single" w:color="auto" w:sz="4" w:space="0"/>
              <w:right w:val="nil"/>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实施类</w:t>
            </w:r>
          </w:p>
        </w:tc>
        <w:tc>
          <w:tcPr>
            <w:tcW w:w="668" w:type="dxa"/>
            <w:tcBorders>
              <w:top w:val="nil"/>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自建</w:t>
            </w:r>
          </w:p>
        </w:tc>
        <w:tc>
          <w:tcPr>
            <w:tcW w:w="572" w:type="dxa"/>
            <w:tcBorders>
              <w:top w:val="nil"/>
              <w:left w:val="nil"/>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　</w:t>
            </w:r>
          </w:p>
        </w:tc>
      </w:tr>
      <w:tr>
        <w:tblPrEx>
          <w:tblCellMar>
            <w:top w:w="0" w:type="dxa"/>
            <w:left w:w="108" w:type="dxa"/>
            <w:bottom w:w="0" w:type="dxa"/>
            <w:right w:w="108" w:type="dxa"/>
          </w:tblCellMar>
        </w:tblPrEx>
        <w:trPr>
          <w:trHeight w:val="1302" w:hRule="atLeast"/>
          <w:jc w:val="center"/>
        </w:trPr>
        <w:tc>
          <w:tcPr>
            <w:tcW w:w="433" w:type="dxa"/>
            <w:tcBorders>
              <w:top w:val="nil"/>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6</w:t>
            </w:r>
          </w:p>
        </w:tc>
        <w:tc>
          <w:tcPr>
            <w:tcW w:w="1375" w:type="dxa"/>
            <w:tcBorders>
              <w:top w:val="nil"/>
              <w:left w:val="nil"/>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水南公寓幼儿园</w:t>
            </w:r>
          </w:p>
        </w:tc>
        <w:tc>
          <w:tcPr>
            <w:tcW w:w="928" w:type="dxa"/>
            <w:tcBorders>
              <w:top w:val="nil"/>
              <w:left w:val="nil"/>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幼儿园</w:t>
            </w:r>
          </w:p>
        </w:tc>
        <w:tc>
          <w:tcPr>
            <w:tcW w:w="3199" w:type="dxa"/>
            <w:tcBorders>
              <w:top w:val="nil"/>
              <w:left w:val="nil"/>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9个班，用地面积5000平方米，建筑面积4000平方米</w:t>
            </w:r>
          </w:p>
        </w:tc>
        <w:tc>
          <w:tcPr>
            <w:tcW w:w="991" w:type="dxa"/>
            <w:tcBorders>
              <w:top w:val="nil"/>
              <w:left w:val="nil"/>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括苍路东、南外环路北</w:t>
            </w:r>
          </w:p>
        </w:tc>
        <w:tc>
          <w:tcPr>
            <w:tcW w:w="683" w:type="dxa"/>
            <w:tcBorders>
              <w:top w:val="nil"/>
              <w:left w:val="nil"/>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新建</w:t>
            </w:r>
          </w:p>
        </w:tc>
        <w:tc>
          <w:tcPr>
            <w:tcW w:w="1105" w:type="dxa"/>
            <w:tcBorders>
              <w:top w:val="nil"/>
              <w:left w:val="nil"/>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2020-2021</w:t>
            </w:r>
          </w:p>
        </w:tc>
        <w:tc>
          <w:tcPr>
            <w:tcW w:w="1105" w:type="dxa"/>
            <w:tcBorders>
              <w:top w:val="nil"/>
              <w:left w:val="nil"/>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0.25</w:t>
            </w:r>
          </w:p>
        </w:tc>
        <w:tc>
          <w:tcPr>
            <w:tcW w:w="1085" w:type="dxa"/>
            <w:tcBorders>
              <w:top w:val="nil"/>
              <w:left w:val="nil"/>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0.25</w:t>
            </w:r>
          </w:p>
        </w:tc>
        <w:tc>
          <w:tcPr>
            <w:tcW w:w="988" w:type="dxa"/>
            <w:tcBorders>
              <w:top w:val="nil"/>
              <w:left w:val="nil"/>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 xml:space="preserve">270 </w:t>
            </w:r>
          </w:p>
        </w:tc>
        <w:tc>
          <w:tcPr>
            <w:tcW w:w="728" w:type="dxa"/>
            <w:tcBorders>
              <w:top w:val="nil"/>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　</w:t>
            </w:r>
          </w:p>
        </w:tc>
        <w:tc>
          <w:tcPr>
            <w:tcW w:w="880" w:type="dxa"/>
            <w:tcBorders>
              <w:top w:val="nil"/>
              <w:left w:val="nil"/>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市教育局</w:t>
            </w:r>
          </w:p>
        </w:tc>
        <w:tc>
          <w:tcPr>
            <w:tcW w:w="669" w:type="dxa"/>
            <w:tcBorders>
              <w:top w:val="nil"/>
              <w:left w:val="nil"/>
              <w:bottom w:val="single" w:color="auto" w:sz="4" w:space="0"/>
              <w:right w:val="nil"/>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实施类</w:t>
            </w:r>
          </w:p>
        </w:tc>
        <w:tc>
          <w:tcPr>
            <w:tcW w:w="668" w:type="dxa"/>
            <w:tcBorders>
              <w:top w:val="nil"/>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配建</w:t>
            </w:r>
          </w:p>
        </w:tc>
        <w:tc>
          <w:tcPr>
            <w:tcW w:w="572" w:type="dxa"/>
            <w:tcBorders>
              <w:top w:val="nil"/>
              <w:left w:val="nil"/>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　</w:t>
            </w:r>
          </w:p>
        </w:tc>
      </w:tr>
      <w:tr>
        <w:tblPrEx>
          <w:tblCellMar>
            <w:top w:w="0" w:type="dxa"/>
            <w:left w:w="108" w:type="dxa"/>
            <w:bottom w:w="0" w:type="dxa"/>
            <w:right w:w="108" w:type="dxa"/>
          </w:tblCellMar>
        </w:tblPrEx>
        <w:trPr>
          <w:trHeight w:val="836" w:hRule="atLeast"/>
          <w:jc w:val="center"/>
        </w:trPr>
        <w:tc>
          <w:tcPr>
            <w:tcW w:w="433"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序号</w:t>
            </w:r>
          </w:p>
        </w:tc>
        <w:tc>
          <w:tcPr>
            <w:tcW w:w="1375" w:type="dxa"/>
            <w:tcBorders>
              <w:top w:val="single" w:color="auto" w:sz="4" w:space="0"/>
              <w:left w:val="nil"/>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项目名称</w:t>
            </w:r>
          </w:p>
        </w:tc>
        <w:tc>
          <w:tcPr>
            <w:tcW w:w="928" w:type="dxa"/>
            <w:tcBorders>
              <w:top w:val="single" w:color="auto" w:sz="4" w:space="0"/>
              <w:left w:val="nil"/>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学段</w:t>
            </w:r>
          </w:p>
        </w:tc>
        <w:tc>
          <w:tcPr>
            <w:tcW w:w="3199" w:type="dxa"/>
            <w:tcBorders>
              <w:top w:val="single" w:color="auto" w:sz="4" w:space="0"/>
              <w:left w:val="nil"/>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建设规模和内容</w:t>
            </w:r>
          </w:p>
        </w:tc>
        <w:tc>
          <w:tcPr>
            <w:tcW w:w="991" w:type="dxa"/>
            <w:tcBorders>
              <w:top w:val="single" w:color="auto" w:sz="4" w:space="0"/>
              <w:left w:val="nil"/>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建设</w:t>
            </w:r>
          </w:p>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地点</w:t>
            </w:r>
          </w:p>
        </w:tc>
        <w:tc>
          <w:tcPr>
            <w:tcW w:w="683" w:type="dxa"/>
            <w:tcBorders>
              <w:top w:val="single" w:color="auto" w:sz="4" w:space="0"/>
              <w:left w:val="nil"/>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建设性质</w:t>
            </w:r>
          </w:p>
        </w:tc>
        <w:tc>
          <w:tcPr>
            <w:tcW w:w="1105" w:type="dxa"/>
            <w:tcBorders>
              <w:top w:val="single" w:color="auto" w:sz="4" w:space="0"/>
              <w:left w:val="nil"/>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起止年限</w:t>
            </w:r>
          </w:p>
        </w:tc>
        <w:tc>
          <w:tcPr>
            <w:tcW w:w="1105" w:type="dxa"/>
            <w:tcBorders>
              <w:top w:val="single" w:color="auto" w:sz="4" w:space="0"/>
              <w:left w:val="nil"/>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总投资（亿元）</w:t>
            </w:r>
          </w:p>
        </w:tc>
        <w:tc>
          <w:tcPr>
            <w:tcW w:w="1085" w:type="dxa"/>
            <w:tcBorders>
              <w:top w:val="single" w:color="auto" w:sz="4" w:space="0"/>
              <w:left w:val="nil"/>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计划投资（亿元）</w:t>
            </w:r>
          </w:p>
        </w:tc>
        <w:tc>
          <w:tcPr>
            <w:tcW w:w="988" w:type="dxa"/>
            <w:tcBorders>
              <w:top w:val="single" w:color="auto" w:sz="4" w:space="0"/>
              <w:left w:val="nil"/>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新增学位（个）</w:t>
            </w:r>
          </w:p>
        </w:tc>
        <w:tc>
          <w:tcPr>
            <w:tcW w:w="72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项目业主</w:t>
            </w:r>
          </w:p>
        </w:tc>
        <w:tc>
          <w:tcPr>
            <w:tcW w:w="880" w:type="dxa"/>
            <w:tcBorders>
              <w:top w:val="single" w:color="auto" w:sz="4" w:space="0"/>
              <w:left w:val="nil"/>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责任单位</w:t>
            </w:r>
          </w:p>
        </w:tc>
        <w:tc>
          <w:tcPr>
            <w:tcW w:w="669" w:type="dxa"/>
            <w:tcBorders>
              <w:top w:val="single" w:color="auto" w:sz="4" w:space="0"/>
              <w:left w:val="nil"/>
              <w:bottom w:val="single" w:color="auto" w:sz="4" w:space="0"/>
              <w:right w:val="nil"/>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项目类别</w:t>
            </w:r>
          </w:p>
        </w:tc>
        <w:tc>
          <w:tcPr>
            <w:tcW w:w="66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建设模式</w:t>
            </w:r>
          </w:p>
        </w:tc>
        <w:tc>
          <w:tcPr>
            <w:tcW w:w="572" w:type="dxa"/>
            <w:tcBorders>
              <w:top w:val="single" w:color="auto" w:sz="4" w:space="0"/>
              <w:left w:val="nil"/>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备注</w:t>
            </w:r>
          </w:p>
        </w:tc>
      </w:tr>
      <w:tr>
        <w:tblPrEx>
          <w:tblCellMar>
            <w:top w:w="0" w:type="dxa"/>
            <w:left w:w="108" w:type="dxa"/>
            <w:bottom w:w="0" w:type="dxa"/>
            <w:right w:w="108" w:type="dxa"/>
          </w:tblCellMar>
        </w:tblPrEx>
        <w:trPr>
          <w:trHeight w:val="981" w:hRule="atLeast"/>
          <w:jc w:val="center"/>
        </w:trPr>
        <w:tc>
          <w:tcPr>
            <w:tcW w:w="433" w:type="dxa"/>
            <w:tcBorders>
              <w:top w:val="nil"/>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7</w:t>
            </w:r>
          </w:p>
        </w:tc>
        <w:tc>
          <w:tcPr>
            <w:tcW w:w="1375" w:type="dxa"/>
            <w:tcBorders>
              <w:top w:val="nil"/>
              <w:left w:val="nil"/>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青林公寓幼儿园</w:t>
            </w:r>
          </w:p>
        </w:tc>
        <w:tc>
          <w:tcPr>
            <w:tcW w:w="928" w:type="dxa"/>
            <w:tcBorders>
              <w:top w:val="nil"/>
              <w:left w:val="nil"/>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幼儿园</w:t>
            </w:r>
          </w:p>
        </w:tc>
        <w:tc>
          <w:tcPr>
            <w:tcW w:w="3199" w:type="dxa"/>
            <w:tcBorders>
              <w:top w:val="nil"/>
              <w:left w:val="nil"/>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9个班，用地面积5000平方米，建筑面积4000平方米</w:t>
            </w:r>
          </w:p>
        </w:tc>
        <w:tc>
          <w:tcPr>
            <w:tcW w:w="991" w:type="dxa"/>
            <w:tcBorders>
              <w:top w:val="nil"/>
              <w:left w:val="nil"/>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东地路东、东港路南</w:t>
            </w:r>
          </w:p>
        </w:tc>
        <w:tc>
          <w:tcPr>
            <w:tcW w:w="683" w:type="dxa"/>
            <w:tcBorders>
              <w:top w:val="nil"/>
              <w:left w:val="nil"/>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新建</w:t>
            </w:r>
          </w:p>
        </w:tc>
        <w:tc>
          <w:tcPr>
            <w:tcW w:w="1105" w:type="dxa"/>
            <w:tcBorders>
              <w:top w:val="nil"/>
              <w:left w:val="nil"/>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2020-2021</w:t>
            </w:r>
          </w:p>
        </w:tc>
        <w:tc>
          <w:tcPr>
            <w:tcW w:w="1105" w:type="dxa"/>
            <w:tcBorders>
              <w:top w:val="nil"/>
              <w:left w:val="nil"/>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0.25</w:t>
            </w:r>
          </w:p>
        </w:tc>
        <w:tc>
          <w:tcPr>
            <w:tcW w:w="1085" w:type="dxa"/>
            <w:tcBorders>
              <w:top w:val="nil"/>
              <w:left w:val="nil"/>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0.25</w:t>
            </w:r>
          </w:p>
        </w:tc>
        <w:tc>
          <w:tcPr>
            <w:tcW w:w="988" w:type="dxa"/>
            <w:tcBorders>
              <w:top w:val="nil"/>
              <w:left w:val="nil"/>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 xml:space="preserve">270 </w:t>
            </w:r>
          </w:p>
        </w:tc>
        <w:tc>
          <w:tcPr>
            <w:tcW w:w="728" w:type="dxa"/>
            <w:tcBorders>
              <w:top w:val="nil"/>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　</w:t>
            </w:r>
          </w:p>
        </w:tc>
        <w:tc>
          <w:tcPr>
            <w:tcW w:w="880" w:type="dxa"/>
            <w:tcBorders>
              <w:top w:val="nil"/>
              <w:left w:val="nil"/>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市教育局</w:t>
            </w:r>
          </w:p>
        </w:tc>
        <w:tc>
          <w:tcPr>
            <w:tcW w:w="669" w:type="dxa"/>
            <w:tcBorders>
              <w:top w:val="nil"/>
              <w:left w:val="nil"/>
              <w:bottom w:val="single" w:color="auto" w:sz="4" w:space="0"/>
              <w:right w:val="nil"/>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实施类</w:t>
            </w:r>
          </w:p>
        </w:tc>
        <w:tc>
          <w:tcPr>
            <w:tcW w:w="668" w:type="dxa"/>
            <w:tcBorders>
              <w:top w:val="nil"/>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配建</w:t>
            </w:r>
          </w:p>
        </w:tc>
        <w:tc>
          <w:tcPr>
            <w:tcW w:w="572" w:type="dxa"/>
            <w:tcBorders>
              <w:top w:val="nil"/>
              <w:left w:val="nil"/>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　</w:t>
            </w:r>
          </w:p>
        </w:tc>
      </w:tr>
      <w:tr>
        <w:tblPrEx>
          <w:tblCellMar>
            <w:top w:w="0" w:type="dxa"/>
            <w:left w:w="108" w:type="dxa"/>
            <w:bottom w:w="0" w:type="dxa"/>
            <w:right w:w="108" w:type="dxa"/>
          </w:tblCellMar>
        </w:tblPrEx>
        <w:trPr>
          <w:trHeight w:val="980" w:hRule="atLeast"/>
          <w:jc w:val="center"/>
        </w:trPr>
        <w:tc>
          <w:tcPr>
            <w:tcW w:w="433" w:type="dxa"/>
            <w:tcBorders>
              <w:top w:val="nil"/>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8</w:t>
            </w:r>
          </w:p>
        </w:tc>
        <w:tc>
          <w:tcPr>
            <w:tcW w:w="1375" w:type="dxa"/>
            <w:tcBorders>
              <w:top w:val="nil"/>
              <w:left w:val="nil"/>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灵山未来社区幼儿园</w:t>
            </w:r>
          </w:p>
        </w:tc>
        <w:tc>
          <w:tcPr>
            <w:tcW w:w="928" w:type="dxa"/>
            <w:tcBorders>
              <w:top w:val="nil"/>
              <w:left w:val="nil"/>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幼儿园</w:t>
            </w:r>
          </w:p>
        </w:tc>
        <w:tc>
          <w:tcPr>
            <w:tcW w:w="3199" w:type="dxa"/>
            <w:tcBorders>
              <w:top w:val="nil"/>
              <w:left w:val="nil"/>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12个班，用地面积6200平方米，建筑面积4960平方米</w:t>
            </w:r>
          </w:p>
        </w:tc>
        <w:tc>
          <w:tcPr>
            <w:tcW w:w="991" w:type="dxa"/>
            <w:tcBorders>
              <w:top w:val="nil"/>
              <w:left w:val="nil"/>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未来社区内</w:t>
            </w:r>
          </w:p>
        </w:tc>
        <w:tc>
          <w:tcPr>
            <w:tcW w:w="683" w:type="dxa"/>
            <w:tcBorders>
              <w:top w:val="nil"/>
              <w:left w:val="nil"/>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新建</w:t>
            </w:r>
          </w:p>
        </w:tc>
        <w:tc>
          <w:tcPr>
            <w:tcW w:w="1105" w:type="dxa"/>
            <w:tcBorders>
              <w:top w:val="nil"/>
              <w:left w:val="nil"/>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2020-2022</w:t>
            </w:r>
          </w:p>
        </w:tc>
        <w:tc>
          <w:tcPr>
            <w:tcW w:w="1105" w:type="dxa"/>
            <w:tcBorders>
              <w:top w:val="nil"/>
              <w:left w:val="nil"/>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0.35</w:t>
            </w:r>
          </w:p>
        </w:tc>
        <w:tc>
          <w:tcPr>
            <w:tcW w:w="1085" w:type="dxa"/>
            <w:tcBorders>
              <w:top w:val="nil"/>
              <w:left w:val="nil"/>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0.35</w:t>
            </w:r>
          </w:p>
        </w:tc>
        <w:tc>
          <w:tcPr>
            <w:tcW w:w="988" w:type="dxa"/>
            <w:tcBorders>
              <w:top w:val="nil"/>
              <w:left w:val="nil"/>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 xml:space="preserve">360 </w:t>
            </w:r>
          </w:p>
        </w:tc>
        <w:tc>
          <w:tcPr>
            <w:tcW w:w="728" w:type="dxa"/>
            <w:tcBorders>
              <w:top w:val="nil"/>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　</w:t>
            </w:r>
          </w:p>
        </w:tc>
        <w:tc>
          <w:tcPr>
            <w:tcW w:w="880" w:type="dxa"/>
            <w:tcBorders>
              <w:top w:val="nil"/>
              <w:left w:val="nil"/>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莲都区教育局</w:t>
            </w:r>
          </w:p>
        </w:tc>
        <w:tc>
          <w:tcPr>
            <w:tcW w:w="669" w:type="dxa"/>
            <w:tcBorders>
              <w:top w:val="nil"/>
              <w:left w:val="nil"/>
              <w:bottom w:val="single" w:color="auto" w:sz="4" w:space="0"/>
              <w:right w:val="nil"/>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实施类</w:t>
            </w:r>
          </w:p>
        </w:tc>
        <w:tc>
          <w:tcPr>
            <w:tcW w:w="668" w:type="dxa"/>
            <w:tcBorders>
              <w:top w:val="nil"/>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配建</w:t>
            </w:r>
          </w:p>
        </w:tc>
        <w:tc>
          <w:tcPr>
            <w:tcW w:w="572" w:type="dxa"/>
            <w:tcBorders>
              <w:top w:val="nil"/>
              <w:left w:val="nil"/>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　</w:t>
            </w:r>
          </w:p>
        </w:tc>
      </w:tr>
      <w:tr>
        <w:tblPrEx>
          <w:tblCellMar>
            <w:top w:w="0" w:type="dxa"/>
            <w:left w:w="108" w:type="dxa"/>
            <w:bottom w:w="0" w:type="dxa"/>
            <w:right w:w="108" w:type="dxa"/>
          </w:tblCellMar>
        </w:tblPrEx>
        <w:trPr>
          <w:trHeight w:val="980" w:hRule="atLeast"/>
          <w:jc w:val="center"/>
        </w:trPr>
        <w:tc>
          <w:tcPr>
            <w:tcW w:w="433" w:type="dxa"/>
            <w:tcBorders>
              <w:top w:val="nil"/>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9</w:t>
            </w:r>
          </w:p>
        </w:tc>
        <w:tc>
          <w:tcPr>
            <w:tcW w:w="1375" w:type="dxa"/>
            <w:tcBorders>
              <w:top w:val="nil"/>
              <w:left w:val="nil"/>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中骏小区幼儿园</w:t>
            </w:r>
          </w:p>
        </w:tc>
        <w:tc>
          <w:tcPr>
            <w:tcW w:w="928" w:type="dxa"/>
            <w:tcBorders>
              <w:top w:val="nil"/>
              <w:left w:val="nil"/>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幼儿园</w:t>
            </w:r>
          </w:p>
        </w:tc>
        <w:tc>
          <w:tcPr>
            <w:tcW w:w="3199" w:type="dxa"/>
            <w:tcBorders>
              <w:top w:val="nil"/>
              <w:left w:val="nil"/>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12个班，用地面积6200平方米，建筑面积4960平方米</w:t>
            </w:r>
          </w:p>
        </w:tc>
        <w:tc>
          <w:tcPr>
            <w:tcW w:w="991" w:type="dxa"/>
            <w:tcBorders>
              <w:top w:val="nil"/>
              <w:left w:val="nil"/>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东环路东、丽阳路北</w:t>
            </w:r>
          </w:p>
        </w:tc>
        <w:tc>
          <w:tcPr>
            <w:tcW w:w="683" w:type="dxa"/>
            <w:tcBorders>
              <w:top w:val="nil"/>
              <w:left w:val="nil"/>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新建</w:t>
            </w:r>
          </w:p>
        </w:tc>
        <w:tc>
          <w:tcPr>
            <w:tcW w:w="1105" w:type="dxa"/>
            <w:tcBorders>
              <w:top w:val="nil"/>
              <w:left w:val="nil"/>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2020-2022</w:t>
            </w:r>
          </w:p>
        </w:tc>
        <w:tc>
          <w:tcPr>
            <w:tcW w:w="1105" w:type="dxa"/>
            <w:tcBorders>
              <w:top w:val="nil"/>
              <w:left w:val="nil"/>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0.35</w:t>
            </w:r>
          </w:p>
        </w:tc>
        <w:tc>
          <w:tcPr>
            <w:tcW w:w="1085" w:type="dxa"/>
            <w:tcBorders>
              <w:top w:val="nil"/>
              <w:left w:val="nil"/>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0.35</w:t>
            </w:r>
          </w:p>
        </w:tc>
        <w:tc>
          <w:tcPr>
            <w:tcW w:w="988" w:type="dxa"/>
            <w:tcBorders>
              <w:top w:val="nil"/>
              <w:left w:val="nil"/>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 xml:space="preserve">360 </w:t>
            </w:r>
          </w:p>
        </w:tc>
        <w:tc>
          <w:tcPr>
            <w:tcW w:w="728" w:type="dxa"/>
            <w:tcBorders>
              <w:top w:val="nil"/>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　</w:t>
            </w:r>
          </w:p>
        </w:tc>
        <w:tc>
          <w:tcPr>
            <w:tcW w:w="880" w:type="dxa"/>
            <w:tcBorders>
              <w:top w:val="nil"/>
              <w:left w:val="nil"/>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莲都区教育局</w:t>
            </w:r>
          </w:p>
        </w:tc>
        <w:tc>
          <w:tcPr>
            <w:tcW w:w="669" w:type="dxa"/>
            <w:tcBorders>
              <w:top w:val="nil"/>
              <w:left w:val="nil"/>
              <w:bottom w:val="single" w:color="auto" w:sz="4" w:space="0"/>
              <w:right w:val="nil"/>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实施类</w:t>
            </w:r>
          </w:p>
        </w:tc>
        <w:tc>
          <w:tcPr>
            <w:tcW w:w="668" w:type="dxa"/>
            <w:tcBorders>
              <w:top w:val="nil"/>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配建</w:t>
            </w:r>
          </w:p>
        </w:tc>
        <w:tc>
          <w:tcPr>
            <w:tcW w:w="572" w:type="dxa"/>
            <w:tcBorders>
              <w:top w:val="nil"/>
              <w:left w:val="nil"/>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　</w:t>
            </w:r>
          </w:p>
        </w:tc>
      </w:tr>
      <w:tr>
        <w:tblPrEx>
          <w:tblCellMar>
            <w:top w:w="0" w:type="dxa"/>
            <w:left w:w="108" w:type="dxa"/>
            <w:bottom w:w="0" w:type="dxa"/>
            <w:right w:w="108" w:type="dxa"/>
          </w:tblCellMar>
        </w:tblPrEx>
        <w:trPr>
          <w:trHeight w:val="1351" w:hRule="atLeast"/>
          <w:jc w:val="center"/>
        </w:trPr>
        <w:tc>
          <w:tcPr>
            <w:tcW w:w="433" w:type="dxa"/>
            <w:tcBorders>
              <w:top w:val="nil"/>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10</w:t>
            </w:r>
          </w:p>
        </w:tc>
        <w:tc>
          <w:tcPr>
            <w:tcW w:w="1375" w:type="dxa"/>
            <w:tcBorders>
              <w:top w:val="nil"/>
              <w:left w:val="nil"/>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金周农居新社区幼儿园</w:t>
            </w:r>
          </w:p>
        </w:tc>
        <w:tc>
          <w:tcPr>
            <w:tcW w:w="928" w:type="dxa"/>
            <w:tcBorders>
              <w:top w:val="nil"/>
              <w:left w:val="nil"/>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幼儿园</w:t>
            </w:r>
          </w:p>
        </w:tc>
        <w:tc>
          <w:tcPr>
            <w:tcW w:w="3199" w:type="dxa"/>
            <w:tcBorders>
              <w:top w:val="nil"/>
              <w:left w:val="nil"/>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9个班，用地面积5000平方米，建筑面积4000平方米</w:t>
            </w:r>
          </w:p>
        </w:tc>
        <w:tc>
          <w:tcPr>
            <w:tcW w:w="991" w:type="dxa"/>
            <w:tcBorders>
              <w:top w:val="nil"/>
              <w:left w:val="nil"/>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联城区块</w:t>
            </w:r>
          </w:p>
        </w:tc>
        <w:tc>
          <w:tcPr>
            <w:tcW w:w="683" w:type="dxa"/>
            <w:tcBorders>
              <w:top w:val="nil"/>
              <w:left w:val="nil"/>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新建</w:t>
            </w:r>
          </w:p>
        </w:tc>
        <w:tc>
          <w:tcPr>
            <w:tcW w:w="1105" w:type="dxa"/>
            <w:tcBorders>
              <w:top w:val="nil"/>
              <w:left w:val="nil"/>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2020-2022</w:t>
            </w:r>
          </w:p>
        </w:tc>
        <w:tc>
          <w:tcPr>
            <w:tcW w:w="1105" w:type="dxa"/>
            <w:tcBorders>
              <w:top w:val="nil"/>
              <w:left w:val="nil"/>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0.25</w:t>
            </w:r>
          </w:p>
        </w:tc>
        <w:tc>
          <w:tcPr>
            <w:tcW w:w="1085" w:type="dxa"/>
            <w:tcBorders>
              <w:top w:val="nil"/>
              <w:left w:val="nil"/>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0.25</w:t>
            </w:r>
          </w:p>
        </w:tc>
        <w:tc>
          <w:tcPr>
            <w:tcW w:w="988" w:type="dxa"/>
            <w:tcBorders>
              <w:top w:val="nil"/>
              <w:left w:val="nil"/>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 xml:space="preserve">270 </w:t>
            </w:r>
          </w:p>
        </w:tc>
        <w:tc>
          <w:tcPr>
            <w:tcW w:w="728" w:type="dxa"/>
            <w:tcBorders>
              <w:top w:val="nil"/>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　</w:t>
            </w:r>
          </w:p>
        </w:tc>
        <w:tc>
          <w:tcPr>
            <w:tcW w:w="880" w:type="dxa"/>
            <w:tcBorders>
              <w:top w:val="nil"/>
              <w:left w:val="nil"/>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莲都区教育局</w:t>
            </w:r>
          </w:p>
        </w:tc>
        <w:tc>
          <w:tcPr>
            <w:tcW w:w="669" w:type="dxa"/>
            <w:tcBorders>
              <w:top w:val="nil"/>
              <w:left w:val="nil"/>
              <w:bottom w:val="single" w:color="auto" w:sz="4" w:space="0"/>
              <w:right w:val="nil"/>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实施类</w:t>
            </w:r>
          </w:p>
        </w:tc>
        <w:tc>
          <w:tcPr>
            <w:tcW w:w="668" w:type="dxa"/>
            <w:tcBorders>
              <w:top w:val="nil"/>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配建</w:t>
            </w:r>
          </w:p>
        </w:tc>
        <w:tc>
          <w:tcPr>
            <w:tcW w:w="572" w:type="dxa"/>
            <w:tcBorders>
              <w:top w:val="nil"/>
              <w:left w:val="nil"/>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　</w:t>
            </w:r>
          </w:p>
        </w:tc>
      </w:tr>
      <w:tr>
        <w:tblPrEx>
          <w:tblCellMar>
            <w:top w:w="0" w:type="dxa"/>
            <w:left w:w="108" w:type="dxa"/>
            <w:bottom w:w="0" w:type="dxa"/>
            <w:right w:w="108" w:type="dxa"/>
          </w:tblCellMar>
        </w:tblPrEx>
        <w:trPr>
          <w:trHeight w:val="1272" w:hRule="atLeast"/>
          <w:jc w:val="center"/>
        </w:trPr>
        <w:tc>
          <w:tcPr>
            <w:tcW w:w="433" w:type="dxa"/>
            <w:tcBorders>
              <w:top w:val="nil"/>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11</w:t>
            </w:r>
          </w:p>
        </w:tc>
        <w:tc>
          <w:tcPr>
            <w:tcW w:w="1375" w:type="dxa"/>
            <w:tcBorders>
              <w:top w:val="nil"/>
              <w:left w:val="nil"/>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城南村幼儿园</w:t>
            </w:r>
          </w:p>
        </w:tc>
        <w:tc>
          <w:tcPr>
            <w:tcW w:w="928" w:type="dxa"/>
            <w:tcBorders>
              <w:top w:val="nil"/>
              <w:left w:val="nil"/>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幼儿园</w:t>
            </w:r>
          </w:p>
        </w:tc>
        <w:tc>
          <w:tcPr>
            <w:tcW w:w="3199" w:type="dxa"/>
            <w:tcBorders>
              <w:top w:val="nil"/>
              <w:left w:val="nil"/>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9个班，用地面积5000平方米，建筑面积4000平方米</w:t>
            </w:r>
          </w:p>
        </w:tc>
        <w:tc>
          <w:tcPr>
            <w:tcW w:w="991" w:type="dxa"/>
            <w:tcBorders>
              <w:top w:val="nil"/>
              <w:left w:val="nil"/>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括苍南路西、南环路北</w:t>
            </w:r>
          </w:p>
        </w:tc>
        <w:tc>
          <w:tcPr>
            <w:tcW w:w="683" w:type="dxa"/>
            <w:tcBorders>
              <w:top w:val="nil"/>
              <w:left w:val="nil"/>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新建</w:t>
            </w:r>
          </w:p>
        </w:tc>
        <w:tc>
          <w:tcPr>
            <w:tcW w:w="1105" w:type="dxa"/>
            <w:tcBorders>
              <w:top w:val="nil"/>
              <w:left w:val="nil"/>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2023-2025</w:t>
            </w:r>
          </w:p>
        </w:tc>
        <w:tc>
          <w:tcPr>
            <w:tcW w:w="1105" w:type="dxa"/>
            <w:tcBorders>
              <w:top w:val="nil"/>
              <w:left w:val="nil"/>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0.25</w:t>
            </w:r>
          </w:p>
        </w:tc>
        <w:tc>
          <w:tcPr>
            <w:tcW w:w="1085" w:type="dxa"/>
            <w:tcBorders>
              <w:top w:val="nil"/>
              <w:left w:val="nil"/>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0.25</w:t>
            </w:r>
          </w:p>
        </w:tc>
        <w:tc>
          <w:tcPr>
            <w:tcW w:w="988" w:type="dxa"/>
            <w:tcBorders>
              <w:top w:val="nil"/>
              <w:left w:val="nil"/>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 xml:space="preserve">270 </w:t>
            </w:r>
          </w:p>
        </w:tc>
        <w:tc>
          <w:tcPr>
            <w:tcW w:w="728" w:type="dxa"/>
            <w:tcBorders>
              <w:top w:val="nil"/>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　</w:t>
            </w:r>
          </w:p>
        </w:tc>
        <w:tc>
          <w:tcPr>
            <w:tcW w:w="880" w:type="dxa"/>
            <w:tcBorders>
              <w:top w:val="nil"/>
              <w:left w:val="nil"/>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莲都区教育局</w:t>
            </w:r>
          </w:p>
        </w:tc>
        <w:tc>
          <w:tcPr>
            <w:tcW w:w="669" w:type="dxa"/>
            <w:tcBorders>
              <w:top w:val="nil"/>
              <w:left w:val="nil"/>
              <w:bottom w:val="single" w:color="auto" w:sz="4" w:space="0"/>
              <w:right w:val="nil"/>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实施类</w:t>
            </w:r>
          </w:p>
        </w:tc>
        <w:tc>
          <w:tcPr>
            <w:tcW w:w="668" w:type="dxa"/>
            <w:tcBorders>
              <w:top w:val="nil"/>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自建</w:t>
            </w:r>
          </w:p>
        </w:tc>
        <w:tc>
          <w:tcPr>
            <w:tcW w:w="572" w:type="dxa"/>
            <w:tcBorders>
              <w:top w:val="nil"/>
              <w:left w:val="nil"/>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　</w:t>
            </w:r>
          </w:p>
        </w:tc>
      </w:tr>
      <w:tr>
        <w:tblPrEx>
          <w:tblCellMar>
            <w:top w:w="0" w:type="dxa"/>
            <w:left w:w="108" w:type="dxa"/>
            <w:bottom w:w="0" w:type="dxa"/>
            <w:right w:w="108" w:type="dxa"/>
          </w:tblCellMar>
        </w:tblPrEx>
        <w:trPr>
          <w:trHeight w:val="1245" w:hRule="atLeast"/>
          <w:jc w:val="center"/>
        </w:trPr>
        <w:tc>
          <w:tcPr>
            <w:tcW w:w="433" w:type="dxa"/>
            <w:tcBorders>
              <w:top w:val="nil"/>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12</w:t>
            </w:r>
          </w:p>
        </w:tc>
        <w:tc>
          <w:tcPr>
            <w:tcW w:w="1375" w:type="dxa"/>
            <w:tcBorders>
              <w:top w:val="nil"/>
              <w:left w:val="nil"/>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莲都区星星幼儿园</w:t>
            </w:r>
          </w:p>
        </w:tc>
        <w:tc>
          <w:tcPr>
            <w:tcW w:w="928" w:type="dxa"/>
            <w:tcBorders>
              <w:top w:val="nil"/>
              <w:left w:val="nil"/>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幼儿园</w:t>
            </w:r>
          </w:p>
        </w:tc>
        <w:tc>
          <w:tcPr>
            <w:tcW w:w="3199" w:type="dxa"/>
            <w:tcBorders>
              <w:top w:val="nil"/>
              <w:left w:val="nil"/>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9个班，用地面积5000平方米，建筑面积4000平方米</w:t>
            </w:r>
          </w:p>
        </w:tc>
        <w:tc>
          <w:tcPr>
            <w:tcW w:w="991" w:type="dxa"/>
            <w:tcBorders>
              <w:top w:val="nil"/>
              <w:left w:val="nil"/>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丽阳街北、三岩寺路南</w:t>
            </w:r>
          </w:p>
        </w:tc>
        <w:tc>
          <w:tcPr>
            <w:tcW w:w="683" w:type="dxa"/>
            <w:tcBorders>
              <w:top w:val="nil"/>
              <w:left w:val="nil"/>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新建</w:t>
            </w:r>
          </w:p>
        </w:tc>
        <w:tc>
          <w:tcPr>
            <w:tcW w:w="1105" w:type="dxa"/>
            <w:tcBorders>
              <w:top w:val="nil"/>
              <w:left w:val="nil"/>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2023-2025</w:t>
            </w:r>
          </w:p>
        </w:tc>
        <w:tc>
          <w:tcPr>
            <w:tcW w:w="1105" w:type="dxa"/>
            <w:tcBorders>
              <w:top w:val="nil"/>
              <w:left w:val="nil"/>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0.25</w:t>
            </w:r>
          </w:p>
        </w:tc>
        <w:tc>
          <w:tcPr>
            <w:tcW w:w="1085" w:type="dxa"/>
            <w:tcBorders>
              <w:top w:val="nil"/>
              <w:left w:val="nil"/>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0.25</w:t>
            </w:r>
          </w:p>
        </w:tc>
        <w:tc>
          <w:tcPr>
            <w:tcW w:w="988" w:type="dxa"/>
            <w:tcBorders>
              <w:top w:val="nil"/>
              <w:left w:val="nil"/>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 xml:space="preserve">270 </w:t>
            </w:r>
          </w:p>
        </w:tc>
        <w:tc>
          <w:tcPr>
            <w:tcW w:w="728" w:type="dxa"/>
            <w:tcBorders>
              <w:top w:val="nil"/>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　</w:t>
            </w:r>
          </w:p>
        </w:tc>
        <w:tc>
          <w:tcPr>
            <w:tcW w:w="880" w:type="dxa"/>
            <w:tcBorders>
              <w:top w:val="nil"/>
              <w:left w:val="nil"/>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莲都区教育局</w:t>
            </w:r>
          </w:p>
        </w:tc>
        <w:tc>
          <w:tcPr>
            <w:tcW w:w="669" w:type="dxa"/>
            <w:tcBorders>
              <w:top w:val="nil"/>
              <w:left w:val="nil"/>
              <w:bottom w:val="single" w:color="auto" w:sz="4" w:space="0"/>
              <w:right w:val="nil"/>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实施类</w:t>
            </w:r>
          </w:p>
        </w:tc>
        <w:tc>
          <w:tcPr>
            <w:tcW w:w="668" w:type="dxa"/>
            <w:tcBorders>
              <w:top w:val="nil"/>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自建</w:t>
            </w:r>
          </w:p>
        </w:tc>
        <w:tc>
          <w:tcPr>
            <w:tcW w:w="572" w:type="dxa"/>
            <w:tcBorders>
              <w:top w:val="nil"/>
              <w:left w:val="nil"/>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　</w:t>
            </w:r>
          </w:p>
        </w:tc>
      </w:tr>
      <w:tr>
        <w:tblPrEx>
          <w:tblCellMar>
            <w:top w:w="0" w:type="dxa"/>
            <w:left w:w="108" w:type="dxa"/>
            <w:bottom w:w="0" w:type="dxa"/>
            <w:right w:w="108" w:type="dxa"/>
          </w:tblCellMar>
        </w:tblPrEx>
        <w:trPr>
          <w:trHeight w:val="1125" w:hRule="atLeast"/>
          <w:jc w:val="center"/>
        </w:trPr>
        <w:tc>
          <w:tcPr>
            <w:tcW w:w="433"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序号</w:t>
            </w:r>
          </w:p>
        </w:tc>
        <w:tc>
          <w:tcPr>
            <w:tcW w:w="1375" w:type="dxa"/>
            <w:tcBorders>
              <w:top w:val="single" w:color="auto" w:sz="4" w:space="0"/>
              <w:left w:val="nil"/>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项目名称</w:t>
            </w:r>
          </w:p>
        </w:tc>
        <w:tc>
          <w:tcPr>
            <w:tcW w:w="928" w:type="dxa"/>
            <w:tcBorders>
              <w:top w:val="single" w:color="auto" w:sz="4" w:space="0"/>
              <w:left w:val="nil"/>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学段</w:t>
            </w:r>
          </w:p>
        </w:tc>
        <w:tc>
          <w:tcPr>
            <w:tcW w:w="3199" w:type="dxa"/>
            <w:tcBorders>
              <w:top w:val="single" w:color="auto" w:sz="4" w:space="0"/>
              <w:left w:val="nil"/>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建设规模和内容</w:t>
            </w:r>
          </w:p>
        </w:tc>
        <w:tc>
          <w:tcPr>
            <w:tcW w:w="991" w:type="dxa"/>
            <w:tcBorders>
              <w:top w:val="single" w:color="auto" w:sz="4" w:space="0"/>
              <w:left w:val="nil"/>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建设</w:t>
            </w:r>
          </w:p>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地点</w:t>
            </w:r>
          </w:p>
        </w:tc>
        <w:tc>
          <w:tcPr>
            <w:tcW w:w="683" w:type="dxa"/>
            <w:tcBorders>
              <w:top w:val="single" w:color="auto" w:sz="4" w:space="0"/>
              <w:left w:val="nil"/>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建设性质</w:t>
            </w:r>
          </w:p>
        </w:tc>
        <w:tc>
          <w:tcPr>
            <w:tcW w:w="1105" w:type="dxa"/>
            <w:tcBorders>
              <w:top w:val="single" w:color="auto" w:sz="4" w:space="0"/>
              <w:left w:val="nil"/>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起止年限</w:t>
            </w:r>
          </w:p>
        </w:tc>
        <w:tc>
          <w:tcPr>
            <w:tcW w:w="1105" w:type="dxa"/>
            <w:tcBorders>
              <w:top w:val="single" w:color="auto" w:sz="4" w:space="0"/>
              <w:left w:val="nil"/>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总投资（亿元）</w:t>
            </w:r>
          </w:p>
        </w:tc>
        <w:tc>
          <w:tcPr>
            <w:tcW w:w="1085" w:type="dxa"/>
            <w:tcBorders>
              <w:top w:val="single" w:color="auto" w:sz="4" w:space="0"/>
              <w:left w:val="nil"/>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计划投资（亿元）</w:t>
            </w:r>
          </w:p>
        </w:tc>
        <w:tc>
          <w:tcPr>
            <w:tcW w:w="988" w:type="dxa"/>
            <w:tcBorders>
              <w:top w:val="single" w:color="auto" w:sz="4" w:space="0"/>
              <w:left w:val="nil"/>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新增学位（个）</w:t>
            </w:r>
          </w:p>
        </w:tc>
        <w:tc>
          <w:tcPr>
            <w:tcW w:w="72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项目业主</w:t>
            </w:r>
          </w:p>
        </w:tc>
        <w:tc>
          <w:tcPr>
            <w:tcW w:w="880" w:type="dxa"/>
            <w:tcBorders>
              <w:top w:val="single" w:color="auto" w:sz="4" w:space="0"/>
              <w:left w:val="nil"/>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责任单位</w:t>
            </w:r>
          </w:p>
        </w:tc>
        <w:tc>
          <w:tcPr>
            <w:tcW w:w="669" w:type="dxa"/>
            <w:tcBorders>
              <w:top w:val="single" w:color="auto" w:sz="4" w:space="0"/>
              <w:left w:val="nil"/>
              <w:bottom w:val="single" w:color="auto" w:sz="4" w:space="0"/>
              <w:right w:val="nil"/>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项目类别</w:t>
            </w:r>
          </w:p>
        </w:tc>
        <w:tc>
          <w:tcPr>
            <w:tcW w:w="66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建设模式</w:t>
            </w:r>
          </w:p>
        </w:tc>
        <w:tc>
          <w:tcPr>
            <w:tcW w:w="572" w:type="dxa"/>
            <w:tcBorders>
              <w:top w:val="single" w:color="auto" w:sz="4" w:space="0"/>
              <w:left w:val="nil"/>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备注</w:t>
            </w:r>
          </w:p>
        </w:tc>
      </w:tr>
      <w:tr>
        <w:tblPrEx>
          <w:tblCellMar>
            <w:top w:w="0" w:type="dxa"/>
            <w:left w:w="108" w:type="dxa"/>
            <w:bottom w:w="0" w:type="dxa"/>
            <w:right w:w="108" w:type="dxa"/>
          </w:tblCellMar>
        </w:tblPrEx>
        <w:trPr>
          <w:trHeight w:val="970" w:hRule="atLeast"/>
          <w:jc w:val="center"/>
        </w:trPr>
        <w:tc>
          <w:tcPr>
            <w:tcW w:w="433" w:type="dxa"/>
            <w:tcBorders>
              <w:top w:val="nil"/>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13</w:t>
            </w:r>
          </w:p>
        </w:tc>
        <w:tc>
          <w:tcPr>
            <w:tcW w:w="1375" w:type="dxa"/>
            <w:tcBorders>
              <w:top w:val="nil"/>
              <w:left w:val="nil"/>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中梁天悦湾幼儿园</w:t>
            </w:r>
          </w:p>
        </w:tc>
        <w:tc>
          <w:tcPr>
            <w:tcW w:w="928" w:type="dxa"/>
            <w:tcBorders>
              <w:top w:val="nil"/>
              <w:left w:val="nil"/>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幼儿园</w:t>
            </w:r>
          </w:p>
        </w:tc>
        <w:tc>
          <w:tcPr>
            <w:tcW w:w="3199" w:type="dxa"/>
            <w:tcBorders>
              <w:top w:val="nil"/>
              <w:left w:val="nil"/>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9个班，用地面积5000平方米，建筑面积4000平方米</w:t>
            </w:r>
          </w:p>
        </w:tc>
        <w:tc>
          <w:tcPr>
            <w:tcW w:w="991" w:type="dxa"/>
            <w:tcBorders>
              <w:top w:val="nil"/>
              <w:left w:val="nil"/>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天悦湾小区内</w:t>
            </w:r>
          </w:p>
        </w:tc>
        <w:tc>
          <w:tcPr>
            <w:tcW w:w="683" w:type="dxa"/>
            <w:tcBorders>
              <w:top w:val="nil"/>
              <w:left w:val="nil"/>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新建</w:t>
            </w:r>
          </w:p>
        </w:tc>
        <w:tc>
          <w:tcPr>
            <w:tcW w:w="1105" w:type="dxa"/>
            <w:tcBorders>
              <w:top w:val="nil"/>
              <w:left w:val="nil"/>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2020-2023</w:t>
            </w:r>
          </w:p>
        </w:tc>
        <w:tc>
          <w:tcPr>
            <w:tcW w:w="1105" w:type="dxa"/>
            <w:tcBorders>
              <w:top w:val="nil"/>
              <w:left w:val="nil"/>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0.25</w:t>
            </w:r>
          </w:p>
        </w:tc>
        <w:tc>
          <w:tcPr>
            <w:tcW w:w="1085" w:type="dxa"/>
            <w:tcBorders>
              <w:top w:val="nil"/>
              <w:left w:val="nil"/>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0.25</w:t>
            </w:r>
          </w:p>
        </w:tc>
        <w:tc>
          <w:tcPr>
            <w:tcW w:w="988" w:type="dxa"/>
            <w:tcBorders>
              <w:top w:val="nil"/>
              <w:left w:val="nil"/>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 xml:space="preserve">270 </w:t>
            </w:r>
          </w:p>
        </w:tc>
        <w:tc>
          <w:tcPr>
            <w:tcW w:w="728" w:type="dxa"/>
            <w:tcBorders>
              <w:top w:val="nil"/>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　</w:t>
            </w:r>
          </w:p>
        </w:tc>
        <w:tc>
          <w:tcPr>
            <w:tcW w:w="880" w:type="dxa"/>
            <w:tcBorders>
              <w:top w:val="nil"/>
              <w:left w:val="nil"/>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莲都区教育局</w:t>
            </w:r>
          </w:p>
        </w:tc>
        <w:tc>
          <w:tcPr>
            <w:tcW w:w="669" w:type="dxa"/>
            <w:tcBorders>
              <w:top w:val="nil"/>
              <w:left w:val="nil"/>
              <w:bottom w:val="single" w:color="auto" w:sz="4" w:space="0"/>
              <w:right w:val="nil"/>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实施类</w:t>
            </w:r>
          </w:p>
        </w:tc>
        <w:tc>
          <w:tcPr>
            <w:tcW w:w="668" w:type="dxa"/>
            <w:tcBorders>
              <w:top w:val="nil"/>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配建</w:t>
            </w:r>
          </w:p>
        </w:tc>
        <w:tc>
          <w:tcPr>
            <w:tcW w:w="572" w:type="dxa"/>
            <w:tcBorders>
              <w:top w:val="nil"/>
              <w:left w:val="nil"/>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　</w:t>
            </w:r>
          </w:p>
        </w:tc>
      </w:tr>
      <w:tr>
        <w:tblPrEx>
          <w:tblCellMar>
            <w:top w:w="0" w:type="dxa"/>
            <w:left w:w="108" w:type="dxa"/>
            <w:bottom w:w="0" w:type="dxa"/>
            <w:right w:w="108" w:type="dxa"/>
          </w:tblCellMar>
        </w:tblPrEx>
        <w:trPr>
          <w:trHeight w:val="1077" w:hRule="atLeast"/>
          <w:jc w:val="center"/>
        </w:trPr>
        <w:tc>
          <w:tcPr>
            <w:tcW w:w="433" w:type="dxa"/>
            <w:tcBorders>
              <w:top w:val="nil"/>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14</w:t>
            </w:r>
          </w:p>
        </w:tc>
        <w:tc>
          <w:tcPr>
            <w:tcW w:w="1375" w:type="dxa"/>
            <w:tcBorders>
              <w:top w:val="nil"/>
              <w:left w:val="nil"/>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芦埠幼儿园</w:t>
            </w:r>
          </w:p>
        </w:tc>
        <w:tc>
          <w:tcPr>
            <w:tcW w:w="928" w:type="dxa"/>
            <w:tcBorders>
              <w:top w:val="nil"/>
              <w:left w:val="nil"/>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幼儿园</w:t>
            </w:r>
          </w:p>
        </w:tc>
        <w:tc>
          <w:tcPr>
            <w:tcW w:w="3199" w:type="dxa"/>
            <w:tcBorders>
              <w:top w:val="nil"/>
              <w:left w:val="nil"/>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9个班，用地面积5000平方米，建筑面积4000平方米</w:t>
            </w:r>
          </w:p>
        </w:tc>
        <w:tc>
          <w:tcPr>
            <w:tcW w:w="991" w:type="dxa"/>
            <w:tcBorders>
              <w:top w:val="nil"/>
              <w:left w:val="nil"/>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水东路东、芦埠路北</w:t>
            </w:r>
          </w:p>
        </w:tc>
        <w:tc>
          <w:tcPr>
            <w:tcW w:w="683" w:type="dxa"/>
            <w:tcBorders>
              <w:top w:val="nil"/>
              <w:left w:val="nil"/>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新建</w:t>
            </w:r>
          </w:p>
        </w:tc>
        <w:tc>
          <w:tcPr>
            <w:tcW w:w="1105" w:type="dxa"/>
            <w:tcBorders>
              <w:top w:val="nil"/>
              <w:left w:val="nil"/>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2021-2023</w:t>
            </w:r>
          </w:p>
        </w:tc>
        <w:tc>
          <w:tcPr>
            <w:tcW w:w="1105" w:type="dxa"/>
            <w:tcBorders>
              <w:top w:val="nil"/>
              <w:left w:val="nil"/>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0.25</w:t>
            </w:r>
          </w:p>
        </w:tc>
        <w:tc>
          <w:tcPr>
            <w:tcW w:w="1085" w:type="dxa"/>
            <w:tcBorders>
              <w:top w:val="nil"/>
              <w:left w:val="nil"/>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0.25</w:t>
            </w:r>
          </w:p>
        </w:tc>
        <w:tc>
          <w:tcPr>
            <w:tcW w:w="988" w:type="dxa"/>
            <w:tcBorders>
              <w:top w:val="nil"/>
              <w:left w:val="nil"/>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 xml:space="preserve">270 </w:t>
            </w:r>
          </w:p>
        </w:tc>
        <w:tc>
          <w:tcPr>
            <w:tcW w:w="728" w:type="dxa"/>
            <w:tcBorders>
              <w:top w:val="nil"/>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　</w:t>
            </w:r>
          </w:p>
        </w:tc>
        <w:tc>
          <w:tcPr>
            <w:tcW w:w="880" w:type="dxa"/>
            <w:tcBorders>
              <w:top w:val="nil"/>
              <w:left w:val="nil"/>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莲都区教育局</w:t>
            </w:r>
          </w:p>
        </w:tc>
        <w:tc>
          <w:tcPr>
            <w:tcW w:w="669" w:type="dxa"/>
            <w:tcBorders>
              <w:top w:val="nil"/>
              <w:left w:val="nil"/>
              <w:bottom w:val="single" w:color="auto" w:sz="4" w:space="0"/>
              <w:right w:val="nil"/>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　</w:t>
            </w:r>
          </w:p>
        </w:tc>
        <w:tc>
          <w:tcPr>
            <w:tcW w:w="668" w:type="dxa"/>
            <w:tcBorders>
              <w:top w:val="nil"/>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　</w:t>
            </w:r>
          </w:p>
        </w:tc>
        <w:tc>
          <w:tcPr>
            <w:tcW w:w="572" w:type="dxa"/>
            <w:tcBorders>
              <w:top w:val="nil"/>
              <w:left w:val="nil"/>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　</w:t>
            </w:r>
          </w:p>
        </w:tc>
      </w:tr>
      <w:tr>
        <w:tblPrEx>
          <w:tblCellMar>
            <w:top w:w="0" w:type="dxa"/>
            <w:left w:w="108" w:type="dxa"/>
            <w:bottom w:w="0" w:type="dxa"/>
            <w:right w:w="108" w:type="dxa"/>
          </w:tblCellMar>
        </w:tblPrEx>
        <w:trPr>
          <w:trHeight w:val="948" w:hRule="atLeast"/>
          <w:jc w:val="center"/>
        </w:trPr>
        <w:tc>
          <w:tcPr>
            <w:tcW w:w="433" w:type="dxa"/>
            <w:tcBorders>
              <w:top w:val="nil"/>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15</w:t>
            </w:r>
          </w:p>
        </w:tc>
        <w:tc>
          <w:tcPr>
            <w:tcW w:w="1375" w:type="dxa"/>
            <w:tcBorders>
              <w:top w:val="nil"/>
              <w:left w:val="nil"/>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联城一园</w:t>
            </w:r>
          </w:p>
        </w:tc>
        <w:tc>
          <w:tcPr>
            <w:tcW w:w="928" w:type="dxa"/>
            <w:tcBorders>
              <w:top w:val="nil"/>
              <w:left w:val="nil"/>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幼儿园</w:t>
            </w:r>
          </w:p>
        </w:tc>
        <w:tc>
          <w:tcPr>
            <w:tcW w:w="3199" w:type="dxa"/>
            <w:tcBorders>
              <w:top w:val="nil"/>
              <w:left w:val="nil"/>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9个班，用地面积5000平方米，建筑面积4000平方米</w:t>
            </w:r>
          </w:p>
        </w:tc>
        <w:tc>
          <w:tcPr>
            <w:tcW w:w="991" w:type="dxa"/>
            <w:tcBorders>
              <w:top w:val="nil"/>
              <w:left w:val="nil"/>
              <w:bottom w:val="single" w:color="auto" w:sz="4" w:space="0"/>
              <w:right w:val="single" w:color="auto" w:sz="4" w:space="0"/>
            </w:tcBorders>
            <w:shd w:val="clear" w:color="auto" w:fill="auto"/>
            <w:vAlign w:val="center"/>
          </w:tcPr>
          <w:p>
            <w:pPr>
              <w:widowControl/>
              <w:suppressAutoHyphens w:val="0"/>
              <w:jc w:val="left"/>
              <w:rPr>
                <w:rFonts w:ascii="宋体" w:hAnsi="宋体" w:cs="宋体"/>
                <w:kern w:val="0"/>
                <w:szCs w:val="21"/>
                <w:highlight w:val="none"/>
              </w:rPr>
            </w:pPr>
            <w:r>
              <w:rPr>
                <w:rFonts w:hint="eastAsia" w:ascii="宋体" w:hAnsi="宋体" w:cs="宋体"/>
                <w:kern w:val="0"/>
                <w:szCs w:val="21"/>
                <w:highlight w:val="none"/>
              </w:rPr>
              <w:t>河堤路东、常宅路南</w:t>
            </w:r>
          </w:p>
        </w:tc>
        <w:tc>
          <w:tcPr>
            <w:tcW w:w="683" w:type="dxa"/>
            <w:tcBorders>
              <w:top w:val="nil"/>
              <w:left w:val="nil"/>
              <w:bottom w:val="single" w:color="auto" w:sz="4" w:space="0"/>
              <w:right w:val="single" w:color="auto" w:sz="4" w:space="0"/>
            </w:tcBorders>
            <w:shd w:val="clear" w:color="auto" w:fill="auto"/>
            <w:vAlign w:val="center"/>
          </w:tcPr>
          <w:p>
            <w:pPr>
              <w:widowControl/>
              <w:suppressAutoHyphens w:val="0"/>
              <w:jc w:val="left"/>
              <w:rPr>
                <w:rFonts w:ascii="宋体" w:hAnsi="宋体" w:cs="宋体"/>
                <w:kern w:val="0"/>
                <w:szCs w:val="21"/>
                <w:highlight w:val="none"/>
              </w:rPr>
            </w:pPr>
            <w:r>
              <w:rPr>
                <w:rFonts w:hint="eastAsia" w:ascii="宋体" w:hAnsi="宋体" w:cs="宋体"/>
                <w:kern w:val="0"/>
                <w:szCs w:val="21"/>
                <w:highlight w:val="none"/>
              </w:rPr>
              <w:t>新建</w:t>
            </w:r>
          </w:p>
        </w:tc>
        <w:tc>
          <w:tcPr>
            <w:tcW w:w="1105" w:type="dxa"/>
            <w:tcBorders>
              <w:top w:val="nil"/>
              <w:left w:val="nil"/>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2021-2023</w:t>
            </w:r>
          </w:p>
        </w:tc>
        <w:tc>
          <w:tcPr>
            <w:tcW w:w="1105" w:type="dxa"/>
            <w:tcBorders>
              <w:top w:val="nil"/>
              <w:left w:val="nil"/>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0.25</w:t>
            </w:r>
          </w:p>
        </w:tc>
        <w:tc>
          <w:tcPr>
            <w:tcW w:w="1085" w:type="dxa"/>
            <w:tcBorders>
              <w:top w:val="nil"/>
              <w:left w:val="nil"/>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0.25</w:t>
            </w:r>
          </w:p>
        </w:tc>
        <w:tc>
          <w:tcPr>
            <w:tcW w:w="988" w:type="dxa"/>
            <w:tcBorders>
              <w:top w:val="nil"/>
              <w:left w:val="nil"/>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 xml:space="preserve">270 </w:t>
            </w:r>
          </w:p>
        </w:tc>
        <w:tc>
          <w:tcPr>
            <w:tcW w:w="728" w:type="dxa"/>
            <w:tcBorders>
              <w:top w:val="nil"/>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　</w:t>
            </w:r>
          </w:p>
        </w:tc>
        <w:tc>
          <w:tcPr>
            <w:tcW w:w="880" w:type="dxa"/>
            <w:tcBorders>
              <w:top w:val="nil"/>
              <w:left w:val="nil"/>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莲都区教育局</w:t>
            </w:r>
          </w:p>
        </w:tc>
        <w:tc>
          <w:tcPr>
            <w:tcW w:w="669" w:type="dxa"/>
            <w:tcBorders>
              <w:top w:val="nil"/>
              <w:left w:val="nil"/>
              <w:bottom w:val="single" w:color="auto" w:sz="4" w:space="0"/>
              <w:right w:val="nil"/>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　</w:t>
            </w:r>
          </w:p>
        </w:tc>
        <w:tc>
          <w:tcPr>
            <w:tcW w:w="668" w:type="dxa"/>
            <w:tcBorders>
              <w:top w:val="nil"/>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　</w:t>
            </w:r>
          </w:p>
        </w:tc>
        <w:tc>
          <w:tcPr>
            <w:tcW w:w="572" w:type="dxa"/>
            <w:tcBorders>
              <w:top w:val="nil"/>
              <w:left w:val="nil"/>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　</w:t>
            </w:r>
          </w:p>
        </w:tc>
      </w:tr>
      <w:tr>
        <w:tblPrEx>
          <w:tblCellMar>
            <w:top w:w="0" w:type="dxa"/>
            <w:left w:w="108" w:type="dxa"/>
            <w:bottom w:w="0" w:type="dxa"/>
            <w:right w:w="108" w:type="dxa"/>
          </w:tblCellMar>
        </w:tblPrEx>
        <w:trPr>
          <w:trHeight w:val="852" w:hRule="exact"/>
          <w:jc w:val="center"/>
        </w:trPr>
        <w:tc>
          <w:tcPr>
            <w:tcW w:w="433" w:type="dxa"/>
            <w:tcBorders>
              <w:top w:val="nil"/>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16</w:t>
            </w:r>
          </w:p>
        </w:tc>
        <w:tc>
          <w:tcPr>
            <w:tcW w:w="1375" w:type="dxa"/>
            <w:tcBorders>
              <w:top w:val="nil"/>
              <w:left w:val="nil"/>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城南公寓幼儿园</w:t>
            </w:r>
          </w:p>
        </w:tc>
        <w:tc>
          <w:tcPr>
            <w:tcW w:w="928" w:type="dxa"/>
            <w:tcBorders>
              <w:top w:val="nil"/>
              <w:left w:val="nil"/>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幼儿园</w:t>
            </w:r>
          </w:p>
        </w:tc>
        <w:tc>
          <w:tcPr>
            <w:tcW w:w="3199" w:type="dxa"/>
            <w:tcBorders>
              <w:top w:val="nil"/>
              <w:left w:val="nil"/>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9个班，用地面积5000平方米，建筑面积4000平方米</w:t>
            </w:r>
          </w:p>
        </w:tc>
        <w:tc>
          <w:tcPr>
            <w:tcW w:w="991" w:type="dxa"/>
            <w:tcBorders>
              <w:top w:val="nil"/>
              <w:left w:val="nil"/>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吕埠坑村</w:t>
            </w:r>
          </w:p>
        </w:tc>
        <w:tc>
          <w:tcPr>
            <w:tcW w:w="683" w:type="dxa"/>
            <w:tcBorders>
              <w:top w:val="nil"/>
              <w:left w:val="nil"/>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新建</w:t>
            </w:r>
          </w:p>
        </w:tc>
        <w:tc>
          <w:tcPr>
            <w:tcW w:w="1105" w:type="dxa"/>
            <w:tcBorders>
              <w:top w:val="nil"/>
              <w:left w:val="nil"/>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2023-2025</w:t>
            </w:r>
          </w:p>
        </w:tc>
        <w:tc>
          <w:tcPr>
            <w:tcW w:w="1105" w:type="dxa"/>
            <w:tcBorders>
              <w:top w:val="nil"/>
              <w:left w:val="nil"/>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0.25</w:t>
            </w:r>
          </w:p>
        </w:tc>
        <w:tc>
          <w:tcPr>
            <w:tcW w:w="1085" w:type="dxa"/>
            <w:tcBorders>
              <w:top w:val="nil"/>
              <w:left w:val="nil"/>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0.25</w:t>
            </w:r>
          </w:p>
        </w:tc>
        <w:tc>
          <w:tcPr>
            <w:tcW w:w="988" w:type="dxa"/>
            <w:tcBorders>
              <w:top w:val="nil"/>
              <w:left w:val="nil"/>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 xml:space="preserve">270 </w:t>
            </w:r>
          </w:p>
        </w:tc>
        <w:tc>
          <w:tcPr>
            <w:tcW w:w="728" w:type="dxa"/>
            <w:tcBorders>
              <w:top w:val="nil"/>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　</w:t>
            </w:r>
          </w:p>
        </w:tc>
        <w:tc>
          <w:tcPr>
            <w:tcW w:w="880" w:type="dxa"/>
            <w:tcBorders>
              <w:top w:val="nil"/>
              <w:left w:val="nil"/>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莲都区教育局</w:t>
            </w:r>
          </w:p>
        </w:tc>
        <w:tc>
          <w:tcPr>
            <w:tcW w:w="669" w:type="dxa"/>
            <w:tcBorders>
              <w:top w:val="nil"/>
              <w:left w:val="nil"/>
              <w:bottom w:val="single" w:color="auto" w:sz="4" w:space="0"/>
              <w:right w:val="nil"/>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　</w:t>
            </w:r>
          </w:p>
        </w:tc>
        <w:tc>
          <w:tcPr>
            <w:tcW w:w="668" w:type="dxa"/>
            <w:tcBorders>
              <w:top w:val="nil"/>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　</w:t>
            </w:r>
          </w:p>
        </w:tc>
        <w:tc>
          <w:tcPr>
            <w:tcW w:w="572" w:type="dxa"/>
            <w:tcBorders>
              <w:top w:val="nil"/>
              <w:left w:val="nil"/>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　</w:t>
            </w:r>
          </w:p>
        </w:tc>
      </w:tr>
      <w:tr>
        <w:tblPrEx>
          <w:tblCellMar>
            <w:top w:w="0" w:type="dxa"/>
            <w:left w:w="108" w:type="dxa"/>
            <w:bottom w:w="0" w:type="dxa"/>
            <w:right w:w="108" w:type="dxa"/>
          </w:tblCellMar>
        </w:tblPrEx>
        <w:trPr>
          <w:trHeight w:val="1140" w:hRule="atLeast"/>
          <w:jc w:val="center"/>
        </w:trPr>
        <w:tc>
          <w:tcPr>
            <w:tcW w:w="433" w:type="dxa"/>
            <w:tcBorders>
              <w:top w:val="nil"/>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17</w:t>
            </w:r>
          </w:p>
        </w:tc>
        <w:tc>
          <w:tcPr>
            <w:tcW w:w="1375" w:type="dxa"/>
            <w:tcBorders>
              <w:top w:val="nil"/>
              <w:left w:val="nil"/>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 xml:space="preserve"> 奚渡幼儿园</w:t>
            </w:r>
          </w:p>
        </w:tc>
        <w:tc>
          <w:tcPr>
            <w:tcW w:w="928" w:type="dxa"/>
            <w:tcBorders>
              <w:top w:val="nil"/>
              <w:left w:val="nil"/>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幼儿园</w:t>
            </w:r>
          </w:p>
        </w:tc>
        <w:tc>
          <w:tcPr>
            <w:tcW w:w="3199" w:type="dxa"/>
            <w:tcBorders>
              <w:top w:val="nil"/>
              <w:left w:val="nil"/>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9个班，用地面积5000平方米，建筑面积4000平方米</w:t>
            </w:r>
          </w:p>
        </w:tc>
        <w:tc>
          <w:tcPr>
            <w:tcW w:w="991" w:type="dxa"/>
            <w:tcBorders>
              <w:top w:val="nil"/>
              <w:left w:val="nil"/>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丽青路南、囿山路北</w:t>
            </w:r>
          </w:p>
        </w:tc>
        <w:tc>
          <w:tcPr>
            <w:tcW w:w="683" w:type="dxa"/>
            <w:tcBorders>
              <w:top w:val="nil"/>
              <w:left w:val="nil"/>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新建</w:t>
            </w:r>
          </w:p>
        </w:tc>
        <w:tc>
          <w:tcPr>
            <w:tcW w:w="1105" w:type="dxa"/>
            <w:tcBorders>
              <w:top w:val="nil"/>
              <w:left w:val="nil"/>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2023-2025</w:t>
            </w:r>
          </w:p>
        </w:tc>
        <w:tc>
          <w:tcPr>
            <w:tcW w:w="1105" w:type="dxa"/>
            <w:tcBorders>
              <w:top w:val="nil"/>
              <w:left w:val="nil"/>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0.25</w:t>
            </w:r>
          </w:p>
        </w:tc>
        <w:tc>
          <w:tcPr>
            <w:tcW w:w="1085" w:type="dxa"/>
            <w:tcBorders>
              <w:top w:val="nil"/>
              <w:left w:val="nil"/>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0.25</w:t>
            </w:r>
          </w:p>
        </w:tc>
        <w:tc>
          <w:tcPr>
            <w:tcW w:w="988" w:type="dxa"/>
            <w:tcBorders>
              <w:top w:val="nil"/>
              <w:left w:val="nil"/>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 xml:space="preserve">270 </w:t>
            </w:r>
          </w:p>
        </w:tc>
        <w:tc>
          <w:tcPr>
            <w:tcW w:w="728" w:type="dxa"/>
            <w:tcBorders>
              <w:top w:val="nil"/>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　</w:t>
            </w:r>
          </w:p>
        </w:tc>
        <w:tc>
          <w:tcPr>
            <w:tcW w:w="880" w:type="dxa"/>
            <w:tcBorders>
              <w:top w:val="nil"/>
              <w:left w:val="nil"/>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莲都区教育局</w:t>
            </w:r>
          </w:p>
        </w:tc>
        <w:tc>
          <w:tcPr>
            <w:tcW w:w="669" w:type="dxa"/>
            <w:tcBorders>
              <w:top w:val="nil"/>
              <w:left w:val="nil"/>
              <w:bottom w:val="single" w:color="auto" w:sz="4" w:space="0"/>
              <w:right w:val="nil"/>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　</w:t>
            </w:r>
          </w:p>
        </w:tc>
        <w:tc>
          <w:tcPr>
            <w:tcW w:w="668" w:type="dxa"/>
            <w:tcBorders>
              <w:top w:val="nil"/>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　</w:t>
            </w:r>
          </w:p>
        </w:tc>
        <w:tc>
          <w:tcPr>
            <w:tcW w:w="572" w:type="dxa"/>
            <w:tcBorders>
              <w:top w:val="nil"/>
              <w:left w:val="nil"/>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　</w:t>
            </w:r>
          </w:p>
        </w:tc>
      </w:tr>
      <w:tr>
        <w:tblPrEx>
          <w:tblCellMar>
            <w:top w:w="0" w:type="dxa"/>
            <w:left w:w="108" w:type="dxa"/>
            <w:bottom w:w="0" w:type="dxa"/>
            <w:right w:w="108" w:type="dxa"/>
          </w:tblCellMar>
        </w:tblPrEx>
        <w:trPr>
          <w:trHeight w:val="1019" w:hRule="atLeast"/>
          <w:jc w:val="center"/>
        </w:trPr>
        <w:tc>
          <w:tcPr>
            <w:tcW w:w="433"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18</w:t>
            </w:r>
          </w:p>
        </w:tc>
        <w:tc>
          <w:tcPr>
            <w:tcW w:w="137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括苍一园</w:t>
            </w:r>
          </w:p>
        </w:tc>
        <w:tc>
          <w:tcPr>
            <w:tcW w:w="92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幼儿园</w:t>
            </w:r>
          </w:p>
        </w:tc>
        <w:tc>
          <w:tcPr>
            <w:tcW w:w="3199"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12个班，用地面积6200平方米，建筑面积4960平方米</w:t>
            </w:r>
          </w:p>
        </w:tc>
        <w:tc>
          <w:tcPr>
            <w:tcW w:w="991"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括苍路东、灯塔街南</w:t>
            </w:r>
          </w:p>
        </w:tc>
        <w:tc>
          <w:tcPr>
            <w:tcW w:w="683"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新建</w:t>
            </w:r>
          </w:p>
        </w:tc>
        <w:tc>
          <w:tcPr>
            <w:tcW w:w="110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2022-2025</w:t>
            </w:r>
          </w:p>
        </w:tc>
        <w:tc>
          <w:tcPr>
            <w:tcW w:w="110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0.35</w:t>
            </w:r>
          </w:p>
        </w:tc>
        <w:tc>
          <w:tcPr>
            <w:tcW w:w="108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0.35</w:t>
            </w:r>
          </w:p>
        </w:tc>
        <w:tc>
          <w:tcPr>
            <w:tcW w:w="98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 xml:space="preserve">360 </w:t>
            </w:r>
          </w:p>
        </w:tc>
        <w:tc>
          <w:tcPr>
            <w:tcW w:w="72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　</w:t>
            </w:r>
          </w:p>
        </w:tc>
        <w:tc>
          <w:tcPr>
            <w:tcW w:w="880"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莲都区教育局</w:t>
            </w:r>
          </w:p>
        </w:tc>
        <w:tc>
          <w:tcPr>
            <w:tcW w:w="669"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　</w:t>
            </w:r>
          </w:p>
        </w:tc>
        <w:tc>
          <w:tcPr>
            <w:tcW w:w="66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　</w:t>
            </w:r>
          </w:p>
        </w:tc>
        <w:tc>
          <w:tcPr>
            <w:tcW w:w="572"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　</w:t>
            </w:r>
          </w:p>
        </w:tc>
      </w:tr>
      <w:tr>
        <w:tblPrEx>
          <w:tblCellMar>
            <w:top w:w="0" w:type="dxa"/>
            <w:left w:w="108" w:type="dxa"/>
            <w:bottom w:w="0" w:type="dxa"/>
            <w:right w:w="108" w:type="dxa"/>
          </w:tblCellMar>
        </w:tblPrEx>
        <w:trPr>
          <w:trHeight w:val="1056" w:hRule="atLeast"/>
          <w:jc w:val="center"/>
        </w:trPr>
        <w:tc>
          <w:tcPr>
            <w:tcW w:w="433"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19</w:t>
            </w:r>
          </w:p>
        </w:tc>
        <w:tc>
          <w:tcPr>
            <w:tcW w:w="137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丽东新村区块幼儿园</w:t>
            </w:r>
          </w:p>
        </w:tc>
        <w:tc>
          <w:tcPr>
            <w:tcW w:w="92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幼儿园</w:t>
            </w:r>
          </w:p>
        </w:tc>
        <w:tc>
          <w:tcPr>
            <w:tcW w:w="3199"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9个班，用地面积5000平方米，建筑面积4000平方米</w:t>
            </w:r>
          </w:p>
        </w:tc>
        <w:tc>
          <w:tcPr>
            <w:tcW w:w="991"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大洋路以东、丽青路以北</w:t>
            </w:r>
          </w:p>
        </w:tc>
        <w:tc>
          <w:tcPr>
            <w:tcW w:w="683"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新建</w:t>
            </w:r>
          </w:p>
        </w:tc>
        <w:tc>
          <w:tcPr>
            <w:tcW w:w="110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2022-2025</w:t>
            </w:r>
          </w:p>
        </w:tc>
        <w:tc>
          <w:tcPr>
            <w:tcW w:w="110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0.25</w:t>
            </w:r>
          </w:p>
        </w:tc>
        <w:tc>
          <w:tcPr>
            <w:tcW w:w="108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0.25</w:t>
            </w:r>
          </w:p>
        </w:tc>
        <w:tc>
          <w:tcPr>
            <w:tcW w:w="98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 xml:space="preserve">270 </w:t>
            </w:r>
          </w:p>
        </w:tc>
        <w:tc>
          <w:tcPr>
            <w:tcW w:w="72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　</w:t>
            </w:r>
          </w:p>
        </w:tc>
        <w:tc>
          <w:tcPr>
            <w:tcW w:w="880"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莲都区教育局</w:t>
            </w:r>
          </w:p>
        </w:tc>
        <w:tc>
          <w:tcPr>
            <w:tcW w:w="669"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　</w:t>
            </w:r>
          </w:p>
        </w:tc>
        <w:tc>
          <w:tcPr>
            <w:tcW w:w="66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　</w:t>
            </w:r>
          </w:p>
        </w:tc>
        <w:tc>
          <w:tcPr>
            <w:tcW w:w="572"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　</w:t>
            </w:r>
          </w:p>
        </w:tc>
      </w:tr>
      <w:tr>
        <w:tblPrEx>
          <w:tblCellMar>
            <w:top w:w="0" w:type="dxa"/>
            <w:left w:w="108" w:type="dxa"/>
            <w:bottom w:w="0" w:type="dxa"/>
            <w:right w:w="108" w:type="dxa"/>
          </w:tblCellMar>
        </w:tblPrEx>
        <w:trPr>
          <w:trHeight w:val="989" w:hRule="atLeast"/>
          <w:jc w:val="center"/>
        </w:trPr>
        <w:tc>
          <w:tcPr>
            <w:tcW w:w="433"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序号</w:t>
            </w:r>
          </w:p>
        </w:tc>
        <w:tc>
          <w:tcPr>
            <w:tcW w:w="137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项目名称</w:t>
            </w:r>
          </w:p>
        </w:tc>
        <w:tc>
          <w:tcPr>
            <w:tcW w:w="92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学段</w:t>
            </w:r>
          </w:p>
        </w:tc>
        <w:tc>
          <w:tcPr>
            <w:tcW w:w="3199"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建设规模和内容</w:t>
            </w:r>
          </w:p>
        </w:tc>
        <w:tc>
          <w:tcPr>
            <w:tcW w:w="991"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建设</w:t>
            </w:r>
          </w:p>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地点</w:t>
            </w:r>
          </w:p>
        </w:tc>
        <w:tc>
          <w:tcPr>
            <w:tcW w:w="683"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建设性质</w:t>
            </w:r>
          </w:p>
        </w:tc>
        <w:tc>
          <w:tcPr>
            <w:tcW w:w="110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起止年限</w:t>
            </w:r>
          </w:p>
        </w:tc>
        <w:tc>
          <w:tcPr>
            <w:tcW w:w="110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总投资（亿元）</w:t>
            </w:r>
          </w:p>
        </w:tc>
        <w:tc>
          <w:tcPr>
            <w:tcW w:w="108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计划投资（亿元）</w:t>
            </w:r>
          </w:p>
        </w:tc>
        <w:tc>
          <w:tcPr>
            <w:tcW w:w="98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新增学位（个）</w:t>
            </w:r>
          </w:p>
        </w:tc>
        <w:tc>
          <w:tcPr>
            <w:tcW w:w="72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项目业主</w:t>
            </w:r>
          </w:p>
        </w:tc>
        <w:tc>
          <w:tcPr>
            <w:tcW w:w="880"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责任单位</w:t>
            </w:r>
          </w:p>
        </w:tc>
        <w:tc>
          <w:tcPr>
            <w:tcW w:w="669"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项目类别</w:t>
            </w:r>
          </w:p>
        </w:tc>
        <w:tc>
          <w:tcPr>
            <w:tcW w:w="66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建设模式</w:t>
            </w:r>
          </w:p>
        </w:tc>
        <w:tc>
          <w:tcPr>
            <w:tcW w:w="572"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备注</w:t>
            </w:r>
          </w:p>
        </w:tc>
      </w:tr>
      <w:tr>
        <w:tblPrEx>
          <w:tblCellMar>
            <w:top w:w="0" w:type="dxa"/>
            <w:left w:w="108" w:type="dxa"/>
            <w:bottom w:w="0" w:type="dxa"/>
            <w:right w:w="108" w:type="dxa"/>
          </w:tblCellMar>
        </w:tblPrEx>
        <w:trPr>
          <w:trHeight w:val="1321" w:hRule="exact"/>
          <w:jc w:val="center"/>
        </w:trPr>
        <w:tc>
          <w:tcPr>
            <w:tcW w:w="433"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20</w:t>
            </w:r>
          </w:p>
        </w:tc>
        <w:tc>
          <w:tcPr>
            <w:tcW w:w="137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城北路幼儿园</w:t>
            </w:r>
          </w:p>
        </w:tc>
        <w:tc>
          <w:tcPr>
            <w:tcW w:w="92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幼儿园</w:t>
            </w:r>
          </w:p>
        </w:tc>
        <w:tc>
          <w:tcPr>
            <w:tcW w:w="3199"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15班幼儿园，用地面积8000平方米，建筑面积5600平方米</w:t>
            </w:r>
          </w:p>
        </w:tc>
        <w:tc>
          <w:tcPr>
            <w:tcW w:w="991"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开发路西、城北路南</w:t>
            </w:r>
          </w:p>
        </w:tc>
        <w:tc>
          <w:tcPr>
            <w:tcW w:w="683"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新建</w:t>
            </w:r>
          </w:p>
        </w:tc>
        <w:tc>
          <w:tcPr>
            <w:tcW w:w="110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2022-2024</w:t>
            </w:r>
          </w:p>
        </w:tc>
        <w:tc>
          <w:tcPr>
            <w:tcW w:w="110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0.4</w:t>
            </w:r>
          </w:p>
        </w:tc>
        <w:tc>
          <w:tcPr>
            <w:tcW w:w="108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0.4</w:t>
            </w:r>
          </w:p>
        </w:tc>
        <w:tc>
          <w:tcPr>
            <w:tcW w:w="98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 xml:space="preserve">450 </w:t>
            </w:r>
          </w:p>
        </w:tc>
        <w:tc>
          <w:tcPr>
            <w:tcW w:w="72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　</w:t>
            </w:r>
          </w:p>
        </w:tc>
        <w:tc>
          <w:tcPr>
            <w:tcW w:w="880"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莲都区教育局</w:t>
            </w:r>
          </w:p>
        </w:tc>
        <w:tc>
          <w:tcPr>
            <w:tcW w:w="669"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　</w:t>
            </w:r>
          </w:p>
        </w:tc>
        <w:tc>
          <w:tcPr>
            <w:tcW w:w="66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　</w:t>
            </w:r>
          </w:p>
        </w:tc>
        <w:tc>
          <w:tcPr>
            <w:tcW w:w="572"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　</w:t>
            </w:r>
          </w:p>
        </w:tc>
      </w:tr>
      <w:tr>
        <w:tblPrEx>
          <w:tblCellMar>
            <w:top w:w="0" w:type="dxa"/>
            <w:left w:w="108" w:type="dxa"/>
            <w:bottom w:w="0" w:type="dxa"/>
            <w:right w:w="108" w:type="dxa"/>
          </w:tblCellMar>
        </w:tblPrEx>
        <w:trPr>
          <w:trHeight w:val="975" w:hRule="atLeast"/>
          <w:jc w:val="center"/>
        </w:trPr>
        <w:tc>
          <w:tcPr>
            <w:tcW w:w="433"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21</w:t>
            </w:r>
          </w:p>
        </w:tc>
        <w:tc>
          <w:tcPr>
            <w:tcW w:w="137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银苑幼儿园</w:t>
            </w:r>
          </w:p>
        </w:tc>
        <w:tc>
          <w:tcPr>
            <w:tcW w:w="92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幼儿园</w:t>
            </w:r>
          </w:p>
        </w:tc>
        <w:tc>
          <w:tcPr>
            <w:tcW w:w="3199"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9个班，用地面积5000平方米，建筑面积4000平方米</w:t>
            </w:r>
          </w:p>
        </w:tc>
        <w:tc>
          <w:tcPr>
            <w:tcW w:w="991"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紫金路西、解放街南</w:t>
            </w:r>
          </w:p>
        </w:tc>
        <w:tc>
          <w:tcPr>
            <w:tcW w:w="683"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新建</w:t>
            </w:r>
          </w:p>
        </w:tc>
        <w:tc>
          <w:tcPr>
            <w:tcW w:w="110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2024-2026</w:t>
            </w:r>
          </w:p>
        </w:tc>
        <w:tc>
          <w:tcPr>
            <w:tcW w:w="110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0.25</w:t>
            </w:r>
          </w:p>
        </w:tc>
        <w:tc>
          <w:tcPr>
            <w:tcW w:w="108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0.25</w:t>
            </w:r>
          </w:p>
        </w:tc>
        <w:tc>
          <w:tcPr>
            <w:tcW w:w="98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 xml:space="preserve">270 </w:t>
            </w:r>
          </w:p>
        </w:tc>
        <w:tc>
          <w:tcPr>
            <w:tcW w:w="72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　</w:t>
            </w:r>
          </w:p>
        </w:tc>
        <w:tc>
          <w:tcPr>
            <w:tcW w:w="880"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莲都区教育局</w:t>
            </w:r>
          </w:p>
        </w:tc>
        <w:tc>
          <w:tcPr>
            <w:tcW w:w="669"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　</w:t>
            </w:r>
          </w:p>
        </w:tc>
        <w:tc>
          <w:tcPr>
            <w:tcW w:w="66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　</w:t>
            </w:r>
          </w:p>
        </w:tc>
        <w:tc>
          <w:tcPr>
            <w:tcW w:w="572"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　</w:t>
            </w:r>
          </w:p>
        </w:tc>
      </w:tr>
      <w:tr>
        <w:tblPrEx>
          <w:tblCellMar>
            <w:top w:w="0" w:type="dxa"/>
            <w:left w:w="108" w:type="dxa"/>
            <w:bottom w:w="0" w:type="dxa"/>
            <w:right w:w="108" w:type="dxa"/>
          </w:tblCellMar>
        </w:tblPrEx>
        <w:trPr>
          <w:trHeight w:val="982" w:hRule="atLeast"/>
          <w:jc w:val="center"/>
        </w:trPr>
        <w:tc>
          <w:tcPr>
            <w:tcW w:w="433"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22</w:t>
            </w:r>
          </w:p>
        </w:tc>
        <w:tc>
          <w:tcPr>
            <w:tcW w:w="137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望城岭公寓幼儿园</w:t>
            </w:r>
          </w:p>
        </w:tc>
        <w:tc>
          <w:tcPr>
            <w:tcW w:w="92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幼儿园</w:t>
            </w:r>
          </w:p>
        </w:tc>
        <w:tc>
          <w:tcPr>
            <w:tcW w:w="3199"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12个班，用地面积6200平方米，建筑面积4960平方米</w:t>
            </w:r>
          </w:p>
        </w:tc>
        <w:tc>
          <w:tcPr>
            <w:tcW w:w="991"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城北街南、东地路东</w:t>
            </w:r>
          </w:p>
        </w:tc>
        <w:tc>
          <w:tcPr>
            <w:tcW w:w="683"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新建</w:t>
            </w:r>
          </w:p>
        </w:tc>
        <w:tc>
          <w:tcPr>
            <w:tcW w:w="110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2020-2021</w:t>
            </w:r>
          </w:p>
        </w:tc>
        <w:tc>
          <w:tcPr>
            <w:tcW w:w="110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0.25</w:t>
            </w:r>
          </w:p>
        </w:tc>
        <w:tc>
          <w:tcPr>
            <w:tcW w:w="108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0.25</w:t>
            </w:r>
          </w:p>
        </w:tc>
        <w:tc>
          <w:tcPr>
            <w:tcW w:w="98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 xml:space="preserve">360 </w:t>
            </w:r>
          </w:p>
        </w:tc>
        <w:tc>
          <w:tcPr>
            <w:tcW w:w="72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　</w:t>
            </w:r>
          </w:p>
        </w:tc>
        <w:tc>
          <w:tcPr>
            <w:tcW w:w="880"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莲都区教育局</w:t>
            </w:r>
          </w:p>
        </w:tc>
        <w:tc>
          <w:tcPr>
            <w:tcW w:w="669"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　</w:t>
            </w:r>
          </w:p>
        </w:tc>
        <w:tc>
          <w:tcPr>
            <w:tcW w:w="66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　</w:t>
            </w:r>
          </w:p>
        </w:tc>
        <w:tc>
          <w:tcPr>
            <w:tcW w:w="572"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　</w:t>
            </w:r>
          </w:p>
        </w:tc>
      </w:tr>
      <w:tr>
        <w:tblPrEx>
          <w:tblCellMar>
            <w:top w:w="0" w:type="dxa"/>
            <w:left w:w="108" w:type="dxa"/>
            <w:bottom w:w="0" w:type="dxa"/>
            <w:right w:w="108" w:type="dxa"/>
          </w:tblCellMar>
        </w:tblPrEx>
        <w:trPr>
          <w:trHeight w:val="500" w:hRule="exact"/>
          <w:jc w:val="center"/>
        </w:trPr>
        <w:tc>
          <w:tcPr>
            <w:tcW w:w="433"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　</w:t>
            </w:r>
          </w:p>
        </w:tc>
        <w:tc>
          <w:tcPr>
            <w:tcW w:w="2303" w:type="dxa"/>
            <w:gridSpan w:val="2"/>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小学小计</w:t>
            </w:r>
          </w:p>
        </w:tc>
        <w:tc>
          <w:tcPr>
            <w:tcW w:w="3199"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12</w:t>
            </w:r>
          </w:p>
        </w:tc>
        <w:tc>
          <w:tcPr>
            <w:tcW w:w="991"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　</w:t>
            </w:r>
          </w:p>
        </w:tc>
        <w:tc>
          <w:tcPr>
            <w:tcW w:w="683"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　</w:t>
            </w:r>
          </w:p>
        </w:tc>
        <w:tc>
          <w:tcPr>
            <w:tcW w:w="110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　</w:t>
            </w:r>
          </w:p>
        </w:tc>
        <w:tc>
          <w:tcPr>
            <w:tcW w:w="110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 xml:space="preserve">16.70 </w:t>
            </w:r>
          </w:p>
        </w:tc>
        <w:tc>
          <w:tcPr>
            <w:tcW w:w="108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 xml:space="preserve">10.97 </w:t>
            </w:r>
          </w:p>
        </w:tc>
        <w:tc>
          <w:tcPr>
            <w:tcW w:w="98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 xml:space="preserve">8190 </w:t>
            </w:r>
          </w:p>
        </w:tc>
        <w:tc>
          <w:tcPr>
            <w:tcW w:w="72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　</w:t>
            </w:r>
          </w:p>
        </w:tc>
        <w:tc>
          <w:tcPr>
            <w:tcW w:w="880"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　</w:t>
            </w:r>
          </w:p>
        </w:tc>
        <w:tc>
          <w:tcPr>
            <w:tcW w:w="669"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　</w:t>
            </w:r>
          </w:p>
        </w:tc>
        <w:tc>
          <w:tcPr>
            <w:tcW w:w="66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　</w:t>
            </w:r>
          </w:p>
        </w:tc>
        <w:tc>
          <w:tcPr>
            <w:tcW w:w="572"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　</w:t>
            </w:r>
          </w:p>
        </w:tc>
      </w:tr>
      <w:tr>
        <w:tblPrEx>
          <w:tblCellMar>
            <w:top w:w="0" w:type="dxa"/>
            <w:left w:w="108" w:type="dxa"/>
            <w:bottom w:w="0" w:type="dxa"/>
            <w:right w:w="108" w:type="dxa"/>
          </w:tblCellMar>
        </w:tblPrEx>
        <w:trPr>
          <w:trHeight w:val="1170" w:hRule="atLeast"/>
          <w:jc w:val="center"/>
        </w:trPr>
        <w:tc>
          <w:tcPr>
            <w:tcW w:w="433"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23</w:t>
            </w:r>
          </w:p>
        </w:tc>
        <w:tc>
          <w:tcPr>
            <w:tcW w:w="137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囿山小学扩建工程</w:t>
            </w:r>
          </w:p>
        </w:tc>
        <w:tc>
          <w:tcPr>
            <w:tcW w:w="92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小学</w:t>
            </w:r>
          </w:p>
        </w:tc>
        <w:tc>
          <w:tcPr>
            <w:tcW w:w="3199"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主要建设综合楼、教学楼、运动场所等</w:t>
            </w:r>
          </w:p>
        </w:tc>
        <w:tc>
          <w:tcPr>
            <w:tcW w:w="991"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大洋路西、囿山路北</w:t>
            </w:r>
          </w:p>
        </w:tc>
        <w:tc>
          <w:tcPr>
            <w:tcW w:w="683"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改扩建</w:t>
            </w:r>
          </w:p>
        </w:tc>
        <w:tc>
          <w:tcPr>
            <w:tcW w:w="110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2022-2024</w:t>
            </w:r>
          </w:p>
        </w:tc>
        <w:tc>
          <w:tcPr>
            <w:tcW w:w="110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 xml:space="preserve">1.50 </w:t>
            </w:r>
          </w:p>
        </w:tc>
        <w:tc>
          <w:tcPr>
            <w:tcW w:w="108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 xml:space="preserve">0.35 </w:t>
            </w:r>
          </w:p>
        </w:tc>
        <w:tc>
          <w:tcPr>
            <w:tcW w:w="98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　</w:t>
            </w:r>
          </w:p>
        </w:tc>
        <w:tc>
          <w:tcPr>
            <w:tcW w:w="72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囿山小学</w:t>
            </w:r>
          </w:p>
        </w:tc>
        <w:tc>
          <w:tcPr>
            <w:tcW w:w="880"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莲都区教育局</w:t>
            </w:r>
          </w:p>
        </w:tc>
        <w:tc>
          <w:tcPr>
            <w:tcW w:w="669"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实施类</w:t>
            </w:r>
          </w:p>
        </w:tc>
        <w:tc>
          <w:tcPr>
            <w:tcW w:w="66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　</w:t>
            </w:r>
          </w:p>
        </w:tc>
        <w:tc>
          <w:tcPr>
            <w:tcW w:w="572"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　</w:t>
            </w:r>
          </w:p>
        </w:tc>
      </w:tr>
      <w:tr>
        <w:tblPrEx>
          <w:tblCellMar>
            <w:top w:w="0" w:type="dxa"/>
            <w:left w:w="108" w:type="dxa"/>
            <w:bottom w:w="0" w:type="dxa"/>
            <w:right w:w="108" w:type="dxa"/>
          </w:tblCellMar>
        </w:tblPrEx>
        <w:trPr>
          <w:trHeight w:val="991" w:hRule="atLeast"/>
          <w:jc w:val="center"/>
        </w:trPr>
        <w:tc>
          <w:tcPr>
            <w:tcW w:w="433"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24</w:t>
            </w:r>
          </w:p>
        </w:tc>
        <w:tc>
          <w:tcPr>
            <w:tcW w:w="137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中山小学扩建工程</w:t>
            </w:r>
          </w:p>
        </w:tc>
        <w:tc>
          <w:tcPr>
            <w:tcW w:w="92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小学</w:t>
            </w:r>
          </w:p>
        </w:tc>
        <w:tc>
          <w:tcPr>
            <w:tcW w:w="3199"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主要建设食堂及室内球场等</w:t>
            </w:r>
          </w:p>
        </w:tc>
        <w:tc>
          <w:tcPr>
            <w:tcW w:w="991"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中山街东、继光街南</w:t>
            </w:r>
          </w:p>
        </w:tc>
        <w:tc>
          <w:tcPr>
            <w:tcW w:w="683"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改扩建</w:t>
            </w:r>
          </w:p>
        </w:tc>
        <w:tc>
          <w:tcPr>
            <w:tcW w:w="110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2022-2024</w:t>
            </w:r>
          </w:p>
        </w:tc>
        <w:tc>
          <w:tcPr>
            <w:tcW w:w="110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 xml:space="preserve">0.10 </w:t>
            </w:r>
          </w:p>
        </w:tc>
        <w:tc>
          <w:tcPr>
            <w:tcW w:w="108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 xml:space="preserve">0.10 </w:t>
            </w:r>
          </w:p>
        </w:tc>
        <w:tc>
          <w:tcPr>
            <w:tcW w:w="98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　</w:t>
            </w:r>
          </w:p>
        </w:tc>
        <w:tc>
          <w:tcPr>
            <w:tcW w:w="72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中山小学</w:t>
            </w:r>
          </w:p>
        </w:tc>
        <w:tc>
          <w:tcPr>
            <w:tcW w:w="880"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莲都区教育局</w:t>
            </w:r>
          </w:p>
        </w:tc>
        <w:tc>
          <w:tcPr>
            <w:tcW w:w="669"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实施类</w:t>
            </w:r>
          </w:p>
        </w:tc>
        <w:tc>
          <w:tcPr>
            <w:tcW w:w="66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　</w:t>
            </w:r>
          </w:p>
        </w:tc>
        <w:tc>
          <w:tcPr>
            <w:tcW w:w="572"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　</w:t>
            </w:r>
          </w:p>
        </w:tc>
      </w:tr>
      <w:tr>
        <w:tblPrEx>
          <w:tblCellMar>
            <w:top w:w="0" w:type="dxa"/>
            <w:left w:w="108" w:type="dxa"/>
            <w:bottom w:w="0" w:type="dxa"/>
            <w:right w:w="108" w:type="dxa"/>
          </w:tblCellMar>
        </w:tblPrEx>
        <w:trPr>
          <w:trHeight w:val="965" w:hRule="atLeast"/>
          <w:jc w:val="center"/>
        </w:trPr>
        <w:tc>
          <w:tcPr>
            <w:tcW w:w="433"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25</w:t>
            </w:r>
          </w:p>
        </w:tc>
        <w:tc>
          <w:tcPr>
            <w:tcW w:w="137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城北小学扩建工程</w:t>
            </w:r>
          </w:p>
        </w:tc>
        <w:tc>
          <w:tcPr>
            <w:tcW w:w="92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小学</w:t>
            </w:r>
          </w:p>
        </w:tc>
        <w:tc>
          <w:tcPr>
            <w:tcW w:w="3199"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主要建设教学楼、综合及办公楼、游泳馆等</w:t>
            </w:r>
          </w:p>
        </w:tc>
        <w:tc>
          <w:tcPr>
            <w:tcW w:w="991"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括苍路东、灯塔街北</w:t>
            </w:r>
          </w:p>
        </w:tc>
        <w:tc>
          <w:tcPr>
            <w:tcW w:w="683"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改扩建</w:t>
            </w:r>
          </w:p>
        </w:tc>
        <w:tc>
          <w:tcPr>
            <w:tcW w:w="110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2022-2024</w:t>
            </w:r>
          </w:p>
        </w:tc>
        <w:tc>
          <w:tcPr>
            <w:tcW w:w="110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 xml:space="preserve">1.50 </w:t>
            </w:r>
          </w:p>
        </w:tc>
        <w:tc>
          <w:tcPr>
            <w:tcW w:w="108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 xml:space="preserve">0.30 </w:t>
            </w:r>
          </w:p>
        </w:tc>
        <w:tc>
          <w:tcPr>
            <w:tcW w:w="98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　</w:t>
            </w:r>
          </w:p>
        </w:tc>
        <w:tc>
          <w:tcPr>
            <w:tcW w:w="72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城北小学</w:t>
            </w:r>
          </w:p>
        </w:tc>
        <w:tc>
          <w:tcPr>
            <w:tcW w:w="880"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莲都区教育局</w:t>
            </w:r>
          </w:p>
        </w:tc>
        <w:tc>
          <w:tcPr>
            <w:tcW w:w="669"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实施类</w:t>
            </w:r>
          </w:p>
        </w:tc>
        <w:tc>
          <w:tcPr>
            <w:tcW w:w="66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　</w:t>
            </w:r>
          </w:p>
        </w:tc>
        <w:tc>
          <w:tcPr>
            <w:tcW w:w="572"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　</w:t>
            </w:r>
          </w:p>
        </w:tc>
      </w:tr>
      <w:tr>
        <w:tblPrEx>
          <w:tblCellMar>
            <w:top w:w="0" w:type="dxa"/>
            <w:left w:w="108" w:type="dxa"/>
            <w:bottom w:w="0" w:type="dxa"/>
            <w:right w:w="108" w:type="dxa"/>
          </w:tblCellMar>
        </w:tblPrEx>
        <w:trPr>
          <w:trHeight w:val="1142" w:hRule="atLeast"/>
          <w:jc w:val="center"/>
        </w:trPr>
        <w:tc>
          <w:tcPr>
            <w:tcW w:w="433"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hint="eastAsia" w:ascii="宋体" w:hAnsi="宋体" w:eastAsia="宋体" w:cs="宋体"/>
                <w:b/>
                <w:bCs/>
                <w:kern w:val="0"/>
                <w:sz w:val="21"/>
                <w:szCs w:val="21"/>
                <w:highlight w:val="none"/>
                <w:lang w:val="en-US" w:eastAsia="zh-CN" w:bidi="ar-SA"/>
              </w:rPr>
            </w:pPr>
            <w:r>
              <w:rPr>
                <w:rFonts w:hint="eastAsia" w:ascii="宋体" w:hAnsi="宋体" w:cs="宋体"/>
                <w:b/>
                <w:bCs/>
                <w:kern w:val="0"/>
                <w:szCs w:val="21"/>
                <w:highlight w:val="none"/>
              </w:rPr>
              <w:t>序号</w:t>
            </w:r>
          </w:p>
        </w:tc>
        <w:tc>
          <w:tcPr>
            <w:tcW w:w="137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hint="eastAsia" w:ascii="宋体" w:hAnsi="宋体" w:eastAsia="宋体" w:cs="宋体"/>
                <w:b/>
                <w:bCs/>
                <w:kern w:val="0"/>
                <w:sz w:val="21"/>
                <w:szCs w:val="21"/>
                <w:highlight w:val="none"/>
                <w:lang w:val="en-US" w:eastAsia="zh-CN" w:bidi="ar-SA"/>
              </w:rPr>
            </w:pPr>
            <w:r>
              <w:rPr>
                <w:rFonts w:hint="eastAsia" w:ascii="宋体" w:hAnsi="宋体" w:cs="宋体"/>
                <w:b/>
                <w:bCs/>
                <w:kern w:val="0"/>
                <w:szCs w:val="21"/>
                <w:highlight w:val="none"/>
              </w:rPr>
              <w:t>项目名称</w:t>
            </w:r>
          </w:p>
        </w:tc>
        <w:tc>
          <w:tcPr>
            <w:tcW w:w="92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hint="eastAsia" w:ascii="宋体" w:hAnsi="宋体" w:eastAsia="宋体" w:cs="宋体"/>
                <w:b/>
                <w:bCs/>
                <w:kern w:val="0"/>
                <w:sz w:val="21"/>
                <w:szCs w:val="21"/>
                <w:highlight w:val="none"/>
                <w:lang w:val="en-US" w:eastAsia="zh-CN" w:bidi="ar-SA"/>
              </w:rPr>
            </w:pPr>
            <w:r>
              <w:rPr>
                <w:rFonts w:hint="eastAsia" w:ascii="宋体" w:hAnsi="宋体" w:cs="宋体"/>
                <w:b/>
                <w:bCs/>
                <w:kern w:val="0"/>
                <w:szCs w:val="21"/>
                <w:highlight w:val="none"/>
              </w:rPr>
              <w:t>学段</w:t>
            </w:r>
          </w:p>
        </w:tc>
        <w:tc>
          <w:tcPr>
            <w:tcW w:w="3199"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hint="eastAsia" w:ascii="宋体" w:hAnsi="宋体" w:eastAsia="宋体" w:cs="宋体"/>
                <w:b/>
                <w:bCs/>
                <w:kern w:val="0"/>
                <w:sz w:val="21"/>
                <w:szCs w:val="21"/>
                <w:highlight w:val="none"/>
                <w:lang w:val="en-US" w:eastAsia="zh-CN" w:bidi="ar-SA"/>
              </w:rPr>
            </w:pPr>
            <w:r>
              <w:rPr>
                <w:rFonts w:hint="eastAsia" w:ascii="宋体" w:hAnsi="宋体" w:cs="宋体"/>
                <w:b/>
                <w:bCs/>
                <w:kern w:val="0"/>
                <w:szCs w:val="21"/>
                <w:highlight w:val="none"/>
              </w:rPr>
              <w:t>建设规模和内容</w:t>
            </w:r>
          </w:p>
        </w:tc>
        <w:tc>
          <w:tcPr>
            <w:tcW w:w="991"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建设</w:t>
            </w:r>
          </w:p>
          <w:p>
            <w:pPr>
              <w:widowControl/>
              <w:suppressAutoHyphens w:val="0"/>
              <w:jc w:val="center"/>
              <w:rPr>
                <w:rFonts w:hint="eastAsia" w:ascii="宋体" w:hAnsi="宋体" w:eastAsia="宋体" w:cs="宋体"/>
                <w:b/>
                <w:bCs/>
                <w:kern w:val="0"/>
                <w:sz w:val="21"/>
                <w:szCs w:val="21"/>
                <w:highlight w:val="none"/>
                <w:lang w:val="en-US" w:eastAsia="zh-CN" w:bidi="ar-SA"/>
              </w:rPr>
            </w:pPr>
            <w:r>
              <w:rPr>
                <w:rFonts w:hint="eastAsia" w:ascii="宋体" w:hAnsi="宋体" w:cs="宋体"/>
                <w:b/>
                <w:bCs/>
                <w:kern w:val="0"/>
                <w:szCs w:val="21"/>
                <w:highlight w:val="none"/>
              </w:rPr>
              <w:t>地点</w:t>
            </w:r>
          </w:p>
        </w:tc>
        <w:tc>
          <w:tcPr>
            <w:tcW w:w="683"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hint="eastAsia" w:ascii="宋体" w:hAnsi="宋体" w:eastAsia="宋体" w:cs="宋体"/>
                <w:b/>
                <w:bCs/>
                <w:kern w:val="0"/>
                <w:sz w:val="21"/>
                <w:szCs w:val="21"/>
                <w:highlight w:val="none"/>
                <w:lang w:val="en-US" w:eastAsia="zh-CN" w:bidi="ar-SA"/>
              </w:rPr>
            </w:pPr>
            <w:r>
              <w:rPr>
                <w:rFonts w:hint="eastAsia" w:ascii="宋体" w:hAnsi="宋体" w:cs="宋体"/>
                <w:b/>
                <w:bCs/>
                <w:kern w:val="0"/>
                <w:szCs w:val="21"/>
                <w:highlight w:val="none"/>
              </w:rPr>
              <w:t>建设性质</w:t>
            </w:r>
          </w:p>
        </w:tc>
        <w:tc>
          <w:tcPr>
            <w:tcW w:w="110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hint="eastAsia" w:ascii="宋体" w:hAnsi="宋体" w:eastAsia="宋体" w:cs="宋体"/>
                <w:b/>
                <w:bCs/>
                <w:kern w:val="0"/>
                <w:sz w:val="21"/>
                <w:szCs w:val="21"/>
                <w:highlight w:val="none"/>
                <w:lang w:val="en-US" w:eastAsia="zh-CN" w:bidi="ar-SA"/>
              </w:rPr>
            </w:pPr>
            <w:r>
              <w:rPr>
                <w:rFonts w:hint="eastAsia" w:ascii="宋体" w:hAnsi="宋体" w:cs="宋体"/>
                <w:b/>
                <w:bCs/>
                <w:kern w:val="0"/>
                <w:szCs w:val="21"/>
                <w:highlight w:val="none"/>
              </w:rPr>
              <w:t>起止年限</w:t>
            </w:r>
          </w:p>
        </w:tc>
        <w:tc>
          <w:tcPr>
            <w:tcW w:w="110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hint="eastAsia" w:ascii="宋体" w:hAnsi="宋体" w:eastAsia="宋体" w:cs="宋体"/>
                <w:b/>
                <w:bCs/>
                <w:kern w:val="0"/>
                <w:sz w:val="21"/>
                <w:szCs w:val="21"/>
                <w:highlight w:val="none"/>
                <w:lang w:val="en-US" w:eastAsia="zh-CN" w:bidi="ar-SA"/>
              </w:rPr>
            </w:pPr>
            <w:r>
              <w:rPr>
                <w:rFonts w:hint="eastAsia" w:ascii="宋体" w:hAnsi="宋体" w:cs="宋体"/>
                <w:b/>
                <w:bCs/>
                <w:kern w:val="0"/>
                <w:szCs w:val="21"/>
                <w:highlight w:val="none"/>
              </w:rPr>
              <w:t>总投资（亿元）</w:t>
            </w:r>
          </w:p>
        </w:tc>
        <w:tc>
          <w:tcPr>
            <w:tcW w:w="108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hint="eastAsia" w:ascii="宋体" w:hAnsi="宋体" w:eastAsia="宋体" w:cs="宋体"/>
                <w:b/>
                <w:bCs/>
                <w:kern w:val="0"/>
                <w:sz w:val="21"/>
                <w:szCs w:val="21"/>
                <w:highlight w:val="none"/>
                <w:lang w:val="en-US" w:eastAsia="zh-CN" w:bidi="ar-SA"/>
              </w:rPr>
            </w:pPr>
            <w:r>
              <w:rPr>
                <w:rFonts w:hint="eastAsia" w:ascii="宋体" w:hAnsi="宋体" w:cs="宋体"/>
                <w:b/>
                <w:bCs/>
                <w:kern w:val="0"/>
                <w:szCs w:val="21"/>
                <w:highlight w:val="none"/>
              </w:rPr>
              <w:t>计划投资（亿元）</w:t>
            </w:r>
          </w:p>
        </w:tc>
        <w:tc>
          <w:tcPr>
            <w:tcW w:w="98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hint="eastAsia" w:ascii="宋体" w:hAnsi="宋体" w:eastAsia="宋体" w:cs="宋体"/>
                <w:b/>
                <w:bCs/>
                <w:kern w:val="0"/>
                <w:sz w:val="21"/>
                <w:szCs w:val="21"/>
                <w:highlight w:val="none"/>
                <w:lang w:val="en-US" w:eastAsia="zh-CN" w:bidi="ar-SA"/>
              </w:rPr>
            </w:pPr>
            <w:r>
              <w:rPr>
                <w:rFonts w:hint="eastAsia" w:ascii="宋体" w:hAnsi="宋体" w:cs="宋体"/>
                <w:b/>
                <w:bCs/>
                <w:kern w:val="0"/>
                <w:szCs w:val="21"/>
                <w:highlight w:val="none"/>
              </w:rPr>
              <w:t>新增学位（个）</w:t>
            </w:r>
          </w:p>
        </w:tc>
        <w:tc>
          <w:tcPr>
            <w:tcW w:w="72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hint="eastAsia" w:ascii="宋体" w:hAnsi="宋体" w:eastAsia="宋体" w:cs="宋体"/>
                <w:b/>
                <w:bCs/>
                <w:kern w:val="0"/>
                <w:sz w:val="21"/>
                <w:szCs w:val="21"/>
                <w:highlight w:val="none"/>
                <w:lang w:val="en-US" w:eastAsia="zh-CN" w:bidi="ar-SA"/>
              </w:rPr>
            </w:pPr>
            <w:r>
              <w:rPr>
                <w:rFonts w:hint="eastAsia" w:ascii="宋体" w:hAnsi="宋体" w:cs="宋体"/>
                <w:b/>
                <w:bCs/>
                <w:kern w:val="0"/>
                <w:szCs w:val="21"/>
                <w:highlight w:val="none"/>
              </w:rPr>
              <w:t>项目业主</w:t>
            </w:r>
          </w:p>
        </w:tc>
        <w:tc>
          <w:tcPr>
            <w:tcW w:w="880"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hint="eastAsia" w:ascii="宋体" w:hAnsi="宋体" w:eastAsia="宋体" w:cs="宋体"/>
                <w:b/>
                <w:bCs/>
                <w:kern w:val="0"/>
                <w:sz w:val="21"/>
                <w:szCs w:val="21"/>
                <w:highlight w:val="none"/>
                <w:lang w:val="en-US" w:eastAsia="zh-CN" w:bidi="ar-SA"/>
              </w:rPr>
            </w:pPr>
            <w:r>
              <w:rPr>
                <w:rFonts w:hint="eastAsia" w:ascii="宋体" w:hAnsi="宋体" w:cs="宋体"/>
                <w:b/>
                <w:bCs/>
                <w:kern w:val="0"/>
                <w:szCs w:val="21"/>
                <w:highlight w:val="none"/>
              </w:rPr>
              <w:t>责任单位</w:t>
            </w:r>
          </w:p>
        </w:tc>
        <w:tc>
          <w:tcPr>
            <w:tcW w:w="669"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hint="eastAsia" w:ascii="宋体" w:hAnsi="宋体" w:eastAsia="宋体" w:cs="宋体"/>
                <w:b/>
                <w:bCs/>
                <w:kern w:val="0"/>
                <w:sz w:val="21"/>
                <w:szCs w:val="21"/>
                <w:highlight w:val="none"/>
                <w:lang w:val="en-US" w:eastAsia="zh-CN" w:bidi="ar-SA"/>
              </w:rPr>
            </w:pPr>
            <w:r>
              <w:rPr>
                <w:rFonts w:hint="eastAsia" w:ascii="宋体" w:hAnsi="宋体" w:cs="宋体"/>
                <w:b/>
                <w:bCs/>
                <w:kern w:val="0"/>
                <w:szCs w:val="21"/>
                <w:highlight w:val="none"/>
              </w:rPr>
              <w:t>项目类别</w:t>
            </w:r>
          </w:p>
        </w:tc>
        <w:tc>
          <w:tcPr>
            <w:tcW w:w="66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hint="eastAsia" w:ascii="宋体" w:hAnsi="宋体" w:eastAsia="宋体" w:cs="宋体"/>
                <w:b/>
                <w:bCs/>
                <w:kern w:val="0"/>
                <w:sz w:val="21"/>
                <w:szCs w:val="21"/>
                <w:highlight w:val="none"/>
                <w:lang w:val="en-US" w:eastAsia="zh-CN" w:bidi="ar-SA"/>
              </w:rPr>
            </w:pPr>
            <w:r>
              <w:rPr>
                <w:rFonts w:hint="eastAsia" w:ascii="宋体" w:hAnsi="宋体" w:cs="宋体"/>
                <w:b/>
                <w:bCs/>
                <w:kern w:val="0"/>
                <w:szCs w:val="21"/>
                <w:highlight w:val="none"/>
              </w:rPr>
              <w:t>建设模式</w:t>
            </w:r>
          </w:p>
        </w:tc>
        <w:tc>
          <w:tcPr>
            <w:tcW w:w="572"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hint="eastAsia" w:ascii="宋体" w:hAnsi="宋体" w:eastAsia="宋体" w:cs="宋体"/>
                <w:b/>
                <w:bCs/>
                <w:kern w:val="0"/>
                <w:sz w:val="21"/>
                <w:szCs w:val="21"/>
                <w:highlight w:val="none"/>
                <w:lang w:val="en-US" w:eastAsia="zh-CN" w:bidi="ar-SA"/>
              </w:rPr>
            </w:pPr>
            <w:r>
              <w:rPr>
                <w:rFonts w:hint="eastAsia" w:ascii="宋体" w:hAnsi="宋体" w:cs="宋体"/>
                <w:b/>
                <w:bCs/>
                <w:kern w:val="0"/>
                <w:szCs w:val="21"/>
                <w:highlight w:val="none"/>
              </w:rPr>
              <w:t>备注</w:t>
            </w:r>
          </w:p>
        </w:tc>
      </w:tr>
      <w:tr>
        <w:tblPrEx>
          <w:tblCellMar>
            <w:top w:w="0" w:type="dxa"/>
            <w:left w:w="108" w:type="dxa"/>
            <w:bottom w:w="0" w:type="dxa"/>
            <w:right w:w="108" w:type="dxa"/>
          </w:tblCellMar>
        </w:tblPrEx>
        <w:trPr>
          <w:trHeight w:val="1179" w:hRule="atLeast"/>
          <w:jc w:val="center"/>
        </w:trPr>
        <w:tc>
          <w:tcPr>
            <w:tcW w:w="433"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26</w:t>
            </w:r>
          </w:p>
        </w:tc>
        <w:tc>
          <w:tcPr>
            <w:tcW w:w="137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大洋路小学扩建工程</w:t>
            </w:r>
          </w:p>
        </w:tc>
        <w:tc>
          <w:tcPr>
            <w:tcW w:w="92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小学</w:t>
            </w:r>
          </w:p>
        </w:tc>
        <w:tc>
          <w:tcPr>
            <w:tcW w:w="3199"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大洋路小学新增二院地块用地面积6000平方米，新建风雨操场、食堂（地下室为停车位），篮球场、排球场、乒乓球场等</w:t>
            </w:r>
          </w:p>
        </w:tc>
        <w:tc>
          <w:tcPr>
            <w:tcW w:w="991"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大洋路西、丽阳街北</w:t>
            </w:r>
          </w:p>
        </w:tc>
        <w:tc>
          <w:tcPr>
            <w:tcW w:w="683"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改扩建</w:t>
            </w:r>
          </w:p>
        </w:tc>
        <w:tc>
          <w:tcPr>
            <w:tcW w:w="110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2021-2023</w:t>
            </w:r>
          </w:p>
        </w:tc>
        <w:tc>
          <w:tcPr>
            <w:tcW w:w="110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 xml:space="preserve">0.60 </w:t>
            </w:r>
          </w:p>
        </w:tc>
        <w:tc>
          <w:tcPr>
            <w:tcW w:w="108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 xml:space="preserve">0.60 </w:t>
            </w:r>
          </w:p>
        </w:tc>
        <w:tc>
          <w:tcPr>
            <w:tcW w:w="98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　</w:t>
            </w:r>
          </w:p>
        </w:tc>
        <w:tc>
          <w:tcPr>
            <w:tcW w:w="72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大洋路小学</w:t>
            </w:r>
          </w:p>
        </w:tc>
        <w:tc>
          <w:tcPr>
            <w:tcW w:w="880"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莲都区教育局</w:t>
            </w:r>
          </w:p>
        </w:tc>
        <w:tc>
          <w:tcPr>
            <w:tcW w:w="669"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实施类</w:t>
            </w:r>
          </w:p>
        </w:tc>
        <w:tc>
          <w:tcPr>
            <w:tcW w:w="66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　</w:t>
            </w:r>
          </w:p>
        </w:tc>
        <w:tc>
          <w:tcPr>
            <w:tcW w:w="572"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　</w:t>
            </w:r>
          </w:p>
        </w:tc>
      </w:tr>
      <w:tr>
        <w:tblPrEx>
          <w:tblCellMar>
            <w:top w:w="0" w:type="dxa"/>
            <w:left w:w="108" w:type="dxa"/>
            <w:bottom w:w="0" w:type="dxa"/>
            <w:right w:w="108" w:type="dxa"/>
          </w:tblCellMar>
        </w:tblPrEx>
        <w:trPr>
          <w:trHeight w:val="1157" w:hRule="atLeast"/>
          <w:jc w:val="center"/>
        </w:trPr>
        <w:tc>
          <w:tcPr>
            <w:tcW w:w="433"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27</w:t>
            </w:r>
          </w:p>
        </w:tc>
        <w:tc>
          <w:tcPr>
            <w:tcW w:w="137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刘英小学扩建工程</w:t>
            </w:r>
          </w:p>
        </w:tc>
        <w:tc>
          <w:tcPr>
            <w:tcW w:w="92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小学</w:t>
            </w:r>
          </w:p>
        </w:tc>
        <w:tc>
          <w:tcPr>
            <w:tcW w:w="3199"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从36个教学班扩建为48个教学班，新增用地面积约9.5亩，新建教学楼、综合楼、食堂等，建筑面积9600平方米</w:t>
            </w:r>
          </w:p>
        </w:tc>
        <w:tc>
          <w:tcPr>
            <w:tcW w:w="991"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紫金路东、江滨路北</w:t>
            </w:r>
          </w:p>
        </w:tc>
        <w:tc>
          <w:tcPr>
            <w:tcW w:w="683"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改扩建</w:t>
            </w:r>
          </w:p>
        </w:tc>
        <w:tc>
          <w:tcPr>
            <w:tcW w:w="110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2021-2023</w:t>
            </w:r>
          </w:p>
        </w:tc>
        <w:tc>
          <w:tcPr>
            <w:tcW w:w="110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 xml:space="preserve">0.80 </w:t>
            </w:r>
          </w:p>
        </w:tc>
        <w:tc>
          <w:tcPr>
            <w:tcW w:w="108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 xml:space="preserve">0.80 </w:t>
            </w:r>
          </w:p>
        </w:tc>
        <w:tc>
          <w:tcPr>
            <w:tcW w:w="98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　</w:t>
            </w:r>
          </w:p>
        </w:tc>
        <w:tc>
          <w:tcPr>
            <w:tcW w:w="72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刘英小学</w:t>
            </w:r>
          </w:p>
        </w:tc>
        <w:tc>
          <w:tcPr>
            <w:tcW w:w="880"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莲都区教育局</w:t>
            </w:r>
          </w:p>
        </w:tc>
        <w:tc>
          <w:tcPr>
            <w:tcW w:w="669"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实施类</w:t>
            </w:r>
          </w:p>
        </w:tc>
        <w:tc>
          <w:tcPr>
            <w:tcW w:w="66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　</w:t>
            </w:r>
          </w:p>
        </w:tc>
        <w:tc>
          <w:tcPr>
            <w:tcW w:w="572"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　</w:t>
            </w:r>
          </w:p>
        </w:tc>
      </w:tr>
      <w:tr>
        <w:tblPrEx>
          <w:tblCellMar>
            <w:top w:w="0" w:type="dxa"/>
            <w:left w:w="108" w:type="dxa"/>
            <w:bottom w:w="0" w:type="dxa"/>
            <w:right w:w="108" w:type="dxa"/>
          </w:tblCellMar>
        </w:tblPrEx>
        <w:trPr>
          <w:trHeight w:val="863" w:hRule="atLeast"/>
          <w:jc w:val="center"/>
        </w:trPr>
        <w:tc>
          <w:tcPr>
            <w:tcW w:w="433"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28</w:t>
            </w:r>
          </w:p>
        </w:tc>
        <w:tc>
          <w:tcPr>
            <w:tcW w:w="137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新青林小学</w:t>
            </w:r>
          </w:p>
        </w:tc>
        <w:tc>
          <w:tcPr>
            <w:tcW w:w="92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小学</w:t>
            </w:r>
          </w:p>
        </w:tc>
        <w:tc>
          <w:tcPr>
            <w:tcW w:w="3199"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新建36个班小学，用地面积37000平方米，总建筑面积约30577平方米</w:t>
            </w:r>
          </w:p>
        </w:tc>
        <w:tc>
          <w:tcPr>
            <w:tcW w:w="991"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环城东路以东</w:t>
            </w:r>
          </w:p>
        </w:tc>
        <w:tc>
          <w:tcPr>
            <w:tcW w:w="683"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新建</w:t>
            </w:r>
          </w:p>
        </w:tc>
        <w:tc>
          <w:tcPr>
            <w:tcW w:w="110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2020-2022</w:t>
            </w:r>
          </w:p>
        </w:tc>
        <w:tc>
          <w:tcPr>
            <w:tcW w:w="110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 xml:space="preserve">1.76 </w:t>
            </w:r>
          </w:p>
        </w:tc>
        <w:tc>
          <w:tcPr>
            <w:tcW w:w="108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 xml:space="preserve">1.76 </w:t>
            </w:r>
          </w:p>
        </w:tc>
        <w:tc>
          <w:tcPr>
            <w:tcW w:w="98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 xml:space="preserve">1260 </w:t>
            </w:r>
          </w:p>
        </w:tc>
        <w:tc>
          <w:tcPr>
            <w:tcW w:w="72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囿山小学</w:t>
            </w:r>
          </w:p>
        </w:tc>
        <w:tc>
          <w:tcPr>
            <w:tcW w:w="880"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市教育局</w:t>
            </w:r>
          </w:p>
        </w:tc>
        <w:tc>
          <w:tcPr>
            <w:tcW w:w="669"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实施类</w:t>
            </w:r>
          </w:p>
        </w:tc>
        <w:tc>
          <w:tcPr>
            <w:tcW w:w="66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　</w:t>
            </w:r>
          </w:p>
        </w:tc>
        <w:tc>
          <w:tcPr>
            <w:tcW w:w="572"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　</w:t>
            </w:r>
          </w:p>
        </w:tc>
      </w:tr>
      <w:tr>
        <w:tblPrEx>
          <w:tblCellMar>
            <w:top w:w="0" w:type="dxa"/>
            <w:left w:w="108" w:type="dxa"/>
            <w:bottom w:w="0" w:type="dxa"/>
            <w:right w:w="108" w:type="dxa"/>
          </w:tblCellMar>
        </w:tblPrEx>
        <w:trPr>
          <w:trHeight w:val="840" w:hRule="atLeast"/>
          <w:jc w:val="center"/>
        </w:trPr>
        <w:tc>
          <w:tcPr>
            <w:tcW w:w="433"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29</w:t>
            </w:r>
          </w:p>
        </w:tc>
        <w:tc>
          <w:tcPr>
            <w:tcW w:w="137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丽阳小学</w:t>
            </w:r>
          </w:p>
        </w:tc>
        <w:tc>
          <w:tcPr>
            <w:tcW w:w="92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小学</w:t>
            </w:r>
          </w:p>
        </w:tc>
        <w:tc>
          <w:tcPr>
            <w:tcW w:w="3199"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新建36班小学，用地面积24948平方米，建筑面积15382平方米</w:t>
            </w:r>
          </w:p>
        </w:tc>
        <w:tc>
          <w:tcPr>
            <w:tcW w:w="991"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北环路北</w:t>
            </w:r>
          </w:p>
        </w:tc>
        <w:tc>
          <w:tcPr>
            <w:tcW w:w="683"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新建</w:t>
            </w:r>
          </w:p>
        </w:tc>
        <w:tc>
          <w:tcPr>
            <w:tcW w:w="110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2022-2024</w:t>
            </w:r>
          </w:p>
        </w:tc>
        <w:tc>
          <w:tcPr>
            <w:tcW w:w="110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 xml:space="preserve">1.62 </w:t>
            </w:r>
          </w:p>
        </w:tc>
        <w:tc>
          <w:tcPr>
            <w:tcW w:w="108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 xml:space="preserve">1.62 </w:t>
            </w:r>
          </w:p>
        </w:tc>
        <w:tc>
          <w:tcPr>
            <w:tcW w:w="98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 xml:space="preserve">1260 </w:t>
            </w:r>
          </w:p>
        </w:tc>
        <w:tc>
          <w:tcPr>
            <w:tcW w:w="72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待定</w:t>
            </w:r>
          </w:p>
        </w:tc>
        <w:tc>
          <w:tcPr>
            <w:tcW w:w="880"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市教育局</w:t>
            </w:r>
          </w:p>
        </w:tc>
        <w:tc>
          <w:tcPr>
            <w:tcW w:w="669"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实施类</w:t>
            </w:r>
          </w:p>
        </w:tc>
        <w:tc>
          <w:tcPr>
            <w:tcW w:w="66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　</w:t>
            </w:r>
          </w:p>
        </w:tc>
        <w:tc>
          <w:tcPr>
            <w:tcW w:w="572"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　</w:t>
            </w:r>
          </w:p>
        </w:tc>
      </w:tr>
      <w:tr>
        <w:tblPrEx>
          <w:tblCellMar>
            <w:top w:w="0" w:type="dxa"/>
            <w:left w:w="108" w:type="dxa"/>
            <w:bottom w:w="0" w:type="dxa"/>
            <w:right w:w="108" w:type="dxa"/>
          </w:tblCellMar>
        </w:tblPrEx>
        <w:trPr>
          <w:trHeight w:val="931" w:hRule="atLeast"/>
          <w:jc w:val="center"/>
        </w:trPr>
        <w:tc>
          <w:tcPr>
            <w:tcW w:w="433"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30</w:t>
            </w:r>
          </w:p>
        </w:tc>
        <w:tc>
          <w:tcPr>
            <w:tcW w:w="137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宇雷小学</w:t>
            </w:r>
          </w:p>
        </w:tc>
        <w:tc>
          <w:tcPr>
            <w:tcW w:w="92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小学</w:t>
            </w:r>
          </w:p>
        </w:tc>
        <w:tc>
          <w:tcPr>
            <w:tcW w:w="3199"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新建30班小学，用地面积28328平方米，建筑面积13820平方米</w:t>
            </w:r>
          </w:p>
        </w:tc>
        <w:tc>
          <w:tcPr>
            <w:tcW w:w="991"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宇雷路西、丽青路北</w:t>
            </w:r>
          </w:p>
        </w:tc>
        <w:tc>
          <w:tcPr>
            <w:tcW w:w="683"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新建</w:t>
            </w:r>
          </w:p>
        </w:tc>
        <w:tc>
          <w:tcPr>
            <w:tcW w:w="110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2023-2025</w:t>
            </w:r>
          </w:p>
        </w:tc>
        <w:tc>
          <w:tcPr>
            <w:tcW w:w="110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 xml:space="preserve">1.58 </w:t>
            </w:r>
          </w:p>
        </w:tc>
        <w:tc>
          <w:tcPr>
            <w:tcW w:w="108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1.58</w:t>
            </w:r>
          </w:p>
        </w:tc>
        <w:tc>
          <w:tcPr>
            <w:tcW w:w="98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 xml:space="preserve">1050 </w:t>
            </w:r>
          </w:p>
        </w:tc>
        <w:tc>
          <w:tcPr>
            <w:tcW w:w="72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待定</w:t>
            </w:r>
          </w:p>
        </w:tc>
        <w:tc>
          <w:tcPr>
            <w:tcW w:w="880"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市教育局</w:t>
            </w:r>
          </w:p>
        </w:tc>
        <w:tc>
          <w:tcPr>
            <w:tcW w:w="669"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实施类</w:t>
            </w:r>
          </w:p>
        </w:tc>
        <w:tc>
          <w:tcPr>
            <w:tcW w:w="66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　</w:t>
            </w:r>
          </w:p>
        </w:tc>
        <w:tc>
          <w:tcPr>
            <w:tcW w:w="572"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　</w:t>
            </w:r>
          </w:p>
        </w:tc>
      </w:tr>
      <w:tr>
        <w:tblPrEx>
          <w:tblCellMar>
            <w:top w:w="0" w:type="dxa"/>
            <w:left w:w="108" w:type="dxa"/>
            <w:bottom w:w="0" w:type="dxa"/>
            <w:right w:w="108" w:type="dxa"/>
          </w:tblCellMar>
        </w:tblPrEx>
        <w:trPr>
          <w:trHeight w:val="1054" w:hRule="atLeast"/>
          <w:jc w:val="center"/>
        </w:trPr>
        <w:tc>
          <w:tcPr>
            <w:tcW w:w="433"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31</w:t>
            </w:r>
          </w:p>
        </w:tc>
        <w:tc>
          <w:tcPr>
            <w:tcW w:w="137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长岗背小学新建工程</w:t>
            </w:r>
          </w:p>
        </w:tc>
        <w:tc>
          <w:tcPr>
            <w:tcW w:w="92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小学</w:t>
            </w:r>
          </w:p>
        </w:tc>
        <w:tc>
          <w:tcPr>
            <w:tcW w:w="3199"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拟建 1 类完全小学 36 个班，总用地面积41888平方米，地上建筑面积25188平方米。</w:t>
            </w:r>
          </w:p>
        </w:tc>
        <w:tc>
          <w:tcPr>
            <w:tcW w:w="991"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丽阳街北，东地路东</w:t>
            </w:r>
          </w:p>
        </w:tc>
        <w:tc>
          <w:tcPr>
            <w:tcW w:w="683"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新建</w:t>
            </w:r>
          </w:p>
        </w:tc>
        <w:tc>
          <w:tcPr>
            <w:tcW w:w="110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2019-2021</w:t>
            </w:r>
          </w:p>
        </w:tc>
        <w:tc>
          <w:tcPr>
            <w:tcW w:w="110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 xml:space="preserve">2.69 </w:t>
            </w:r>
          </w:p>
        </w:tc>
        <w:tc>
          <w:tcPr>
            <w:tcW w:w="108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0.3</w:t>
            </w:r>
          </w:p>
        </w:tc>
        <w:tc>
          <w:tcPr>
            <w:tcW w:w="98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 xml:space="preserve">1260 </w:t>
            </w:r>
          </w:p>
        </w:tc>
        <w:tc>
          <w:tcPr>
            <w:tcW w:w="72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莲都区教育局</w:t>
            </w:r>
          </w:p>
        </w:tc>
        <w:tc>
          <w:tcPr>
            <w:tcW w:w="880"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莲都区教育局</w:t>
            </w:r>
          </w:p>
        </w:tc>
        <w:tc>
          <w:tcPr>
            <w:tcW w:w="669"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实施类</w:t>
            </w:r>
          </w:p>
        </w:tc>
        <w:tc>
          <w:tcPr>
            <w:tcW w:w="66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　</w:t>
            </w:r>
          </w:p>
        </w:tc>
        <w:tc>
          <w:tcPr>
            <w:tcW w:w="572"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　</w:t>
            </w:r>
          </w:p>
        </w:tc>
      </w:tr>
      <w:tr>
        <w:tblPrEx>
          <w:tblCellMar>
            <w:top w:w="0" w:type="dxa"/>
            <w:left w:w="108" w:type="dxa"/>
            <w:bottom w:w="0" w:type="dxa"/>
            <w:right w:w="108" w:type="dxa"/>
          </w:tblCellMar>
        </w:tblPrEx>
        <w:trPr>
          <w:trHeight w:val="812" w:hRule="atLeast"/>
          <w:jc w:val="center"/>
        </w:trPr>
        <w:tc>
          <w:tcPr>
            <w:tcW w:w="433"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32</w:t>
            </w:r>
          </w:p>
        </w:tc>
        <w:tc>
          <w:tcPr>
            <w:tcW w:w="137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碧湖三小新建工程</w:t>
            </w:r>
          </w:p>
        </w:tc>
        <w:tc>
          <w:tcPr>
            <w:tcW w:w="92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小学</w:t>
            </w:r>
          </w:p>
        </w:tc>
        <w:tc>
          <w:tcPr>
            <w:tcW w:w="3199"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拟建 1 类完全小学 36 个班，总用地面积约37728.2平方米。</w:t>
            </w:r>
          </w:p>
        </w:tc>
        <w:tc>
          <w:tcPr>
            <w:tcW w:w="991"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碧湖</w:t>
            </w:r>
          </w:p>
        </w:tc>
        <w:tc>
          <w:tcPr>
            <w:tcW w:w="683"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新建</w:t>
            </w:r>
          </w:p>
        </w:tc>
        <w:tc>
          <w:tcPr>
            <w:tcW w:w="110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2019-2021</w:t>
            </w:r>
          </w:p>
        </w:tc>
        <w:tc>
          <w:tcPr>
            <w:tcW w:w="110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 xml:space="preserve">1.45 </w:t>
            </w:r>
          </w:p>
        </w:tc>
        <w:tc>
          <w:tcPr>
            <w:tcW w:w="108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0.46</w:t>
            </w:r>
          </w:p>
        </w:tc>
        <w:tc>
          <w:tcPr>
            <w:tcW w:w="98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 xml:space="preserve">1260 </w:t>
            </w:r>
          </w:p>
        </w:tc>
        <w:tc>
          <w:tcPr>
            <w:tcW w:w="72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碧湖小学</w:t>
            </w:r>
          </w:p>
        </w:tc>
        <w:tc>
          <w:tcPr>
            <w:tcW w:w="880"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莲都区教育局</w:t>
            </w:r>
          </w:p>
        </w:tc>
        <w:tc>
          <w:tcPr>
            <w:tcW w:w="669"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实施类</w:t>
            </w:r>
          </w:p>
        </w:tc>
        <w:tc>
          <w:tcPr>
            <w:tcW w:w="66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　</w:t>
            </w:r>
          </w:p>
        </w:tc>
        <w:tc>
          <w:tcPr>
            <w:tcW w:w="572"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　</w:t>
            </w:r>
          </w:p>
        </w:tc>
      </w:tr>
      <w:tr>
        <w:tblPrEx>
          <w:tblCellMar>
            <w:top w:w="0" w:type="dxa"/>
            <w:left w:w="108" w:type="dxa"/>
            <w:bottom w:w="0" w:type="dxa"/>
            <w:right w:w="108" w:type="dxa"/>
          </w:tblCellMar>
        </w:tblPrEx>
        <w:trPr>
          <w:trHeight w:val="787" w:hRule="atLeast"/>
          <w:jc w:val="center"/>
        </w:trPr>
        <w:tc>
          <w:tcPr>
            <w:tcW w:w="433"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hint="eastAsia" w:ascii="宋体" w:hAnsi="宋体" w:eastAsia="宋体" w:cs="宋体"/>
                <w:b/>
                <w:bCs/>
                <w:kern w:val="0"/>
                <w:sz w:val="21"/>
                <w:szCs w:val="21"/>
                <w:highlight w:val="none"/>
                <w:lang w:val="en-US" w:eastAsia="zh-CN" w:bidi="ar-SA"/>
              </w:rPr>
            </w:pPr>
            <w:r>
              <w:rPr>
                <w:rFonts w:hint="eastAsia" w:ascii="宋体" w:hAnsi="宋体" w:cs="宋体"/>
                <w:b/>
                <w:bCs/>
                <w:kern w:val="0"/>
                <w:szCs w:val="21"/>
                <w:highlight w:val="none"/>
              </w:rPr>
              <w:t>序号</w:t>
            </w:r>
          </w:p>
        </w:tc>
        <w:tc>
          <w:tcPr>
            <w:tcW w:w="137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hint="eastAsia" w:ascii="宋体" w:hAnsi="宋体" w:eastAsia="宋体" w:cs="宋体"/>
                <w:b/>
                <w:bCs/>
                <w:kern w:val="0"/>
                <w:sz w:val="21"/>
                <w:szCs w:val="21"/>
                <w:highlight w:val="none"/>
                <w:lang w:val="en-US" w:eastAsia="zh-CN" w:bidi="ar-SA"/>
              </w:rPr>
            </w:pPr>
            <w:r>
              <w:rPr>
                <w:rFonts w:hint="eastAsia" w:ascii="宋体" w:hAnsi="宋体" w:cs="宋体"/>
                <w:b/>
                <w:bCs/>
                <w:kern w:val="0"/>
                <w:szCs w:val="21"/>
                <w:highlight w:val="none"/>
              </w:rPr>
              <w:t>项目名称</w:t>
            </w:r>
          </w:p>
        </w:tc>
        <w:tc>
          <w:tcPr>
            <w:tcW w:w="92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hint="eastAsia" w:ascii="宋体" w:hAnsi="宋体" w:eastAsia="宋体" w:cs="宋体"/>
                <w:b/>
                <w:bCs/>
                <w:kern w:val="0"/>
                <w:sz w:val="21"/>
                <w:szCs w:val="21"/>
                <w:highlight w:val="none"/>
                <w:lang w:val="en-US" w:eastAsia="zh-CN" w:bidi="ar-SA"/>
              </w:rPr>
            </w:pPr>
            <w:r>
              <w:rPr>
                <w:rFonts w:hint="eastAsia" w:ascii="宋体" w:hAnsi="宋体" w:cs="宋体"/>
                <w:b/>
                <w:bCs/>
                <w:kern w:val="0"/>
                <w:szCs w:val="21"/>
                <w:highlight w:val="none"/>
              </w:rPr>
              <w:t>学段</w:t>
            </w:r>
          </w:p>
        </w:tc>
        <w:tc>
          <w:tcPr>
            <w:tcW w:w="3199"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hint="eastAsia" w:ascii="宋体" w:hAnsi="宋体" w:eastAsia="宋体" w:cs="宋体"/>
                <w:b/>
                <w:bCs/>
                <w:kern w:val="0"/>
                <w:sz w:val="21"/>
                <w:szCs w:val="21"/>
                <w:highlight w:val="none"/>
                <w:lang w:val="en-US" w:eastAsia="zh-CN" w:bidi="ar-SA"/>
              </w:rPr>
            </w:pPr>
            <w:r>
              <w:rPr>
                <w:rFonts w:hint="eastAsia" w:ascii="宋体" w:hAnsi="宋体" w:cs="宋体"/>
                <w:b/>
                <w:bCs/>
                <w:kern w:val="0"/>
                <w:szCs w:val="21"/>
                <w:highlight w:val="none"/>
              </w:rPr>
              <w:t>建设规模和内容</w:t>
            </w:r>
          </w:p>
        </w:tc>
        <w:tc>
          <w:tcPr>
            <w:tcW w:w="991"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建设</w:t>
            </w:r>
          </w:p>
          <w:p>
            <w:pPr>
              <w:widowControl/>
              <w:suppressAutoHyphens w:val="0"/>
              <w:jc w:val="center"/>
              <w:rPr>
                <w:rFonts w:hint="eastAsia" w:ascii="宋体" w:hAnsi="宋体" w:eastAsia="宋体" w:cs="宋体"/>
                <w:b/>
                <w:bCs/>
                <w:kern w:val="0"/>
                <w:sz w:val="21"/>
                <w:szCs w:val="21"/>
                <w:highlight w:val="none"/>
                <w:lang w:val="en-US" w:eastAsia="zh-CN" w:bidi="ar-SA"/>
              </w:rPr>
            </w:pPr>
            <w:r>
              <w:rPr>
                <w:rFonts w:hint="eastAsia" w:ascii="宋体" w:hAnsi="宋体" w:cs="宋体"/>
                <w:b/>
                <w:bCs/>
                <w:kern w:val="0"/>
                <w:szCs w:val="21"/>
                <w:highlight w:val="none"/>
              </w:rPr>
              <w:t>地点</w:t>
            </w:r>
          </w:p>
        </w:tc>
        <w:tc>
          <w:tcPr>
            <w:tcW w:w="683"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hint="eastAsia" w:ascii="宋体" w:hAnsi="宋体" w:eastAsia="宋体" w:cs="宋体"/>
                <w:b/>
                <w:bCs/>
                <w:kern w:val="0"/>
                <w:sz w:val="21"/>
                <w:szCs w:val="21"/>
                <w:highlight w:val="none"/>
                <w:lang w:val="en-US" w:eastAsia="zh-CN" w:bidi="ar-SA"/>
              </w:rPr>
            </w:pPr>
            <w:r>
              <w:rPr>
                <w:rFonts w:hint="eastAsia" w:ascii="宋体" w:hAnsi="宋体" w:cs="宋体"/>
                <w:b/>
                <w:bCs/>
                <w:kern w:val="0"/>
                <w:szCs w:val="21"/>
                <w:highlight w:val="none"/>
              </w:rPr>
              <w:t>建设性质</w:t>
            </w:r>
          </w:p>
        </w:tc>
        <w:tc>
          <w:tcPr>
            <w:tcW w:w="110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hint="eastAsia" w:ascii="宋体" w:hAnsi="宋体" w:eastAsia="宋体" w:cs="宋体"/>
                <w:b/>
                <w:bCs/>
                <w:kern w:val="0"/>
                <w:sz w:val="21"/>
                <w:szCs w:val="21"/>
                <w:highlight w:val="none"/>
                <w:lang w:val="en-US" w:eastAsia="zh-CN" w:bidi="ar-SA"/>
              </w:rPr>
            </w:pPr>
            <w:r>
              <w:rPr>
                <w:rFonts w:hint="eastAsia" w:ascii="宋体" w:hAnsi="宋体" w:cs="宋体"/>
                <w:b/>
                <w:bCs/>
                <w:kern w:val="0"/>
                <w:szCs w:val="21"/>
                <w:highlight w:val="none"/>
              </w:rPr>
              <w:t>起止年限</w:t>
            </w:r>
          </w:p>
        </w:tc>
        <w:tc>
          <w:tcPr>
            <w:tcW w:w="110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hint="eastAsia" w:ascii="宋体" w:hAnsi="宋体" w:eastAsia="宋体" w:cs="宋体"/>
                <w:b/>
                <w:bCs/>
                <w:kern w:val="0"/>
                <w:sz w:val="21"/>
                <w:szCs w:val="21"/>
                <w:highlight w:val="none"/>
                <w:lang w:val="en-US" w:eastAsia="zh-CN" w:bidi="ar-SA"/>
              </w:rPr>
            </w:pPr>
            <w:r>
              <w:rPr>
                <w:rFonts w:hint="eastAsia" w:ascii="宋体" w:hAnsi="宋体" w:cs="宋体"/>
                <w:b/>
                <w:bCs/>
                <w:kern w:val="0"/>
                <w:szCs w:val="21"/>
                <w:highlight w:val="none"/>
              </w:rPr>
              <w:t>总投资（亿元）</w:t>
            </w:r>
          </w:p>
        </w:tc>
        <w:tc>
          <w:tcPr>
            <w:tcW w:w="108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hint="eastAsia" w:ascii="宋体" w:hAnsi="宋体" w:eastAsia="宋体" w:cs="宋体"/>
                <w:b/>
                <w:bCs/>
                <w:kern w:val="0"/>
                <w:sz w:val="21"/>
                <w:szCs w:val="21"/>
                <w:highlight w:val="none"/>
                <w:lang w:val="en-US" w:eastAsia="zh-CN" w:bidi="ar-SA"/>
              </w:rPr>
            </w:pPr>
            <w:r>
              <w:rPr>
                <w:rFonts w:hint="eastAsia" w:ascii="宋体" w:hAnsi="宋体" w:cs="宋体"/>
                <w:b/>
                <w:bCs/>
                <w:kern w:val="0"/>
                <w:szCs w:val="21"/>
                <w:highlight w:val="none"/>
              </w:rPr>
              <w:t>计划投资（亿元）</w:t>
            </w:r>
          </w:p>
        </w:tc>
        <w:tc>
          <w:tcPr>
            <w:tcW w:w="98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hint="eastAsia" w:ascii="宋体" w:hAnsi="宋体" w:eastAsia="宋体" w:cs="宋体"/>
                <w:b/>
                <w:bCs/>
                <w:kern w:val="0"/>
                <w:sz w:val="21"/>
                <w:szCs w:val="21"/>
                <w:highlight w:val="none"/>
                <w:lang w:val="en-US" w:eastAsia="zh-CN" w:bidi="ar-SA"/>
              </w:rPr>
            </w:pPr>
            <w:r>
              <w:rPr>
                <w:rFonts w:hint="eastAsia" w:ascii="宋体" w:hAnsi="宋体" w:cs="宋体"/>
                <w:b/>
                <w:bCs/>
                <w:kern w:val="0"/>
                <w:szCs w:val="21"/>
                <w:highlight w:val="none"/>
              </w:rPr>
              <w:t>新增学位（个）</w:t>
            </w:r>
          </w:p>
        </w:tc>
        <w:tc>
          <w:tcPr>
            <w:tcW w:w="72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hint="eastAsia" w:ascii="宋体" w:hAnsi="宋体" w:eastAsia="宋体" w:cs="宋体"/>
                <w:b/>
                <w:bCs/>
                <w:kern w:val="0"/>
                <w:sz w:val="21"/>
                <w:szCs w:val="21"/>
                <w:highlight w:val="none"/>
                <w:lang w:val="en-US" w:eastAsia="zh-CN" w:bidi="ar-SA"/>
              </w:rPr>
            </w:pPr>
            <w:r>
              <w:rPr>
                <w:rFonts w:hint="eastAsia" w:ascii="宋体" w:hAnsi="宋体" w:cs="宋体"/>
                <w:b/>
                <w:bCs/>
                <w:kern w:val="0"/>
                <w:szCs w:val="21"/>
                <w:highlight w:val="none"/>
              </w:rPr>
              <w:t>项目业主</w:t>
            </w:r>
          </w:p>
        </w:tc>
        <w:tc>
          <w:tcPr>
            <w:tcW w:w="880"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hint="eastAsia" w:ascii="宋体" w:hAnsi="宋体" w:eastAsia="宋体" w:cs="宋体"/>
                <w:b/>
                <w:bCs/>
                <w:kern w:val="0"/>
                <w:sz w:val="21"/>
                <w:szCs w:val="21"/>
                <w:highlight w:val="none"/>
                <w:lang w:val="en-US" w:eastAsia="zh-CN" w:bidi="ar-SA"/>
              </w:rPr>
            </w:pPr>
            <w:r>
              <w:rPr>
                <w:rFonts w:hint="eastAsia" w:ascii="宋体" w:hAnsi="宋体" w:cs="宋体"/>
                <w:b/>
                <w:bCs/>
                <w:kern w:val="0"/>
                <w:szCs w:val="21"/>
                <w:highlight w:val="none"/>
              </w:rPr>
              <w:t>责任单位</w:t>
            </w:r>
          </w:p>
        </w:tc>
        <w:tc>
          <w:tcPr>
            <w:tcW w:w="669"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hint="eastAsia" w:ascii="宋体" w:hAnsi="宋体" w:eastAsia="宋体" w:cs="宋体"/>
                <w:b/>
                <w:bCs/>
                <w:kern w:val="0"/>
                <w:sz w:val="21"/>
                <w:szCs w:val="21"/>
                <w:highlight w:val="none"/>
                <w:lang w:val="en-US" w:eastAsia="zh-CN" w:bidi="ar-SA"/>
              </w:rPr>
            </w:pPr>
            <w:r>
              <w:rPr>
                <w:rFonts w:hint="eastAsia" w:ascii="宋体" w:hAnsi="宋体" w:cs="宋体"/>
                <w:b/>
                <w:bCs/>
                <w:kern w:val="0"/>
                <w:szCs w:val="21"/>
                <w:highlight w:val="none"/>
              </w:rPr>
              <w:t>项目类别</w:t>
            </w:r>
          </w:p>
        </w:tc>
        <w:tc>
          <w:tcPr>
            <w:tcW w:w="66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hint="eastAsia" w:ascii="宋体" w:hAnsi="宋体" w:eastAsia="宋体" w:cs="宋体"/>
                <w:b/>
                <w:bCs/>
                <w:kern w:val="0"/>
                <w:sz w:val="21"/>
                <w:szCs w:val="21"/>
                <w:highlight w:val="none"/>
                <w:lang w:val="en-US" w:eastAsia="zh-CN" w:bidi="ar-SA"/>
              </w:rPr>
            </w:pPr>
            <w:r>
              <w:rPr>
                <w:rFonts w:hint="eastAsia" w:ascii="宋体" w:hAnsi="宋体" w:cs="宋体"/>
                <w:b/>
                <w:bCs/>
                <w:kern w:val="0"/>
                <w:szCs w:val="21"/>
                <w:highlight w:val="none"/>
              </w:rPr>
              <w:t>建设模式</w:t>
            </w:r>
          </w:p>
        </w:tc>
        <w:tc>
          <w:tcPr>
            <w:tcW w:w="572"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hint="eastAsia" w:ascii="宋体" w:hAnsi="宋体" w:eastAsia="宋体" w:cs="宋体"/>
                <w:b/>
                <w:bCs/>
                <w:kern w:val="0"/>
                <w:sz w:val="21"/>
                <w:szCs w:val="21"/>
                <w:highlight w:val="none"/>
                <w:lang w:val="en-US" w:eastAsia="zh-CN" w:bidi="ar-SA"/>
              </w:rPr>
            </w:pPr>
            <w:r>
              <w:rPr>
                <w:rFonts w:hint="eastAsia" w:ascii="宋体" w:hAnsi="宋体" w:cs="宋体"/>
                <w:b/>
                <w:bCs/>
                <w:kern w:val="0"/>
                <w:szCs w:val="21"/>
                <w:highlight w:val="none"/>
              </w:rPr>
              <w:t>备注</w:t>
            </w:r>
          </w:p>
        </w:tc>
      </w:tr>
      <w:tr>
        <w:tblPrEx>
          <w:tblCellMar>
            <w:top w:w="0" w:type="dxa"/>
            <w:left w:w="108" w:type="dxa"/>
            <w:bottom w:w="0" w:type="dxa"/>
            <w:right w:w="108" w:type="dxa"/>
          </w:tblCellMar>
        </w:tblPrEx>
        <w:trPr>
          <w:trHeight w:val="1136" w:hRule="atLeast"/>
          <w:jc w:val="center"/>
        </w:trPr>
        <w:tc>
          <w:tcPr>
            <w:tcW w:w="433"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33</w:t>
            </w:r>
          </w:p>
        </w:tc>
        <w:tc>
          <w:tcPr>
            <w:tcW w:w="137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碧湖小学新建工程</w:t>
            </w:r>
          </w:p>
        </w:tc>
        <w:tc>
          <w:tcPr>
            <w:tcW w:w="92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小学</w:t>
            </w:r>
          </w:p>
        </w:tc>
        <w:tc>
          <w:tcPr>
            <w:tcW w:w="3199"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规划为24个教学班，校园重新规划，总用地约28000平方米，拆建教学楼、综合楼，新建食堂及风雨操场、运动场等。</w:t>
            </w:r>
          </w:p>
        </w:tc>
        <w:tc>
          <w:tcPr>
            <w:tcW w:w="991"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碧湖</w:t>
            </w:r>
          </w:p>
        </w:tc>
        <w:tc>
          <w:tcPr>
            <w:tcW w:w="683"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改扩建</w:t>
            </w:r>
          </w:p>
        </w:tc>
        <w:tc>
          <w:tcPr>
            <w:tcW w:w="110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2023-2025</w:t>
            </w:r>
          </w:p>
        </w:tc>
        <w:tc>
          <w:tcPr>
            <w:tcW w:w="110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1.3</w:t>
            </w:r>
          </w:p>
        </w:tc>
        <w:tc>
          <w:tcPr>
            <w:tcW w:w="108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1.3</w:t>
            </w:r>
          </w:p>
        </w:tc>
        <w:tc>
          <w:tcPr>
            <w:tcW w:w="98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 xml:space="preserve">840 </w:t>
            </w:r>
          </w:p>
        </w:tc>
        <w:tc>
          <w:tcPr>
            <w:tcW w:w="72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碧湖小学</w:t>
            </w:r>
          </w:p>
        </w:tc>
        <w:tc>
          <w:tcPr>
            <w:tcW w:w="880"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莲都区教育局</w:t>
            </w:r>
          </w:p>
        </w:tc>
        <w:tc>
          <w:tcPr>
            <w:tcW w:w="669"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实施类</w:t>
            </w:r>
          </w:p>
        </w:tc>
        <w:tc>
          <w:tcPr>
            <w:tcW w:w="66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　</w:t>
            </w:r>
          </w:p>
        </w:tc>
        <w:tc>
          <w:tcPr>
            <w:tcW w:w="572"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　</w:t>
            </w:r>
          </w:p>
        </w:tc>
      </w:tr>
      <w:tr>
        <w:tblPrEx>
          <w:tblCellMar>
            <w:top w:w="0" w:type="dxa"/>
            <w:left w:w="108" w:type="dxa"/>
            <w:bottom w:w="0" w:type="dxa"/>
            <w:right w:w="108" w:type="dxa"/>
          </w:tblCellMar>
        </w:tblPrEx>
        <w:trPr>
          <w:trHeight w:val="592" w:hRule="atLeast"/>
          <w:jc w:val="center"/>
        </w:trPr>
        <w:tc>
          <w:tcPr>
            <w:tcW w:w="433"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34</w:t>
            </w:r>
          </w:p>
        </w:tc>
        <w:tc>
          <w:tcPr>
            <w:tcW w:w="137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高溪区块小学新建工程</w:t>
            </w:r>
          </w:p>
        </w:tc>
        <w:tc>
          <w:tcPr>
            <w:tcW w:w="92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小学</w:t>
            </w:r>
          </w:p>
        </w:tc>
        <w:tc>
          <w:tcPr>
            <w:tcW w:w="3199"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规划36个教学班，总用地面积约37525㎡，总建筑面积29000㎡。</w:t>
            </w:r>
          </w:p>
        </w:tc>
        <w:tc>
          <w:tcPr>
            <w:tcW w:w="991"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高溪</w:t>
            </w:r>
          </w:p>
        </w:tc>
        <w:tc>
          <w:tcPr>
            <w:tcW w:w="683"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新建</w:t>
            </w:r>
          </w:p>
        </w:tc>
        <w:tc>
          <w:tcPr>
            <w:tcW w:w="110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2023-2025</w:t>
            </w:r>
          </w:p>
        </w:tc>
        <w:tc>
          <w:tcPr>
            <w:tcW w:w="110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 xml:space="preserve">1.80 </w:t>
            </w:r>
          </w:p>
        </w:tc>
        <w:tc>
          <w:tcPr>
            <w:tcW w:w="108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1.8</w:t>
            </w:r>
          </w:p>
        </w:tc>
        <w:tc>
          <w:tcPr>
            <w:tcW w:w="98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 xml:space="preserve">1260 </w:t>
            </w:r>
          </w:p>
        </w:tc>
        <w:tc>
          <w:tcPr>
            <w:tcW w:w="72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待定</w:t>
            </w:r>
          </w:p>
        </w:tc>
        <w:tc>
          <w:tcPr>
            <w:tcW w:w="880"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莲都区教育局</w:t>
            </w:r>
          </w:p>
        </w:tc>
        <w:tc>
          <w:tcPr>
            <w:tcW w:w="669"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实施类</w:t>
            </w:r>
          </w:p>
        </w:tc>
        <w:tc>
          <w:tcPr>
            <w:tcW w:w="66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　</w:t>
            </w:r>
          </w:p>
        </w:tc>
        <w:tc>
          <w:tcPr>
            <w:tcW w:w="572"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　</w:t>
            </w:r>
          </w:p>
        </w:tc>
      </w:tr>
      <w:tr>
        <w:tblPrEx>
          <w:tblCellMar>
            <w:top w:w="0" w:type="dxa"/>
            <w:left w:w="108" w:type="dxa"/>
            <w:bottom w:w="0" w:type="dxa"/>
            <w:right w:w="108" w:type="dxa"/>
          </w:tblCellMar>
        </w:tblPrEx>
        <w:trPr>
          <w:trHeight w:val="453" w:hRule="atLeast"/>
          <w:jc w:val="center"/>
        </w:trPr>
        <w:tc>
          <w:tcPr>
            <w:tcW w:w="433"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　</w:t>
            </w:r>
          </w:p>
        </w:tc>
        <w:tc>
          <w:tcPr>
            <w:tcW w:w="137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初中小计</w:t>
            </w:r>
          </w:p>
        </w:tc>
        <w:tc>
          <w:tcPr>
            <w:tcW w:w="92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　</w:t>
            </w:r>
          </w:p>
        </w:tc>
        <w:tc>
          <w:tcPr>
            <w:tcW w:w="3199"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 xml:space="preserve">9 </w:t>
            </w:r>
          </w:p>
        </w:tc>
        <w:tc>
          <w:tcPr>
            <w:tcW w:w="991"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　</w:t>
            </w:r>
          </w:p>
        </w:tc>
        <w:tc>
          <w:tcPr>
            <w:tcW w:w="683"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　</w:t>
            </w:r>
          </w:p>
        </w:tc>
        <w:tc>
          <w:tcPr>
            <w:tcW w:w="110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　</w:t>
            </w:r>
          </w:p>
        </w:tc>
        <w:tc>
          <w:tcPr>
            <w:tcW w:w="110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 xml:space="preserve">25.31 </w:t>
            </w:r>
          </w:p>
        </w:tc>
        <w:tc>
          <w:tcPr>
            <w:tcW w:w="108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 xml:space="preserve">22.11 </w:t>
            </w:r>
          </w:p>
        </w:tc>
        <w:tc>
          <w:tcPr>
            <w:tcW w:w="98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 xml:space="preserve">14100 </w:t>
            </w:r>
          </w:p>
        </w:tc>
        <w:tc>
          <w:tcPr>
            <w:tcW w:w="72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　</w:t>
            </w:r>
          </w:p>
        </w:tc>
        <w:tc>
          <w:tcPr>
            <w:tcW w:w="880"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　</w:t>
            </w:r>
          </w:p>
        </w:tc>
        <w:tc>
          <w:tcPr>
            <w:tcW w:w="669"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　</w:t>
            </w:r>
          </w:p>
        </w:tc>
        <w:tc>
          <w:tcPr>
            <w:tcW w:w="66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　</w:t>
            </w:r>
          </w:p>
        </w:tc>
        <w:tc>
          <w:tcPr>
            <w:tcW w:w="572"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　</w:t>
            </w:r>
          </w:p>
        </w:tc>
      </w:tr>
      <w:tr>
        <w:tblPrEx>
          <w:tblCellMar>
            <w:top w:w="0" w:type="dxa"/>
            <w:left w:w="108" w:type="dxa"/>
            <w:bottom w:w="0" w:type="dxa"/>
            <w:right w:w="108" w:type="dxa"/>
          </w:tblCellMar>
        </w:tblPrEx>
        <w:trPr>
          <w:trHeight w:val="951" w:hRule="atLeast"/>
          <w:jc w:val="center"/>
        </w:trPr>
        <w:tc>
          <w:tcPr>
            <w:tcW w:w="433"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35</w:t>
            </w:r>
          </w:p>
        </w:tc>
        <w:tc>
          <w:tcPr>
            <w:tcW w:w="137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丽水市实验学校（中山校区）扩建</w:t>
            </w:r>
          </w:p>
        </w:tc>
        <w:tc>
          <w:tcPr>
            <w:tcW w:w="92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初中</w:t>
            </w:r>
          </w:p>
        </w:tc>
        <w:tc>
          <w:tcPr>
            <w:tcW w:w="3199"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24班小学，新建体艺馆、综合楼、运动场等，新增建筑面积5100平方米</w:t>
            </w:r>
          </w:p>
        </w:tc>
        <w:tc>
          <w:tcPr>
            <w:tcW w:w="991"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中山街东、灯塔街北</w:t>
            </w:r>
          </w:p>
        </w:tc>
        <w:tc>
          <w:tcPr>
            <w:tcW w:w="683"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改扩建</w:t>
            </w:r>
          </w:p>
        </w:tc>
        <w:tc>
          <w:tcPr>
            <w:tcW w:w="110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2021-2023</w:t>
            </w:r>
          </w:p>
        </w:tc>
        <w:tc>
          <w:tcPr>
            <w:tcW w:w="110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 xml:space="preserve">1.80 </w:t>
            </w:r>
          </w:p>
        </w:tc>
        <w:tc>
          <w:tcPr>
            <w:tcW w:w="108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 xml:space="preserve">1.80 </w:t>
            </w:r>
          </w:p>
        </w:tc>
        <w:tc>
          <w:tcPr>
            <w:tcW w:w="98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　</w:t>
            </w:r>
          </w:p>
        </w:tc>
        <w:tc>
          <w:tcPr>
            <w:tcW w:w="72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待定</w:t>
            </w:r>
          </w:p>
        </w:tc>
        <w:tc>
          <w:tcPr>
            <w:tcW w:w="880"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市教育局</w:t>
            </w:r>
          </w:p>
        </w:tc>
        <w:tc>
          <w:tcPr>
            <w:tcW w:w="669"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实施类</w:t>
            </w:r>
          </w:p>
        </w:tc>
        <w:tc>
          <w:tcPr>
            <w:tcW w:w="66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　</w:t>
            </w:r>
          </w:p>
        </w:tc>
        <w:tc>
          <w:tcPr>
            <w:tcW w:w="572"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　</w:t>
            </w:r>
          </w:p>
        </w:tc>
      </w:tr>
      <w:tr>
        <w:tblPrEx>
          <w:tblCellMar>
            <w:top w:w="0" w:type="dxa"/>
            <w:left w:w="108" w:type="dxa"/>
            <w:bottom w:w="0" w:type="dxa"/>
            <w:right w:w="108" w:type="dxa"/>
          </w:tblCellMar>
        </w:tblPrEx>
        <w:trPr>
          <w:trHeight w:val="954" w:hRule="atLeast"/>
          <w:jc w:val="center"/>
        </w:trPr>
        <w:tc>
          <w:tcPr>
            <w:tcW w:w="433"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36</w:t>
            </w:r>
          </w:p>
        </w:tc>
        <w:tc>
          <w:tcPr>
            <w:tcW w:w="137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城西学校(初中部扩建工程)</w:t>
            </w:r>
          </w:p>
        </w:tc>
        <w:tc>
          <w:tcPr>
            <w:tcW w:w="92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初中</w:t>
            </w:r>
          </w:p>
        </w:tc>
        <w:tc>
          <w:tcPr>
            <w:tcW w:w="3199"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南侧地块扩建24个初中教学班，用地面积约19000平方米，总建筑面积约20000平方米</w:t>
            </w:r>
          </w:p>
        </w:tc>
        <w:tc>
          <w:tcPr>
            <w:tcW w:w="991"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教工路东、城北路北</w:t>
            </w:r>
          </w:p>
        </w:tc>
        <w:tc>
          <w:tcPr>
            <w:tcW w:w="683"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改扩建</w:t>
            </w:r>
          </w:p>
        </w:tc>
        <w:tc>
          <w:tcPr>
            <w:tcW w:w="110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2021-2022</w:t>
            </w:r>
          </w:p>
        </w:tc>
        <w:tc>
          <w:tcPr>
            <w:tcW w:w="110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 xml:space="preserve">1.00 </w:t>
            </w:r>
          </w:p>
        </w:tc>
        <w:tc>
          <w:tcPr>
            <w:tcW w:w="108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 xml:space="preserve">1.00 </w:t>
            </w:r>
          </w:p>
        </w:tc>
        <w:tc>
          <w:tcPr>
            <w:tcW w:w="98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 xml:space="preserve">960 </w:t>
            </w:r>
          </w:p>
        </w:tc>
        <w:tc>
          <w:tcPr>
            <w:tcW w:w="72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待定</w:t>
            </w:r>
          </w:p>
        </w:tc>
        <w:tc>
          <w:tcPr>
            <w:tcW w:w="880"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莲都区教育局</w:t>
            </w:r>
          </w:p>
        </w:tc>
        <w:tc>
          <w:tcPr>
            <w:tcW w:w="669"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实施类</w:t>
            </w:r>
          </w:p>
        </w:tc>
        <w:tc>
          <w:tcPr>
            <w:tcW w:w="66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　</w:t>
            </w:r>
          </w:p>
        </w:tc>
        <w:tc>
          <w:tcPr>
            <w:tcW w:w="572"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　</w:t>
            </w:r>
          </w:p>
        </w:tc>
      </w:tr>
      <w:tr>
        <w:tblPrEx>
          <w:tblCellMar>
            <w:top w:w="0" w:type="dxa"/>
            <w:left w:w="108" w:type="dxa"/>
            <w:bottom w:w="0" w:type="dxa"/>
            <w:right w:w="108" w:type="dxa"/>
          </w:tblCellMar>
        </w:tblPrEx>
        <w:trPr>
          <w:trHeight w:val="1035" w:hRule="atLeast"/>
          <w:jc w:val="center"/>
        </w:trPr>
        <w:tc>
          <w:tcPr>
            <w:tcW w:w="433"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37</w:t>
            </w:r>
          </w:p>
        </w:tc>
        <w:tc>
          <w:tcPr>
            <w:tcW w:w="137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处州中学扩建工程</w:t>
            </w:r>
          </w:p>
        </w:tc>
        <w:tc>
          <w:tcPr>
            <w:tcW w:w="92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初中</w:t>
            </w:r>
          </w:p>
        </w:tc>
        <w:tc>
          <w:tcPr>
            <w:tcW w:w="3199"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需拆除一幢教师住宅1306平方米，拆除3栋旧学生宿舍楼，新建一栋男生宿舍楼，建筑面积6650平方米</w:t>
            </w:r>
          </w:p>
        </w:tc>
        <w:tc>
          <w:tcPr>
            <w:tcW w:w="991"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大众街东、大猷街北</w:t>
            </w:r>
          </w:p>
        </w:tc>
        <w:tc>
          <w:tcPr>
            <w:tcW w:w="683"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改扩建</w:t>
            </w:r>
          </w:p>
        </w:tc>
        <w:tc>
          <w:tcPr>
            <w:tcW w:w="110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2021-2022</w:t>
            </w:r>
          </w:p>
        </w:tc>
        <w:tc>
          <w:tcPr>
            <w:tcW w:w="110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0.28</w:t>
            </w:r>
          </w:p>
        </w:tc>
        <w:tc>
          <w:tcPr>
            <w:tcW w:w="108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 xml:space="preserve">0.28 </w:t>
            </w:r>
          </w:p>
        </w:tc>
        <w:tc>
          <w:tcPr>
            <w:tcW w:w="98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　</w:t>
            </w:r>
          </w:p>
        </w:tc>
        <w:tc>
          <w:tcPr>
            <w:tcW w:w="72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处州中学</w:t>
            </w:r>
          </w:p>
        </w:tc>
        <w:tc>
          <w:tcPr>
            <w:tcW w:w="880"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莲都区教育局</w:t>
            </w:r>
          </w:p>
        </w:tc>
        <w:tc>
          <w:tcPr>
            <w:tcW w:w="669"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实施类</w:t>
            </w:r>
          </w:p>
        </w:tc>
        <w:tc>
          <w:tcPr>
            <w:tcW w:w="66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　</w:t>
            </w:r>
          </w:p>
        </w:tc>
        <w:tc>
          <w:tcPr>
            <w:tcW w:w="572"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　</w:t>
            </w:r>
          </w:p>
        </w:tc>
      </w:tr>
      <w:tr>
        <w:tblPrEx>
          <w:tblCellMar>
            <w:top w:w="0" w:type="dxa"/>
            <w:left w:w="108" w:type="dxa"/>
            <w:bottom w:w="0" w:type="dxa"/>
            <w:right w:w="108" w:type="dxa"/>
          </w:tblCellMar>
        </w:tblPrEx>
        <w:trPr>
          <w:trHeight w:val="1009" w:hRule="atLeast"/>
          <w:jc w:val="center"/>
        </w:trPr>
        <w:tc>
          <w:tcPr>
            <w:tcW w:w="433"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38</w:t>
            </w:r>
          </w:p>
        </w:tc>
        <w:tc>
          <w:tcPr>
            <w:tcW w:w="137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联城第一学校</w:t>
            </w:r>
          </w:p>
        </w:tc>
        <w:tc>
          <w:tcPr>
            <w:tcW w:w="92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初中</w:t>
            </w:r>
          </w:p>
        </w:tc>
        <w:tc>
          <w:tcPr>
            <w:tcW w:w="3199"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新建66班的九年一贯制学校，用地面积64303平方米，主要建设教学楼、综合楼、食堂、风雨操场、宿舍等</w:t>
            </w:r>
          </w:p>
        </w:tc>
        <w:tc>
          <w:tcPr>
            <w:tcW w:w="991"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经三路东、纬三路南</w:t>
            </w:r>
          </w:p>
        </w:tc>
        <w:tc>
          <w:tcPr>
            <w:tcW w:w="683"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新建</w:t>
            </w:r>
          </w:p>
        </w:tc>
        <w:tc>
          <w:tcPr>
            <w:tcW w:w="110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2021-2023</w:t>
            </w:r>
          </w:p>
        </w:tc>
        <w:tc>
          <w:tcPr>
            <w:tcW w:w="110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 xml:space="preserve">4.00 </w:t>
            </w:r>
          </w:p>
        </w:tc>
        <w:tc>
          <w:tcPr>
            <w:tcW w:w="108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 xml:space="preserve">4.00 </w:t>
            </w:r>
          </w:p>
        </w:tc>
        <w:tc>
          <w:tcPr>
            <w:tcW w:w="98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 xml:space="preserve">2460 </w:t>
            </w:r>
          </w:p>
        </w:tc>
        <w:tc>
          <w:tcPr>
            <w:tcW w:w="72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待定</w:t>
            </w:r>
          </w:p>
        </w:tc>
        <w:tc>
          <w:tcPr>
            <w:tcW w:w="880"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丽水市教育局</w:t>
            </w:r>
          </w:p>
        </w:tc>
        <w:tc>
          <w:tcPr>
            <w:tcW w:w="669"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实施类</w:t>
            </w:r>
          </w:p>
        </w:tc>
        <w:tc>
          <w:tcPr>
            <w:tcW w:w="66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　</w:t>
            </w:r>
          </w:p>
        </w:tc>
        <w:tc>
          <w:tcPr>
            <w:tcW w:w="572"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　</w:t>
            </w:r>
          </w:p>
        </w:tc>
      </w:tr>
      <w:tr>
        <w:tblPrEx>
          <w:tblCellMar>
            <w:top w:w="0" w:type="dxa"/>
            <w:left w:w="108" w:type="dxa"/>
            <w:bottom w:w="0" w:type="dxa"/>
            <w:right w:w="108" w:type="dxa"/>
          </w:tblCellMar>
        </w:tblPrEx>
        <w:trPr>
          <w:trHeight w:val="1017" w:hRule="atLeast"/>
          <w:jc w:val="center"/>
        </w:trPr>
        <w:tc>
          <w:tcPr>
            <w:tcW w:w="433"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39</w:t>
            </w:r>
          </w:p>
        </w:tc>
        <w:tc>
          <w:tcPr>
            <w:tcW w:w="137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城东第一学校</w:t>
            </w:r>
          </w:p>
        </w:tc>
        <w:tc>
          <w:tcPr>
            <w:tcW w:w="92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初中</w:t>
            </w:r>
          </w:p>
        </w:tc>
        <w:tc>
          <w:tcPr>
            <w:tcW w:w="3199"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新建66班九年一贯制学校，用地面积56869平方米，主要建设教学楼、综合楼、食堂、风雨操场、宿舍等</w:t>
            </w:r>
          </w:p>
        </w:tc>
        <w:tc>
          <w:tcPr>
            <w:tcW w:w="991"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东环路西、寿元路南</w:t>
            </w:r>
          </w:p>
        </w:tc>
        <w:tc>
          <w:tcPr>
            <w:tcW w:w="683"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新建</w:t>
            </w:r>
          </w:p>
        </w:tc>
        <w:tc>
          <w:tcPr>
            <w:tcW w:w="110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2021-2023</w:t>
            </w:r>
          </w:p>
        </w:tc>
        <w:tc>
          <w:tcPr>
            <w:tcW w:w="110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 xml:space="preserve">4.00 </w:t>
            </w:r>
          </w:p>
        </w:tc>
        <w:tc>
          <w:tcPr>
            <w:tcW w:w="108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 xml:space="preserve">4.00 </w:t>
            </w:r>
          </w:p>
        </w:tc>
        <w:tc>
          <w:tcPr>
            <w:tcW w:w="98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 xml:space="preserve">2460 </w:t>
            </w:r>
          </w:p>
        </w:tc>
        <w:tc>
          <w:tcPr>
            <w:tcW w:w="72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待定</w:t>
            </w:r>
          </w:p>
        </w:tc>
        <w:tc>
          <w:tcPr>
            <w:tcW w:w="880"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丽水市教育局</w:t>
            </w:r>
          </w:p>
        </w:tc>
        <w:tc>
          <w:tcPr>
            <w:tcW w:w="669"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实施类</w:t>
            </w:r>
          </w:p>
        </w:tc>
        <w:tc>
          <w:tcPr>
            <w:tcW w:w="66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　</w:t>
            </w:r>
          </w:p>
        </w:tc>
        <w:tc>
          <w:tcPr>
            <w:tcW w:w="572"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　</w:t>
            </w:r>
          </w:p>
        </w:tc>
      </w:tr>
      <w:tr>
        <w:tblPrEx>
          <w:tblCellMar>
            <w:top w:w="0" w:type="dxa"/>
            <w:left w:w="108" w:type="dxa"/>
            <w:bottom w:w="0" w:type="dxa"/>
            <w:right w:w="108" w:type="dxa"/>
          </w:tblCellMar>
        </w:tblPrEx>
        <w:trPr>
          <w:trHeight w:val="996" w:hRule="atLeast"/>
          <w:jc w:val="center"/>
        </w:trPr>
        <w:tc>
          <w:tcPr>
            <w:tcW w:w="433"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hint="eastAsia" w:ascii="宋体" w:hAnsi="宋体" w:eastAsia="宋体" w:cs="宋体"/>
                <w:b/>
                <w:bCs/>
                <w:kern w:val="0"/>
                <w:sz w:val="21"/>
                <w:szCs w:val="21"/>
                <w:highlight w:val="none"/>
                <w:lang w:val="en-US" w:eastAsia="zh-CN" w:bidi="ar-SA"/>
              </w:rPr>
            </w:pPr>
            <w:r>
              <w:rPr>
                <w:rFonts w:hint="eastAsia" w:ascii="宋体" w:hAnsi="宋体" w:cs="宋体"/>
                <w:b/>
                <w:bCs/>
                <w:kern w:val="0"/>
                <w:szCs w:val="21"/>
                <w:highlight w:val="none"/>
              </w:rPr>
              <w:t>序号</w:t>
            </w:r>
          </w:p>
        </w:tc>
        <w:tc>
          <w:tcPr>
            <w:tcW w:w="137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hint="eastAsia" w:ascii="宋体" w:hAnsi="宋体" w:eastAsia="宋体" w:cs="宋体"/>
                <w:b/>
                <w:bCs/>
                <w:kern w:val="0"/>
                <w:sz w:val="21"/>
                <w:szCs w:val="21"/>
                <w:highlight w:val="none"/>
                <w:lang w:val="en-US" w:eastAsia="zh-CN" w:bidi="ar-SA"/>
              </w:rPr>
            </w:pPr>
            <w:r>
              <w:rPr>
                <w:rFonts w:hint="eastAsia" w:ascii="宋体" w:hAnsi="宋体" w:cs="宋体"/>
                <w:b/>
                <w:bCs/>
                <w:kern w:val="0"/>
                <w:szCs w:val="21"/>
                <w:highlight w:val="none"/>
              </w:rPr>
              <w:t>项目名称</w:t>
            </w:r>
          </w:p>
        </w:tc>
        <w:tc>
          <w:tcPr>
            <w:tcW w:w="92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hint="eastAsia" w:ascii="宋体" w:hAnsi="宋体" w:eastAsia="宋体" w:cs="宋体"/>
                <w:b/>
                <w:bCs/>
                <w:kern w:val="0"/>
                <w:sz w:val="21"/>
                <w:szCs w:val="21"/>
                <w:highlight w:val="none"/>
                <w:lang w:val="en-US" w:eastAsia="zh-CN" w:bidi="ar-SA"/>
              </w:rPr>
            </w:pPr>
            <w:r>
              <w:rPr>
                <w:rFonts w:hint="eastAsia" w:ascii="宋体" w:hAnsi="宋体" w:cs="宋体"/>
                <w:b/>
                <w:bCs/>
                <w:kern w:val="0"/>
                <w:szCs w:val="21"/>
                <w:highlight w:val="none"/>
              </w:rPr>
              <w:t>学段</w:t>
            </w:r>
          </w:p>
        </w:tc>
        <w:tc>
          <w:tcPr>
            <w:tcW w:w="3199"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hint="eastAsia" w:ascii="宋体" w:hAnsi="宋体" w:eastAsia="宋体" w:cs="宋体"/>
                <w:b/>
                <w:bCs/>
                <w:kern w:val="0"/>
                <w:sz w:val="21"/>
                <w:szCs w:val="21"/>
                <w:highlight w:val="none"/>
                <w:lang w:val="en-US" w:eastAsia="zh-CN" w:bidi="ar-SA"/>
              </w:rPr>
            </w:pPr>
            <w:r>
              <w:rPr>
                <w:rFonts w:hint="eastAsia" w:ascii="宋体" w:hAnsi="宋体" w:cs="宋体"/>
                <w:b/>
                <w:bCs/>
                <w:kern w:val="0"/>
                <w:szCs w:val="21"/>
                <w:highlight w:val="none"/>
              </w:rPr>
              <w:t>建设规模和内容</w:t>
            </w:r>
          </w:p>
        </w:tc>
        <w:tc>
          <w:tcPr>
            <w:tcW w:w="991"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建设</w:t>
            </w:r>
          </w:p>
          <w:p>
            <w:pPr>
              <w:widowControl/>
              <w:suppressAutoHyphens w:val="0"/>
              <w:jc w:val="center"/>
              <w:rPr>
                <w:rFonts w:hint="eastAsia" w:ascii="宋体" w:hAnsi="宋体" w:eastAsia="宋体" w:cs="宋体"/>
                <w:b/>
                <w:bCs/>
                <w:kern w:val="0"/>
                <w:sz w:val="21"/>
                <w:szCs w:val="21"/>
                <w:highlight w:val="none"/>
                <w:lang w:val="en-US" w:eastAsia="zh-CN" w:bidi="ar-SA"/>
              </w:rPr>
            </w:pPr>
            <w:r>
              <w:rPr>
                <w:rFonts w:hint="eastAsia" w:ascii="宋体" w:hAnsi="宋体" w:cs="宋体"/>
                <w:b/>
                <w:bCs/>
                <w:kern w:val="0"/>
                <w:szCs w:val="21"/>
                <w:highlight w:val="none"/>
              </w:rPr>
              <w:t>地点</w:t>
            </w:r>
          </w:p>
        </w:tc>
        <w:tc>
          <w:tcPr>
            <w:tcW w:w="683"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hint="eastAsia" w:ascii="宋体" w:hAnsi="宋体" w:eastAsia="宋体" w:cs="宋体"/>
                <w:b/>
                <w:bCs/>
                <w:kern w:val="0"/>
                <w:sz w:val="21"/>
                <w:szCs w:val="21"/>
                <w:highlight w:val="none"/>
                <w:lang w:val="en-US" w:eastAsia="zh-CN" w:bidi="ar-SA"/>
              </w:rPr>
            </w:pPr>
            <w:r>
              <w:rPr>
                <w:rFonts w:hint="eastAsia" w:ascii="宋体" w:hAnsi="宋体" w:cs="宋体"/>
                <w:b/>
                <w:bCs/>
                <w:kern w:val="0"/>
                <w:szCs w:val="21"/>
                <w:highlight w:val="none"/>
              </w:rPr>
              <w:t>建设性质</w:t>
            </w:r>
          </w:p>
        </w:tc>
        <w:tc>
          <w:tcPr>
            <w:tcW w:w="110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hint="eastAsia" w:ascii="宋体" w:hAnsi="宋体" w:eastAsia="宋体" w:cs="宋体"/>
                <w:b/>
                <w:bCs/>
                <w:kern w:val="0"/>
                <w:sz w:val="21"/>
                <w:szCs w:val="21"/>
                <w:highlight w:val="none"/>
                <w:lang w:val="en-US" w:eastAsia="zh-CN" w:bidi="ar-SA"/>
              </w:rPr>
            </w:pPr>
            <w:r>
              <w:rPr>
                <w:rFonts w:hint="eastAsia" w:ascii="宋体" w:hAnsi="宋体" w:cs="宋体"/>
                <w:b/>
                <w:bCs/>
                <w:kern w:val="0"/>
                <w:szCs w:val="21"/>
                <w:highlight w:val="none"/>
              </w:rPr>
              <w:t>起止年限</w:t>
            </w:r>
          </w:p>
        </w:tc>
        <w:tc>
          <w:tcPr>
            <w:tcW w:w="110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hint="eastAsia" w:ascii="宋体" w:hAnsi="宋体" w:eastAsia="宋体" w:cs="宋体"/>
                <w:b/>
                <w:bCs/>
                <w:kern w:val="0"/>
                <w:sz w:val="21"/>
                <w:szCs w:val="21"/>
                <w:highlight w:val="none"/>
                <w:lang w:val="en-US" w:eastAsia="zh-CN" w:bidi="ar-SA"/>
              </w:rPr>
            </w:pPr>
            <w:r>
              <w:rPr>
                <w:rFonts w:hint="eastAsia" w:ascii="宋体" w:hAnsi="宋体" w:cs="宋体"/>
                <w:b/>
                <w:bCs/>
                <w:kern w:val="0"/>
                <w:szCs w:val="21"/>
                <w:highlight w:val="none"/>
              </w:rPr>
              <w:t>总投资（亿元）</w:t>
            </w:r>
          </w:p>
        </w:tc>
        <w:tc>
          <w:tcPr>
            <w:tcW w:w="108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hint="eastAsia" w:ascii="宋体" w:hAnsi="宋体" w:eastAsia="宋体" w:cs="宋体"/>
                <w:b/>
                <w:bCs/>
                <w:kern w:val="0"/>
                <w:sz w:val="21"/>
                <w:szCs w:val="21"/>
                <w:highlight w:val="none"/>
                <w:lang w:val="en-US" w:eastAsia="zh-CN" w:bidi="ar-SA"/>
              </w:rPr>
            </w:pPr>
            <w:r>
              <w:rPr>
                <w:rFonts w:hint="eastAsia" w:ascii="宋体" w:hAnsi="宋体" w:cs="宋体"/>
                <w:b/>
                <w:bCs/>
                <w:kern w:val="0"/>
                <w:szCs w:val="21"/>
                <w:highlight w:val="none"/>
              </w:rPr>
              <w:t>计划投资（亿元）</w:t>
            </w:r>
          </w:p>
        </w:tc>
        <w:tc>
          <w:tcPr>
            <w:tcW w:w="98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hint="eastAsia" w:ascii="宋体" w:hAnsi="宋体" w:eastAsia="宋体" w:cs="宋体"/>
                <w:b/>
                <w:bCs/>
                <w:kern w:val="0"/>
                <w:sz w:val="21"/>
                <w:szCs w:val="21"/>
                <w:highlight w:val="none"/>
                <w:lang w:val="en-US" w:eastAsia="zh-CN" w:bidi="ar-SA"/>
              </w:rPr>
            </w:pPr>
            <w:r>
              <w:rPr>
                <w:rFonts w:hint="eastAsia" w:ascii="宋体" w:hAnsi="宋体" w:cs="宋体"/>
                <w:b/>
                <w:bCs/>
                <w:kern w:val="0"/>
                <w:szCs w:val="21"/>
                <w:highlight w:val="none"/>
              </w:rPr>
              <w:t>新增学位（个）</w:t>
            </w:r>
          </w:p>
        </w:tc>
        <w:tc>
          <w:tcPr>
            <w:tcW w:w="72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hint="eastAsia" w:ascii="宋体" w:hAnsi="宋体" w:eastAsia="宋体" w:cs="宋体"/>
                <w:b/>
                <w:bCs/>
                <w:kern w:val="0"/>
                <w:sz w:val="21"/>
                <w:szCs w:val="21"/>
                <w:highlight w:val="none"/>
                <w:lang w:val="en-US" w:eastAsia="zh-CN" w:bidi="ar-SA"/>
              </w:rPr>
            </w:pPr>
            <w:r>
              <w:rPr>
                <w:rFonts w:hint="eastAsia" w:ascii="宋体" w:hAnsi="宋体" w:cs="宋体"/>
                <w:b/>
                <w:bCs/>
                <w:kern w:val="0"/>
                <w:szCs w:val="21"/>
                <w:highlight w:val="none"/>
              </w:rPr>
              <w:t>项目业主</w:t>
            </w:r>
          </w:p>
        </w:tc>
        <w:tc>
          <w:tcPr>
            <w:tcW w:w="880"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hint="eastAsia" w:ascii="宋体" w:hAnsi="宋体" w:eastAsia="宋体" w:cs="宋体"/>
                <w:b/>
                <w:bCs/>
                <w:kern w:val="0"/>
                <w:sz w:val="21"/>
                <w:szCs w:val="21"/>
                <w:highlight w:val="none"/>
                <w:lang w:val="en-US" w:eastAsia="zh-CN" w:bidi="ar-SA"/>
              </w:rPr>
            </w:pPr>
            <w:r>
              <w:rPr>
                <w:rFonts w:hint="eastAsia" w:ascii="宋体" w:hAnsi="宋体" w:cs="宋体"/>
                <w:b/>
                <w:bCs/>
                <w:kern w:val="0"/>
                <w:szCs w:val="21"/>
                <w:highlight w:val="none"/>
              </w:rPr>
              <w:t>责任单位</w:t>
            </w:r>
          </w:p>
        </w:tc>
        <w:tc>
          <w:tcPr>
            <w:tcW w:w="669"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hint="eastAsia" w:ascii="宋体" w:hAnsi="宋体" w:eastAsia="宋体" w:cs="宋体"/>
                <w:b/>
                <w:bCs/>
                <w:kern w:val="0"/>
                <w:sz w:val="21"/>
                <w:szCs w:val="21"/>
                <w:highlight w:val="none"/>
                <w:lang w:val="en-US" w:eastAsia="zh-CN" w:bidi="ar-SA"/>
              </w:rPr>
            </w:pPr>
            <w:r>
              <w:rPr>
                <w:rFonts w:hint="eastAsia" w:ascii="宋体" w:hAnsi="宋体" w:cs="宋体"/>
                <w:b/>
                <w:bCs/>
                <w:kern w:val="0"/>
                <w:szCs w:val="21"/>
                <w:highlight w:val="none"/>
              </w:rPr>
              <w:t>项目类别</w:t>
            </w:r>
          </w:p>
        </w:tc>
        <w:tc>
          <w:tcPr>
            <w:tcW w:w="66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hint="eastAsia" w:ascii="宋体" w:hAnsi="宋体" w:eastAsia="宋体" w:cs="宋体"/>
                <w:b/>
                <w:bCs/>
                <w:kern w:val="0"/>
                <w:sz w:val="21"/>
                <w:szCs w:val="21"/>
                <w:highlight w:val="none"/>
                <w:lang w:val="en-US" w:eastAsia="zh-CN" w:bidi="ar-SA"/>
              </w:rPr>
            </w:pPr>
            <w:r>
              <w:rPr>
                <w:rFonts w:hint="eastAsia" w:ascii="宋体" w:hAnsi="宋体" w:cs="宋体"/>
                <w:b/>
                <w:bCs/>
                <w:kern w:val="0"/>
                <w:szCs w:val="21"/>
                <w:highlight w:val="none"/>
              </w:rPr>
              <w:t>建设模式</w:t>
            </w:r>
          </w:p>
        </w:tc>
        <w:tc>
          <w:tcPr>
            <w:tcW w:w="572"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hint="eastAsia" w:ascii="宋体" w:hAnsi="宋体" w:eastAsia="宋体" w:cs="宋体"/>
                <w:b/>
                <w:bCs/>
                <w:kern w:val="0"/>
                <w:sz w:val="21"/>
                <w:szCs w:val="21"/>
                <w:highlight w:val="none"/>
                <w:lang w:val="en-US" w:eastAsia="zh-CN" w:bidi="ar-SA"/>
              </w:rPr>
            </w:pPr>
            <w:r>
              <w:rPr>
                <w:rFonts w:hint="eastAsia" w:ascii="宋体" w:hAnsi="宋体" w:cs="宋体"/>
                <w:b/>
                <w:bCs/>
                <w:kern w:val="0"/>
                <w:szCs w:val="21"/>
                <w:highlight w:val="none"/>
              </w:rPr>
              <w:t>备注</w:t>
            </w:r>
          </w:p>
        </w:tc>
      </w:tr>
      <w:tr>
        <w:tblPrEx>
          <w:tblCellMar>
            <w:top w:w="0" w:type="dxa"/>
            <w:left w:w="108" w:type="dxa"/>
            <w:bottom w:w="0" w:type="dxa"/>
            <w:right w:w="108" w:type="dxa"/>
          </w:tblCellMar>
        </w:tblPrEx>
        <w:trPr>
          <w:trHeight w:val="890" w:hRule="atLeast"/>
          <w:jc w:val="center"/>
        </w:trPr>
        <w:tc>
          <w:tcPr>
            <w:tcW w:w="433"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40</w:t>
            </w:r>
          </w:p>
        </w:tc>
        <w:tc>
          <w:tcPr>
            <w:tcW w:w="137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灯塔未来学校</w:t>
            </w:r>
          </w:p>
        </w:tc>
        <w:tc>
          <w:tcPr>
            <w:tcW w:w="92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初中</w:t>
            </w:r>
          </w:p>
        </w:tc>
        <w:tc>
          <w:tcPr>
            <w:tcW w:w="3199"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新建48班九年一贯制学校，小学24班，初中24班，用地面积25000平方米</w:t>
            </w:r>
          </w:p>
        </w:tc>
        <w:tc>
          <w:tcPr>
            <w:tcW w:w="991"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灯塔未来社区内</w:t>
            </w:r>
          </w:p>
        </w:tc>
        <w:tc>
          <w:tcPr>
            <w:tcW w:w="683"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新建</w:t>
            </w:r>
          </w:p>
        </w:tc>
        <w:tc>
          <w:tcPr>
            <w:tcW w:w="110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2021-2023</w:t>
            </w:r>
          </w:p>
        </w:tc>
        <w:tc>
          <w:tcPr>
            <w:tcW w:w="110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 xml:space="preserve">3.00 </w:t>
            </w:r>
          </w:p>
        </w:tc>
        <w:tc>
          <w:tcPr>
            <w:tcW w:w="108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 xml:space="preserve">3.00 </w:t>
            </w:r>
          </w:p>
        </w:tc>
        <w:tc>
          <w:tcPr>
            <w:tcW w:w="98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 xml:space="preserve">1800 </w:t>
            </w:r>
          </w:p>
        </w:tc>
        <w:tc>
          <w:tcPr>
            <w:tcW w:w="72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待定</w:t>
            </w:r>
          </w:p>
        </w:tc>
        <w:tc>
          <w:tcPr>
            <w:tcW w:w="880"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丽水市教育局</w:t>
            </w:r>
          </w:p>
        </w:tc>
        <w:tc>
          <w:tcPr>
            <w:tcW w:w="669"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实施类</w:t>
            </w:r>
          </w:p>
        </w:tc>
        <w:tc>
          <w:tcPr>
            <w:tcW w:w="66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　</w:t>
            </w:r>
          </w:p>
        </w:tc>
        <w:tc>
          <w:tcPr>
            <w:tcW w:w="572"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　</w:t>
            </w:r>
          </w:p>
        </w:tc>
      </w:tr>
      <w:tr>
        <w:tblPrEx>
          <w:tblCellMar>
            <w:top w:w="0" w:type="dxa"/>
            <w:left w:w="108" w:type="dxa"/>
            <w:bottom w:w="0" w:type="dxa"/>
            <w:right w:w="108" w:type="dxa"/>
          </w:tblCellMar>
        </w:tblPrEx>
        <w:trPr>
          <w:trHeight w:val="873" w:hRule="atLeast"/>
          <w:jc w:val="center"/>
        </w:trPr>
        <w:tc>
          <w:tcPr>
            <w:tcW w:w="433"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41</w:t>
            </w:r>
          </w:p>
        </w:tc>
        <w:tc>
          <w:tcPr>
            <w:tcW w:w="137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灵山未来社区学校</w:t>
            </w:r>
          </w:p>
        </w:tc>
        <w:tc>
          <w:tcPr>
            <w:tcW w:w="92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初中</w:t>
            </w:r>
          </w:p>
        </w:tc>
        <w:tc>
          <w:tcPr>
            <w:tcW w:w="3199"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54个班，建九年一贯制学校，主要建设教学楼、综合楼、食堂、风雨操场、宿舍等</w:t>
            </w:r>
          </w:p>
        </w:tc>
        <w:tc>
          <w:tcPr>
            <w:tcW w:w="991"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丽阳街南、灵山路西</w:t>
            </w:r>
          </w:p>
        </w:tc>
        <w:tc>
          <w:tcPr>
            <w:tcW w:w="683"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新建</w:t>
            </w:r>
          </w:p>
        </w:tc>
        <w:tc>
          <w:tcPr>
            <w:tcW w:w="110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2022-2024</w:t>
            </w:r>
          </w:p>
        </w:tc>
        <w:tc>
          <w:tcPr>
            <w:tcW w:w="110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 xml:space="preserve">3.30 </w:t>
            </w:r>
          </w:p>
        </w:tc>
        <w:tc>
          <w:tcPr>
            <w:tcW w:w="108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 xml:space="preserve">3.30 </w:t>
            </w:r>
          </w:p>
        </w:tc>
        <w:tc>
          <w:tcPr>
            <w:tcW w:w="98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 xml:space="preserve">1980 </w:t>
            </w:r>
          </w:p>
        </w:tc>
        <w:tc>
          <w:tcPr>
            <w:tcW w:w="72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待定</w:t>
            </w:r>
          </w:p>
        </w:tc>
        <w:tc>
          <w:tcPr>
            <w:tcW w:w="880"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丽水市教育局</w:t>
            </w:r>
          </w:p>
        </w:tc>
        <w:tc>
          <w:tcPr>
            <w:tcW w:w="669"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实施类</w:t>
            </w:r>
          </w:p>
        </w:tc>
        <w:tc>
          <w:tcPr>
            <w:tcW w:w="66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　</w:t>
            </w:r>
          </w:p>
        </w:tc>
        <w:tc>
          <w:tcPr>
            <w:tcW w:w="572"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　</w:t>
            </w:r>
          </w:p>
        </w:tc>
      </w:tr>
      <w:tr>
        <w:tblPrEx>
          <w:tblCellMar>
            <w:top w:w="0" w:type="dxa"/>
            <w:left w:w="108" w:type="dxa"/>
            <w:bottom w:w="0" w:type="dxa"/>
            <w:right w:w="108" w:type="dxa"/>
          </w:tblCellMar>
        </w:tblPrEx>
        <w:trPr>
          <w:trHeight w:val="920" w:hRule="atLeast"/>
          <w:jc w:val="center"/>
        </w:trPr>
        <w:tc>
          <w:tcPr>
            <w:tcW w:w="433"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42</w:t>
            </w:r>
          </w:p>
        </w:tc>
        <w:tc>
          <w:tcPr>
            <w:tcW w:w="137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联城第二学校</w:t>
            </w:r>
          </w:p>
        </w:tc>
        <w:tc>
          <w:tcPr>
            <w:tcW w:w="92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初中</w:t>
            </w:r>
          </w:p>
        </w:tc>
        <w:tc>
          <w:tcPr>
            <w:tcW w:w="3199"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新建60班九年一贯制学校，小学36班，初中24班，用地面积62800平方米，建筑面积28600平方米</w:t>
            </w:r>
          </w:p>
        </w:tc>
        <w:tc>
          <w:tcPr>
            <w:tcW w:w="991"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经三路西、林宅路南</w:t>
            </w:r>
          </w:p>
        </w:tc>
        <w:tc>
          <w:tcPr>
            <w:tcW w:w="683"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新建</w:t>
            </w:r>
          </w:p>
        </w:tc>
        <w:tc>
          <w:tcPr>
            <w:tcW w:w="110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2023-2025</w:t>
            </w:r>
          </w:p>
        </w:tc>
        <w:tc>
          <w:tcPr>
            <w:tcW w:w="110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 xml:space="preserve">4.23 </w:t>
            </w:r>
          </w:p>
        </w:tc>
        <w:tc>
          <w:tcPr>
            <w:tcW w:w="108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 xml:space="preserve">4.23 </w:t>
            </w:r>
          </w:p>
        </w:tc>
        <w:tc>
          <w:tcPr>
            <w:tcW w:w="98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 xml:space="preserve">2220 </w:t>
            </w:r>
          </w:p>
        </w:tc>
        <w:tc>
          <w:tcPr>
            <w:tcW w:w="72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待定</w:t>
            </w:r>
          </w:p>
        </w:tc>
        <w:tc>
          <w:tcPr>
            <w:tcW w:w="880"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丽水市教育局</w:t>
            </w:r>
          </w:p>
        </w:tc>
        <w:tc>
          <w:tcPr>
            <w:tcW w:w="669"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实施类</w:t>
            </w:r>
          </w:p>
        </w:tc>
        <w:tc>
          <w:tcPr>
            <w:tcW w:w="66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　</w:t>
            </w:r>
          </w:p>
        </w:tc>
        <w:tc>
          <w:tcPr>
            <w:tcW w:w="572"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　</w:t>
            </w:r>
          </w:p>
        </w:tc>
      </w:tr>
      <w:tr>
        <w:tblPrEx>
          <w:tblCellMar>
            <w:top w:w="0" w:type="dxa"/>
            <w:left w:w="108" w:type="dxa"/>
            <w:bottom w:w="0" w:type="dxa"/>
            <w:right w:w="108" w:type="dxa"/>
          </w:tblCellMar>
        </w:tblPrEx>
        <w:trPr>
          <w:trHeight w:val="973" w:hRule="atLeast"/>
          <w:jc w:val="center"/>
        </w:trPr>
        <w:tc>
          <w:tcPr>
            <w:tcW w:w="433"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43</w:t>
            </w:r>
          </w:p>
        </w:tc>
        <w:tc>
          <w:tcPr>
            <w:tcW w:w="137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高铁新城实验学校</w:t>
            </w:r>
          </w:p>
        </w:tc>
        <w:tc>
          <w:tcPr>
            <w:tcW w:w="92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初中</w:t>
            </w:r>
          </w:p>
        </w:tc>
        <w:tc>
          <w:tcPr>
            <w:tcW w:w="3199"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新建60班九年一贯制学校，小学36班，初中24班，用地面积62800平方米，建筑面积2860</w:t>
            </w:r>
            <w:r>
              <w:rPr>
                <w:rFonts w:hint="eastAsia" w:ascii="宋体" w:hAnsi="宋体" w:cs="宋体"/>
                <w:kern w:val="0"/>
                <w:szCs w:val="21"/>
                <w:highlight w:val="none"/>
                <w:lang w:val="en-US" w:eastAsia="zh-CN"/>
              </w:rPr>
              <w:t>0</w:t>
            </w:r>
            <w:r>
              <w:rPr>
                <w:rFonts w:hint="eastAsia" w:ascii="宋体" w:hAnsi="宋体" w:cs="宋体"/>
                <w:kern w:val="0"/>
                <w:szCs w:val="21"/>
                <w:highlight w:val="none"/>
              </w:rPr>
              <w:t>平方米</w:t>
            </w:r>
          </w:p>
        </w:tc>
        <w:tc>
          <w:tcPr>
            <w:tcW w:w="991"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高铁新城</w:t>
            </w:r>
          </w:p>
        </w:tc>
        <w:tc>
          <w:tcPr>
            <w:tcW w:w="683"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新建</w:t>
            </w:r>
          </w:p>
        </w:tc>
        <w:tc>
          <w:tcPr>
            <w:tcW w:w="110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2025-2027</w:t>
            </w:r>
          </w:p>
        </w:tc>
        <w:tc>
          <w:tcPr>
            <w:tcW w:w="110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 xml:space="preserve">3.70 </w:t>
            </w:r>
          </w:p>
        </w:tc>
        <w:tc>
          <w:tcPr>
            <w:tcW w:w="108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 xml:space="preserve">0.50 </w:t>
            </w:r>
          </w:p>
        </w:tc>
        <w:tc>
          <w:tcPr>
            <w:tcW w:w="98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 xml:space="preserve">2220 </w:t>
            </w:r>
          </w:p>
        </w:tc>
        <w:tc>
          <w:tcPr>
            <w:tcW w:w="72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待定</w:t>
            </w:r>
          </w:p>
        </w:tc>
        <w:tc>
          <w:tcPr>
            <w:tcW w:w="880"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丽水市教育局</w:t>
            </w:r>
          </w:p>
        </w:tc>
        <w:tc>
          <w:tcPr>
            <w:tcW w:w="669"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谋划类</w:t>
            </w:r>
          </w:p>
        </w:tc>
        <w:tc>
          <w:tcPr>
            <w:tcW w:w="66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　</w:t>
            </w:r>
          </w:p>
        </w:tc>
        <w:tc>
          <w:tcPr>
            <w:tcW w:w="572"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　</w:t>
            </w:r>
          </w:p>
        </w:tc>
      </w:tr>
      <w:tr>
        <w:tblPrEx>
          <w:tblCellMar>
            <w:top w:w="0" w:type="dxa"/>
            <w:left w:w="108" w:type="dxa"/>
            <w:bottom w:w="0" w:type="dxa"/>
            <w:right w:w="108" w:type="dxa"/>
          </w:tblCellMar>
        </w:tblPrEx>
        <w:trPr>
          <w:trHeight w:val="532" w:hRule="atLeast"/>
          <w:jc w:val="center"/>
        </w:trPr>
        <w:tc>
          <w:tcPr>
            <w:tcW w:w="433"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　</w:t>
            </w:r>
          </w:p>
        </w:tc>
        <w:tc>
          <w:tcPr>
            <w:tcW w:w="137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高中小计</w:t>
            </w:r>
          </w:p>
        </w:tc>
        <w:tc>
          <w:tcPr>
            <w:tcW w:w="92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　</w:t>
            </w:r>
          </w:p>
        </w:tc>
        <w:tc>
          <w:tcPr>
            <w:tcW w:w="3199"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 xml:space="preserve">6 </w:t>
            </w:r>
          </w:p>
        </w:tc>
        <w:tc>
          <w:tcPr>
            <w:tcW w:w="991"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　</w:t>
            </w:r>
          </w:p>
        </w:tc>
        <w:tc>
          <w:tcPr>
            <w:tcW w:w="683"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　</w:t>
            </w:r>
          </w:p>
        </w:tc>
        <w:tc>
          <w:tcPr>
            <w:tcW w:w="110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　</w:t>
            </w:r>
          </w:p>
        </w:tc>
        <w:tc>
          <w:tcPr>
            <w:tcW w:w="110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 xml:space="preserve">16.83 </w:t>
            </w:r>
          </w:p>
        </w:tc>
        <w:tc>
          <w:tcPr>
            <w:tcW w:w="108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 xml:space="preserve">15.83 </w:t>
            </w:r>
          </w:p>
        </w:tc>
        <w:tc>
          <w:tcPr>
            <w:tcW w:w="98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 xml:space="preserve">6480 </w:t>
            </w:r>
          </w:p>
        </w:tc>
        <w:tc>
          <w:tcPr>
            <w:tcW w:w="72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　</w:t>
            </w:r>
          </w:p>
        </w:tc>
        <w:tc>
          <w:tcPr>
            <w:tcW w:w="880"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　</w:t>
            </w:r>
          </w:p>
        </w:tc>
        <w:tc>
          <w:tcPr>
            <w:tcW w:w="669"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　</w:t>
            </w:r>
          </w:p>
        </w:tc>
        <w:tc>
          <w:tcPr>
            <w:tcW w:w="66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　</w:t>
            </w:r>
          </w:p>
        </w:tc>
        <w:tc>
          <w:tcPr>
            <w:tcW w:w="572"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　</w:t>
            </w:r>
          </w:p>
        </w:tc>
      </w:tr>
      <w:tr>
        <w:tblPrEx>
          <w:tblCellMar>
            <w:top w:w="0" w:type="dxa"/>
            <w:left w:w="108" w:type="dxa"/>
            <w:bottom w:w="0" w:type="dxa"/>
            <w:right w:w="108" w:type="dxa"/>
          </w:tblCellMar>
        </w:tblPrEx>
        <w:trPr>
          <w:trHeight w:val="882" w:hRule="atLeast"/>
          <w:jc w:val="center"/>
        </w:trPr>
        <w:tc>
          <w:tcPr>
            <w:tcW w:w="433"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hint="eastAsia" w:ascii="宋体" w:hAnsi="宋体" w:eastAsia="宋体" w:cs="宋体"/>
                <w:kern w:val="0"/>
                <w:sz w:val="21"/>
                <w:szCs w:val="21"/>
                <w:highlight w:val="none"/>
                <w:lang w:val="en-US" w:eastAsia="zh-CN" w:bidi="ar-SA"/>
              </w:rPr>
            </w:pPr>
            <w:r>
              <w:rPr>
                <w:rFonts w:hint="eastAsia" w:ascii="宋体" w:hAnsi="宋体" w:cs="宋体"/>
                <w:kern w:val="0"/>
                <w:szCs w:val="21"/>
                <w:highlight w:val="none"/>
              </w:rPr>
              <w:t>44</w:t>
            </w:r>
          </w:p>
        </w:tc>
        <w:tc>
          <w:tcPr>
            <w:tcW w:w="137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hint="eastAsia" w:ascii="宋体" w:hAnsi="宋体" w:eastAsia="宋体" w:cs="宋体"/>
                <w:kern w:val="0"/>
                <w:sz w:val="21"/>
                <w:szCs w:val="21"/>
                <w:highlight w:val="none"/>
                <w:lang w:val="en-US" w:eastAsia="zh-CN" w:bidi="ar-SA"/>
              </w:rPr>
            </w:pPr>
            <w:r>
              <w:rPr>
                <w:rFonts w:hint="eastAsia" w:ascii="宋体" w:hAnsi="宋体" w:cs="宋体"/>
                <w:kern w:val="0"/>
                <w:szCs w:val="21"/>
                <w:highlight w:val="none"/>
              </w:rPr>
              <w:t>丽水旅游学校迁建工程</w:t>
            </w:r>
          </w:p>
        </w:tc>
        <w:tc>
          <w:tcPr>
            <w:tcW w:w="92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hint="eastAsia" w:ascii="宋体" w:hAnsi="宋体" w:eastAsia="宋体" w:cs="宋体"/>
                <w:kern w:val="0"/>
                <w:sz w:val="21"/>
                <w:szCs w:val="21"/>
                <w:highlight w:val="none"/>
                <w:lang w:val="en-US" w:eastAsia="zh-CN" w:bidi="ar-SA"/>
              </w:rPr>
            </w:pPr>
            <w:r>
              <w:rPr>
                <w:rFonts w:hint="eastAsia" w:ascii="宋体" w:hAnsi="宋体" w:cs="宋体"/>
                <w:kern w:val="0"/>
                <w:szCs w:val="21"/>
                <w:highlight w:val="none"/>
              </w:rPr>
              <w:t>高中</w:t>
            </w:r>
          </w:p>
        </w:tc>
        <w:tc>
          <w:tcPr>
            <w:tcW w:w="3199"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hint="eastAsia" w:ascii="宋体" w:hAnsi="宋体" w:eastAsia="宋体" w:cs="宋体"/>
                <w:kern w:val="0"/>
                <w:sz w:val="21"/>
                <w:szCs w:val="21"/>
                <w:highlight w:val="none"/>
                <w:lang w:val="en-US" w:eastAsia="zh-CN" w:bidi="ar-SA"/>
              </w:rPr>
            </w:pPr>
            <w:r>
              <w:rPr>
                <w:rFonts w:hint="eastAsia" w:ascii="宋体" w:hAnsi="宋体" w:cs="宋体"/>
                <w:kern w:val="0"/>
                <w:szCs w:val="21"/>
                <w:highlight w:val="none"/>
              </w:rPr>
              <w:t>新建48班职业高中，总用地面积73333平方米，总建筑面积78000平方米</w:t>
            </w:r>
          </w:p>
        </w:tc>
        <w:tc>
          <w:tcPr>
            <w:tcW w:w="991"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hint="eastAsia" w:ascii="宋体" w:hAnsi="宋体" w:eastAsia="宋体" w:cs="宋体"/>
                <w:kern w:val="0"/>
                <w:sz w:val="21"/>
                <w:szCs w:val="21"/>
                <w:highlight w:val="none"/>
                <w:lang w:val="en-US" w:eastAsia="zh-CN" w:bidi="ar-SA"/>
              </w:rPr>
            </w:pPr>
            <w:r>
              <w:rPr>
                <w:rFonts w:hint="eastAsia" w:ascii="宋体" w:hAnsi="宋体" w:cs="宋体"/>
                <w:kern w:val="0"/>
                <w:szCs w:val="21"/>
                <w:highlight w:val="none"/>
              </w:rPr>
              <w:t>括苍路西、天宁路北</w:t>
            </w:r>
          </w:p>
        </w:tc>
        <w:tc>
          <w:tcPr>
            <w:tcW w:w="683"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hint="eastAsia" w:ascii="宋体" w:hAnsi="宋体" w:eastAsia="宋体" w:cs="宋体"/>
                <w:kern w:val="0"/>
                <w:sz w:val="21"/>
                <w:szCs w:val="21"/>
                <w:highlight w:val="none"/>
                <w:lang w:val="en-US" w:eastAsia="zh-CN" w:bidi="ar-SA"/>
              </w:rPr>
            </w:pPr>
            <w:r>
              <w:rPr>
                <w:rFonts w:hint="eastAsia" w:ascii="宋体" w:hAnsi="宋体" w:cs="宋体"/>
                <w:kern w:val="0"/>
                <w:szCs w:val="21"/>
                <w:highlight w:val="none"/>
              </w:rPr>
              <w:t>新建</w:t>
            </w:r>
          </w:p>
        </w:tc>
        <w:tc>
          <w:tcPr>
            <w:tcW w:w="110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hint="eastAsia" w:ascii="宋体" w:hAnsi="宋体" w:eastAsia="宋体" w:cs="宋体"/>
                <w:kern w:val="0"/>
                <w:sz w:val="21"/>
                <w:szCs w:val="21"/>
                <w:highlight w:val="none"/>
                <w:lang w:val="en-US" w:eastAsia="zh-CN" w:bidi="ar-SA"/>
              </w:rPr>
            </w:pPr>
            <w:r>
              <w:rPr>
                <w:rFonts w:hint="eastAsia" w:ascii="宋体" w:hAnsi="宋体" w:cs="宋体"/>
                <w:kern w:val="0"/>
                <w:szCs w:val="21"/>
                <w:highlight w:val="none"/>
              </w:rPr>
              <w:t>2021-2023</w:t>
            </w:r>
          </w:p>
        </w:tc>
        <w:tc>
          <w:tcPr>
            <w:tcW w:w="110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hint="eastAsia" w:ascii="宋体" w:hAnsi="宋体" w:eastAsia="宋体" w:cs="宋体"/>
                <w:kern w:val="0"/>
                <w:sz w:val="21"/>
                <w:szCs w:val="21"/>
                <w:highlight w:val="none"/>
                <w:lang w:val="en-US" w:eastAsia="zh-CN" w:bidi="ar-SA"/>
              </w:rPr>
            </w:pPr>
            <w:r>
              <w:rPr>
                <w:rFonts w:hint="eastAsia" w:ascii="宋体" w:hAnsi="宋体" w:cs="宋体"/>
                <w:kern w:val="0"/>
                <w:szCs w:val="21"/>
                <w:highlight w:val="none"/>
              </w:rPr>
              <w:t xml:space="preserve">5.92 </w:t>
            </w:r>
          </w:p>
        </w:tc>
        <w:tc>
          <w:tcPr>
            <w:tcW w:w="108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hint="eastAsia" w:ascii="宋体" w:hAnsi="宋体" w:eastAsia="宋体" w:cs="宋体"/>
                <w:kern w:val="0"/>
                <w:sz w:val="21"/>
                <w:szCs w:val="21"/>
                <w:highlight w:val="none"/>
                <w:lang w:val="en-US" w:eastAsia="zh-CN" w:bidi="ar-SA"/>
              </w:rPr>
            </w:pPr>
            <w:r>
              <w:rPr>
                <w:rFonts w:hint="eastAsia" w:ascii="宋体" w:hAnsi="宋体" w:cs="宋体"/>
                <w:kern w:val="0"/>
                <w:szCs w:val="21"/>
                <w:highlight w:val="none"/>
              </w:rPr>
              <w:t xml:space="preserve">4.92 </w:t>
            </w:r>
          </w:p>
        </w:tc>
        <w:tc>
          <w:tcPr>
            <w:tcW w:w="98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hint="eastAsia" w:ascii="宋体" w:hAnsi="宋体" w:eastAsia="宋体" w:cs="宋体"/>
                <w:kern w:val="0"/>
                <w:sz w:val="21"/>
                <w:szCs w:val="21"/>
                <w:highlight w:val="none"/>
                <w:lang w:val="en-US" w:eastAsia="zh-CN" w:bidi="ar-SA"/>
              </w:rPr>
            </w:pPr>
            <w:r>
              <w:rPr>
                <w:rFonts w:hint="eastAsia" w:ascii="宋体" w:hAnsi="宋体" w:cs="宋体"/>
                <w:kern w:val="0"/>
                <w:szCs w:val="21"/>
                <w:highlight w:val="none"/>
              </w:rPr>
              <w:t xml:space="preserve">1920 </w:t>
            </w:r>
          </w:p>
        </w:tc>
        <w:tc>
          <w:tcPr>
            <w:tcW w:w="72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hint="eastAsia" w:ascii="宋体" w:hAnsi="宋体" w:eastAsia="宋体" w:cs="宋体"/>
                <w:kern w:val="0"/>
                <w:sz w:val="21"/>
                <w:szCs w:val="21"/>
                <w:highlight w:val="none"/>
                <w:lang w:val="en-US" w:eastAsia="zh-CN" w:bidi="ar-SA"/>
              </w:rPr>
            </w:pPr>
            <w:r>
              <w:rPr>
                <w:rFonts w:hint="eastAsia" w:ascii="宋体" w:hAnsi="宋体" w:cs="宋体"/>
                <w:kern w:val="0"/>
                <w:szCs w:val="21"/>
                <w:highlight w:val="none"/>
              </w:rPr>
              <w:t>山水公司</w:t>
            </w:r>
          </w:p>
        </w:tc>
        <w:tc>
          <w:tcPr>
            <w:tcW w:w="880"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hint="eastAsia" w:ascii="宋体" w:hAnsi="宋体" w:eastAsia="宋体" w:cs="宋体"/>
                <w:kern w:val="0"/>
                <w:sz w:val="21"/>
                <w:szCs w:val="21"/>
                <w:highlight w:val="none"/>
                <w:lang w:val="en-US" w:eastAsia="zh-CN" w:bidi="ar-SA"/>
              </w:rPr>
            </w:pPr>
            <w:r>
              <w:rPr>
                <w:rFonts w:hint="eastAsia" w:ascii="宋体" w:hAnsi="宋体" w:cs="宋体"/>
                <w:kern w:val="0"/>
                <w:szCs w:val="21"/>
                <w:highlight w:val="none"/>
              </w:rPr>
              <w:t>市教育局</w:t>
            </w:r>
          </w:p>
        </w:tc>
        <w:tc>
          <w:tcPr>
            <w:tcW w:w="669"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hint="eastAsia" w:ascii="宋体" w:hAnsi="宋体" w:eastAsia="宋体" w:cs="宋体"/>
                <w:kern w:val="0"/>
                <w:sz w:val="21"/>
                <w:szCs w:val="21"/>
                <w:highlight w:val="none"/>
                <w:lang w:val="en-US" w:eastAsia="zh-CN" w:bidi="ar-SA"/>
              </w:rPr>
            </w:pPr>
            <w:r>
              <w:rPr>
                <w:rFonts w:hint="eastAsia" w:ascii="宋体" w:hAnsi="宋体" w:cs="宋体"/>
                <w:kern w:val="0"/>
                <w:szCs w:val="21"/>
                <w:highlight w:val="none"/>
              </w:rPr>
              <w:t>实施类</w:t>
            </w:r>
          </w:p>
        </w:tc>
        <w:tc>
          <w:tcPr>
            <w:tcW w:w="66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hint="eastAsia" w:ascii="宋体" w:hAnsi="宋体" w:cs="宋体"/>
                <w:b/>
                <w:bCs/>
                <w:kern w:val="0"/>
                <w:szCs w:val="21"/>
                <w:highlight w:val="none"/>
              </w:rPr>
            </w:pPr>
          </w:p>
        </w:tc>
        <w:tc>
          <w:tcPr>
            <w:tcW w:w="572"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hint="eastAsia" w:ascii="宋体" w:hAnsi="宋体" w:cs="宋体"/>
                <w:b/>
                <w:bCs/>
                <w:kern w:val="0"/>
                <w:szCs w:val="21"/>
                <w:highlight w:val="none"/>
              </w:rPr>
            </w:pPr>
          </w:p>
        </w:tc>
      </w:tr>
      <w:tr>
        <w:tblPrEx>
          <w:tblCellMar>
            <w:top w:w="0" w:type="dxa"/>
            <w:left w:w="108" w:type="dxa"/>
            <w:bottom w:w="0" w:type="dxa"/>
            <w:right w:w="108" w:type="dxa"/>
          </w:tblCellMar>
        </w:tblPrEx>
        <w:trPr>
          <w:trHeight w:val="2059" w:hRule="atLeast"/>
          <w:jc w:val="center"/>
        </w:trPr>
        <w:tc>
          <w:tcPr>
            <w:tcW w:w="433"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45</w:t>
            </w:r>
          </w:p>
        </w:tc>
        <w:tc>
          <w:tcPr>
            <w:tcW w:w="1375" w:type="dxa"/>
            <w:tcBorders>
              <w:top w:val="single" w:color="auto" w:sz="4" w:space="0"/>
              <w:left w:val="nil"/>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丽水中学莲城书院</w:t>
            </w:r>
          </w:p>
        </w:tc>
        <w:tc>
          <w:tcPr>
            <w:tcW w:w="928" w:type="dxa"/>
            <w:tcBorders>
              <w:top w:val="single" w:color="auto" w:sz="4" w:space="0"/>
              <w:left w:val="nil"/>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高中</w:t>
            </w:r>
          </w:p>
        </w:tc>
        <w:tc>
          <w:tcPr>
            <w:tcW w:w="3199" w:type="dxa"/>
            <w:tcBorders>
              <w:top w:val="single" w:color="auto" w:sz="4" w:space="0"/>
              <w:left w:val="nil"/>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在校生1080人。总用地42.11亩，总建筑面积约39500平方米，包括新建2幢教学楼、1幢综合楼、1幢食堂、1幢风雨操场、1幢男生宿舍、1幢女生宿舍、及其架空层、回廊连廊、球场、地下室等</w:t>
            </w:r>
          </w:p>
        </w:tc>
        <w:tc>
          <w:tcPr>
            <w:tcW w:w="991" w:type="dxa"/>
            <w:tcBorders>
              <w:top w:val="single" w:color="auto" w:sz="4" w:space="0"/>
              <w:left w:val="nil"/>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北环路北、开发路西</w:t>
            </w:r>
          </w:p>
        </w:tc>
        <w:tc>
          <w:tcPr>
            <w:tcW w:w="683" w:type="dxa"/>
            <w:tcBorders>
              <w:top w:val="single" w:color="auto" w:sz="4" w:space="0"/>
              <w:left w:val="nil"/>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新建</w:t>
            </w:r>
          </w:p>
        </w:tc>
        <w:tc>
          <w:tcPr>
            <w:tcW w:w="1105" w:type="dxa"/>
            <w:tcBorders>
              <w:top w:val="single" w:color="auto" w:sz="4" w:space="0"/>
              <w:left w:val="nil"/>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2020-2022</w:t>
            </w:r>
          </w:p>
        </w:tc>
        <w:tc>
          <w:tcPr>
            <w:tcW w:w="1105" w:type="dxa"/>
            <w:tcBorders>
              <w:top w:val="single" w:color="auto" w:sz="4" w:space="0"/>
              <w:left w:val="nil"/>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 xml:space="preserve">2.03 </w:t>
            </w:r>
          </w:p>
        </w:tc>
        <w:tc>
          <w:tcPr>
            <w:tcW w:w="1085" w:type="dxa"/>
            <w:tcBorders>
              <w:top w:val="single" w:color="auto" w:sz="4" w:space="0"/>
              <w:left w:val="nil"/>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 xml:space="preserve">2.03 </w:t>
            </w:r>
          </w:p>
        </w:tc>
        <w:tc>
          <w:tcPr>
            <w:tcW w:w="988" w:type="dxa"/>
            <w:tcBorders>
              <w:top w:val="single" w:color="auto" w:sz="4" w:space="0"/>
              <w:left w:val="nil"/>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 xml:space="preserve">960 </w:t>
            </w:r>
          </w:p>
        </w:tc>
        <w:tc>
          <w:tcPr>
            <w:tcW w:w="72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待定</w:t>
            </w:r>
          </w:p>
        </w:tc>
        <w:tc>
          <w:tcPr>
            <w:tcW w:w="880" w:type="dxa"/>
            <w:tcBorders>
              <w:top w:val="single" w:color="auto" w:sz="4" w:space="0"/>
              <w:left w:val="nil"/>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市教育局</w:t>
            </w:r>
          </w:p>
        </w:tc>
        <w:tc>
          <w:tcPr>
            <w:tcW w:w="669" w:type="dxa"/>
            <w:tcBorders>
              <w:top w:val="single" w:color="auto" w:sz="4" w:space="0"/>
              <w:left w:val="nil"/>
              <w:bottom w:val="single" w:color="auto" w:sz="4" w:space="0"/>
              <w:right w:val="nil"/>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实施类</w:t>
            </w:r>
          </w:p>
        </w:tc>
        <w:tc>
          <w:tcPr>
            <w:tcW w:w="66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　</w:t>
            </w:r>
          </w:p>
        </w:tc>
        <w:tc>
          <w:tcPr>
            <w:tcW w:w="572" w:type="dxa"/>
            <w:tcBorders>
              <w:top w:val="single" w:color="auto" w:sz="4" w:space="0"/>
              <w:left w:val="nil"/>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　</w:t>
            </w:r>
          </w:p>
        </w:tc>
      </w:tr>
      <w:tr>
        <w:tblPrEx>
          <w:tblCellMar>
            <w:top w:w="0" w:type="dxa"/>
            <w:left w:w="108" w:type="dxa"/>
            <w:bottom w:w="0" w:type="dxa"/>
            <w:right w:w="108" w:type="dxa"/>
          </w:tblCellMar>
        </w:tblPrEx>
        <w:trPr>
          <w:trHeight w:val="792" w:hRule="atLeast"/>
          <w:jc w:val="center"/>
        </w:trPr>
        <w:tc>
          <w:tcPr>
            <w:tcW w:w="433"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序号</w:t>
            </w:r>
          </w:p>
        </w:tc>
        <w:tc>
          <w:tcPr>
            <w:tcW w:w="137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项目名称</w:t>
            </w:r>
          </w:p>
        </w:tc>
        <w:tc>
          <w:tcPr>
            <w:tcW w:w="92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学段</w:t>
            </w:r>
          </w:p>
        </w:tc>
        <w:tc>
          <w:tcPr>
            <w:tcW w:w="3199"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建设规模和内容</w:t>
            </w:r>
          </w:p>
        </w:tc>
        <w:tc>
          <w:tcPr>
            <w:tcW w:w="991"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建设</w:t>
            </w:r>
          </w:p>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地点</w:t>
            </w:r>
          </w:p>
        </w:tc>
        <w:tc>
          <w:tcPr>
            <w:tcW w:w="683"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建设性质</w:t>
            </w:r>
          </w:p>
        </w:tc>
        <w:tc>
          <w:tcPr>
            <w:tcW w:w="110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起止年限</w:t>
            </w:r>
          </w:p>
        </w:tc>
        <w:tc>
          <w:tcPr>
            <w:tcW w:w="110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总投资（亿元）</w:t>
            </w:r>
          </w:p>
        </w:tc>
        <w:tc>
          <w:tcPr>
            <w:tcW w:w="108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计划投资（亿元）</w:t>
            </w:r>
          </w:p>
        </w:tc>
        <w:tc>
          <w:tcPr>
            <w:tcW w:w="98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新增学位（个）</w:t>
            </w:r>
          </w:p>
        </w:tc>
        <w:tc>
          <w:tcPr>
            <w:tcW w:w="72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项目业主</w:t>
            </w:r>
          </w:p>
        </w:tc>
        <w:tc>
          <w:tcPr>
            <w:tcW w:w="880"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责任单位</w:t>
            </w:r>
          </w:p>
        </w:tc>
        <w:tc>
          <w:tcPr>
            <w:tcW w:w="669"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项目类别</w:t>
            </w:r>
          </w:p>
        </w:tc>
        <w:tc>
          <w:tcPr>
            <w:tcW w:w="66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建设模式</w:t>
            </w:r>
          </w:p>
        </w:tc>
        <w:tc>
          <w:tcPr>
            <w:tcW w:w="572"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备注</w:t>
            </w:r>
          </w:p>
        </w:tc>
      </w:tr>
      <w:tr>
        <w:tblPrEx>
          <w:tblCellMar>
            <w:top w:w="0" w:type="dxa"/>
            <w:left w:w="108" w:type="dxa"/>
            <w:bottom w:w="0" w:type="dxa"/>
            <w:right w:w="108" w:type="dxa"/>
          </w:tblCellMar>
        </w:tblPrEx>
        <w:trPr>
          <w:trHeight w:val="2227" w:hRule="atLeast"/>
          <w:jc w:val="center"/>
        </w:trPr>
        <w:tc>
          <w:tcPr>
            <w:tcW w:w="433" w:type="dxa"/>
            <w:tcBorders>
              <w:top w:val="nil"/>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46</w:t>
            </w:r>
          </w:p>
        </w:tc>
        <w:tc>
          <w:tcPr>
            <w:tcW w:w="1375" w:type="dxa"/>
            <w:tcBorders>
              <w:top w:val="nil"/>
              <w:left w:val="nil"/>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丽水市职业高级中学扩建工程</w:t>
            </w:r>
          </w:p>
        </w:tc>
        <w:tc>
          <w:tcPr>
            <w:tcW w:w="928" w:type="dxa"/>
            <w:tcBorders>
              <w:top w:val="nil"/>
              <w:left w:val="nil"/>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高中</w:t>
            </w:r>
          </w:p>
        </w:tc>
        <w:tc>
          <w:tcPr>
            <w:tcW w:w="3199" w:type="dxa"/>
            <w:tcBorders>
              <w:top w:val="nil"/>
              <w:left w:val="nil"/>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岗位技能实训基地建设，总用地面积9476平方米，总建筑面积为 12685平方米，其中地上建筑面积9732平方米，地下建筑面积2953平方米。主要建设机械、汽修专业技能实训基地和餐旅专业技能实训大楼，及配附属工程</w:t>
            </w:r>
          </w:p>
        </w:tc>
        <w:tc>
          <w:tcPr>
            <w:tcW w:w="991" w:type="dxa"/>
            <w:tcBorders>
              <w:top w:val="nil"/>
              <w:left w:val="nil"/>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括苍路西、市职业教育实训基地北</w:t>
            </w:r>
          </w:p>
        </w:tc>
        <w:tc>
          <w:tcPr>
            <w:tcW w:w="683" w:type="dxa"/>
            <w:tcBorders>
              <w:top w:val="nil"/>
              <w:left w:val="nil"/>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改扩建</w:t>
            </w:r>
          </w:p>
        </w:tc>
        <w:tc>
          <w:tcPr>
            <w:tcW w:w="1105" w:type="dxa"/>
            <w:tcBorders>
              <w:top w:val="nil"/>
              <w:left w:val="nil"/>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2019-2021</w:t>
            </w:r>
          </w:p>
        </w:tc>
        <w:tc>
          <w:tcPr>
            <w:tcW w:w="1105" w:type="dxa"/>
            <w:tcBorders>
              <w:top w:val="nil"/>
              <w:left w:val="nil"/>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0.8</w:t>
            </w:r>
          </w:p>
        </w:tc>
        <w:tc>
          <w:tcPr>
            <w:tcW w:w="1085" w:type="dxa"/>
            <w:tcBorders>
              <w:top w:val="nil"/>
              <w:left w:val="nil"/>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 xml:space="preserve">0.80 </w:t>
            </w:r>
          </w:p>
        </w:tc>
        <w:tc>
          <w:tcPr>
            <w:tcW w:w="988" w:type="dxa"/>
            <w:tcBorders>
              <w:top w:val="nil"/>
              <w:left w:val="nil"/>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　</w:t>
            </w:r>
          </w:p>
        </w:tc>
        <w:tc>
          <w:tcPr>
            <w:tcW w:w="728" w:type="dxa"/>
            <w:tcBorders>
              <w:top w:val="nil"/>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丽水职高</w:t>
            </w:r>
          </w:p>
        </w:tc>
        <w:tc>
          <w:tcPr>
            <w:tcW w:w="880" w:type="dxa"/>
            <w:tcBorders>
              <w:top w:val="nil"/>
              <w:left w:val="nil"/>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市教育局</w:t>
            </w:r>
          </w:p>
        </w:tc>
        <w:tc>
          <w:tcPr>
            <w:tcW w:w="669" w:type="dxa"/>
            <w:tcBorders>
              <w:top w:val="nil"/>
              <w:left w:val="nil"/>
              <w:bottom w:val="single" w:color="auto" w:sz="4" w:space="0"/>
              <w:right w:val="nil"/>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实施类</w:t>
            </w:r>
          </w:p>
        </w:tc>
        <w:tc>
          <w:tcPr>
            <w:tcW w:w="668" w:type="dxa"/>
            <w:tcBorders>
              <w:top w:val="nil"/>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　</w:t>
            </w:r>
          </w:p>
        </w:tc>
        <w:tc>
          <w:tcPr>
            <w:tcW w:w="572" w:type="dxa"/>
            <w:tcBorders>
              <w:top w:val="nil"/>
              <w:left w:val="nil"/>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　</w:t>
            </w:r>
          </w:p>
        </w:tc>
      </w:tr>
      <w:tr>
        <w:tblPrEx>
          <w:tblCellMar>
            <w:top w:w="0" w:type="dxa"/>
            <w:left w:w="108" w:type="dxa"/>
            <w:bottom w:w="0" w:type="dxa"/>
            <w:right w:w="108" w:type="dxa"/>
          </w:tblCellMar>
        </w:tblPrEx>
        <w:trPr>
          <w:trHeight w:val="1320" w:hRule="atLeast"/>
          <w:jc w:val="center"/>
        </w:trPr>
        <w:tc>
          <w:tcPr>
            <w:tcW w:w="433"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hint="eastAsia" w:ascii="宋体" w:hAnsi="宋体" w:eastAsia="宋体" w:cs="宋体"/>
                <w:kern w:val="0"/>
                <w:sz w:val="21"/>
                <w:szCs w:val="21"/>
                <w:highlight w:val="none"/>
                <w:lang w:val="en-US" w:eastAsia="zh-CN" w:bidi="ar-SA"/>
              </w:rPr>
            </w:pPr>
            <w:r>
              <w:rPr>
                <w:rFonts w:hint="eastAsia" w:ascii="宋体" w:hAnsi="宋体" w:cs="宋体"/>
                <w:kern w:val="0"/>
                <w:szCs w:val="21"/>
                <w:highlight w:val="none"/>
              </w:rPr>
              <w:t>47</w:t>
            </w:r>
          </w:p>
        </w:tc>
        <w:tc>
          <w:tcPr>
            <w:tcW w:w="137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hint="eastAsia" w:ascii="宋体" w:hAnsi="宋体" w:eastAsia="宋体" w:cs="宋体"/>
                <w:kern w:val="0"/>
                <w:sz w:val="21"/>
                <w:szCs w:val="21"/>
                <w:highlight w:val="none"/>
                <w:lang w:val="en-US" w:eastAsia="zh-CN" w:bidi="ar-SA"/>
              </w:rPr>
            </w:pPr>
            <w:r>
              <w:rPr>
                <w:rFonts w:hint="eastAsia" w:ascii="宋体" w:hAnsi="宋体" w:cs="宋体"/>
                <w:kern w:val="0"/>
                <w:szCs w:val="21"/>
                <w:highlight w:val="none"/>
              </w:rPr>
              <w:t>丽水护士学校迁建工程</w:t>
            </w:r>
          </w:p>
        </w:tc>
        <w:tc>
          <w:tcPr>
            <w:tcW w:w="92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hint="eastAsia" w:ascii="宋体" w:hAnsi="宋体" w:eastAsia="宋体" w:cs="宋体"/>
                <w:kern w:val="0"/>
                <w:sz w:val="21"/>
                <w:szCs w:val="21"/>
                <w:highlight w:val="none"/>
                <w:lang w:val="en-US" w:eastAsia="zh-CN" w:bidi="ar-SA"/>
              </w:rPr>
            </w:pPr>
            <w:r>
              <w:rPr>
                <w:rFonts w:hint="eastAsia" w:ascii="宋体" w:hAnsi="宋体" w:cs="宋体"/>
                <w:kern w:val="0"/>
                <w:szCs w:val="21"/>
                <w:highlight w:val="none"/>
              </w:rPr>
              <w:t>高中</w:t>
            </w:r>
          </w:p>
        </w:tc>
        <w:tc>
          <w:tcPr>
            <w:tcW w:w="3199"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hint="eastAsia" w:ascii="宋体" w:hAnsi="宋体" w:eastAsia="宋体" w:cs="宋体"/>
                <w:kern w:val="0"/>
                <w:sz w:val="21"/>
                <w:szCs w:val="21"/>
                <w:highlight w:val="none"/>
                <w:lang w:val="en-US" w:eastAsia="zh-CN" w:bidi="ar-SA"/>
              </w:rPr>
            </w:pPr>
            <w:r>
              <w:rPr>
                <w:rFonts w:hint="eastAsia" w:ascii="宋体" w:hAnsi="宋体" w:cs="宋体"/>
                <w:kern w:val="0"/>
                <w:szCs w:val="21"/>
                <w:highlight w:val="none"/>
              </w:rPr>
              <w:t>学校共24个班，在校生1200人。项目用地面积41632方米，其中代征道路面积1481平方米。总建筑面积42362平方米，其中地上建筑面积34852平方米，地下建筑面积7510平方米</w:t>
            </w:r>
          </w:p>
        </w:tc>
        <w:tc>
          <w:tcPr>
            <w:tcW w:w="991"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hint="eastAsia" w:ascii="宋体" w:hAnsi="宋体" w:eastAsia="宋体" w:cs="宋体"/>
                <w:kern w:val="0"/>
                <w:sz w:val="21"/>
                <w:szCs w:val="21"/>
                <w:highlight w:val="none"/>
                <w:lang w:val="en-US" w:eastAsia="zh-CN" w:bidi="ar-SA"/>
              </w:rPr>
            </w:pPr>
            <w:r>
              <w:rPr>
                <w:rFonts w:hint="eastAsia" w:ascii="宋体" w:hAnsi="宋体" w:cs="宋体"/>
                <w:kern w:val="0"/>
                <w:szCs w:val="21"/>
                <w:highlight w:val="none"/>
              </w:rPr>
              <w:t>绕城公路以北</w:t>
            </w:r>
          </w:p>
        </w:tc>
        <w:tc>
          <w:tcPr>
            <w:tcW w:w="683"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hint="eastAsia" w:ascii="宋体" w:hAnsi="宋体" w:eastAsia="宋体" w:cs="宋体"/>
                <w:kern w:val="0"/>
                <w:sz w:val="21"/>
                <w:szCs w:val="21"/>
                <w:highlight w:val="none"/>
                <w:lang w:val="en-US" w:eastAsia="zh-CN" w:bidi="ar-SA"/>
              </w:rPr>
            </w:pPr>
            <w:r>
              <w:rPr>
                <w:rFonts w:hint="eastAsia" w:ascii="宋体" w:hAnsi="宋体" w:cs="宋体"/>
                <w:kern w:val="0"/>
                <w:szCs w:val="21"/>
                <w:highlight w:val="none"/>
              </w:rPr>
              <w:t>新建</w:t>
            </w:r>
          </w:p>
        </w:tc>
        <w:tc>
          <w:tcPr>
            <w:tcW w:w="110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hint="eastAsia" w:ascii="宋体" w:hAnsi="宋体" w:eastAsia="宋体" w:cs="宋体"/>
                <w:kern w:val="0"/>
                <w:sz w:val="21"/>
                <w:szCs w:val="21"/>
                <w:highlight w:val="none"/>
                <w:lang w:val="en-US" w:eastAsia="zh-CN" w:bidi="ar-SA"/>
              </w:rPr>
            </w:pPr>
            <w:r>
              <w:rPr>
                <w:rFonts w:hint="eastAsia" w:ascii="宋体" w:hAnsi="宋体" w:cs="宋体"/>
                <w:kern w:val="0"/>
                <w:szCs w:val="21"/>
                <w:highlight w:val="none"/>
              </w:rPr>
              <w:t>2020-2022</w:t>
            </w:r>
          </w:p>
        </w:tc>
        <w:tc>
          <w:tcPr>
            <w:tcW w:w="110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hint="eastAsia" w:ascii="宋体" w:hAnsi="宋体" w:eastAsia="宋体" w:cs="宋体"/>
                <w:kern w:val="0"/>
                <w:sz w:val="21"/>
                <w:szCs w:val="21"/>
                <w:highlight w:val="none"/>
                <w:lang w:val="en-US" w:eastAsia="zh-CN" w:bidi="ar-SA"/>
              </w:rPr>
            </w:pPr>
            <w:r>
              <w:rPr>
                <w:rFonts w:hint="eastAsia" w:ascii="宋体" w:hAnsi="宋体" w:cs="宋体"/>
                <w:kern w:val="0"/>
                <w:szCs w:val="21"/>
                <w:highlight w:val="none"/>
              </w:rPr>
              <w:t>2.18</w:t>
            </w:r>
          </w:p>
        </w:tc>
        <w:tc>
          <w:tcPr>
            <w:tcW w:w="108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hint="eastAsia" w:ascii="宋体" w:hAnsi="宋体" w:eastAsia="宋体" w:cs="宋体"/>
                <w:kern w:val="0"/>
                <w:sz w:val="21"/>
                <w:szCs w:val="21"/>
                <w:highlight w:val="none"/>
                <w:lang w:val="en-US" w:eastAsia="zh-CN" w:bidi="ar-SA"/>
              </w:rPr>
            </w:pPr>
            <w:r>
              <w:rPr>
                <w:rFonts w:hint="eastAsia" w:ascii="宋体" w:hAnsi="宋体" w:cs="宋体"/>
                <w:kern w:val="0"/>
                <w:szCs w:val="21"/>
                <w:highlight w:val="none"/>
              </w:rPr>
              <w:t xml:space="preserve">2.18 </w:t>
            </w:r>
          </w:p>
        </w:tc>
        <w:tc>
          <w:tcPr>
            <w:tcW w:w="98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hint="eastAsia" w:ascii="宋体" w:hAnsi="宋体" w:eastAsia="宋体" w:cs="宋体"/>
                <w:kern w:val="0"/>
                <w:sz w:val="21"/>
                <w:szCs w:val="21"/>
                <w:highlight w:val="none"/>
                <w:lang w:val="en-US" w:eastAsia="zh-CN" w:bidi="ar-SA"/>
              </w:rPr>
            </w:pPr>
            <w:r>
              <w:rPr>
                <w:rFonts w:hint="eastAsia" w:ascii="宋体" w:hAnsi="宋体" w:cs="宋体"/>
                <w:kern w:val="0"/>
                <w:szCs w:val="21"/>
                <w:highlight w:val="none"/>
              </w:rPr>
              <w:t xml:space="preserve">960 </w:t>
            </w:r>
          </w:p>
        </w:tc>
        <w:tc>
          <w:tcPr>
            <w:tcW w:w="72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hint="eastAsia" w:ascii="宋体" w:hAnsi="宋体" w:eastAsia="宋体" w:cs="宋体"/>
                <w:kern w:val="0"/>
                <w:sz w:val="21"/>
                <w:szCs w:val="21"/>
                <w:highlight w:val="none"/>
                <w:lang w:val="en-US" w:eastAsia="zh-CN" w:bidi="ar-SA"/>
              </w:rPr>
            </w:pPr>
            <w:r>
              <w:rPr>
                <w:rFonts w:hint="eastAsia" w:ascii="宋体" w:hAnsi="宋体" w:cs="宋体"/>
                <w:kern w:val="0"/>
                <w:szCs w:val="21"/>
                <w:highlight w:val="none"/>
              </w:rPr>
              <w:t>护士学校</w:t>
            </w:r>
          </w:p>
        </w:tc>
        <w:tc>
          <w:tcPr>
            <w:tcW w:w="880"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hint="eastAsia" w:ascii="宋体" w:hAnsi="宋体" w:eastAsia="宋体" w:cs="宋体"/>
                <w:kern w:val="0"/>
                <w:sz w:val="21"/>
                <w:szCs w:val="21"/>
                <w:highlight w:val="none"/>
                <w:lang w:val="en-US" w:eastAsia="zh-CN" w:bidi="ar-SA"/>
              </w:rPr>
            </w:pPr>
            <w:r>
              <w:rPr>
                <w:rFonts w:hint="eastAsia" w:ascii="宋体" w:hAnsi="宋体" w:cs="宋体"/>
                <w:kern w:val="0"/>
                <w:szCs w:val="21"/>
                <w:highlight w:val="none"/>
              </w:rPr>
              <w:t>市教育局</w:t>
            </w:r>
          </w:p>
        </w:tc>
        <w:tc>
          <w:tcPr>
            <w:tcW w:w="669"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hint="eastAsia" w:ascii="宋体" w:hAnsi="宋体" w:eastAsia="宋体" w:cs="宋体"/>
                <w:kern w:val="0"/>
                <w:sz w:val="21"/>
                <w:szCs w:val="21"/>
                <w:highlight w:val="none"/>
                <w:lang w:val="en-US" w:eastAsia="zh-CN" w:bidi="ar-SA"/>
              </w:rPr>
            </w:pPr>
            <w:r>
              <w:rPr>
                <w:rFonts w:hint="eastAsia" w:ascii="宋体" w:hAnsi="宋体" w:cs="宋体"/>
                <w:kern w:val="0"/>
                <w:szCs w:val="21"/>
                <w:highlight w:val="none"/>
              </w:rPr>
              <w:t>实施类</w:t>
            </w:r>
          </w:p>
        </w:tc>
        <w:tc>
          <w:tcPr>
            <w:tcW w:w="66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hint="eastAsia" w:ascii="宋体" w:hAnsi="宋体" w:cs="宋体"/>
                <w:b/>
                <w:bCs/>
                <w:kern w:val="0"/>
                <w:szCs w:val="21"/>
                <w:highlight w:val="none"/>
              </w:rPr>
            </w:pPr>
          </w:p>
        </w:tc>
        <w:tc>
          <w:tcPr>
            <w:tcW w:w="572"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hint="eastAsia" w:ascii="宋体" w:hAnsi="宋体" w:cs="宋体"/>
                <w:b/>
                <w:bCs/>
                <w:kern w:val="0"/>
                <w:szCs w:val="21"/>
                <w:highlight w:val="none"/>
              </w:rPr>
            </w:pPr>
          </w:p>
        </w:tc>
      </w:tr>
      <w:tr>
        <w:tblPrEx>
          <w:tblCellMar>
            <w:top w:w="0" w:type="dxa"/>
            <w:left w:w="108" w:type="dxa"/>
            <w:bottom w:w="0" w:type="dxa"/>
            <w:right w:w="108" w:type="dxa"/>
          </w:tblCellMar>
        </w:tblPrEx>
        <w:trPr>
          <w:trHeight w:val="1687" w:hRule="atLeast"/>
          <w:jc w:val="center"/>
        </w:trPr>
        <w:tc>
          <w:tcPr>
            <w:tcW w:w="433"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48</w:t>
            </w:r>
          </w:p>
        </w:tc>
        <w:tc>
          <w:tcPr>
            <w:tcW w:w="137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丽水第二高级中学扩建工程</w:t>
            </w:r>
          </w:p>
        </w:tc>
        <w:tc>
          <w:tcPr>
            <w:tcW w:w="92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高中</w:t>
            </w:r>
          </w:p>
        </w:tc>
        <w:tc>
          <w:tcPr>
            <w:tcW w:w="3199"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新增6个班（共54班，用地面积约17.54亩，建筑面积15000平方米。其中艺术类专业教室36个，普通教室6个及辅助用房等</w:t>
            </w:r>
          </w:p>
        </w:tc>
        <w:tc>
          <w:tcPr>
            <w:tcW w:w="991"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东地路东、丽阳街南</w:t>
            </w:r>
          </w:p>
        </w:tc>
        <w:tc>
          <w:tcPr>
            <w:tcW w:w="683"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改扩建</w:t>
            </w:r>
          </w:p>
        </w:tc>
        <w:tc>
          <w:tcPr>
            <w:tcW w:w="110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2020-2022</w:t>
            </w:r>
          </w:p>
        </w:tc>
        <w:tc>
          <w:tcPr>
            <w:tcW w:w="110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0.9</w:t>
            </w:r>
          </w:p>
        </w:tc>
        <w:tc>
          <w:tcPr>
            <w:tcW w:w="108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 xml:space="preserve">0.90 </w:t>
            </w:r>
          </w:p>
        </w:tc>
        <w:tc>
          <w:tcPr>
            <w:tcW w:w="98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 xml:space="preserve">240 </w:t>
            </w:r>
          </w:p>
        </w:tc>
        <w:tc>
          <w:tcPr>
            <w:tcW w:w="72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丽水二中</w:t>
            </w:r>
          </w:p>
        </w:tc>
        <w:tc>
          <w:tcPr>
            <w:tcW w:w="880"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市教育局</w:t>
            </w:r>
          </w:p>
        </w:tc>
        <w:tc>
          <w:tcPr>
            <w:tcW w:w="669"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实施类</w:t>
            </w:r>
          </w:p>
        </w:tc>
        <w:tc>
          <w:tcPr>
            <w:tcW w:w="66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　</w:t>
            </w:r>
          </w:p>
        </w:tc>
        <w:tc>
          <w:tcPr>
            <w:tcW w:w="572"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　</w:t>
            </w:r>
          </w:p>
        </w:tc>
      </w:tr>
      <w:tr>
        <w:tblPrEx>
          <w:tblCellMar>
            <w:top w:w="0" w:type="dxa"/>
            <w:left w:w="108" w:type="dxa"/>
            <w:bottom w:w="0" w:type="dxa"/>
            <w:right w:w="108" w:type="dxa"/>
          </w:tblCellMar>
        </w:tblPrEx>
        <w:trPr>
          <w:trHeight w:val="1257" w:hRule="atLeast"/>
          <w:jc w:val="center"/>
        </w:trPr>
        <w:tc>
          <w:tcPr>
            <w:tcW w:w="433"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49</w:t>
            </w:r>
          </w:p>
        </w:tc>
        <w:tc>
          <w:tcPr>
            <w:tcW w:w="137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碧湖高中</w:t>
            </w:r>
          </w:p>
        </w:tc>
        <w:tc>
          <w:tcPr>
            <w:tcW w:w="92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高中</w:t>
            </w:r>
          </w:p>
        </w:tc>
        <w:tc>
          <w:tcPr>
            <w:tcW w:w="3199"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新建60班高中，在校生2400人，项目用地面积97265平方米，建筑面积77812平方米</w:t>
            </w:r>
          </w:p>
        </w:tc>
        <w:tc>
          <w:tcPr>
            <w:tcW w:w="991"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碧湖</w:t>
            </w:r>
          </w:p>
        </w:tc>
        <w:tc>
          <w:tcPr>
            <w:tcW w:w="683"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新建</w:t>
            </w:r>
          </w:p>
        </w:tc>
        <w:tc>
          <w:tcPr>
            <w:tcW w:w="110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2022-2024</w:t>
            </w:r>
          </w:p>
        </w:tc>
        <w:tc>
          <w:tcPr>
            <w:tcW w:w="110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 xml:space="preserve">5.00 </w:t>
            </w:r>
          </w:p>
        </w:tc>
        <w:tc>
          <w:tcPr>
            <w:tcW w:w="108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 xml:space="preserve">5.00 </w:t>
            </w:r>
          </w:p>
        </w:tc>
        <w:tc>
          <w:tcPr>
            <w:tcW w:w="98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 xml:space="preserve">2400 </w:t>
            </w:r>
          </w:p>
        </w:tc>
        <w:tc>
          <w:tcPr>
            <w:tcW w:w="72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待定</w:t>
            </w:r>
          </w:p>
        </w:tc>
        <w:tc>
          <w:tcPr>
            <w:tcW w:w="880"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丽水市教育局</w:t>
            </w:r>
          </w:p>
        </w:tc>
        <w:tc>
          <w:tcPr>
            <w:tcW w:w="669"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谋划类</w:t>
            </w:r>
          </w:p>
        </w:tc>
        <w:tc>
          <w:tcPr>
            <w:tcW w:w="66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　</w:t>
            </w:r>
          </w:p>
        </w:tc>
        <w:tc>
          <w:tcPr>
            <w:tcW w:w="572"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　</w:t>
            </w:r>
          </w:p>
        </w:tc>
      </w:tr>
      <w:tr>
        <w:tblPrEx>
          <w:tblCellMar>
            <w:top w:w="0" w:type="dxa"/>
            <w:left w:w="108" w:type="dxa"/>
            <w:bottom w:w="0" w:type="dxa"/>
            <w:right w:w="108" w:type="dxa"/>
          </w:tblCellMar>
        </w:tblPrEx>
        <w:trPr>
          <w:trHeight w:val="1320" w:hRule="atLeast"/>
          <w:jc w:val="center"/>
        </w:trPr>
        <w:tc>
          <w:tcPr>
            <w:tcW w:w="433"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序号</w:t>
            </w:r>
          </w:p>
        </w:tc>
        <w:tc>
          <w:tcPr>
            <w:tcW w:w="137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项目名称</w:t>
            </w:r>
          </w:p>
        </w:tc>
        <w:tc>
          <w:tcPr>
            <w:tcW w:w="92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学段</w:t>
            </w:r>
          </w:p>
        </w:tc>
        <w:tc>
          <w:tcPr>
            <w:tcW w:w="3199"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建设规模和内容</w:t>
            </w:r>
          </w:p>
        </w:tc>
        <w:tc>
          <w:tcPr>
            <w:tcW w:w="991"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建设</w:t>
            </w:r>
          </w:p>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地点</w:t>
            </w:r>
          </w:p>
        </w:tc>
        <w:tc>
          <w:tcPr>
            <w:tcW w:w="683"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建设性质</w:t>
            </w:r>
          </w:p>
        </w:tc>
        <w:tc>
          <w:tcPr>
            <w:tcW w:w="110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起止年限</w:t>
            </w:r>
          </w:p>
        </w:tc>
        <w:tc>
          <w:tcPr>
            <w:tcW w:w="110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总投资（亿元）</w:t>
            </w:r>
          </w:p>
        </w:tc>
        <w:tc>
          <w:tcPr>
            <w:tcW w:w="108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计划投资（亿元）</w:t>
            </w:r>
          </w:p>
        </w:tc>
        <w:tc>
          <w:tcPr>
            <w:tcW w:w="98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新增学位（个）</w:t>
            </w:r>
          </w:p>
        </w:tc>
        <w:tc>
          <w:tcPr>
            <w:tcW w:w="72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项目业主</w:t>
            </w:r>
          </w:p>
        </w:tc>
        <w:tc>
          <w:tcPr>
            <w:tcW w:w="880"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责任单位</w:t>
            </w:r>
          </w:p>
        </w:tc>
        <w:tc>
          <w:tcPr>
            <w:tcW w:w="669"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项目类别</w:t>
            </w:r>
          </w:p>
        </w:tc>
        <w:tc>
          <w:tcPr>
            <w:tcW w:w="66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建设模式</w:t>
            </w:r>
          </w:p>
        </w:tc>
        <w:tc>
          <w:tcPr>
            <w:tcW w:w="572"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备注</w:t>
            </w:r>
          </w:p>
        </w:tc>
      </w:tr>
      <w:tr>
        <w:tblPrEx>
          <w:tblCellMar>
            <w:top w:w="0" w:type="dxa"/>
            <w:left w:w="108" w:type="dxa"/>
            <w:bottom w:w="0" w:type="dxa"/>
            <w:right w:w="108" w:type="dxa"/>
          </w:tblCellMar>
        </w:tblPrEx>
        <w:trPr>
          <w:trHeight w:val="567" w:hRule="atLeast"/>
          <w:jc w:val="center"/>
        </w:trPr>
        <w:tc>
          <w:tcPr>
            <w:tcW w:w="433"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　</w:t>
            </w:r>
          </w:p>
        </w:tc>
        <w:tc>
          <w:tcPr>
            <w:tcW w:w="137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特校小计</w:t>
            </w:r>
          </w:p>
        </w:tc>
        <w:tc>
          <w:tcPr>
            <w:tcW w:w="92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　</w:t>
            </w:r>
          </w:p>
        </w:tc>
        <w:tc>
          <w:tcPr>
            <w:tcW w:w="3199"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 xml:space="preserve">1 </w:t>
            </w:r>
          </w:p>
        </w:tc>
        <w:tc>
          <w:tcPr>
            <w:tcW w:w="991"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　</w:t>
            </w:r>
          </w:p>
        </w:tc>
        <w:tc>
          <w:tcPr>
            <w:tcW w:w="683"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　</w:t>
            </w:r>
          </w:p>
        </w:tc>
        <w:tc>
          <w:tcPr>
            <w:tcW w:w="110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　</w:t>
            </w:r>
          </w:p>
        </w:tc>
        <w:tc>
          <w:tcPr>
            <w:tcW w:w="110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 xml:space="preserve">0.50 </w:t>
            </w:r>
          </w:p>
        </w:tc>
        <w:tc>
          <w:tcPr>
            <w:tcW w:w="108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 xml:space="preserve">0.50 </w:t>
            </w:r>
          </w:p>
        </w:tc>
        <w:tc>
          <w:tcPr>
            <w:tcW w:w="98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 xml:space="preserve">300 </w:t>
            </w:r>
          </w:p>
        </w:tc>
        <w:tc>
          <w:tcPr>
            <w:tcW w:w="72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　</w:t>
            </w:r>
          </w:p>
        </w:tc>
        <w:tc>
          <w:tcPr>
            <w:tcW w:w="880"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　</w:t>
            </w:r>
          </w:p>
        </w:tc>
        <w:tc>
          <w:tcPr>
            <w:tcW w:w="669"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　</w:t>
            </w:r>
          </w:p>
        </w:tc>
        <w:tc>
          <w:tcPr>
            <w:tcW w:w="66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　</w:t>
            </w:r>
          </w:p>
        </w:tc>
        <w:tc>
          <w:tcPr>
            <w:tcW w:w="572"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　</w:t>
            </w:r>
          </w:p>
        </w:tc>
      </w:tr>
      <w:tr>
        <w:tblPrEx>
          <w:tblCellMar>
            <w:top w:w="0" w:type="dxa"/>
            <w:left w:w="108" w:type="dxa"/>
            <w:bottom w:w="0" w:type="dxa"/>
            <w:right w:w="108" w:type="dxa"/>
          </w:tblCellMar>
        </w:tblPrEx>
        <w:trPr>
          <w:trHeight w:val="1113" w:hRule="atLeast"/>
          <w:jc w:val="center"/>
        </w:trPr>
        <w:tc>
          <w:tcPr>
            <w:tcW w:w="433"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50</w:t>
            </w:r>
          </w:p>
        </w:tc>
        <w:tc>
          <w:tcPr>
            <w:tcW w:w="137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莲都区培智学校改造工程</w:t>
            </w:r>
          </w:p>
        </w:tc>
        <w:tc>
          <w:tcPr>
            <w:tcW w:w="92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其他</w:t>
            </w:r>
          </w:p>
        </w:tc>
        <w:tc>
          <w:tcPr>
            <w:tcW w:w="3199"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依托联城中学校址，改造莲都区培智学校</w:t>
            </w:r>
          </w:p>
        </w:tc>
        <w:tc>
          <w:tcPr>
            <w:tcW w:w="991"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联城</w:t>
            </w:r>
          </w:p>
        </w:tc>
        <w:tc>
          <w:tcPr>
            <w:tcW w:w="683"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　</w:t>
            </w:r>
          </w:p>
        </w:tc>
        <w:tc>
          <w:tcPr>
            <w:tcW w:w="110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2023-2025</w:t>
            </w:r>
          </w:p>
        </w:tc>
        <w:tc>
          <w:tcPr>
            <w:tcW w:w="110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 xml:space="preserve">0.50 </w:t>
            </w:r>
          </w:p>
        </w:tc>
        <w:tc>
          <w:tcPr>
            <w:tcW w:w="108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 xml:space="preserve">0.50 </w:t>
            </w:r>
          </w:p>
        </w:tc>
        <w:tc>
          <w:tcPr>
            <w:tcW w:w="98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 xml:space="preserve">300 </w:t>
            </w:r>
          </w:p>
        </w:tc>
        <w:tc>
          <w:tcPr>
            <w:tcW w:w="72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待定</w:t>
            </w:r>
          </w:p>
        </w:tc>
        <w:tc>
          <w:tcPr>
            <w:tcW w:w="880"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丽水市教育局</w:t>
            </w:r>
          </w:p>
        </w:tc>
        <w:tc>
          <w:tcPr>
            <w:tcW w:w="669"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实施类</w:t>
            </w:r>
          </w:p>
        </w:tc>
        <w:tc>
          <w:tcPr>
            <w:tcW w:w="66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　</w:t>
            </w:r>
          </w:p>
        </w:tc>
        <w:tc>
          <w:tcPr>
            <w:tcW w:w="572"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　</w:t>
            </w:r>
          </w:p>
        </w:tc>
      </w:tr>
      <w:tr>
        <w:tblPrEx>
          <w:tblCellMar>
            <w:top w:w="0" w:type="dxa"/>
            <w:left w:w="108" w:type="dxa"/>
            <w:bottom w:w="0" w:type="dxa"/>
            <w:right w:w="108" w:type="dxa"/>
          </w:tblCellMar>
        </w:tblPrEx>
        <w:trPr>
          <w:trHeight w:val="414" w:hRule="atLeast"/>
          <w:jc w:val="center"/>
        </w:trPr>
        <w:tc>
          <w:tcPr>
            <w:tcW w:w="2736" w:type="dxa"/>
            <w:gridSpan w:val="3"/>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南城小计</w:t>
            </w:r>
          </w:p>
        </w:tc>
        <w:tc>
          <w:tcPr>
            <w:tcW w:w="3199"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 xml:space="preserve">22 </w:t>
            </w:r>
          </w:p>
        </w:tc>
        <w:tc>
          <w:tcPr>
            <w:tcW w:w="991"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　</w:t>
            </w:r>
          </w:p>
        </w:tc>
        <w:tc>
          <w:tcPr>
            <w:tcW w:w="683"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　</w:t>
            </w:r>
          </w:p>
        </w:tc>
        <w:tc>
          <w:tcPr>
            <w:tcW w:w="110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　</w:t>
            </w:r>
          </w:p>
        </w:tc>
        <w:tc>
          <w:tcPr>
            <w:tcW w:w="110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 xml:space="preserve">37.07 </w:t>
            </w:r>
          </w:p>
        </w:tc>
        <w:tc>
          <w:tcPr>
            <w:tcW w:w="108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 xml:space="preserve">30.91 </w:t>
            </w:r>
          </w:p>
        </w:tc>
        <w:tc>
          <w:tcPr>
            <w:tcW w:w="98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 xml:space="preserve">21600 </w:t>
            </w:r>
          </w:p>
        </w:tc>
        <w:tc>
          <w:tcPr>
            <w:tcW w:w="72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　</w:t>
            </w:r>
          </w:p>
        </w:tc>
        <w:tc>
          <w:tcPr>
            <w:tcW w:w="880"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　</w:t>
            </w:r>
          </w:p>
        </w:tc>
        <w:tc>
          <w:tcPr>
            <w:tcW w:w="669"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　</w:t>
            </w:r>
          </w:p>
        </w:tc>
        <w:tc>
          <w:tcPr>
            <w:tcW w:w="66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　</w:t>
            </w:r>
          </w:p>
        </w:tc>
        <w:tc>
          <w:tcPr>
            <w:tcW w:w="572"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　</w:t>
            </w:r>
          </w:p>
        </w:tc>
      </w:tr>
      <w:tr>
        <w:tblPrEx>
          <w:tblCellMar>
            <w:top w:w="0" w:type="dxa"/>
            <w:left w:w="108" w:type="dxa"/>
            <w:bottom w:w="0" w:type="dxa"/>
            <w:right w:w="108" w:type="dxa"/>
          </w:tblCellMar>
        </w:tblPrEx>
        <w:trPr>
          <w:trHeight w:val="512" w:hRule="atLeast"/>
          <w:jc w:val="center"/>
        </w:trPr>
        <w:tc>
          <w:tcPr>
            <w:tcW w:w="433"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　</w:t>
            </w:r>
          </w:p>
        </w:tc>
        <w:tc>
          <w:tcPr>
            <w:tcW w:w="2303" w:type="dxa"/>
            <w:gridSpan w:val="2"/>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幼儿园小计</w:t>
            </w:r>
          </w:p>
        </w:tc>
        <w:tc>
          <w:tcPr>
            <w:tcW w:w="3199"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 xml:space="preserve">13 </w:t>
            </w:r>
          </w:p>
        </w:tc>
        <w:tc>
          <w:tcPr>
            <w:tcW w:w="991"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　</w:t>
            </w:r>
          </w:p>
        </w:tc>
        <w:tc>
          <w:tcPr>
            <w:tcW w:w="683"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　</w:t>
            </w:r>
          </w:p>
        </w:tc>
        <w:tc>
          <w:tcPr>
            <w:tcW w:w="110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　</w:t>
            </w:r>
          </w:p>
        </w:tc>
        <w:tc>
          <w:tcPr>
            <w:tcW w:w="110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 xml:space="preserve">4.81 </w:t>
            </w:r>
          </w:p>
        </w:tc>
        <w:tc>
          <w:tcPr>
            <w:tcW w:w="108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 xml:space="preserve">3.75 </w:t>
            </w:r>
          </w:p>
        </w:tc>
        <w:tc>
          <w:tcPr>
            <w:tcW w:w="98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 xml:space="preserve">4680 </w:t>
            </w:r>
          </w:p>
        </w:tc>
        <w:tc>
          <w:tcPr>
            <w:tcW w:w="72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　</w:t>
            </w:r>
          </w:p>
        </w:tc>
        <w:tc>
          <w:tcPr>
            <w:tcW w:w="880"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　</w:t>
            </w:r>
          </w:p>
        </w:tc>
        <w:tc>
          <w:tcPr>
            <w:tcW w:w="669"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　</w:t>
            </w:r>
          </w:p>
        </w:tc>
        <w:tc>
          <w:tcPr>
            <w:tcW w:w="66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　</w:t>
            </w:r>
          </w:p>
        </w:tc>
        <w:tc>
          <w:tcPr>
            <w:tcW w:w="572"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　</w:t>
            </w:r>
          </w:p>
        </w:tc>
      </w:tr>
      <w:tr>
        <w:tblPrEx>
          <w:tblCellMar>
            <w:top w:w="0" w:type="dxa"/>
            <w:left w:w="108" w:type="dxa"/>
            <w:bottom w:w="0" w:type="dxa"/>
            <w:right w:w="108" w:type="dxa"/>
          </w:tblCellMar>
        </w:tblPrEx>
        <w:trPr>
          <w:trHeight w:val="1056" w:hRule="atLeast"/>
          <w:jc w:val="center"/>
        </w:trPr>
        <w:tc>
          <w:tcPr>
            <w:tcW w:w="433"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51</w:t>
            </w:r>
          </w:p>
        </w:tc>
        <w:tc>
          <w:tcPr>
            <w:tcW w:w="137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富岭东六园新建工程</w:t>
            </w:r>
          </w:p>
        </w:tc>
        <w:tc>
          <w:tcPr>
            <w:tcW w:w="92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幼儿园</w:t>
            </w:r>
          </w:p>
        </w:tc>
        <w:tc>
          <w:tcPr>
            <w:tcW w:w="3199"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规划15个班幼儿园，用地面积6700平方米，建筑面积5000平方米</w:t>
            </w:r>
          </w:p>
        </w:tc>
        <w:tc>
          <w:tcPr>
            <w:tcW w:w="991"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东十一路东、南二路北</w:t>
            </w:r>
          </w:p>
        </w:tc>
        <w:tc>
          <w:tcPr>
            <w:tcW w:w="683"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新建</w:t>
            </w:r>
          </w:p>
        </w:tc>
        <w:tc>
          <w:tcPr>
            <w:tcW w:w="110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2021-2022</w:t>
            </w:r>
          </w:p>
        </w:tc>
        <w:tc>
          <w:tcPr>
            <w:tcW w:w="110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0.68</w:t>
            </w:r>
          </w:p>
        </w:tc>
        <w:tc>
          <w:tcPr>
            <w:tcW w:w="108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0.68</w:t>
            </w:r>
          </w:p>
        </w:tc>
        <w:tc>
          <w:tcPr>
            <w:tcW w:w="98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 xml:space="preserve">450 </w:t>
            </w:r>
          </w:p>
        </w:tc>
        <w:tc>
          <w:tcPr>
            <w:tcW w:w="72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待定</w:t>
            </w:r>
          </w:p>
        </w:tc>
        <w:tc>
          <w:tcPr>
            <w:tcW w:w="880"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开发区社管局</w:t>
            </w:r>
          </w:p>
        </w:tc>
        <w:tc>
          <w:tcPr>
            <w:tcW w:w="669"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实施类</w:t>
            </w:r>
          </w:p>
        </w:tc>
        <w:tc>
          <w:tcPr>
            <w:tcW w:w="66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代建</w:t>
            </w:r>
          </w:p>
        </w:tc>
        <w:tc>
          <w:tcPr>
            <w:tcW w:w="572"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　</w:t>
            </w:r>
          </w:p>
        </w:tc>
      </w:tr>
      <w:tr>
        <w:tblPrEx>
          <w:tblCellMar>
            <w:top w:w="0" w:type="dxa"/>
            <w:left w:w="108" w:type="dxa"/>
            <w:bottom w:w="0" w:type="dxa"/>
            <w:right w:w="108" w:type="dxa"/>
          </w:tblCellMar>
        </w:tblPrEx>
        <w:trPr>
          <w:trHeight w:val="952" w:hRule="atLeast"/>
          <w:jc w:val="center"/>
        </w:trPr>
        <w:tc>
          <w:tcPr>
            <w:tcW w:w="433"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52</w:t>
            </w:r>
          </w:p>
        </w:tc>
        <w:tc>
          <w:tcPr>
            <w:tcW w:w="137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碧桂园小区配套幼儿园新建工程</w:t>
            </w:r>
          </w:p>
        </w:tc>
        <w:tc>
          <w:tcPr>
            <w:tcW w:w="92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幼儿园</w:t>
            </w:r>
          </w:p>
        </w:tc>
        <w:tc>
          <w:tcPr>
            <w:tcW w:w="3199"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规划18个班幼儿园，用地面积8000平方米，建筑面积6400平方米</w:t>
            </w:r>
          </w:p>
        </w:tc>
        <w:tc>
          <w:tcPr>
            <w:tcW w:w="991"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南一路</w:t>
            </w:r>
          </w:p>
        </w:tc>
        <w:tc>
          <w:tcPr>
            <w:tcW w:w="683"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新建</w:t>
            </w:r>
          </w:p>
        </w:tc>
        <w:tc>
          <w:tcPr>
            <w:tcW w:w="110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2020-2022</w:t>
            </w:r>
          </w:p>
        </w:tc>
        <w:tc>
          <w:tcPr>
            <w:tcW w:w="110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0.45</w:t>
            </w:r>
          </w:p>
        </w:tc>
        <w:tc>
          <w:tcPr>
            <w:tcW w:w="108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0.45</w:t>
            </w:r>
          </w:p>
        </w:tc>
        <w:tc>
          <w:tcPr>
            <w:tcW w:w="98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 xml:space="preserve">540 </w:t>
            </w:r>
          </w:p>
        </w:tc>
        <w:tc>
          <w:tcPr>
            <w:tcW w:w="72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　</w:t>
            </w:r>
          </w:p>
        </w:tc>
        <w:tc>
          <w:tcPr>
            <w:tcW w:w="880"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　</w:t>
            </w:r>
          </w:p>
        </w:tc>
        <w:tc>
          <w:tcPr>
            <w:tcW w:w="669"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实施类</w:t>
            </w:r>
          </w:p>
        </w:tc>
        <w:tc>
          <w:tcPr>
            <w:tcW w:w="66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代建</w:t>
            </w:r>
          </w:p>
        </w:tc>
        <w:tc>
          <w:tcPr>
            <w:tcW w:w="572"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　</w:t>
            </w:r>
          </w:p>
        </w:tc>
      </w:tr>
      <w:tr>
        <w:tblPrEx>
          <w:tblCellMar>
            <w:top w:w="0" w:type="dxa"/>
            <w:left w:w="108" w:type="dxa"/>
            <w:bottom w:w="0" w:type="dxa"/>
            <w:right w:w="108" w:type="dxa"/>
          </w:tblCellMar>
        </w:tblPrEx>
        <w:trPr>
          <w:trHeight w:val="1056" w:hRule="atLeast"/>
          <w:jc w:val="center"/>
        </w:trPr>
        <w:tc>
          <w:tcPr>
            <w:tcW w:w="433"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53</w:t>
            </w:r>
          </w:p>
        </w:tc>
        <w:tc>
          <w:tcPr>
            <w:tcW w:w="137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南一路幼儿园新建工程</w:t>
            </w:r>
          </w:p>
        </w:tc>
        <w:tc>
          <w:tcPr>
            <w:tcW w:w="92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幼儿园</w:t>
            </w:r>
          </w:p>
        </w:tc>
        <w:tc>
          <w:tcPr>
            <w:tcW w:w="3199"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规划12个班幼儿园，用地面积6783平方米，建筑面积4908平方米</w:t>
            </w:r>
          </w:p>
        </w:tc>
        <w:tc>
          <w:tcPr>
            <w:tcW w:w="991"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远期快速干道东、南一路南</w:t>
            </w:r>
          </w:p>
        </w:tc>
        <w:tc>
          <w:tcPr>
            <w:tcW w:w="683"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新建</w:t>
            </w:r>
          </w:p>
        </w:tc>
        <w:tc>
          <w:tcPr>
            <w:tcW w:w="110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2021-2022</w:t>
            </w:r>
          </w:p>
        </w:tc>
        <w:tc>
          <w:tcPr>
            <w:tcW w:w="110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0.41</w:t>
            </w:r>
          </w:p>
        </w:tc>
        <w:tc>
          <w:tcPr>
            <w:tcW w:w="108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0.41</w:t>
            </w:r>
          </w:p>
        </w:tc>
        <w:tc>
          <w:tcPr>
            <w:tcW w:w="98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 xml:space="preserve">360 </w:t>
            </w:r>
          </w:p>
        </w:tc>
        <w:tc>
          <w:tcPr>
            <w:tcW w:w="72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待定</w:t>
            </w:r>
          </w:p>
        </w:tc>
        <w:tc>
          <w:tcPr>
            <w:tcW w:w="880"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开发区社管局</w:t>
            </w:r>
          </w:p>
        </w:tc>
        <w:tc>
          <w:tcPr>
            <w:tcW w:w="669"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实施类</w:t>
            </w:r>
          </w:p>
        </w:tc>
        <w:tc>
          <w:tcPr>
            <w:tcW w:w="66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代建</w:t>
            </w:r>
          </w:p>
        </w:tc>
        <w:tc>
          <w:tcPr>
            <w:tcW w:w="572"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　</w:t>
            </w:r>
          </w:p>
        </w:tc>
      </w:tr>
      <w:tr>
        <w:tblPrEx>
          <w:tblCellMar>
            <w:top w:w="0" w:type="dxa"/>
            <w:left w:w="108" w:type="dxa"/>
            <w:bottom w:w="0" w:type="dxa"/>
            <w:right w:w="108" w:type="dxa"/>
          </w:tblCellMar>
        </w:tblPrEx>
        <w:trPr>
          <w:trHeight w:val="792" w:hRule="atLeast"/>
          <w:jc w:val="center"/>
        </w:trPr>
        <w:tc>
          <w:tcPr>
            <w:tcW w:w="433"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54</w:t>
            </w:r>
          </w:p>
        </w:tc>
        <w:tc>
          <w:tcPr>
            <w:tcW w:w="137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水阁邻里中心幼儿园新建工程</w:t>
            </w:r>
          </w:p>
        </w:tc>
        <w:tc>
          <w:tcPr>
            <w:tcW w:w="92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幼儿园</w:t>
            </w:r>
          </w:p>
        </w:tc>
        <w:tc>
          <w:tcPr>
            <w:tcW w:w="3199"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规划12个班幼儿园，用地面积7862平方米，建筑面积7138平方米</w:t>
            </w:r>
          </w:p>
        </w:tc>
        <w:tc>
          <w:tcPr>
            <w:tcW w:w="991"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龙庆路东、成大路南</w:t>
            </w:r>
          </w:p>
        </w:tc>
        <w:tc>
          <w:tcPr>
            <w:tcW w:w="683"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新建</w:t>
            </w:r>
          </w:p>
        </w:tc>
        <w:tc>
          <w:tcPr>
            <w:tcW w:w="110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2021-2022</w:t>
            </w:r>
          </w:p>
        </w:tc>
        <w:tc>
          <w:tcPr>
            <w:tcW w:w="110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0.56</w:t>
            </w:r>
          </w:p>
        </w:tc>
        <w:tc>
          <w:tcPr>
            <w:tcW w:w="108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0.56</w:t>
            </w:r>
          </w:p>
        </w:tc>
        <w:tc>
          <w:tcPr>
            <w:tcW w:w="98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 xml:space="preserve">360 </w:t>
            </w:r>
          </w:p>
        </w:tc>
        <w:tc>
          <w:tcPr>
            <w:tcW w:w="72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待定</w:t>
            </w:r>
          </w:p>
        </w:tc>
        <w:tc>
          <w:tcPr>
            <w:tcW w:w="880"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开发区社管局</w:t>
            </w:r>
          </w:p>
        </w:tc>
        <w:tc>
          <w:tcPr>
            <w:tcW w:w="669"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实施类</w:t>
            </w:r>
          </w:p>
        </w:tc>
        <w:tc>
          <w:tcPr>
            <w:tcW w:w="66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代建</w:t>
            </w:r>
          </w:p>
        </w:tc>
        <w:tc>
          <w:tcPr>
            <w:tcW w:w="572"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　</w:t>
            </w:r>
          </w:p>
        </w:tc>
      </w:tr>
      <w:tr>
        <w:tblPrEx>
          <w:tblCellMar>
            <w:top w:w="0" w:type="dxa"/>
            <w:left w:w="108" w:type="dxa"/>
            <w:bottom w:w="0" w:type="dxa"/>
            <w:right w:w="108" w:type="dxa"/>
          </w:tblCellMar>
        </w:tblPrEx>
        <w:trPr>
          <w:trHeight w:val="529" w:hRule="atLeast"/>
          <w:jc w:val="center"/>
        </w:trPr>
        <w:tc>
          <w:tcPr>
            <w:tcW w:w="433"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序号</w:t>
            </w:r>
          </w:p>
        </w:tc>
        <w:tc>
          <w:tcPr>
            <w:tcW w:w="137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项目名称</w:t>
            </w:r>
          </w:p>
        </w:tc>
        <w:tc>
          <w:tcPr>
            <w:tcW w:w="92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学段</w:t>
            </w:r>
          </w:p>
        </w:tc>
        <w:tc>
          <w:tcPr>
            <w:tcW w:w="3199"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建设规模和内容</w:t>
            </w:r>
          </w:p>
        </w:tc>
        <w:tc>
          <w:tcPr>
            <w:tcW w:w="991"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建设</w:t>
            </w:r>
          </w:p>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地点</w:t>
            </w:r>
          </w:p>
        </w:tc>
        <w:tc>
          <w:tcPr>
            <w:tcW w:w="683"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建设性质</w:t>
            </w:r>
          </w:p>
        </w:tc>
        <w:tc>
          <w:tcPr>
            <w:tcW w:w="110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起止年限</w:t>
            </w:r>
          </w:p>
        </w:tc>
        <w:tc>
          <w:tcPr>
            <w:tcW w:w="110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总投资（亿元）</w:t>
            </w:r>
          </w:p>
        </w:tc>
        <w:tc>
          <w:tcPr>
            <w:tcW w:w="108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计划投资（亿元）</w:t>
            </w:r>
          </w:p>
        </w:tc>
        <w:tc>
          <w:tcPr>
            <w:tcW w:w="98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新增学位（个）</w:t>
            </w:r>
          </w:p>
        </w:tc>
        <w:tc>
          <w:tcPr>
            <w:tcW w:w="72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项目业主</w:t>
            </w:r>
          </w:p>
        </w:tc>
        <w:tc>
          <w:tcPr>
            <w:tcW w:w="880"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责任单位</w:t>
            </w:r>
          </w:p>
        </w:tc>
        <w:tc>
          <w:tcPr>
            <w:tcW w:w="669"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项目类别</w:t>
            </w:r>
          </w:p>
        </w:tc>
        <w:tc>
          <w:tcPr>
            <w:tcW w:w="66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建设模式</w:t>
            </w:r>
          </w:p>
        </w:tc>
        <w:tc>
          <w:tcPr>
            <w:tcW w:w="572"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备注</w:t>
            </w:r>
          </w:p>
        </w:tc>
      </w:tr>
      <w:tr>
        <w:tblPrEx>
          <w:tblCellMar>
            <w:top w:w="0" w:type="dxa"/>
            <w:left w:w="108" w:type="dxa"/>
            <w:bottom w:w="0" w:type="dxa"/>
            <w:right w:w="108" w:type="dxa"/>
          </w:tblCellMar>
        </w:tblPrEx>
        <w:trPr>
          <w:trHeight w:val="792" w:hRule="atLeast"/>
          <w:jc w:val="center"/>
        </w:trPr>
        <w:tc>
          <w:tcPr>
            <w:tcW w:w="433"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55</w:t>
            </w:r>
          </w:p>
        </w:tc>
        <w:tc>
          <w:tcPr>
            <w:tcW w:w="137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水阁中心幼儿园迁建项目（吴垵幼儿园）</w:t>
            </w:r>
          </w:p>
        </w:tc>
        <w:tc>
          <w:tcPr>
            <w:tcW w:w="92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幼儿园</w:t>
            </w:r>
          </w:p>
        </w:tc>
        <w:tc>
          <w:tcPr>
            <w:tcW w:w="3199"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规划12个班幼儿园，用地面积10.2亩，建筑面积5140平方米</w:t>
            </w:r>
          </w:p>
        </w:tc>
        <w:tc>
          <w:tcPr>
            <w:tcW w:w="991"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吴垵村内</w:t>
            </w:r>
          </w:p>
        </w:tc>
        <w:tc>
          <w:tcPr>
            <w:tcW w:w="683"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新建</w:t>
            </w:r>
          </w:p>
        </w:tc>
        <w:tc>
          <w:tcPr>
            <w:tcW w:w="110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2021-2022</w:t>
            </w:r>
          </w:p>
        </w:tc>
        <w:tc>
          <w:tcPr>
            <w:tcW w:w="110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0.25</w:t>
            </w:r>
          </w:p>
        </w:tc>
        <w:tc>
          <w:tcPr>
            <w:tcW w:w="108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0.25</w:t>
            </w:r>
          </w:p>
        </w:tc>
        <w:tc>
          <w:tcPr>
            <w:tcW w:w="98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 xml:space="preserve">360 </w:t>
            </w:r>
          </w:p>
        </w:tc>
        <w:tc>
          <w:tcPr>
            <w:tcW w:w="72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待定</w:t>
            </w:r>
          </w:p>
        </w:tc>
        <w:tc>
          <w:tcPr>
            <w:tcW w:w="880"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开发区社管局</w:t>
            </w:r>
          </w:p>
        </w:tc>
        <w:tc>
          <w:tcPr>
            <w:tcW w:w="669"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实施类</w:t>
            </w:r>
          </w:p>
        </w:tc>
        <w:tc>
          <w:tcPr>
            <w:tcW w:w="66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代建</w:t>
            </w:r>
          </w:p>
        </w:tc>
        <w:tc>
          <w:tcPr>
            <w:tcW w:w="572"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　</w:t>
            </w:r>
          </w:p>
        </w:tc>
      </w:tr>
      <w:tr>
        <w:tblPrEx>
          <w:tblCellMar>
            <w:top w:w="0" w:type="dxa"/>
            <w:left w:w="108" w:type="dxa"/>
            <w:bottom w:w="0" w:type="dxa"/>
            <w:right w:w="108" w:type="dxa"/>
          </w:tblCellMar>
        </w:tblPrEx>
        <w:trPr>
          <w:trHeight w:val="792" w:hRule="atLeast"/>
          <w:jc w:val="center"/>
        </w:trPr>
        <w:tc>
          <w:tcPr>
            <w:tcW w:w="433"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56</w:t>
            </w:r>
          </w:p>
        </w:tc>
        <w:tc>
          <w:tcPr>
            <w:tcW w:w="137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余庄前安置小区配套幼儿园（一）</w:t>
            </w:r>
          </w:p>
        </w:tc>
        <w:tc>
          <w:tcPr>
            <w:tcW w:w="92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幼儿园</w:t>
            </w:r>
          </w:p>
        </w:tc>
        <w:tc>
          <w:tcPr>
            <w:tcW w:w="3199"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规划12个班幼儿园，用地面积6200平方米，建筑面积4960平方米</w:t>
            </w:r>
          </w:p>
        </w:tc>
        <w:tc>
          <w:tcPr>
            <w:tcW w:w="991"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余庄前安置小区内</w:t>
            </w:r>
          </w:p>
        </w:tc>
        <w:tc>
          <w:tcPr>
            <w:tcW w:w="683"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新建</w:t>
            </w:r>
          </w:p>
        </w:tc>
        <w:tc>
          <w:tcPr>
            <w:tcW w:w="110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2021-2022</w:t>
            </w:r>
          </w:p>
        </w:tc>
        <w:tc>
          <w:tcPr>
            <w:tcW w:w="110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0.3</w:t>
            </w:r>
          </w:p>
        </w:tc>
        <w:tc>
          <w:tcPr>
            <w:tcW w:w="108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0.3</w:t>
            </w:r>
          </w:p>
        </w:tc>
        <w:tc>
          <w:tcPr>
            <w:tcW w:w="98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 xml:space="preserve">360 </w:t>
            </w:r>
          </w:p>
        </w:tc>
        <w:tc>
          <w:tcPr>
            <w:tcW w:w="72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　</w:t>
            </w:r>
          </w:p>
        </w:tc>
        <w:tc>
          <w:tcPr>
            <w:tcW w:w="880"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开发区社管局</w:t>
            </w:r>
          </w:p>
        </w:tc>
        <w:tc>
          <w:tcPr>
            <w:tcW w:w="669"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　</w:t>
            </w:r>
          </w:p>
        </w:tc>
        <w:tc>
          <w:tcPr>
            <w:tcW w:w="66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　</w:t>
            </w:r>
          </w:p>
        </w:tc>
        <w:tc>
          <w:tcPr>
            <w:tcW w:w="572"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　</w:t>
            </w:r>
          </w:p>
        </w:tc>
      </w:tr>
      <w:tr>
        <w:tblPrEx>
          <w:tblCellMar>
            <w:top w:w="0" w:type="dxa"/>
            <w:left w:w="108" w:type="dxa"/>
            <w:bottom w:w="0" w:type="dxa"/>
            <w:right w:w="108" w:type="dxa"/>
          </w:tblCellMar>
        </w:tblPrEx>
        <w:trPr>
          <w:trHeight w:val="877" w:hRule="atLeast"/>
          <w:jc w:val="center"/>
        </w:trPr>
        <w:tc>
          <w:tcPr>
            <w:tcW w:w="433"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57</w:t>
            </w:r>
          </w:p>
        </w:tc>
        <w:tc>
          <w:tcPr>
            <w:tcW w:w="137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张村安置小区幼儿园新建项目</w:t>
            </w:r>
          </w:p>
        </w:tc>
        <w:tc>
          <w:tcPr>
            <w:tcW w:w="92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幼儿园</w:t>
            </w:r>
          </w:p>
        </w:tc>
        <w:tc>
          <w:tcPr>
            <w:tcW w:w="3199"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规划12个班幼儿园，用地面积8192平方米，建筑面积9203平方米</w:t>
            </w:r>
          </w:p>
        </w:tc>
        <w:tc>
          <w:tcPr>
            <w:tcW w:w="991"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张村内</w:t>
            </w:r>
          </w:p>
        </w:tc>
        <w:tc>
          <w:tcPr>
            <w:tcW w:w="683"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新建</w:t>
            </w:r>
          </w:p>
        </w:tc>
        <w:tc>
          <w:tcPr>
            <w:tcW w:w="110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2022-2023</w:t>
            </w:r>
          </w:p>
        </w:tc>
        <w:tc>
          <w:tcPr>
            <w:tcW w:w="110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0.6</w:t>
            </w:r>
          </w:p>
        </w:tc>
        <w:tc>
          <w:tcPr>
            <w:tcW w:w="108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0.6</w:t>
            </w:r>
          </w:p>
        </w:tc>
        <w:tc>
          <w:tcPr>
            <w:tcW w:w="98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 xml:space="preserve">360 </w:t>
            </w:r>
          </w:p>
        </w:tc>
        <w:tc>
          <w:tcPr>
            <w:tcW w:w="72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待定</w:t>
            </w:r>
          </w:p>
        </w:tc>
        <w:tc>
          <w:tcPr>
            <w:tcW w:w="880"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开发区社管局</w:t>
            </w:r>
          </w:p>
        </w:tc>
        <w:tc>
          <w:tcPr>
            <w:tcW w:w="669"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实施类</w:t>
            </w:r>
          </w:p>
        </w:tc>
        <w:tc>
          <w:tcPr>
            <w:tcW w:w="66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代建</w:t>
            </w:r>
          </w:p>
        </w:tc>
        <w:tc>
          <w:tcPr>
            <w:tcW w:w="572"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　</w:t>
            </w:r>
          </w:p>
        </w:tc>
      </w:tr>
      <w:tr>
        <w:tblPrEx>
          <w:tblCellMar>
            <w:top w:w="0" w:type="dxa"/>
            <w:left w:w="108" w:type="dxa"/>
            <w:bottom w:w="0" w:type="dxa"/>
            <w:right w:w="108" w:type="dxa"/>
          </w:tblCellMar>
        </w:tblPrEx>
        <w:trPr>
          <w:trHeight w:val="971" w:hRule="atLeast"/>
          <w:jc w:val="center"/>
        </w:trPr>
        <w:tc>
          <w:tcPr>
            <w:tcW w:w="433"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58</w:t>
            </w:r>
          </w:p>
        </w:tc>
        <w:tc>
          <w:tcPr>
            <w:tcW w:w="137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小区配套幼儿园新建项目（一）</w:t>
            </w:r>
          </w:p>
        </w:tc>
        <w:tc>
          <w:tcPr>
            <w:tcW w:w="92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幼儿园</w:t>
            </w:r>
          </w:p>
        </w:tc>
        <w:tc>
          <w:tcPr>
            <w:tcW w:w="3199"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规划9个班幼儿园，用地面积5000平方米，建筑面积4000平方米</w:t>
            </w:r>
          </w:p>
        </w:tc>
        <w:tc>
          <w:tcPr>
            <w:tcW w:w="991"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待定</w:t>
            </w:r>
          </w:p>
        </w:tc>
        <w:tc>
          <w:tcPr>
            <w:tcW w:w="683"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新建</w:t>
            </w:r>
          </w:p>
        </w:tc>
        <w:tc>
          <w:tcPr>
            <w:tcW w:w="110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待定</w:t>
            </w:r>
          </w:p>
        </w:tc>
        <w:tc>
          <w:tcPr>
            <w:tcW w:w="110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0.22</w:t>
            </w:r>
          </w:p>
        </w:tc>
        <w:tc>
          <w:tcPr>
            <w:tcW w:w="108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0.1</w:t>
            </w:r>
          </w:p>
        </w:tc>
        <w:tc>
          <w:tcPr>
            <w:tcW w:w="98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 xml:space="preserve">270 </w:t>
            </w:r>
          </w:p>
        </w:tc>
        <w:tc>
          <w:tcPr>
            <w:tcW w:w="72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　</w:t>
            </w:r>
          </w:p>
        </w:tc>
        <w:tc>
          <w:tcPr>
            <w:tcW w:w="880"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　</w:t>
            </w:r>
          </w:p>
        </w:tc>
        <w:tc>
          <w:tcPr>
            <w:tcW w:w="669"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　</w:t>
            </w:r>
          </w:p>
        </w:tc>
        <w:tc>
          <w:tcPr>
            <w:tcW w:w="66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　</w:t>
            </w:r>
          </w:p>
        </w:tc>
        <w:tc>
          <w:tcPr>
            <w:tcW w:w="572"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　</w:t>
            </w:r>
          </w:p>
        </w:tc>
      </w:tr>
      <w:tr>
        <w:tblPrEx>
          <w:tblCellMar>
            <w:top w:w="0" w:type="dxa"/>
            <w:left w:w="108" w:type="dxa"/>
            <w:bottom w:w="0" w:type="dxa"/>
            <w:right w:w="108" w:type="dxa"/>
          </w:tblCellMar>
        </w:tblPrEx>
        <w:trPr>
          <w:trHeight w:val="941" w:hRule="atLeast"/>
          <w:jc w:val="center"/>
        </w:trPr>
        <w:tc>
          <w:tcPr>
            <w:tcW w:w="433"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59</w:t>
            </w:r>
          </w:p>
        </w:tc>
        <w:tc>
          <w:tcPr>
            <w:tcW w:w="137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小区配套幼儿园新建项目（二）</w:t>
            </w:r>
          </w:p>
        </w:tc>
        <w:tc>
          <w:tcPr>
            <w:tcW w:w="92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幼儿园</w:t>
            </w:r>
          </w:p>
        </w:tc>
        <w:tc>
          <w:tcPr>
            <w:tcW w:w="3199"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规划9个班幼儿园，用地面积5000平方米，建筑面积4000平方米</w:t>
            </w:r>
          </w:p>
        </w:tc>
        <w:tc>
          <w:tcPr>
            <w:tcW w:w="991"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待定</w:t>
            </w:r>
          </w:p>
        </w:tc>
        <w:tc>
          <w:tcPr>
            <w:tcW w:w="683"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新建</w:t>
            </w:r>
          </w:p>
        </w:tc>
        <w:tc>
          <w:tcPr>
            <w:tcW w:w="110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待定</w:t>
            </w:r>
          </w:p>
        </w:tc>
        <w:tc>
          <w:tcPr>
            <w:tcW w:w="110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0.22</w:t>
            </w:r>
          </w:p>
        </w:tc>
        <w:tc>
          <w:tcPr>
            <w:tcW w:w="108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0.1</w:t>
            </w:r>
          </w:p>
        </w:tc>
        <w:tc>
          <w:tcPr>
            <w:tcW w:w="98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 xml:space="preserve">270 </w:t>
            </w:r>
          </w:p>
        </w:tc>
        <w:tc>
          <w:tcPr>
            <w:tcW w:w="72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　</w:t>
            </w:r>
          </w:p>
        </w:tc>
        <w:tc>
          <w:tcPr>
            <w:tcW w:w="880"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　</w:t>
            </w:r>
          </w:p>
        </w:tc>
        <w:tc>
          <w:tcPr>
            <w:tcW w:w="669"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　</w:t>
            </w:r>
          </w:p>
        </w:tc>
        <w:tc>
          <w:tcPr>
            <w:tcW w:w="66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　</w:t>
            </w:r>
          </w:p>
        </w:tc>
        <w:tc>
          <w:tcPr>
            <w:tcW w:w="572"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　</w:t>
            </w:r>
          </w:p>
        </w:tc>
      </w:tr>
      <w:tr>
        <w:tblPrEx>
          <w:tblCellMar>
            <w:top w:w="0" w:type="dxa"/>
            <w:left w:w="108" w:type="dxa"/>
            <w:bottom w:w="0" w:type="dxa"/>
            <w:right w:w="108" w:type="dxa"/>
          </w:tblCellMar>
        </w:tblPrEx>
        <w:trPr>
          <w:trHeight w:val="913" w:hRule="atLeast"/>
          <w:jc w:val="center"/>
        </w:trPr>
        <w:tc>
          <w:tcPr>
            <w:tcW w:w="433"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60</w:t>
            </w:r>
          </w:p>
        </w:tc>
        <w:tc>
          <w:tcPr>
            <w:tcW w:w="137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小区配套幼儿园新建项目（三）</w:t>
            </w:r>
          </w:p>
        </w:tc>
        <w:tc>
          <w:tcPr>
            <w:tcW w:w="92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幼儿园</w:t>
            </w:r>
          </w:p>
        </w:tc>
        <w:tc>
          <w:tcPr>
            <w:tcW w:w="3199"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规划9个班幼儿园，用地面积5000平方米，建筑面积4000平方米</w:t>
            </w:r>
          </w:p>
        </w:tc>
        <w:tc>
          <w:tcPr>
            <w:tcW w:w="991"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待定</w:t>
            </w:r>
          </w:p>
        </w:tc>
        <w:tc>
          <w:tcPr>
            <w:tcW w:w="683"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新建</w:t>
            </w:r>
          </w:p>
        </w:tc>
        <w:tc>
          <w:tcPr>
            <w:tcW w:w="110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待定</w:t>
            </w:r>
          </w:p>
        </w:tc>
        <w:tc>
          <w:tcPr>
            <w:tcW w:w="110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0.22</w:t>
            </w:r>
          </w:p>
        </w:tc>
        <w:tc>
          <w:tcPr>
            <w:tcW w:w="108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0.1</w:t>
            </w:r>
          </w:p>
        </w:tc>
        <w:tc>
          <w:tcPr>
            <w:tcW w:w="98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 xml:space="preserve">270 </w:t>
            </w:r>
          </w:p>
        </w:tc>
        <w:tc>
          <w:tcPr>
            <w:tcW w:w="72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　</w:t>
            </w:r>
          </w:p>
        </w:tc>
        <w:tc>
          <w:tcPr>
            <w:tcW w:w="880"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　</w:t>
            </w:r>
          </w:p>
        </w:tc>
        <w:tc>
          <w:tcPr>
            <w:tcW w:w="669"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　</w:t>
            </w:r>
          </w:p>
        </w:tc>
        <w:tc>
          <w:tcPr>
            <w:tcW w:w="66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　</w:t>
            </w:r>
          </w:p>
        </w:tc>
        <w:tc>
          <w:tcPr>
            <w:tcW w:w="572"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　</w:t>
            </w:r>
          </w:p>
        </w:tc>
      </w:tr>
      <w:tr>
        <w:tblPrEx>
          <w:tblCellMar>
            <w:top w:w="0" w:type="dxa"/>
            <w:left w:w="108" w:type="dxa"/>
            <w:bottom w:w="0" w:type="dxa"/>
            <w:right w:w="108" w:type="dxa"/>
          </w:tblCellMar>
        </w:tblPrEx>
        <w:trPr>
          <w:trHeight w:val="992" w:hRule="atLeast"/>
          <w:jc w:val="center"/>
        </w:trPr>
        <w:tc>
          <w:tcPr>
            <w:tcW w:w="433"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61</w:t>
            </w:r>
          </w:p>
        </w:tc>
        <w:tc>
          <w:tcPr>
            <w:tcW w:w="137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小区配套幼儿园新建项目（四）</w:t>
            </w:r>
          </w:p>
        </w:tc>
        <w:tc>
          <w:tcPr>
            <w:tcW w:w="92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幼儿园</w:t>
            </w:r>
          </w:p>
        </w:tc>
        <w:tc>
          <w:tcPr>
            <w:tcW w:w="3199"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规划12个班幼儿园，用地面积6000平方米，建筑面积5000平方米</w:t>
            </w:r>
          </w:p>
        </w:tc>
        <w:tc>
          <w:tcPr>
            <w:tcW w:w="991"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待定</w:t>
            </w:r>
          </w:p>
        </w:tc>
        <w:tc>
          <w:tcPr>
            <w:tcW w:w="683"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新建</w:t>
            </w:r>
          </w:p>
        </w:tc>
        <w:tc>
          <w:tcPr>
            <w:tcW w:w="110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待定</w:t>
            </w:r>
          </w:p>
        </w:tc>
        <w:tc>
          <w:tcPr>
            <w:tcW w:w="110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0.3</w:t>
            </w:r>
          </w:p>
        </w:tc>
        <w:tc>
          <w:tcPr>
            <w:tcW w:w="108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0.1</w:t>
            </w:r>
          </w:p>
        </w:tc>
        <w:tc>
          <w:tcPr>
            <w:tcW w:w="98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 xml:space="preserve">360 </w:t>
            </w:r>
          </w:p>
        </w:tc>
        <w:tc>
          <w:tcPr>
            <w:tcW w:w="72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　</w:t>
            </w:r>
          </w:p>
        </w:tc>
        <w:tc>
          <w:tcPr>
            <w:tcW w:w="880"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　</w:t>
            </w:r>
          </w:p>
        </w:tc>
        <w:tc>
          <w:tcPr>
            <w:tcW w:w="669"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　</w:t>
            </w:r>
          </w:p>
        </w:tc>
        <w:tc>
          <w:tcPr>
            <w:tcW w:w="66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　</w:t>
            </w:r>
          </w:p>
        </w:tc>
        <w:tc>
          <w:tcPr>
            <w:tcW w:w="572"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　</w:t>
            </w:r>
          </w:p>
        </w:tc>
      </w:tr>
      <w:tr>
        <w:tblPrEx>
          <w:tblCellMar>
            <w:top w:w="0" w:type="dxa"/>
            <w:left w:w="108" w:type="dxa"/>
            <w:bottom w:w="0" w:type="dxa"/>
            <w:right w:w="108" w:type="dxa"/>
          </w:tblCellMar>
        </w:tblPrEx>
        <w:trPr>
          <w:trHeight w:val="978" w:hRule="atLeast"/>
          <w:jc w:val="center"/>
        </w:trPr>
        <w:tc>
          <w:tcPr>
            <w:tcW w:w="433"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62</w:t>
            </w:r>
          </w:p>
        </w:tc>
        <w:tc>
          <w:tcPr>
            <w:tcW w:w="137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小区配套幼儿园新建项目（五）</w:t>
            </w:r>
          </w:p>
        </w:tc>
        <w:tc>
          <w:tcPr>
            <w:tcW w:w="92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幼儿园</w:t>
            </w:r>
          </w:p>
        </w:tc>
        <w:tc>
          <w:tcPr>
            <w:tcW w:w="3199"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规划12个班幼儿园，用地面积6000平方米，建筑面积5000平方米</w:t>
            </w:r>
          </w:p>
        </w:tc>
        <w:tc>
          <w:tcPr>
            <w:tcW w:w="991"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待定</w:t>
            </w:r>
          </w:p>
        </w:tc>
        <w:tc>
          <w:tcPr>
            <w:tcW w:w="683"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新建</w:t>
            </w:r>
          </w:p>
        </w:tc>
        <w:tc>
          <w:tcPr>
            <w:tcW w:w="110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待定</w:t>
            </w:r>
          </w:p>
        </w:tc>
        <w:tc>
          <w:tcPr>
            <w:tcW w:w="110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0.3</w:t>
            </w:r>
          </w:p>
        </w:tc>
        <w:tc>
          <w:tcPr>
            <w:tcW w:w="108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0.05</w:t>
            </w:r>
          </w:p>
        </w:tc>
        <w:tc>
          <w:tcPr>
            <w:tcW w:w="98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 xml:space="preserve">360 </w:t>
            </w:r>
          </w:p>
        </w:tc>
        <w:tc>
          <w:tcPr>
            <w:tcW w:w="72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　</w:t>
            </w:r>
          </w:p>
        </w:tc>
        <w:tc>
          <w:tcPr>
            <w:tcW w:w="880"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　</w:t>
            </w:r>
          </w:p>
        </w:tc>
        <w:tc>
          <w:tcPr>
            <w:tcW w:w="669"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　</w:t>
            </w:r>
          </w:p>
        </w:tc>
        <w:tc>
          <w:tcPr>
            <w:tcW w:w="66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　</w:t>
            </w:r>
          </w:p>
        </w:tc>
        <w:tc>
          <w:tcPr>
            <w:tcW w:w="572"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　</w:t>
            </w:r>
          </w:p>
        </w:tc>
      </w:tr>
      <w:tr>
        <w:tblPrEx>
          <w:tblCellMar>
            <w:top w:w="0" w:type="dxa"/>
            <w:left w:w="108" w:type="dxa"/>
            <w:bottom w:w="0" w:type="dxa"/>
            <w:right w:w="108" w:type="dxa"/>
          </w:tblCellMar>
        </w:tblPrEx>
        <w:trPr>
          <w:trHeight w:val="792" w:hRule="atLeast"/>
          <w:jc w:val="center"/>
        </w:trPr>
        <w:tc>
          <w:tcPr>
            <w:tcW w:w="433"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序号</w:t>
            </w:r>
          </w:p>
        </w:tc>
        <w:tc>
          <w:tcPr>
            <w:tcW w:w="137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项目名称</w:t>
            </w:r>
          </w:p>
        </w:tc>
        <w:tc>
          <w:tcPr>
            <w:tcW w:w="92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学段</w:t>
            </w:r>
          </w:p>
        </w:tc>
        <w:tc>
          <w:tcPr>
            <w:tcW w:w="3199"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建设规模和内容</w:t>
            </w:r>
          </w:p>
        </w:tc>
        <w:tc>
          <w:tcPr>
            <w:tcW w:w="991"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建设</w:t>
            </w:r>
          </w:p>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地点</w:t>
            </w:r>
          </w:p>
        </w:tc>
        <w:tc>
          <w:tcPr>
            <w:tcW w:w="683"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建设性质</w:t>
            </w:r>
          </w:p>
        </w:tc>
        <w:tc>
          <w:tcPr>
            <w:tcW w:w="110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起止年限</w:t>
            </w:r>
          </w:p>
        </w:tc>
        <w:tc>
          <w:tcPr>
            <w:tcW w:w="110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总投资（亿元）</w:t>
            </w:r>
          </w:p>
        </w:tc>
        <w:tc>
          <w:tcPr>
            <w:tcW w:w="108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计划投资（亿元）</w:t>
            </w:r>
          </w:p>
        </w:tc>
        <w:tc>
          <w:tcPr>
            <w:tcW w:w="98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新增学位（个）</w:t>
            </w:r>
          </w:p>
        </w:tc>
        <w:tc>
          <w:tcPr>
            <w:tcW w:w="72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项目业主</w:t>
            </w:r>
          </w:p>
        </w:tc>
        <w:tc>
          <w:tcPr>
            <w:tcW w:w="880"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责任单位</w:t>
            </w:r>
          </w:p>
        </w:tc>
        <w:tc>
          <w:tcPr>
            <w:tcW w:w="669"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项目类别</w:t>
            </w:r>
          </w:p>
        </w:tc>
        <w:tc>
          <w:tcPr>
            <w:tcW w:w="66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建设模式</w:t>
            </w:r>
          </w:p>
        </w:tc>
        <w:tc>
          <w:tcPr>
            <w:tcW w:w="572"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备注</w:t>
            </w:r>
          </w:p>
        </w:tc>
      </w:tr>
      <w:tr>
        <w:tblPrEx>
          <w:tblCellMar>
            <w:top w:w="0" w:type="dxa"/>
            <w:left w:w="108" w:type="dxa"/>
            <w:bottom w:w="0" w:type="dxa"/>
            <w:right w:w="108" w:type="dxa"/>
          </w:tblCellMar>
        </w:tblPrEx>
        <w:trPr>
          <w:trHeight w:val="529" w:hRule="atLeast"/>
          <w:jc w:val="center"/>
        </w:trPr>
        <w:tc>
          <w:tcPr>
            <w:tcW w:w="433"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63</w:t>
            </w:r>
          </w:p>
        </w:tc>
        <w:tc>
          <w:tcPr>
            <w:tcW w:w="137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小区配套幼儿园新建项目（六）</w:t>
            </w:r>
          </w:p>
        </w:tc>
        <w:tc>
          <w:tcPr>
            <w:tcW w:w="92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幼儿园</w:t>
            </w:r>
          </w:p>
        </w:tc>
        <w:tc>
          <w:tcPr>
            <w:tcW w:w="3199"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规划12个班幼儿园，用地面积6000平方米，建筑面积5000平方米</w:t>
            </w:r>
          </w:p>
        </w:tc>
        <w:tc>
          <w:tcPr>
            <w:tcW w:w="991"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待定</w:t>
            </w:r>
          </w:p>
        </w:tc>
        <w:tc>
          <w:tcPr>
            <w:tcW w:w="683"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新建</w:t>
            </w:r>
          </w:p>
        </w:tc>
        <w:tc>
          <w:tcPr>
            <w:tcW w:w="110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待定</w:t>
            </w:r>
          </w:p>
        </w:tc>
        <w:tc>
          <w:tcPr>
            <w:tcW w:w="110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0.3</w:t>
            </w:r>
          </w:p>
        </w:tc>
        <w:tc>
          <w:tcPr>
            <w:tcW w:w="108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0.05</w:t>
            </w:r>
          </w:p>
        </w:tc>
        <w:tc>
          <w:tcPr>
            <w:tcW w:w="98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 xml:space="preserve">360 </w:t>
            </w:r>
          </w:p>
        </w:tc>
        <w:tc>
          <w:tcPr>
            <w:tcW w:w="72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　</w:t>
            </w:r>
          </w:p>
        </w:tc>
        <w:tc>
          <w:tcPr>
            <w:tcW w:w="880"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　</w:t>
            </w:r>
          </w:p>
        </w:tc>
        <w:tc>
          <w:tcPr>
            <w:tcW w:w="669"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　</w:t>
            </w:r>
          </w:p>
        </w:tc>
        <w:tc>
          <w:tcPr>
            <w:tcW w:w="66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　</w:t>
            </w:r>
          </w:p>
        </w:tc>
        <w:tc>
          <w:tcPr>
            <w:tcW w:w="572"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　</w:t>
            </w:r>
          </w:p>
        </w:tc>
      </w:tr>
      <w:tr>
        <w:tblPrEx>
          <w:tblCellMar>
            <w:top w:w="0" w:type="dxa"/>
            <w:left w:w="108" w:type="dxa"/>
            <w:bottom w:w="0" w:type="dxa"/>
            <w:right w:w="108" w:type="dxa"/>
          </w:tblCellMar>
        </w:tblPrEx>
        <w:trPr>
          <w:trHeight w:val="453" w:hRule="atLeast"/>
          <w:jc w:val="center"/>
        </w:trPr>
        <w:tc>
          <w:tcPr>
            <w:tcW w:w="433"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　</w:t>
            </w:r>
          </w:p>
        </w:tc>
        <w:tc>
          <w:tcPr>
            <w:tcW w:w="137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小学小计</w:t>
            </w:r>
          </w:p>
        </w:tc>
        <w:tc>
          <w:tcPr>
            <w:tcW w:w="92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　</w:t>
            </w:r>
          </w:p>
        </w:tc>
        <w:tc>
          <w:tcPr>
            <w:tcW w:w="3199"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6</w:t>
            </w:r>
          </w:p>
        </w:tc>
        <w:tc>
          <w:tcPr>
            <w:tcW w:w="991"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　</w:t>
            </w:r>
          </w:p>
        </w:tc>
        <w:tc>
          <w:tcPr>
            <w:tcW w:w="683"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　</w:t>
            </w:r>
          </w:p>
        </w:tc>
        <w:tc>
          <w:tcPr>
            <w:tcW w:w="110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　</w:t>
            </w:r>
          </w:p>
        </w:tc>
        <w:tc>
          <w:tcPr>
            <w:tcW w:w="110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 xml:space="preserve">11.46 </w:t>
            </w:r>
          </w:p>
        </w:tc>
        <w:tc>
          <w:tcPr>
            <w:tcW w:w="108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 xml:space="preserve">10.36 </w:t>
            </w:r>
          </w:p>
        </w:tc>
        <w:tc>
          <w:tcPr>
            <w:tcW w:w="98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7140</w:t>
            </w:r>
          </w:p>
        </w:tc>
        <w:tc>
          <w:tcPr>
            <w:tcW w:w="72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　</w:t>
            </w:r>
          </w:p>
        </w:tc>
        <w:tc>
          <w:tcPr>
            <w:tcW w:w="880"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　</w:t>
            </w:r>
          </w:p>
        </w:tc>
        <w:tc>
          <w:tcPr>
            <w:tcW w:w="669"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　</w:t>
            </w:r>
          </w:p>
        </w:tc>
        <w:tc>
          <w:tcPr>
            <w:tcW w:w="66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　</w:t>
            </w:r>
          </w:p>
        </w:tc>
        <w:tc>
          <w:tcPr>
            <w:tcW w:w="572"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　</w:t>
            </w:r>
          </w:p>
        </w:tc>
      </w:tr>
      <w:tr>
        <w:tblPrEx>
          <w:tblCellMar>
            <w:top w:w="0" w:type="dxa"/>
            <w:left w:w="108" w:type="dxa"/>
            <w:bottom w:w="0" w:type="dxa"/>
            <w:right w:w="108" w:type="dxa"/>
          </w:tblCellMar>
        </w:tblPrEx>
        <w:trPr>
          <w:trHeight w:val="1302" w:hRule="atLeast"/>
          <w:jc w:val="center"/>
        </w:trPr>
        <w:tc>
          <w:tcPr>
            <w:tcW w:w="433"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64</w:t>
            </w:r>
          </w:p>
        </w:tc>
        <w:tc>
          <w:tcPr>
            <w:tcW w:w="137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富岭东一小新建项目（华师大丽水学校小学部）</w:t>
            </w:r>
          </w:p>
        </w:tc>
        <w:tc>
          <w:tcPr>
            <w:tcW w:w="92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小学</w:t>
            </w:r>
          </w:p>
        </w:tc>
        <w:tc>
          <w:tcPr>
            <w:tcW w:w="3199"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新建36班小学，用地面积32597平方米，地上建筑面积21642平方米</w:t>
            </w:r>
          </w:p>
        </w:tc>
        <w:tc>
          <w:tcPr>
            <w:tcW w:w="991"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迎宾路西、北三路南</w:t>
            </w:r>
          </w:p>
        </w:tc>
        <w:tc>
          <w:tcPr>
            <w:tcW w:w="683"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续建</w:t>
            </w:r>
          </w:p>
        </w:tc>
        <w:tc>
          <w:tcPr>
            <w:tcW w:w="110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2020-2021</w:t>
            </w:r>
          </w:p>
        </w:tc>
        <w:tc>
          <w:tcPr>
            <w:tcW w:w="110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 xml:space="preserve">2.26 </w:t>
            </w:r>
          </w:p>
        </w:tc>
        <w:tc>
          <w:tcPr>
            <w:tcW w:w="108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 xml:space="preserve">2.26 </w:t>
            </w:r>
          </w:p>
        </w:tc>
        <w:tc>
          <w:tcPr>
            <w:tcW w:w="98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 xml:space="preserve">1260 </w:t>
            </w:r>
          </w:p>
        </w:tc>
        <w:tc>
          <w:tcPr>
            <w:tcW w:w="72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待定</w:t>
            </w:r>
          </w:p>
        </w:tc>
        <w:tc>
          <w:tcPr>
            <w:tcW w:w="880"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开发区社管局</w:t>
            </w:r>
          </w:p>
        </w:tc>
        <w:tc>
          <w:tcPr>
            <w:tcW w:w="669"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实施类</w:t>
            </w:r>
          </w:p>
        </w:tc>
        <w:tc>
          <w:tcPr>
            <w:tcW w:w="66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代建</w:t>
            </w:r>
          </w:p>
        </w:tc>
        <w:tc>
          <w:tcPr>
            <w:tcW w:w="572"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　</w:t>
            </w:r>
          </w:p>
        </w:tc>
      </w:tr>
      <w:tr>
        <w:tblPrEx>
          <w:tblCellMar>
            <w:top w:w="0" w:type="dxa"/>
            <w:left w:w="108" w:type="dxa"/>
            <w:bottom w:w="0" w:type="dxa"/>
            <w:right w:w="108" w:type="dxa"/>
          </w:tblCellMar>
        </w:tblPrEx>
        <w:trPr>
          <w:trHeight w:val="980" w:hRule="atLeast"/>
          <w:jc w:val="center"/>
        </w:trPr>
        <w:tc>
          <w:tcPr>
            <w:tcW w:w="433"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65</w:t>
            </w:r>
          </w:p>
        </w:tc>
        <w:tc>
          <w:tcPr>
            <w:tcW w:w="137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开发区二小迁建项目</w:t>
            </w:r>
          </w:p>
        </w:tc>
        <w:tc>
          <w:tcPr>
            <w:tcW w:w="92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小学</w:t>
            </w:r>
          </w:p>
        </w:tc>
        <w:tc>
          <w:tcPr>
            <w:tcW w:w="3199"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新建36班小学，用地面积32000平方米，建筑面积15382平方米</w:t>
            </w:r>
          </w:p>
        </w:tc>
        <w:tc>
          <w:tcPr>
            <w:tcW w:w="991"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富岭南七路东</w:t>
            </w:r>
          </w:p>
        </w:tc>
        <w:tc>
          <w:tcPr>
            <w:tcW w:w="683"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新建</w:t>
            </w:r>
          </w:p>
        </w:tc>
        <w:tc>
          <w:tcPr>
            <w:tcW w:w="110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2024-2025</w:t>
            </w:r>
          </w:p>
        </w:tc>
        <w:tc>
          <w:tcPr>
            <w:tcW w:w="110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 xml:space="preserve">1.80 </w:t>
            </w:r>
          </w:p>
        </w:tc>
        <w:tc>
          <w:tcPr>
            <w:tcW w:w="108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 xml:space="preserve">1.80 </w:t>
            </w:r>
          </w:p>
        </w:tc>
        <w:tc>
          <w:tcPr>
            <w:tcW w:w="98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 xml:space="preserve">1260 </w:t>
            </w:r>
          </w:p>
        </w:tc>
        <w:tc>
          <w:tcPr>
            <w:tcW w:w="72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待定</w:t>
            </w:r>
          </w:p>
        </w:tc>
        <w:tc>
          <w:tcPr>
            <w:tcW w:w="880"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开发区社管局</w:t>
            </w:r>
          </w:p>
        </w:tc>
        <w:tc>
          <w:tcPr>
            <w:tcW w:w="669"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谋划类</w:t>
            </w:r>
          </w:p>
        </w:tc>
        <w:tc>
          <w:tcPr>
            <w:tcW w:w="66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代建</w:t>
            </w:r>
          </w:p>
        </w:tc>
        <w:tc>
          <w:tcPr>
            <w:tcW w:w="572"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　</w:t>
            </w:r>
          </w:p>
        </w:tc>
      </w:tr>
      <w:tr>
        <w:tblPrEx>
          <w:tblCellMar>
            <w:top w:w="0" w:type="dxa"/>
            <w:left w:w="108" w:type="dxa"/>
            <w:bottom w:w="0" w:type="dxa"/>
            <w:right w:w="108" w:type="dxa"/>
          </w:tblCellMar>
        </w:tblPrEx>
        <w:trPr>
          <w:trHeight w:val="529" w:hRule="atLeast"/>
          <w:jc w:val="center"/>
        </w:trPr>
        <w:tc>
          <w:tcPr>
            <w:tcW w:w="433"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66</w:t>
            </w:r>
          </w:p>
        </w:tc>
        <w:tc>
          <w:tcPr>
            <w:tcW w:w="137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水阁区块新建小学新建工程</w:t>
            </w:r>
          </w:p>
        </w:tc>
        <w:tc>
          <w:tcPr>
            <w:tcW w:w="92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小学</w:t>
            </w:r>
          </w:p>
        </w:tc>
        <w:tc>
          <w:tcPr>
            <w:tcW w:w="3199"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新建36班小学，用地面积32000平方米，建筑面积15382平方米</w:t>
            </w:r>
          </w:p>
        </w:tc>
        <w:tc>
          <w:tcPr>
            <w:tcW w:w="991"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待定</w:t>
            </w:r>
          </w:p>
        </w:tc>
        <w:tc>
          <w:tcPr>
            <w:tcW w:w="683"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新建</w:t>
            </w:r>
          </w:p>
        </w:tc>
        <w:tc>
          <w:tcPr>
            <w:tcW w:w="110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2023-2025</w:t>
            </w:r>
          </w:p>
        </w:tc>
        <w:tc>
          <w:tcPr>
            <w:tcW w:w="110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 xml:space="preserve">1.80 </w:t>
            </w:r>
          </w:p>
        </w:tc>
        <w:tc>
          <w:tcPr>
            <w:tcW w:w="108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 xml:space="preserve">1.80 </w:t>
            </w:r>
          </w:p>
        </w:tc>
        <w:tc>
          <w:tcPr>
            <w:tcW w:w="98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 xml:space="preserve">1260 </w:t>
            </w:r>
          </w:p>
        </w:tc>
        <w:tc>
          <w:tcPr>
            <w:tcW w:w="72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待定</w:t>
            </w:r>
          </w:p>
        </w:tc>
        <w:tc>
          <w:tcPr>
            <w:tcW w:w="880"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开发区社管局</w:t>
            </w:r>
          </w:p>
        </w:tc>
        <w:tc>
          <w:tcPr>
            <w:tcW w:w="669"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实施类</w:t>
            </w:r>
          </w:p>
        </w:tc>
        <w:tc>
          <w:tcPr>
            <w:tcW w:w="66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代建</w:t>
            </w:r>
          </w:p>
        </w:tc>
        <w:tc>
          <w:tcPr>
            <w:tcW w:w="572"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　</w:t>
            </w:r>
          </w:p>
        </w:tc>
      </w:tr>
      <w:tr>
        <w:tblPrEx>
          <w:tblCellMar>
            <w:top w:w="0" w:type="dxa"/>
            <w:left w:w="108" w:type="dxa"/>
            <w:bottom w:w="0" w:type="dxa"/>
            <w:right w:w="108" w:type="dxa"/>
          </w:tblCellMar>
        </w:tblPrEx>
        <w:trPr>
          <w:trHeight w:val="1006" w:hRule="atLeast"/>
          <w:jc w:val="center"/>
        </w:trPr>
        <w:tc>
          <w:tcPr>
            <w:tcW w:w="433"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67</w:t>
            </w:r>
          </w:p>
        </w:tc>
        <w:tc>
          <w:tcPr>
            <w:tcW w:w="137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规划新建第二小学</w:t>
            </w:r>
          </w:p>
        </w:tc>
        <w:tc>
          <w:tcPr>
            <w:tcW w:w="92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小学</w:t>
            </w:r>
          </w:p>
        </w:tc>
        <w:tc>
          <w:tcPr>
            <w:tcW w:w="3199"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新建36班小学，用地面积32000平方米，建筑面积15382平方米</w:t>
            </w:r>
          </w:p>
        </w:tc>
        <w:tc>
          <w:tcPr>
            <w:tcW w:w="991"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丽景园</w:t>
            </w:r>
          </w:p>
        </w:tc>
        <w:tc>
          <w:tcPr>
            <w:tcW w:w="683"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新建</w:t>
            </w:r>
          </w:p>
        </w:tc>
        <w:tc>
          <w:tcPr>
            <w:tcW w:w="110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2023-2025</w:t>
            </w:r>
          </w:p>
        </w:tc>
        <w:tc>
          <w:tcPr>
            <w:tcW w:w="110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 xml:space="preserve">1.80 </w:t>
            </w:r>
          </w:p>
        </w:tc>
        <w:tc>
          <w:tcPr>
            <w:tcW w:w="108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 xml:space="preserve">1.80 </w:t>
            </w:r>
          </w:p>
        </w:tc>
        <w:tc>
          <w:tcPr>
            <w:tcW w:w="98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 xml:space="preserve">1260 </w:t>
            </w:r>
          </w:p>
        </w:tc>
        <w:tc>
          <w:tcPr>
            <w:tcW w:w="72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待定</w:t>
            </w:r>
          </w:p>
        </w:tc>
        <w:tc>
          <w:tcPr>
            <w:tcW w:w="880"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开发区社管局</w:t>
            </w:r>
          </w:p>
        </w:tc>
        <w:tc>
          <w:tcPr>
            <w:tcW w:w="669"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实施类</w:t>
            </w:r>
          </w:p>
        </w:tc>
        <w:tc>
          <w:tcPr>
            <w:tcW w:w="66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代建</w:t>
            </w:r>
          </w:p>
        </w:tc>
        <w:tc>
          <w:tcPr>
            <w:tcW w:w="572"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　</w:t>
            </w:r>
          </w:p>
        </w:tc>
      </w:tr>
      <w:tr>
        <w:tblPrEx>
          <w:tblCellMar>
            <w:top w:w="0" w:type="dxa"/>
            <w:left w:w="108" w:type="dxa"/>
            <w:bottom w:w="0" w:type="dxa"/>
            <w:right w:w="108" w:type="dxa"/>
          </w:tblCellMar>
        </w:tblPrEx>
        <w:trPr>
          <w:trHeight w:val="914" w:hRule="atLeast"/>
          <w:jc w:val="center"/>
        </w:trPr>
        <w:tc>
          <w:tcPr>
            <w:tcW w:w="433"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68</w:t>
            </w:r>
          </w:p>
        </w:tc>
        <w:tc>
          <w:tcPr>
            <w:tcW w:w="137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富岭西二小学新建工程</w:t>
            </w:r>
          </w:p>
        </w:tc>
        <w:tc>
          <w:tcPr>
            <w:tcW w:w="92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小学</w:t>
            </w:r>
          </w:p>
        </w:tc>
        <w:tc>
          <w:tcPr>
            <w:tcW w:w="3199"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新建36班小学，用地面积32000平方米，建筑面积15382平方米</w:t>
            </w:r>
          </w:p>
        </w:tc>
        <w:tc>
          <w:tcPr>
            <w:tcW w:w="991"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东九路西、北三路南</w:t>
            </w:r>
          </w:p>
        </w:tc>
        <w:tc>
          <w:tcPr>
            <w:tcW w:w="683"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新建</w:t>
            </w:r>
          </w:p>
        </w:tc>
        <w:tc>
          <w:tcPr>
            <w:tcW w:w="110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2024-2026</w:t>
            </w:r>
          </w:p>
        </w:tc>
        <w:tc>
          <w:tcPr>
            <w:tcW w:w="110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 xml:space="preserve">1.80 </w:t>
            </w:r>
          </w:p>
        </w:tc>
        <w:tc>
          <w:tcPr>
            <w:tcW w:w="108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 xml:space="preserve">0.70 </w:t>
            </w:r>
          </w:p>
        </w:tc>
        <w:tc>
          <w:tcPr>
            <w:tcW w:w="98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 xml:space="preserve">1260 </w:t>
            </w:r>
          </w:p>
        </w:tc>
        <w:tc>
          <w:tcPr>
            <w:tcW w:w="72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待定</w:t>
            </w:r>
          </w:p>
        </w:tc>
        <w:tc>
          <w:tcPr>
            <w:tcW w:w="880"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开发区社管局</w:t>
            </w:r>
          </w:p>
        </w:tc>
        <w:tc>
          <w:tcPr>
            <w:tcW w:w="669"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谋划类</w:t>
            </w:r>
          </w:p>
        </w:tc>
        <w:tc>
          <w:tcPr>
            <w:tcW w:w="66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代建</w:t>
            </w:r>
          </w:p>
        </w:tc>
        <w:tc>
          <w:tcPr>
            <w:tcW w:w="572"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　</w:t>
            </w:r>
          </w:p>
        </w:tc>
      </w:tr>
      <w:tr>
        <w:tblPrEx>
          <w:tblCellMar>
            <w:top w:w="0" w:type="dxa"/>
            <w:left w:w="108" w:type="dxa"/>
            <w:bottom w:w="0" w:type="dxa"/>
            <w:right w:w="108" w:type="dxa"/>
          </w:tblCellMar>
        </w:tblPrEx>
        <w:trPr>
          <w:trHeight w:val="884" w:hRule="atLeast"/>
          <w:jc w:val="center"/>
        </w:trPr>
        <w:tc>
          <w:tcPr>
            <w:tcW w:w="433"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69</w:t>
            </w:r>
          </w:p>
        </w:tc>
        <w:tc>
          <w:tcPr>
            <w:tcW w:w="137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开发区一小扩建项目</w:t>
            </w:r>
          </w:p>
        </w:tc>
        <w:tc>
          <w:tcPr>
            <w:tcW w:w="92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小学</w:t>
            </w:r>
          </w:p>
        </w:tc>
        <w:tc>
          <w:tcPr>
            <w:tcW w:w="3199"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扩建24个小学，用地面积增加22801平方米</w:t>
            </w:r>
          </w:p>
        </w:tc>
        <w:tc>
          <w:tcPr>
            <w:tcW w:w="991"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张村内</w:t>
            </w:r>
          </w:p>
        </w:tc>
        <w:tc>
          <w:tcPr>
            <w:tcW w:w="683"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新建</w:t>
            </w:r>
          </w:p>
        </w:tc>
        <w:tc>
          <w:tcPr>
            <w:tcW w:w="110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2022-2024</w:t>
            </w:r>
          </w:p>
        </w:tc>
        <w:tc>
          <w:tcPr>
            <w:tcW w:w="110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 xml:space="preserve">2.00 </w:t>
            </w:r>
          </w:p>
        </w:tc>
        <w:tc>
          <w:tcPr>
            <w:tcW w:w="108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 xml:space="preserve">2.00 </w:t>
            </w:r>
          </w:p>
        </w:tc>
        <w:tc>
          <w:tcPr>
            <w:tcW w:w="98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 xml:space="preserve">840 </w:t>
            </w:r>
          </w:p>
        </w:tc>
        <w:tc>
          <w:tcPr>
            <w:tcW w:w="72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待定</w:t>
            </w:r>
          </w:p>
        </w:tc>
        <w:tc>
          <w:tcPr>
            <w:tcW w:w="880"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开发区社管局</w:t>
            </w:r>
          </w:p>
        </w:tc>
        <w:tc>
          <w:tcPr>
            <w:tcW w:w="669"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实施类</w:t>
            </w:r>
          </w:p>
        </w:tc>
        <w:tc>
          <w:tcPr>
            <w:tcW w:w="66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代建</w:t>
            </w:r>
          </w:p>
        </w:tc>
        <w:tc>
          <w:tcPr>
            <w:tcW w:w="572"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　</w:t>
            </w:r>
          </w:p>
        </w:tc>
      </w:tr>
      <w:tr>
        <w:tblPrEx>
          <w:tblCellMar>
            <w:top w:w="0" w:type="dxa"/>
            <w:left w:w="108" w:type="dxa"/>
            <w:bottom w:w="0" w:type="dxa"/>
            <w:right w:w="108" w:type="dxa"/>
          </w:tblCellMar>
        </w:tblPrEx>
        <w:trPr>
          <w:trHeight w:val="785" w:hRule="atLeast"/>
          <w:jc w:val="center"/>
        </w:trPr>
        <w:tc>
          <w:tcPr>
            <w:tcW w:w="433"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序号</w:t>
            </w:r>
          </w:p>
        </w:tc>
        <w:tc>
          <w:tcPr>
            <w:tcW w:w="137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项目名称</w:t>
            </w:r>
          </w:p>
        </w:tc>
        <w:tc>
          <w:tcPr>
            <w:tcW w:w="92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学段</w:t>
            </w:r>
          </w:p>
        </w:tc>
        <w:tc>
          <w:tcPr>
            <w:tcW w:w="3199"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建设规模和内容</w:t>
            </w:r>
          </w:p>
        </w:tc>
        <w:tc>
          <w:tcPr>
            <w:tcW w:w="991"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建设</w:t>
            </w:r>
          </w:p>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地点</w:t>
            </w:r>
          </w:p>
        </w:tc>
        <w:tc>
          <w:tcPr>
            <w:tcW w:w="683"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建设性质</w:t>
            </w:r>
          </w:p>
        </w:tc>
        <w:tc>
          <w:tcPr>
            <w:tcW w:w="110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起止年限</w:t>
            </w:r>
          </w:p>
        </w:tc>
        <w:tc>
          <w:tcPr>
            <w:tcW w:w="110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总投资（亿元）</w:t>
            </w:r>
          </w:p>
        </w:tc>
        <w:tc>
          <w:tcPr>
            <w:tcW w:w="108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计划投资（亿元）</w:t>
            </w:r>
          </w:p>
        </w:tc>
        <w:tc>
          <w:tcPr>
            <w:tcW w:w="98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新增学位（个）</w:t>
            </w:r>
          </w:p>
        </w:tc>
        <w:tc>
          <w:tcPr>
            <w:tcW w:w="72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项目业主</w:t>
            </w:r>
          </w:p>
        </w:tc>
        <w:tc>
          <w:tcPr>
            <w:tcW w:w="880"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责任单位</w:t>
            </w:r>
          </w:p>
        </w:tc>
        <w:tc>
          <w:tcPr>
            <w:tcW w:w="669"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项目类别</w:t>
            </w:r>
          </w:p>
        </w:tc>
        <w:tc>
          <w:tcPr>
            <w:tcW w:w="66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建设模式</w:t>
            </w:r>
          </w:p>
        </w:tc>
        <w:tc>
          <w:tcPr>
            <w:tcW w:w="572"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备注</w:t>
            </w:r>
          </w:p>
        </w:tc>
      </w:tr>
      <w:tr>
        <w:tblPrEx>
          <w:tblCellMar>
            <w:top w:w="0" w:type="dxa"/>
            <w:left w:w="108" w:type="dxa"/>
            <w:bottom w:w="0" w:type="dxa"/>
            <w:right w:w="108" w:type="dxa"/>
          </w:tblCellMar>
        </w:tblPrEx>
        <w:trPr>
          <w:trHeight w:val="502" w:hRule="atLeast"/>
          <w:jc w:val="center"/>
        </w:trPr>
        <w:tc>
          <w:tcPr>
            <w:tcW w:w="433"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　</w:t>
            </w:r>
          </w:p>
        </w:tc>
        <w:tc>
          <w:tcPr>
            <w:tcW w:w="137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初中小计</w:t>
            </w:r>
          </w:p>
        </w:tc>
        <w:tc>
          <w:tcPr>
            <w:tcW w:w="92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　</w:t>
            </w:r>
          </w:p>
        </w:tc>
        <w:tc>
          <w:tcPr>
            <w:tcW w:w="3199"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 xml:space="preserve">1 </w:t>
            </w:r>
          </w:p>
        </w:tc>
        <w:tc>
          <w:tcPr>
            <w:tcW w:w="991"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　</w:t>
            </w:r>
          </w:p>
        </w:tc>
        <w:tc>
          <w:tcPr>
            <w:tcW w:w="683"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　</w:t>
            </w:r>
          </w:p>
        </w:tc>
        <w:tc>
          <w:tcPr>
            <w:tcW w:w="110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　</w:t>
            </w:r>
          </w:p>
        </w:tc>
        <w:tc>
          <w:tcPr>
            <w:tcW w:w="110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 xml:space="preserve">3.80 </w:t>
            </w:r>
          </w:p>
        </w:tc>
        <w:tc>
          <w:tcPr>
            <w:tcW w:w="108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 xml:space="preserve">3.80 </w:t>
            </w:r>
          </w:p>
        </w:tc>
        <w:tc>
          <w:tcPr>
            <w:tcW w:w="98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 xml:space="preserve">1980 </w:t>
            </w:r>
          </w:p>
        </w:tc>
        <w:tc>
          <w:tcPr>
            <w:tcW w:w="72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　</w:t>
            </w:r>
          </w:p>
        </w:tc>
        <w:tc>
          <w:tcPr>
            <w:tcW w:w="880"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　</w:t>
            </w:r>
          </w:p>
        </w:tc>
        <w:tc>
          <w:tcPr>
            <w:tcW w:w="669"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　</w:t>
            </w:r>
          </w:p>
        </w:tc>
        <w:tc>
          <w:tcPr>
            <w:tcW w:w="66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　</w:t>
            </w:r>
          </w:p>
        </w:tc>
        <w:tc>
          <w:tcPr>
            <w:tcW w:w="572"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　</w:t>
            </w:r>
          </w:p>
        </w:tc>
      </w:tr>
      <w:tr>
        <w:tblPrEx>
          <w:tblCellMar>
            <w:top w:w="0" w:type="dxa"/>
            <w:left w:w="108" w:type="dxa"/>
            <w:bottom w:w="0" w:type="dxa"/>
            <w:right w:w="108" w:type="dxa"/>
          </w:tblCellMar>
        </w:tblPrEx>
        <w:trPr>
          <w:trHeight w:val="90" w:hRule="atLeast"/>
          <w:jc w:val="center"/>
        </w:trPr>
        <w:tc>
          <w:tcPr>
            <w:tcW w:w="433"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70</w:t>
            </w:r>
          </w:p>
        </w:tc>
        <w:tc>
          <w:tcPr>
            <w:tcW w:w="137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开发区南城学校</w:t>
            </w:r>
          </w:p>
        </w:tc>
        <w:tc>
          <w:tcPr>
            <w:tcW w:w="92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初中</w:t>
            </w:r>
          </w:p>
        </w:tc>
        <w:tc>
          <w:tcPr>
            <w:tcW w:w="3199"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新建54个班初中，用地面积106亩，建筑面积24633平方米</w:t>
            </w:r>
          </w:p>
        </w:tc>
        <w:tc>
          <w:tcPr>
            <w:tcW w:w="991"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富岭东十一路东、南二路北</w:t>
            </w:r>
          </w:p>
        </w:tc>
        <w:tc>
          <w:tcPr>
            <w:tcW w:w="683"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新建</w:t>
            </w:r>
          </w:p>
        </w:tc>
        <w:tc>
          <w:tcPr>
            <w:tcW w:w="110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2021-2023</w:t>
            </w:r>
          </w:p>
        </w:tc>
        <w:tc>
          <w:tcPr>
            <w:tcW w:w="110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 xml:space="preserve">3.80 </w:t>
            </w:r>
          </w:p>
        </w:tc>
        <w:tc>
          <w:tcPr>
            <w:tcW w:w="108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 xml:space="preserve">3.80 </w:t>
            </w:r>
          </w:p>
        </w:tc>
        <w:tc>
          <w:tcPr>
            <w:tcW w:w="98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 xml:space="preserve">1980 </w:t>
            </w:r>
          </w:p>
        </w:tc>
        <w:tc>
          <w:tcPr>
            <w:tcW w:w="72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待定</w:t>
            </w:r>
          </w:p>
        </w:tc>
        <w:tc>
          <w:tcPr>
            <w:tcW w:w="880"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开发区社管局</w:t>
            </w:r>
          </w:p>
        </w:tc>
        <w:tc>
          <w:tcPr>
            <w:tcW w:w="669"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实施类</w:t>
            </w:r>
          </w:p>
        </w:tc>
        <w:tc>
          <w:tcPr>
            <w:tcW w:w="66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代建</w:t>
            </w:r>
          </w:p>
        </w:tc>
        <w:tc>
          <w:tcPr>
            <w:tcW w:w="572"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　</w:t>
            </w:r>
          </w:p>
        </w:tc>
      </w:tr>
      <w:tr>
        <w:tblPrEx>
          <w:tblCellMar>
            <w:top w:w="0" w:type="dxa"/>
            <w:left w:w="108" w:type="dxa"/>
            <w:bottom w:w="0" w:type="dxa"/>
            <w:right w:w="108" w:type="dxa"/>
          </w:tblCellMar>
        </w:tblPrEx>
        <w:trPr>
          <w:trHeight w:val="528" w:hRule="atLeast"/>
          <w:jc w:val="center"/>
        </w:trPr>
        <w:tc>
          <w:tcPr>
            <w:tcW w:w="433"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　</w:t>
            </w:r>
          </w:p>
        </w:tc>
        <w:tc>
          <w:tcPr>
            <w:tcW w:w="137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高中小计</w:t>
            </w:r>
          </w:p>
        </w:tc>
        <w:tc>
          <w:tcPr>
            <w:tcW w:w="92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　</w:t>
            </w:r>
          </w:p>
        </w:tc>
        <w:tc>
          <w:tcPr>
            <w:tcW w:w="3199"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 xml:space="preserve">2 </w:t>
            </w:r>
          </w:p>
        </w:tc>
        <w:tc>
          <w:tcPr>
            <w:tcW w:w="991"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　</w:t>
            </w:r>
          </w:p>
        </w:tc>
        <w:tc>
          <w:tcPr>
            <w:tcW w:w="683"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　</w:t>
            </w:r>
          </w:p>
        </w:tc>
        <w:tc>
          <w:tcPr>
            <w:tcW w:w="110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　</w:t>
            </w:r>
          </w:p>
        </w:tc>
        <w:tc>
          <w:tcPr>
            <w:tcW w:w="110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 xml:space="preserve">17.00 </w:t>
            </w:r>
          </w:p>
        </w:tc>
        <w:tc>
          <w:tcPr>
            <w:tcW w:w="108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 xml:space="preserve">13.00 </w:t>
            </w:r>
          </w:p>
        </w:tc>
        <w:tc>
          <w:tcPr>
            <w:tcW w:w="98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 xml:space="preserve">7800 </w:t>
            </w:r>
          </w:p>
        </w:tc>
        <w:tc>
          <w:tcPr>
            <w:tcW w:w="72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　</w:t>
            </w:r>
          </w:p>
        </w:tc>
        <w:tc>
          <w:tcPr>
            <w:tcW w:w="880"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　</w:t>
            </w:r>
          </w:p>
        </w:tc>
        <w:tc>
          <w:tcPr>
            <w:tcW w:w="669"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　</w:t>
            </w:r>
          </w:p>
        </w:tc>
        <w:tc>
          <w:tcPr>
            <w:tcW w:w="66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　</w:t>
            </w:r>
          </w:p>
        </w:tc>
        <w:tc>
          <w:tcPr>
            <w:tcW w:w="572"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　</w:t>
            </w:r>
          </w:p>
        </w:tc>
      </w:tr>
      <w:tr>
        <w:tblPrEx>
          <w:tblCellMar>
            <w:top w:w="0" w:type="dxa"/>
            <w:left w:w="108" w:type="dxa"/>
            <w:bottom w:w="0" w:type="dxa"/>
            <w:right w:w="108" w:type="dxa"/>
          </w:tblCellMar>
        </w:tblPrEx>
        <w:trPr>
          <w:trHeight w:val="833" w:hRule="atLeast"/>
          <w:jc w:val="center"/>
        </w:trPr>
        <w:tc>
          <w:tcPr>
            <w:tcW w:w="433"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71</w:t>
            </w:r>
          </w:p>
        </w:tc>
        <w:tc>
          <w:tcPr>
            <w:tcW w:w="137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北京师范大学附属丽水学校</w:t>
            </w:r>
          </w:p>
        </w:tc>
        <w:tc>
          <w:tcPr>
            <w:tcW w:w="92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高中</w:t>
            </w:r>
          </w:p>
        </w:tc>
        <w:tc>
          <w:tcPr>
            <w:tcW w:w="3199"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255亩，设置120个班，其中小学36个班、初中36个班、高中48个班</w:t>
            </w:r>
          </w:p>
        </w:tc>
        <w:tc>
          <w:tcPr>
            <w:tcW w:w="991"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　</w:t>
            </w:r>
          </w:p>
        </w:tc>
        <w:tc>
          <w:tcPr>
            <w:tcW w:w="683"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新建</w:t>
            </w:r>
          </w:p>
        </w:tc>
        <w:tc>
          <w:tcPr>
            <w:tcW w:w="110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2022-2024</w:t>
            </w:r>
          </w:p>
        </w:tc>
        <w:tc>
          <w:tcPr>
            <w:tcW w:w="110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 xml:space="preserve">10.00 </w:t>
            </w:r>
          </w:p>
        </w:tc>
        <w:tc>
          <w:tcPr>
            <w:tcW w:w="108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 xml:space="preserve">10.00 </w:t>
            </w:r>
          </w:p>
        </w:tc>
        <w:tc>
          <w:tcPr>
            <w:tcW w:w="98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 xml:space="preserve">4620 </w:t>
            </w:r>
          </w:p>
        </w:tc>
        <w:tc>
          <w:tcPr>
            <w:tcW w:w="72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待定</w:t>
            </w:r>
          </w:p>
        </w:tc>
        <w:tc>
          <w:tcPr>
            <w:tcW w:w="880"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开发区社管局</w:t>
            </w:r>
          </w:p>
        </w:tc>
        <w:tc>
          <w:tcPr>
            <w:tcW w:w="669"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实施类</w:t>
            </w:r>
          </w:p>
        </w:tc>
        <w:tc>
          <w:tcPr>
            <w:tcW w:w="66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代建</w:t>
            </w:r>
          </w:p>
        </w:tc>
        <w:tc>
          <w:tcPr>
            <w:tcW w:w="572"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　</w:t>
            </w:r>
          </w:p>
        </w:tc>
      </w:tr>
      <w:tr>
        <w:tblPrEx>
          <w:tblCellMar>
            <w:top w:w="0" w:type="dxa"/>
            <w:left w:w="108" w:type="dxa"/>
            <w:bottom w:w="0" w:type="dxa"/>
            <w:right w:w="108" w:type="dxa"/>
          </w:tblCellMar>
        </w:tblPrEx>
        <w:trPr>
          <w:trHeight w:val="1168" w:hRule="atLeast"/>
          <w:jc w:val="center"/>
        </w:trPr>
        <w:tc>
          <w:tcPr>
            <w:tcW w:w="433"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72</w:t>
            </w:r>
          </w:p>
        </w:tc>
        <w:tc>
          <w:tcPr>
            <w:tcW w:w="137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四都十二年一贯制学校</w:t>
            </w:r>
          </w:p>
        </w:tc>
        <w:tc>
          <w:tcPr>
            <w:tcW w:w="92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高中</w:t>
            </w:r>
          </w:p>
        </w:tc>
        <w:tc>
          <w:tcPr>
            <w:tcW w:w="3199"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新建84班十二年一贯制学校，小学36班，初中24班，高中24班，用地面积120000平方米，建筑面积100000平方米</w:t>
            </w:r>
          </w:p>
        </w:tc>
        <w:tc>
          <w:tcPr>
            <w:tcW w:w="991"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四都</w:t>
            </w:r>
          </w:p>
        </w:tc>
        <w:tc>
          <w:tcPr>
            <w:tcW w:w="683"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新建</w:t>
            </w:r>
          </w:p>
        </w:tc>
        <w:tc>
          <w:tcPr>
            <w:tcW w:w="110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2024-2026</w:t>
            </w:r>
          </w:p>
        </w:tc>
        <w:tc>
          <w:tcPr>
            <w:tcW w:w="110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 xml:space="preserve">7.00 </w:t>
            </w:r>
          </w:p>
        </w:tc>
        <w:tc>
          <w:tcPr>
            <w:tcW w:w="108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 xml:space="preserve">3.00 </w:t>
            </w:r>
          </w:p>
        </w:tc>
        <w:tc>
          <w:tcPr>
            <w:tcW w:w="98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 xml:space="preserve">3180 </w:t>
            </w:r>
          </w:p>
        </w:tc>
        <w:tc>
          <w:tcPr>
            <w:tcW w:w="72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待定</w:t>
            </w:r>
          </w:p>
        </w:tc>
        <w:tc>
          <w:tcPr>
            <w:tcW w:w="880"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开发区社管局</w:t>
            </w:r>
          </w:p>
        </w:tc>
        <w:tc>
          <w:tcPr>
            <w:tcW w:w="669"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谋划类</w:t>
            </w:r>
          </w:p>
        </w:tc>
        <w:tc>
          <w:tcPr>
            <w:tcW w:w="66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代建</w:t>
            </w:r>
          </w:p>
        </w:tc>
        <w:tc>
          <w:tcPr>
            <w:tcW w:w="572"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　</w:t>
            </w:r>
          </w:p>
        </w:tc>
      </w:tr>
      <w:tr>
        <w:tblPrEx>
          <w:tblCellMar>
            <w:top w:w="0" w:type="dxa"/>
            <w:left w:w="108" w:type="dxa"/>
            <w:bottom w:w="0" w:type="dxa"/>
            <w:right w:w="108" w:type="dxa"/>
          </w:tblCellMar>
        </w:tblPrEx>
        <w:trPr>
          <w:trHeight w:val="546" w:hRule="atLeast"/>
          <w:jc w:val="center"/>
        </w:trPr>
        <w:tc>
          <w:tcPr>
            <w:tcW w:w="1808" w:type="dxa"/>
            <w:gridSpan w:val="2"/>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其它类小计</w:t>
            </w:r>
          </w:p>
        </w:tc>
        <w:tc>
          <w:tcPr>
            <w:tcW w:w="92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left"/>
              <w:rPr>
                <w:rFonts w:ascii="宋体" w:hAnsi="宋体" w:cs="宋体"/>
                <w:b/>
                <w:bCs/>
                <w:kern w:val="0"/>
                <w:szCs w:val="21"/>
                <w:highlight w:val="none"/>
              </w:rPr>
            </w:pPr>
            <w:r>
              <w:rPr>
                <w:rFonts w:hint="eastAsia" w:ascii="宋体" w:hAnsi="宋体" w:cs="宋体"/>
                <w:b/>
                <w:bCs/>
                <w:kern w:val="0"/>
                <w:szCs w:val="21"/>
                <w:highlight w:val="none"/>
              </w:rPr>
              <w:t>　</w:t>
            </w:r>
          </w:p>
        </w:tc>
        <w:tc>
          <w:tcPr>
            <w:tcW w:w="3199"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 xml:space="preserve">3 </w:t>
            </w:r>
          </w:p>
        </w:tc>
        <w:tc>
          <w:tcPr>
            <w:tcW w:w="991"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　</w:t>
            </w:r>
          </w:p>
        </w:tc>
        <w:tc>
          <w:tcPr>
            <w:tcW w:w="683"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　</w:t>
            </w:r>
          </w:p>
        </w:tc>
        <w:tc>
          <w:tcPr>
            <w:tcW w:w="110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　</w:t>
            </w:r>
          </w:p>
        </w:tc>
        <w:tc>
          <w:tcPr>
            <w:tcW w:w="110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 xml:space="preserve">3.65 </w:t>
            </w:r>
          </w:p>
        </w:tc>
        <w:tc>
          <w:tcPr>
            <w:tcW w:w="108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 xml:space="preserve">3.65 </w:t>
            </w:r>
          </w:p>
        </w:tc>
        <w:tc>
          <w:tcPr>
            <w:tcW w:w="98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　</w:t>
            </w:r>
          </w:p>
        </w:tc>
        <w:tc>
          <w:tcPr>
            <w:tcW w:w="72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　</w:t>
            </w:r>
          </w:p>
        </w:tc>
        <w:tc>
          <w:tcPr>
            <w:tcW w:w="880"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　</w:t>
            </w:r>
          </w:p>
        </w:tc>
        <w:tc>
          <w:tcPr>
            <w:tcW w:w="669"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　</w:t>
            </w:r>
          </w:p>
        </w:tc>
        <w:tc>
          <w:tcPr>
            <w:tcW w:w="66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　</w:t>
            </w:r>
          </w:p>
        </w:tc>
        <w:tc>
          <w:tcPr>
            <w:tcW w:w="572"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　</w:t>
            </w:r>
          </w:p>
        </w:tc>
      </w:tr>
      <w:tr>
        <w:tblPrEx>
          <w:tblCellMar>
            <w:top w:w="0" w:type="dxa"/>
            <w:left w:w="108" w:type="dxa"/>
            <w:bottom w:w="0" w:type="dxa"/>
            <w:right w:w="108" w:type="dxa"/>
          </w:tblCellMar>
        </w:tblPrEx>
        <w:trPr>
          <w:trHeight w:val="354" w:hRule="atLeast"/>
          <w:jc w:val="center"/>
        </w:trPr>
        <w:tc>
          <w:tcPr>
            <w:tcW w:w="433"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spacing w:line="260" w:lineRule="exact"/>
              <w:jc w:val="center"/>
              <w:rPr>
                <w:rFonts w:ascii="宋体" w:hAnsi="宋体" w:cs="宋体"/>
                <w:kern w:val="0"/>
                <w:szCs w:val="21"/>
                <w:highlight w:val="none"/>
              </w:rPr>
            </w:pPr>
            <w:r>
              <w:rPr>
                <w:rFonts w:hint="eastAsia" w:ascii="宋体" w:hAnsi="宋体" w:cs="宋体"/>
                <w:kern w:val="0"/>
                <w:szCs w:val="21"/>
                <w:highlight w:val="none"/>
              </w:rPr>
              <w:t>73</w:t>
            </w:r>
          </w:p>
        </w:tc>
        <w:tc>
          <w:tcPr>
            <w:tcW w:w="137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spacing w:line="260" w:lineRule="exact"/>
              <w:jc w:val="center"/>
              <w:rPr>
                <w:rFonts w:ascii="宋体" w:hAnsi="宋体" w:cs="宋体"/>
                <w:kern w:val="0"/>
                <w:szCs w:val="21"/>
                <w:highlight w:val="none"/>
              </w:rPr>
            </w:pPr>
            <w:r>
              <w:rPr>
                <w:rFonts w:hint="eastAsia" w:ascii="宋体" w:hAnsi="宋体" w:cs="宋体"/>
                <w:kern w:val="0"/>
                <w:szCs w:val="21"/>
                <w:highlight w:val="none"/>
              </w:rPr>
              <w:t>丽水市直中小学（幼儿园）智慧校园二期</w:t>
            </w:r>
          </w:p>
        </w:tc>
        <w:tc>
          <w:tcPr>
            <w:tcW w:w="92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spacing w:line="260" w:lineRule="exact"/>
              <w:jc w:val="center"/>
              <w:rPr>
                <w:rFonts w:ascii="宋体" w:hAnsi="宋体" w:cs="宋体"/>
                <w:kern w:val="0"/>
                <w:szCs w:val="21"/>
                <w:highlight w:val="none"/>
              </w:rPr>
            </w:pPr>
            <w:r>
              <w:rPr>
                <w:rFonts w:hint="eastAsia" w:ascii="宋体" w:hAnsi="宋体" w:cs="宋体"/>
                <w:kern w:val="0"/>
                <w:szCs w:val="21"/>
                <w:highlight w:val="none"/>
              </w:rPr>
              <w:t>信息化</w:t>
            </w:r>
          </w:p>
        </w:tc>
        <w:tc>
          <w:tcPr>
            <w:tcW w:w="3199"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spacing w:line="260" w:lineRule="exact"/>
              <w:jc w:val="center"/>
              <w:rPr>
                <w:rFonts w:ascii="宋体" w:hAnsi="宋体" w:cs="宋体"/>
                <w:kern w:val="0"/>
                <w:szCs w:val="21"/>
                <w:highlight w:val="none"/>
              </w:rPr>
            </w:pPr>
            <w:r>
              <w:rPr>
                <w:rFonts w:hint="eastAsia" w:ascii="宋体" w:hAnsi="宋体" w:cs="宋体"/>
                <w:kern w:val="0"/>
                <w:szCs w:val="21"/>
                <w:highlight w:val="none"/>
              </w:rPr>
              <w:t>在一期工程建设完成网络改造升级、网络安全防护等基础设施的基础上，二期工程重点建设物联网、5G创新实验室、人工智能等新技术应用，建成智慧教育管理平台，以“未来学校”新样态为目标，实现“线上+线下”、虚拟与真实情境相融合的智慧教育模式，为培养创新型人才教育提供坚实的基础</w:t>
            </w:r>
          </w:p>
        </w:tc>
        <w:tc>
          <w:tcPr>
            <w:tcW w:w="991"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spacing w:line="260" w:lineRule="exact"/>
              <w:jc w:val="center"/>
              <w:rPr>
                <w:rFonts w:ascii="宋体" w:hAnsi="宋体" w:cs="宋体"/>
                <w:kern w:val="0"/>
                <w:szCs w:val="21"/>
                <w:highlight w:val="none"/>
              </w:rPr>
            </w:pPr>
            <w:r>
              <w:rPr>
                <w:rFonts w:hint="eastAsia" w:ascii="宋体" w:hAnsi="宋体" w:cs="宋体"/>
                <w:kern w:val="0"/>
                <w:szCs w:val="21"/>
                <w:highlight w:val="none"/>
              </w:rPr>
              <w:t>市直中小学及幼儿园</w:t>
            </w:r>
          </w:p>
        </w:tc>
        <w:tc>
          <w:tcPr>
            <w:tcW w:w="683"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spacing w:line="260" w:lineRule="exact"/>
              <w:jc w:val="center"/>
              <w:rPr>
                <w:rFonts w:ascii="宋体" w:hAnsi="宋体" w:cs="宋体"/>
                <w:kern w:val="0"/>
                <w:szCs w:val="21"/>
                <w:highlight w:val="none"/>
              </w:rPr>
            </w:pPr>
            <w:r>
              <w:rPr>
                <w:rFonts w:hint="eastAsia" w:ascii="宋体" w:hAnsi="宋体" w:cs="宋体"/>
                <w:kern w:val="0"/>
                <w:szCs w:val="21"/>
                <w:highlight w:val="none"/>
              </w:rPr>
              <w:t>　</w:t>
            </w:r>
          </w:p>
        </w:tc>
        <w:tc>
          <w:tcPr>
            <w:tcW w:w="110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spacing w:line="260" w:lineRule="exact"/>
              <w:jc w:val="center"/>
              <w:rPr>
                <w:rFonts w:ascii="宋体" w:hAnsi="宋体" w:cs="宋体"/>
                <w:kern w:val="0"/>
                <w:szCs w:val="21"/>
                <w:highlight w:val="none"/>
              </w:rPr>
            </w:pPr>
            <w:r>
              <w:rPr>
                <w:rFonts w:hint="eastAsia" w:ascii="宋体" w:hAnsi="宋体" w:cs="宋体"/>
                <w:kern w:val="0"/>
                <w:szCs w:val="21"/>
                <w:highlight w:val="none"/>
              </w:rPr>
              <w:t>2022-2025</w:t>
            </w:r>
          </w:p>
        </w:tc>
        <w:tc>
          <w:tcPr>
            <w:tcW w:w="110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spacing w:line="260" w:lineRule="exact"/>
              <w:jc w:val="center"/>
              <w:rPr>
                <w:rFonts w:ascii="宋体" w:hAnsi="宋体" w:cs="宋体"/>
                <w:kern w:val="0"/>
                <w:szCs w:val="21"/>
                <w:highlight w:val="none"/>
              </w:rPr>
            </w:pPr>
            <w:r>
              <w:rPr>
                <w:rFonts w:hint="eastAsia" w:ascii="宋体" w:hAnsi="宋体" w:cs="宋体"/>
                <w:kern w:val="0"/>
                <w:szCs w:val="21"/>
                <w:highlight w:val="none"/>
              </w:rPr>
              <w:t xml:space="preserve">0.60 </w:t>
            </w:r>
          </w:p>
        </w:tc>
        <w:tc>
          <w:tcPr>
            <w:tcW w:w="108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spacing w:line="260" w:lineRule="exact"/>
              <w:jc w:val="center"/>
              <w:rPr>
                <w:rFonts w:ascii="宋体" w:hAnsi="宋体" w:cs="宋体"/>
                <w:kern w:val="0"/>
                <w:szCs w:val="21"/>
                <w:highlight w:val="none"/>
              </w:rPr>
            </w:pPr>
            <w:r>
              <w:rPr>
                <w:rFonts w:hint="eastAsia" w:ascii="宋体" w:hAnsi="宋体" w:cs="宋体"/>
                <w:kern w:val="0"/>
                <w:szCs w:val="21"/>
                <w:highlight w:val="none"/>
              </w:rPr>
              <w:t xml:space="preserve">0.60 </w:t>
            </w:r>
          </w:p>
        </w:tc>
        <w:tc>
          <w:tcPr>
            <w:tcW w:w="98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spacing w:line="260" w:lineRule="exact"/>
              <w:jc w:val="center"/>
              <w:rPr>
                <w:rFonts w:ascii="宋体" w:hAnsi="宋体" w:cs="宋体"/>
                <w:kern w:val="0"/>
                <w:szCs w:val="21"/>
                <w:highlight w:val="none"/>
              </w:rPr>
            </w:pPr>
            <w:r>
              <w:rPr>
                <w:rFonts w:hint="eastAsia" w:ascii="宋体" w:hAnsi="宋体" w:cs="宋体"/>
                <w:kern w:val="0"/>
                <w:szCs w:val="21"/>
                <w:highlight w:val="none"/>
              </w:rPr>
              <w:t>　</w:t>
            </w:r>
          </w:p>
        </w:tc>
        <w:tc>
          <w:tcPr>
            <w:tcW w:w="72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spacing w:line="260" w:lineRule="exact"/>
              <w:jc w:val="center"/>
              <w:rPr>
                <w:rFonts w:ascii="宋体" w:hAnsi="宋体" w:cs="宋体"/>
                <w:kern w:val="0"/>
                <w:szCs w:val="21"/>
                <w:highlight w:val="none"/>
              </w:rPr>
            </w:pPr>
            <w:r>
              <w:rPr>
                <w:rFonts w:hint="eastAsia" w:ascii="宋体" w:hAnsi="宋体" w:cs="宋体"/>
                <w:kern w:val="0"/>
                <w:szCs w:val="21"/>
                <w:highlight w:val="none"/>
              </w:rPr>
              <w:t>待定</w:t>
            </w:r>
          </w:p>
        </w:tc>
        <w:tc>
          <w:tcPr>
            <w:tcW w:w="880"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spacing w:line="260" w:lineRule="exact"/>
              <w:jc w:val="center"/>
              <w:rPr>
                <w:rFonts w:ascii="宋体" w:hAnsi="宋体" w:cs="宋体"/>
                <w:kern w:val="0"/>
                <w:szCs w:val="21"/>
                <w:highlight w:val="none"/>
              </w:rPr>
            </w:pPr>
            <w:r>
              <w:rPr>
                <w:rFonts w:hint="eastAsia" w:ascii="宋体" w:hAnsi="宋体" w:cs="宋体"/>
                <w:kern w:val="0"/>
                <w:szCs w:val="21"/>
                <w:highlight w:val="none"/>
              </w:rPr>
              <w:t>丽水市教育局</w:t>
            </w:r>
          </w:p>
        </w:tc>
        <w:tc>
          <w:tcPr>
            <w:tcW w:w="669"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spacing w:line="260" w:lineRule="exact"/>
              <w:jc w:val="center"/>
              <w:rPr>
                <w:rFonts w:ascii="宋体" w:hAnsi="宋体" w:cs="宋体"/>
                <w:kern w:val="0"/>
                <w:szCs w:val="21"/>
                <w:highlight w:val="none"/>
              </w:rPr>
            </w:pPr>
            <w:r>
              <w:rPr>
                <w:rFonts w:hint="eastAsia" w:ascii="宋体" w:hAnsi="宋体" w:cs="宋体"/>
                <w:kern w:val="0"/>
                <w:szCs w:val="21"/>
                <w:highlight w:val="none"/>
              </w:rPr>
              <w:t>实施类</w:t>
            </w:r>
          </w:p>
        </w:tc>
        <w:tc>
          <w:tcPr>
            <w:tcW w:w="66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spacing w:line="260" w:lineRule="exact"/>
              <w:jc w:val="center"/>
              <w:rPr>
                <w:rFonts w:ascii="宋体" w:hAnsi="宋体" w:cs="宋体"/>
                <w:kern w:val="0"/>
                <w:szCs w:val="21"/>
                <w:highlight w:val="none"/>
              </w:rPr>
            </w:pPr>
            <w:r>
              <w:rPr>
                <w:rFonts w:hint="eastAsia" w:ascii="宋体" w:hAnsi="宋体" w:cs="宋体"/>
                <w:kern w:val="0"/>
                <w:szCs w:val="21"/>
                <w:highlight w:val="none"/>
              </w:rPr>
              <w:t>　</w:t>
            </w:r>
          </w:p>
        </w:tc>
        <w:tc>
          <w:tcPr>
            <w:tcW w:w="572"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spacing w:line="260" w:lineRule="exact"/>
              <w:jc w:val="center"/>
              <w:rPr>
                <w:rFonts w:ascii="宋体" w:hAnsi="宋体" w:cs="宋体"/>
                <w:kern w:val="0"/>
                <w:szCs w:val="21"/>
                <w:highlight w:val="none"/>
              </w:rPr>
            </w:pPr>
            <w:r>
              <w:rPr>
                <w:rFonts w:hint="eastAsia" w:ascii="宋体" w:hAnsi="宋体" w:cs="宋体"/>
                <w:kern w:val="0"/>
                <w:szCs w:val="21"/>
                <w:highlight w:val="none"/>
              </w:rPr>
              <w:t>　</w:t>
            </w:r>
          </w:p>
        </w:tc>
      </w:tr>
      <w:tr>
        <w:tblPrEx>
          <w:tblCellMar>
            <w:top w:w="0" w:type="dxa"/>
            <w:left w:w="108" w:type="dxa"/>
            <w:bottom w:w="0" w:type="dxa"/>
            <w:right w:w="108" w:type="dxa"/>
          </w:tblCellMar>
        </w:tblPrEx>
        <w:trPr>
          <w:trHeight w:val="847" w:hRule="atLeast"/>
          <w:jc w:val="center"/>
        </w:trPr>
        <w:tc>
          <w:tcPr>
            <w:tcW w:w="433"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序号</w:t>
            </w:r>
          </w:p>
        </w:tc>
        <w:tc>
          <w:tcPr>
            <w:tcW w:w="137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项目名称</w:t>
            </w:r>
          </w:p>
        </w:tc>
        <w:tc>
          <w:tcPr>
            <w:tcW w:w="92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学段</w:t>
            </w:r>
          </w:p>
        </w:tc>
        <w:tc>
          <w:tcPr>
            <w:tcW w:w="3199"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建设规模和内容</w:t>
            </w:r>
          </w:p>
        </w:tc>
        <w:tc>
          <w:tcPr>
            <w:tcW w:w="991"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建设</w:t>
            </w:r>
          </w:p>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地点</w:t>
            </w:r>
          </w:p>
        </w:tc>
        <w:tc>
          <w:tcPr>
            <w:tcW w:w="683"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建设性质</w:t>
            </w:r>
          </w:p>
        </w:tc>
        <w:tc>
          <w:tcPr>
            <w:tcW w:w="110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起止年限</w:t>
            </w:r>
          </w:p>
        </w:tc>
        <w:tc>
          <w:tcPr>
            <w:tcW w:w="110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总投资（亿元）</w:t>
            </w:r>
          </w:p>
        </w:tc>
        <w:tc>
          <w:tcPr>
            <w:tcW w:w="108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计划投资（亿元）</w:t>
            </w:r>
          </w:p>
        </w:tc>
        <w:tc>
          <w:tcPr>
            <w:tcW w:w="98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新增学位（个）</w:t>
            </w:r>
          </w:p>
        </w:tc>
        <w:tc>
          <w:tcPr>
            <w:tcW w:w="72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项目业主</w:t>
            </w:r>
          </w:p>
        </w:tc>
        <w:tc>
          <w:tcPr>
            <w:tcW w:w="880"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责任单位</w:t>
            </w:r>
          </w:p>
        </w:tc>
        <w:tc>
          <w:tcPr>
            <w:tcW w:w="669"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项目类别</w:t>
            </w:r>
          </w:p>
        </w:tc>
        <w:tc>
          <w:tcPr>
            <w:tcW w:w="66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建设模式</w:t>
            </w:r>
          </w:p>
        </w:tc>
        <w:tc>
          <w:tcPr>
            <w:tcW w:w="572"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b/>
                <w:bCs/>
                <w:kern w:val="0"/>
                <w:szCs w:val="21"/>
                <w:highlight w:val="none"/>
              </w:rPr>
            </w:pPr>
            <w:r>
              <w:rPr>
                <w:rFonts w:hint="eastAsia" w:ascii="宋体" w:hAnsi="宋体" w:cs="宋体"/>
                <w:b/>
                <w:bCs/>
                <w:kern w:val="0"/>
                <w:szCs w:val="21"/>
                <w:highlight w:val="none"/>
              </w:rPr>
              <w:t>备注</w:t>
            </w:r>
          </w:p>
        </w:tc>
      </w:tr>
      <w:tr>
        <w:tblPrEx>
          <w:tblCellMar>
            <w:top w:w="0" w:type="dxa"/>
            <w:left w:w="108" w:type="dxa"/>
            <w:bottom w:w="0" w:type="dxa"/>
            <w:right w:w="108" w:type="dxa"/>
          </w:tblCellMar>
        </w:tblPrEx>
        <w:trPr>
          <w:trHeight w:val="90" w:hRule="atLeast"/>
          <w:jc w:val="center"/>
        </w:trPr>
        <w:tc>
          <w:tcPr>
            <w:tcW w:w="433"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spacing w:line="260" w:lineRule="exact"/>
              <w:jc w:val="center"/>
              <w:rPr>
                <w:rFonts w:ascii="宋体" w:hAnsi="宋体" w:cs="宋体"/>
                <w:kern w:val="0"/>
                <w:szCs w:val="21"/>
                <w:highlight w:val="none"/>
              </w:rPr>
            </w:pPr>
            <w:r>
              <w:rPr>
                <w:rFonts w:hint="eastAsia" w:ascii="宋体" w:hAnsi="宋体" w:cs="宋体"/>
                <w:kern w:val="0"/>
                <w:szCs w:val="21"/>
                <w:highlight w:val="none"/>
              </w:rPr>
              <w:t>74</w:t>
            </w:r>
          </w:p>
        </w:tc>
        <w:tc>
          <w:tcPr>
            <w:tcW w:w="137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spacing w:line="260" w:lineRule="exact"/>
              <w:jc w:val="center"/>
              <w:rPr>
                <w:rFonts w:ascii="宋体" w:hAnsi="宋体" w:cs="宋体"/>
                <w:kern w:val="0"/>
                <w:szCs w:val="21"/>
                <w:highlight w:val="none"/>
              </w:rPr>
            </w:pPr>
            <w:r>
              <w:rPr>
                <w:rFonts w:hint="eastAsia" w:ascii="宋体" w:hAnsi="宋体" w:cs="宋体"/>
                <w:kern w:val="0"/>
                <w:szCs w:val="21"/>
                <w:highlight w:val="none"/>
              </w:rPr>
              <w:t>教育质量监测与评价平台二期、三期</w:t>
            </w:r>
          </w:p>
        </w:tc>
        <w:tc>
          <w:tcPr>
            <w:tcW w:w="92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spacing w:line="260" w:lineRule="exact"/>
              <w:jc w:val="center"/>
              <w:rPr>
                <w:rFonts w:ascii="宋体" w:hAnsi="宋体" w:cs="宋体"/>
                <w:kern w:val="0"/>
                <w:szCs w:val="21"/>
                <w:highlight w:val="none"/>
              </w:rPr>
            </w:pPr>
            <w:r>
              <w:rPr>
                <w:rFonts w:hint="eastAsia" w:ascii="宋体" w:hAnsi="宋体" w:cs="宋体"/>
                <w:kern w:val="0"/>
                <w:szCs w:val="21"/>
                <w:highlight w:val="none"/>
              </w:rPr>
              <w:t>信息化</w:t>
            </w:r>
          </w:p>
        </w:tc>
        <w:tc>
          <w:tcPr>
            <w:tcW w:w="3199"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spacing w:line="260" w:lineRule="exact"/>
              <w:jc w:val="center"/>
              <w:rPr>
                <w:rFonts w:ascii="宋体" w:hAnsi="宋体" w:cs="宋体"/>
                <w:kern w:val="0"/>
                <w:szCs w:val="21"/>
                <w:highlight w:val="none"/>
              </w:rPr>
            </w:pPr>
            <w:r>
              <w:rPr>
                <w:rFonts w:hint="eastAsia" w:ascii="宋体" w:hAnsi="宋体" w:cs="宋体"/>
                <w:kern w:val="0"/>
                <w:szCs w:val="21"/>
                <w:highlight w:val="none"/>
              </w:rPr>
              <w:t>搭建开放、融合、智能的数智中台服务体系，建立规范的接入服务，开发灵活的智能控件服务，并集成与钉钉、微信、政务网为智慧教育服务大厅。同时加快教育大数据创新应用服务，开展部门间，县域之间的教育资源应用开发服务，让教育数据为教育改革和发展提供支撑</w:t>
            </w:r>
          </w:p>
        </w:tc>
        <w:tc>
          <w:tcPr>
            <w:tcW w:w="991"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spacing w:line="260" w:lineRule="exact"/>
              <w:jc w:val="center"/>
              <w:rPr>
                <w:rFonts w:ascii="宋体" w:hAnsi="宋体" w:cs="宋体"/>
                <w:kern w:val="0"/>
                <w:szCs w:val="21"/>
                <w:highlight w:val="none"/>
              </w:rPr>
            </w:pPr>
            <w:r>
              <w:rPr>
                <w:rFonts w:hint="eastAsia" w:ascii="宋体" w:hAnsi="宋体" w:cs="宋体"/>
                <w:kern w:val="0"/>
                <w:szCs w:val="21"/>
                <w:highlight w:val="none"/>
              </w:rPr>
              <w:t>市教育局</w:t>
            </w:r>
          </w:p>
        </w:tc>
        <w:tc>
          <w:tcPr>
            <w:tcW w:w="683"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spacing w:line="260" w:lineRule="exact"/>
              <w:jc w:val="center"/>
              <w:rPr>
                <w:rFonts w:ascii="宋体" w:hAnsi="宋体" w:cs="宋体"/>
                <w:kern w:val="0"/>
                <w:szCs w:val="21"/>
                <w:highlight w:val="none"/>
              </w:rPr>
            </w:pPr>
            <w:r>
              <w:rPr>
                <w:rFonts w:hint="eastAsia" w:ascii="宋体" w:hAnsi="宋体" w:cs="宋体"/>
                <w:kern w:val="0"/>
                <w:szCs w:val="21"/>
                <w:highlight w:val="none"/>
              </w:rPr>
              <w:t>　</w:t>
            </w:r>
          </w:p>
        </w:tc>
        <w:tc>
          <w:tcPr>
            <w:tcW w:w="110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spacing w:line="260" w:lineRule="exact"/>
              <w:jc w:val="center"/>
              <w:rPr>
                <w:rFonts w:ascii="宋体" w:hAnsi="宋体" w:cs="宋体"/>
                <w:kern w:val="0"/>
                <w:szCs w:val="21"/>
                <w:highlight w:val="none"/>
              </w:rPr>
            </w:pPr>
            <w:r>
              <w:rPr>
                <w:rFonts w:hint="eastAsia" w:ascii="宋体" w:hAnsi="宋体" w:cs="宋体"/>
                <w:kern w:val="0"/>
                <w:szCs w:val="21"/>
                <w:highlight w:val="none"/>
              </w:rPr>
              <w:t>2021-2023</w:t>
            </w:r>
          </w:p>
        </w:tc>
        <w:tc>
          <w:tcPr>
            <w:tcW w:w="110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spacing w:line="260" w:lineRule="exact"/>
              <w:jc w:val="center"/>
              <w:rPr>
                <w:rFonts w:ascii="宋体" w:hAnsi="宋体" w:cs="宋体"/>
                <w:kern w:val="0"/>
                <w:szCs w:val="21"/>
                <w:highlight w:val="none"/>
              </w:rPr>
            </w:pPr>
            <w:r>
              <w:rPr>
                <w:rFonts w:hint="eastAsia" w:ascii="宋体" w:hAnsi="宋体" w:cs="宋体"/>
                <w:kern w:val="0"/>
                <w:szCs w:val="21"/>
                <w:highlight w:val="none"/>
              </w:rPr>
              <w:t xml:space="preserve">0.05 </w:t>
            </w:r>
          </w:p>
        </w:tc>
        <w:tc>
          <w:tcPr>
            <w:tcW w:w="108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spacing w:line="260" w:lineRule="exact"/>
              <w:jc w:val="center"/>
              <w:rPr>
                <w:rFonts w:ascii="宋体" w:hAnsi="宋体" w:cs="宋体"/>
                <w:kern w:val="0"/>
                <w:szCs w:val="21"/>
                <w:highlight w:val="none"/>
              </w:rPr>
            </w:pPr>
            <w:r>
              <w:rPr>
                <w:rFonts w:hint="eastAsia" w:ascii="宋体" w:hAnsi="宋体" w:cs="宋体"/>
                <w:kern w:val="0"/>
                <w:szCs w:val="21"/>
                <w:highlight w:val="none"/>
              </w:rPr>
              <w:t xml:space="preserve">0.05 </w:t>
            </w:r>
          </w:p>
        </w:tc>
        <w:tc>
          <w:tcPr>
            <w:tcW w:w="98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spacing w:line="260" w:lineRule="exact"/>
              <w:jc w:val="center"/>
              <w:rPr>
                <w:rFonts w:ascii="宋体" w:hAnsi="宋体" w:cs="宋体"/>
                <w:kern w:val="0"/>
                <w:szCs w:val="21"/>
                <w:highlight w:val="none"/>
              </w:rPr>
            </w:pPr>
            <w:r>
              <w:rPr>
                <w:rFonts w:hint="eastAsia" w:ascii="宋体" w:hAnsi="宋体" w:cs="宋体"/>
                <w:kern w:val="0"/>
                <w:szCs w:val="21"/>
                <w:highlight w:val="none"/>
              </w:rPr>
              <w:t>　</w:t>
            </w:r>
          </w:p>
        </w:tc>
        <w:tc>
          <w:tcPr>
            <w:tcW w:w="72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spacing w:line="260" w:lineRule="exact"/>
              <w:jc w:val="center"/>
              <w:rPr>
                <w:rFonts w:ascii="宋体" w:hAnsi="宋体" w:cs="宋体"/>
                <w:kern w:val="0"/>
                <w:szCs w:val="21"/>
                <w:highlight w:val="none"/>
              </w:rPr>
            </w:pPr>
            <w:r>
              <w:rPr>
                <w:rFonts w:hint="eastAsia" w:ascii="宋体" w:hAnsi="宋体" w:cs="宋体"/>
                <w:kern w:val="0"/>
                <w:szCs w:val="21"/>
                <w:highlight w:val="none"/>
              </w:rPr>
              <w:t>待定</w:t>
            </w:r>
          </w:p>
        </w:tc>
        <w:tc>
          <w:tcPr>
            <w:tcW w:w="880"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spacing w:line="260" w:lineRule="exact"/>
              <w:jc w:val="center"/>
              <w:rPr>
                <w:rFonts w:ascii="宋体" w:hAnsi="宋体" w:cs="宋体"/>
                <w:kern w:val="0"/>
                <w:szCs w:val="21"/>
                <w:highlight w:val="none"/>
              </w:rPr>
            </w:pPr>
            <w:r>
              <w:rPr>
                <w:rFonts w:hint="eastAsia" w:ascii="宋体" w:hAnsi="宋体" w:cs="宋体"/>
                <w:kern w:val="0"/>
                <w:szCs w:val="21"/>
                <w:highlight w:val="none"/>
              </w:rPr>
              <w:t>丽水市教育局</w:t>
            </w:r>
          </w:p>
        </w:tc>
        <w:tc>
          <w:tcPr>
            <w:tcW w:w="669"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spacing w:line="260" w:lineRule="exact"/>
              <w:jc w:val="center"/>
              <w:rPr>
                <w:rFonts w:ascii="宋体" w:hAnsi="宋体" w:cs="宋体"/>
                <w:kern w:val="0"/>
                <w:szCs w:val="21"/>
                <w:highlight w:val="none"/>
              </w:rPr>
            </w:pPr>
            <w:r>
              <w:rPr>
                <w:rFonts w:hint="eastAsia" w:ascii="宋体" w:hAnsi="宋体" w:cs="宋体"/>
                <w:kern w:val="0"/>
                <w:szCs w:val="21"/>
                <w:highlight w:val="none"/>
              </w:rPr>
              <w:t>实施类</w:t>
            </w:r>
          </w:p>
        </w:tc>
        <w:tc>
          <w:tcPr>
            <w:tcW w:w="66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spacing w:line="260" w:lineRule="exact"/>
              <w:jc w:val="center"/>
              <w:rPr>
                <w:rFonts w:ascii="宋体" w:hAnsi="宋体" w:cs="宋体"/>
                <w:kern w:val="0"/>
                <w:szCs w:val="21"/>
                <w:highlight w:val="none"/>
              </w:rPr>
            </w:pPr>
            <w:r>
              <w:rPr>
                <w:rFonts w:hint="eastAsia" w:ascii="宋体" w:hAnsi="宋体" w:cs="宋体"/>
                <w:kern w:val="0"/>
                <w:szCs w:val="21"/>
                <w:highlight w:val="none"/>
              </w:rPr>
              <w:t>　</w:t>
            </w:r>
          </w:p>
        </w:tc>
        <w:tc>
          <w:tcPr>
            <w:tcW w:w="572"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spacing w:line="260" w:lineRule="exact"/>
              <w:jc w:val="center"/>
              <w:rPr>
                <w:rFonts w:ascii="宋体" w:hAnsi="宋体" w:cs="宋体"/>
                <w:kern w:val="0"/>
                <w:szCs w:val="21"/>
                <w:highlight w:val="none"/>
              </w:rPr>
            </w:pPr>
            <w:r>
              <w:rPr>
                <w:rFonts w:hint="eastAsia" w:ascii="宋体" w:hAnsi="宋体" w:cs="宋体"/>
                <w:kern w:val="0"/>
                <w:szCs w:val="21"/>
                <w:highlight w:val="none"/>
              </w:rPr>
              <w:t>　</w:t>
            </w:r>
          </w:p>
        </w:tc>
      </w:tr>
      <w:tr>
        <w:tblPrEx>
          <w:tblCellMar>
            <w:top w:w="0" w:type="dxa"/>
            <w:left w:w="108" w:type="dxa"/>
            <w:bottom w:w="0" w:type="dxa"/>
            <w:right w:w="108" w:type="dxa"/>
          </w:tblCellMar>
        </w:tblPrEx>
        <w:trPr>
          <w:trHeight w:val="1481" w:hRule="atLeast"/>
          <w:jc w:val="center"/>
        </w:trPr>
        <w:tc>
          <w:tcPr>
            <w:tcW w:w="433"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75</w:t>
            </w:r>
          </w:p>
        </w:tc>
        <w:tc>
          <w:tcPr>
            <w:tcW w:w="137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绿谷知行综合教育实践基地</w:t>
            </w:r>
          </w:p>
        </w:tc>
        <w:tc>
          <w:tcPr>
            <w:tcW w:w="92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其他</w:t>
            </w:r>
          </w:p>
        </w:tc>
        <w:tc>
          <w:tcPr>
            <w:tcW w:w="3199"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用地面积120亩，建筑面积50000平方米，总投资约6亿元，建设室内专题展示和综合实践区、职业实训、室外劳动实践、科学探究和文体训练活动区等</w:t>
            </w:r>
          </w:p>
        </w:tc>
        <w:tc>
          <w:tcPr>
            <w:tcW w:w="991"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老竹</w:t>
            </w:r>
          </w:p>
        </w:tc>
        <w:tc>
          <w:tcPr>
            <w:tcW w:w="683"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　</w:t>
            </w:r>
          </w:p>
        </w:tc>
        <w:tc>
          <w:tcPr>
            <w:tcW w:w="110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2021-2023</w:t>
            </w:r>
          </w:p>
        </w:tc>
        <w:tc>
          <w:tcPr>
            <w:tcW w:w="110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 xml:space="preserve">3.00 </w:t>
            </w:r>
          </w:p>
        </w:tc>
        <w:tc>
          <w:tcPr>
            <w:tcW w:w="108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 xml:space="preserve">3.00 </w:t>
            </w:r>
          </w:p>
        </w:tc>
        <w:tc>
          <w:tcPr>
            <w:tcW w:w="98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　</w:t>
            </w:r>
          </w:p>
        </w:tc>
        <w:tc>
          <w:tcPr>
            <w:tcW w:w="72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待定</w:t>
            </w:r>
          </w:p>
        </w:tc>
        <w:tc>
          <w:tcPr>
            <w:tcW w:w="880"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市教育局</w:t>
            </w:r>
          </w:p>
        </w:tc>
        <w:tc>
          <w:tcPr>
            <w:tcW w:w="669"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实施类</w:t>
            </w:r>
          </w:p>
        </w:tc>
        <w:tc>
          <w:tcPr>
            <w:tcW w:w="66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　</w:t>
            </w:r>
          </w:p>
        </w:tc>
        <w:tc>
          <w:tcPr>
            <w:tcW w:w="572"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uppressAutoHyphens w:val="0"/>
              <w:jc w:val="center"/>
              <w:rPr>
                <w:rFonts w:ascii="宋体" w:hAnsi="宋体" w:cs="宋体"/>
                <w:kern w:val="0"/>
                <w:szCs w:val="21"/>
                <w:highlight w:val="none"/>
              </w:rPr>
            </w:pPr>
            <w:r>
              <w:rPr>
                <w:rFonts w:hint="eastAsia" w:ascii="宋体" w:hAnsi="宋体" w:cs="宋体"/>
                <w:kern w:val="0"/>
                <w:szCs w:val="21"/>
                <w:highlight w:val="none"/>
              </w:rPr>
              <w:t>民间投资</w:t>
            </w:r>
          </w:p>
        </w:tc>
      </w:tr>
    </w:tbl>
    <w:p>
      <w:pPr>
        <w:pStyle w:val="27"/>
        <w:spacing w:after="120" w:afterLines="50" w:line="660" w:lineRule="exact"/>
        <w:jc w:val="center"/>
        <w:rPr>
          <w:rFonts w:hint="eastAsia" w:ascii="方正小标宋简体" w:hAnsi="宋体" w:eastAsia="方正小标宋简体" w:cs="宋体"/>
          <w:bCs/>
          <w:kern w:val="0"/>
          <w:sz w:val="36"/>
          <w:szCs w:val="36"/>
          <w:highlight w:val="none"/>
        </w:rPr>
      </w:pPr>
    </w:p>
    <w:p>
      <w:pPr>
        <w:pStyle w:val="27"/>
        <w:spacing w:after="120" w:afterLines="50" w:line="660" w:lineRule="exact"/>
        <w:jc w:val="center"/>
        <w:rPr>
          <w:rFonts w:hint="eastAsia" w:ascii="方正小标宋简体" w:hAnsi="宋体" w:eastAsia="方正小标宋简体" w:cs="宋体"/>
          <w:bCs/>
          <w:kern w:val="0"/>
          <w:sz w:val="36"/>
          <w:szCs w:val="36"/>
          <w:highlight w:val="none"/>
        </w:rPr>
      </w:pPr>
    </w:p>
    <w:p>
      <w:pPr>
        <w:pStyle w:val="27"/>
        <w:spacing w:after="120" w:afterLines="50" w:line="660" w:lineRule="exact"/>
        <w:jc w:val="center"/>
        <w:rPr>
          <w:rFonts w:hint="eastAsia" w:ascii="方正小标宋简体" w:hAnsi="宋体" w:eastAsia="方正小标宋简体" w:cs="宋体"/>
          <w:bCs/>
          <w:kern w:val="0"/>
          <w:sz w:val="36"/>
          <w:szCs w:val="36"/>
          <w:highlight w:val="none"/>
        </w:rPr>
      </w:pPr>
    </w:p>
    <w:p>
      <w:pPr>
        <w:pStyle w:val="27"/>
        <w:spacing w:after="120" w:afterLines="50" w:line="660" w:lineRule="exact"/>
        <w:jc w:val="center"/>
        <w:rPr>
          <w:rFonts w:hint="eastAsia" w:ascii="方正小标宋简体" w:hAnsi="宋体" w:eastAsia="方正小标宋简体" w:cs="宋体"/>
          <w:bCs/>
          <w:kern w:val="0"/>
          <w:sz w:val="36"/>
          <w:szCs w:val="36"/>
          <w:highlight w:val="none"/>
        </w:rPr>
      </w:pPr>
    </w:p>
    <w:p>
      <w:pPr>
        <w:pStyle w:val="27"/>
        <w:spacing w:after="120" w:afterLines="50" w:line="660" w:lineRule="exact"/>
        <w:jc w:val="center"/>
        <w:rPr>
          <w:rFonts w:ascii="Times New Roman" w:hAnsi="Times New Roman" w:eastAsia="仿宋_GB2312"/>
          <w:sz w:val="32"/>
          <w:szCs w:val="32"/>
          <w:highlight w:val="none"/>
        </w:rPr>
      </w:pPr>
      <w:r>
        <w:rPr>
          <w:rFonts w:hint="eastAsia" w:ascii="方正小标宋简体" w:hAnsi="宋体" w:eastAsia="方正小标宋简体" w:cs="宋体"/>
          <w:bCs/>
          <w:kern w:val="0"/>
          <w:sz w:val="36"/>
          <w:szCs w:val="36"/>
          <w:highlight w:val="none"/>
        </w:rPr>
        <w:t>丽水市8县（市）“十四五”教育项目清单</w:t>
      </w:r>
    </w:p>
    <w:tbl>
      <w:tblPr>
        <w:tblStyle w:val="14"/>
        <w:tblW w:w="1541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53"/>
        <w:gridCol w:w="1378"/>
        <w:gridCol w:w="913"/>
        <w:gridCol w:w="3191"/>
        <w:gridCol w:w="927"/>
        <w:gridCol w:w="737"/>
        <w:gridCol w:w="1091"/>
        <w:gridCol w:w="1132"/>
        <w:gridCol w:w="1090"/>
        <w:gridCol w:w="955"/>
        <w:gridCol w:w="750"/>
        <w:gridCol w:w="873"/>
        <w:gridCol w:w="682"/>
        <w:gridCol w:w="668"/>
        <w:gridCol w:w="57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4" w:hRule="atLeast"/>
          <w:jc w:val="center"/>
        </w:trPr>
        <w:tc>
          <w:tcPr>
            <w:tcW w:w="453" w:type="dxa"/>
            <w:shd w:val="clear" w:color="auto" w:fill="auto"/>
            <w:vAlign w:val="center"/>
          </w:tcPr>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序号</w:t>
            </w:r>
          </w:p>
        </w:tc>
        <w:tc>
          <w:tcPr>
            <w:tcW w:w="1378" w:type="dxa"/>
            <w:shd w:val="clear" w:color="auto" w:fill="auto"/>
            <w:vAlign w:val="center"/>
          </w:tcPr>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项目名称</w:t>
            </w:r>
          </w:p>
        </w:tc>
        <w:tc>
          <w:tcPr>
            <w:tcW w:w="913" w:type="dxa"/>
            <w:shd w:val="clear" w:color="auto" w:fill="auto"/>
            <w:vAlign w:val="center"/>
          </w:tcPr>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学段</w:t>
            </w:r>
          </w:p>
        </w:tc>
        <w:tc>
          <w:tcPr>
            <w:tcW w:w="3191" w:type="dxa"/>
            <w:shd w:val="clear" w:color="auto" w:fill="auto"/>
            <w:vAlign w:val="center"/>
          </w:tcPr>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建设规模和内容</w:t>
            </w:r>
          </w:p>
        </w:tc>
        <w:tc>
          <w:tcPr>
            <w:tcW w:w="927" w:type="dxa"/>
            <w:shd w:val="clear" w:color="auto" w:fill="auto"/>
            <w:vAlign w:val="center"/>
          </w:tcPr>
          <w:p>
            <w:pPr>
              <w:widowControl/>
              <w:suppressAutoHyphens w:val="0"/>
              <w:jc w:val="center"/>
              <w:rPr>
                <w:rFonts w:hint="eastAsia"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建设</w:t>
            </w:r>
          </w:p>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地点</w:t>
            </w:r>
          </w:p>
        </w:tc>
        <w:tc>
          <w:tcPr>
            <w:tcW w:w="737" w:type="dxa"/>
            <w:shd w:val="clear" w:color="auto" w:fill="auto"/>
            <w:vAlign w:val="center"/>
          </w:tcPr>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建设性质</w:t>
            </w:r>
          </w:p>
        </w:tc>
        <w:tc>
          <w:tcPr>
            <w:tcW w:w="1091" w:type="dxa"/>
            <w:shd w:val="clear" w:color="auto" w:fill="auto"/>
            <w:vAlign w:val="center"/>
          </w:tcPr>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起止年限</w:t>
            </w:r>
          </w:p>
        </w:tc>
        <w:tc>
          <w:tcPr>
            <w:tcW w:w="1132" w:type="dxa"/>
            <w:shd w:val="clear" w:color="auto" w:fill="auto"/>
            <w:vAlign w:val="center"/>
          </w:tcPr>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总投资（亿元）</w:t>
            </w:r>
          </w:p>
        </w:tc>
        <w:tc>
          <w:tcPr>
            <w:tcW w:w="1090" w:type="dxa"/>
            <w:shd w:val="clear" w:color="auto" w:fill="auto"/>
            <w:vAlign w:val="center"/>
          </w:tcPr>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计划投资（亿元）</w:t>
            </w:r>
          </w:p>
        </w:tc>
        <w:tc>
          <w:tcPr>
            <w:tcW w:w="955" w:type="dxa"/>
            <w:shd w:val="clear" w:color="auto" w:fill="auto"/>
            <w:vAlign w:val="center"/>
          </w:tcPr>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新增学位（个）</w:t>
            </w:r>
          </w:p>
        </w:tc>
        <w:tc>
          <w:tcPr>
            <w:tcW w:w="750" w:type="dxa"/>
            <w:shd w:val="clear" w:color="auto" w:fill="auto"/>
            <w:vAlign w:val="center"/>
          </w:tcPr>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项目业主</w:t>
            </w:r>
          </w:p>
        </w:tc>
        <w:tc>
          <w:tcPr>
            <w:tcW w:w="873" w:type="dxa"/>
            <w:shd w:val="clear" w:color="auto" w:fill="auto"/>
            <w:vAlign w:val="center"/>
          </w:tcPr>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责任单位</w:t>
            </w:r>
          </w:p>
        </w:tc>
        <w:tc>
          <w:tcPr>
            <w:tcW w:w="682" w:type="dxa"/>
            <w:shd w:val="clear" w:color="auto" w:fill="auto"/>
            <w:vAlign w:val="center"/>
          </w:tcPr>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项目类别</w:t>
            </w:r>
          </w:p>
        </w:tc>
        <w:tc>
          <w:tcPr>
            <w:tcW w:w="668" w:type="dxa"/>
            <w:shd w:val="clear" w:color="auto" w:fill="auto"/>
            <w:vAlign w:val="center"/>
          </w:tcPr>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建设模式</w:t>
            </w:r>
          </w:p>
        </w:tc>
        <w:tc>
          <w:tcPr>
            <w:tcW w:w="576" w:type="dxa"/>
            <w:shd w:val="clear" w:color="auto" w:fill="auto"/>
            <w:vAlign w:val="center"/>
          </w:tcPr>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9" w:hRule="atLeast"/>
          <w:jc w:val="center"/>
        </w:trPr>
        <w:tc>
          <w:tcPr>
            <w:tcW w:w="2744" w:type="dxa"/>
            <w:gridSpan w:val="3"/>
            <w:shd w:val="clear" w:color="auto" w:fill="auto"/>
            <w:vAlign w:val="center"/>
          </w:tcPr>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总计</w:t>
            </w:r>
          </w:p>
        </w:tc>
        <w:tc>
          <w:tcPr>
            <w:tcW w:w="3191" w:type="dxa"/>
            <w:shd w:val="clear" w:color="auto" w:fill="auto"/>
            <w:vAlign w:val="center"/>
          </w:tcPr>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 xml:space="preserve">89 </w:t>
            </w:r>
          </w:p>
        </w:tc>
        <w:tc>
          <w:tcPr>
            <w:tcW w:w="927" w:type="dxa"/>
            <w:shd w:val="clear" w:color="auto" w:fill="auto"/>
            <w:vAlign w:val="center"/>
          </w:tcPr>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　</w:t>
            </w:r>
          </w:p>
        </w:tc>
        <w:tc>
          <w:tcPr>
            <w:tcW w:w="737" w:type="dxa"/>
            <w:shd w:val="clear" w:color="auto" w:fill="auto"/>
            <w:vAlign w:val="center"/>
          </w:tcPr>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　</w:t>
            </w:r>
          </w:p>
        </w:tc>
        <w:tc>
          <w:tcPr>
            <w:tcW w:w="1091" w:type="dxa"/>
            <w:shd w:val="clear" w:color="auto" w:fill="auto"/>
            <w:vAlign w:val="center"/>
          </w:tcPr>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　</w:t>
            </w:r>
          </w:p>
        </w:tc>
        <w:tc>
          <w:tcPr>
            <w:tcW w:w="1132" w:type="dxa"/>
            <w:shd w:val="clear" w:color="auto" w:fill="auto"/>
            <w:vAlign w:val="center"/>
          </w:tcPr>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 xml:space="preserve">132.75 </w:t>
            </w:r>
          </w:p>
        </w:tc>
        <w:tc>
          <w:tcPr>
            <w:tcW w:w="1090" w:type="dxa"/>
            <w:shd w:val="clear" w:color="auto" w:fill="auto"/>
            <w:vAlign w:val="center"/>
          </w:tcPr>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 xml:space="preserve">111.85 </w:t>
            </w:r>
          </w:p>
        </w:tc>
        <w:tc>
          <w:tcPr>
            <w:tcW w:w="955" w:type="dxa"/>
            <w:shd w:val="clear" w:color="auto" w:fill="auto"/>
            <w:vAlign w:val="center"/>
          </w:tcPr>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60883</w:t>
            </w:r>
          </w:p>
        </w:tc>
        <w:tc>
          <w:tcPr>
            <w:tcW w:w="750" w:type="dxa"/>
            <w:shd w:val="clear" w:color="auto" w:fill="auto"/>
            <w:vAlign w:val="center"/>
          </w:tcPr>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　</w:t>
            </w:r>
          </w:p>
        </w:tc>
        <w:tc>
          <w:tcPr>
            <w:tcW w:w="873" w:type="dxa"/>
            <w:shd w:val="clear" w:color="auto" w:fill="auto"/>
            <w:vAlign w:val="center"/>
          </w:tcPr>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　</w:t>
            </w:r>
          </w:p>
        </w:tc>
        <w:tc>
          <w:tcPr>
            <w:tcW w:w="682" w:type="dxa"/>
            <w:shd w:val="clear" w:color="auto" w:fill="auto"/>
            <w:vAlign w:val="center"/>
          </w:tcPr>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　</w:t>
            </w:r>
          </w:p>
        </w:tc>
        <w:tc>
          <w:tcPr>
            <w:tcW w:w="668" w:type="dxa"/>
            <w:shd w:val="clear" w:color="auto" w:fill="auto"/>
            <w:vAlign w:val="center"/>
          </w:tcPr>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　</w:t>
            </w:r>
          </w:p>
        </w:tc>
        <w:tc>
          <w:tcPr>
            <w:tcW w:w="576" w:type="dxa"/>
            <w:shd w:val="clear" w:color="auto" w:fill="auto"/>
            <w:vAlign w:val="center"/>
          </w:tcPr>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3" w:hRule="atLeast"/>
          <w:jc w:val="center"/>
        </w:trPr>
        <w:tc>
          <w:tcPr>
            <w:tcW w:w="2744" w:type="dxa"/>
            <w:gridSpan w:val="3"/>
            <w:shd w:val="clear" w:color="auto" w:fill="auto"/>
            <w:vAlign w:val="center"/>
          </w:tcPr>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龙泉市小计</w:t>
            </w:r>
          </w:p>
        </w:tc>
        <w:tc>
          <w:tcPr>
            <w:tcW w:w="3191" w:type="dxa"/>
            <w:shd w:val="clear" w:color="auto" w:fill="auto"/>
            <w:vAlign w:val="center"/>
          </w:tcPr>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 xml:space="preserve">13 </w:t>
            </w:r>
          </w:p>
        </w:tc>
        <w:tc>
          <w:tcPr>
            <w:tcW w:w="927" w:type="dxa"/>
            <w:shd w:val="clear" w:color="auto" w:fill="auto"/>
            <w:vAlign w:val="center"/>
          </w:tcPr>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　</w:t>
            </w:r>
          </w:p>
        </w:tc>
        <w:tc>
          <w:tcPr>
            <w:tcW w:w="737" w:type="dxa"/>
            <w:shd w:val="clear" w:color="auto" w:fill="auto"/>
            <w:vAlign w:val="center"/>
          </w:tcPr>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　</w:t>
            </w:r>
          </w:p>
        </w:tc>
        <w:tc>
          <w:tcPr>
            <w:tcW w:w="1091" w:type="dxa"/>
            <w:shd w:val="clear" w:color="auto" w:fill="auto"/>
            <w:vAlign w:val="center"/>
          </w:tcPr>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　</w:t>
            </w:r>
          </w:p>
        </w:tc>
        <w:tc>
          <w:tcPr>
            <w:tcW w:w="1132" w:type="dxa"/>
            <w:shd w:val="clear" w:color="auto" w:fill="auto"/>
            <w:vAlign w:val="center"/>
          </w:tcPr>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 xml:space="preserve">16.74 </w:t>
            </w:r>
          </w:p>
        </w:tc>
        <w:tc>
          <w:tcPr>
            <w:tcW w:w="1090" w:type="dxa"/>
            <w:shd w:val="clear" w:color="auto" w:fill="auto"/>
            <w:vAlign w:val="center"/>
          </w:tcPr>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 xml:space="preserve">13.74 </w:t>
            </w:r>
          </w:p>
        </w:tc>
        <w:tc>
          <w:tcPr>
            <w:tcW w:w="955" w:type="dxa"/>
            <w:shd w:val="clear" w:color="auto" w:fill="auto"/>
            <w:vAlign w:val="center"/>
          </w:tcPr>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9046</w:t>
            </w:r>
          </w:p>
        </w:tc>
        <w:tc>
          <w:tcPr>
            <w:tcW w:w="750" w:type="dxa"/>
            <w:shd w:val="clear" w:color="auto" w:fill="auto"/>
            <w:vAlign w:val="center"/>
          </w:tcPr>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　</w:t>
            </w:r>
          </w:p>
        </w:tc>
        <w:tc>
          <w:tcPr>
            <w:tcW w:w="873" w:type="dxa"/>
            <w:shd w:val="clear" w:color="auto" w:fill="auto"/>
            <w:vAlign w:val="center"/>
          </w:tcPr>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　</w:t>
            </w:r>
          </w:p>
        </w:tc>
        <w:tc>
          <w:tcPr>
            <w:tcW w:w="682" w:type="dxa"/>
            <w:shd w:val="clear" w:color="auto" w:fill="auto"/>
            <w:vAlign w:val="center"/>
          </w:tcPr>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　</w:t>
            </w:r>
          </w:p>
        </w:tc>
        <w:tc>
          <w:tcPr>
            <w:tcW w:w="668" w:type="dxa"/>
            <w:shd w:val="clear" w:color="auto" w:fill="auto"/>
            <w:vAlign w:val="center"/>
          </w:tcPr>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　</w:t>
            </w:r>
          </w:p>
        </w:tc>
        <w:tc>
          <w:tcPr>
            <w:tcW w:w="576" w:type="dxa"/>
            <w:shd w:val="clear" w:color="auto" w:fill="auto"/>
            <w:vAlign w:val="center"/>
          </w:tcPr>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83" w:hRule="atLeast"/>
          <w:jc w:val="center"/>
        </w:trPr>
        <w:tc>
          <w:tcPr>
            <w:tcW w:w="453"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1</w:t>
            </w:r>
          </w:p>
        </w:tc>
        <w:tc>
          <w:tcPr>
            <w:tcW w:w="1378"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龙泉市学前教育三年行动提升行动</w:t>
            </w:r>
          </w:p>
        </w:tc>
        <w:tc>
          <w:tcPr>
            <w:tcW w:w="913"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幼儿园</w:t>
            </w:r>
          </w:p>
        </w:tc>
        <w:tc>
          <w:tcPr>
            <w:tcW w:w="3191"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新建西街幼儿园（12班）、城东区块幼儿园（12班）、安仁镇幼儿园（12班），改建塔石中心幼儿园（12班，现有3班），滨江北岸（6班）、上城花园（3班）、美林悦府小区配套幼儿园（6班）</w:t>
            </w:r>
          </w:p>
        </w:tc>
        <w:tc>
          <w:tcPr>
            <w:tcW w:w="927"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各区块</w:t>
            </w:r>
          </w:p>
        </w:tc>
        <w:tc>
          <w:tcPr>
            <w:tcW w:w="737"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新建</w:t>
            </w:r>
          </w:p>
        </w:tc>
        <w:tc>
          <w:tcPr>
            <w:tcW w:w="1091"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2021-2025</w:t>
            </w:r>
          </w:p>
        </w:tc>
        <w:tc>
          <w:tcPr>
            <w:tcW w:w="1132"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 xml:space="preserve">1.28 </w:t>
            </w:r>
          </w:p>
        </w:tc>
        <w:tc>
          <w:tcPr>
            <w:tcW w:w="1090"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 xml:space="preserve">1.28 </w:t>
            </w:r>
          </w:p>
        </w:tc>
        <w:tc>
          <w:tcPr>
            <w:tcW w:w="955"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1800</w:t>
            </w:r>
          </w:p>
        </w:tc>
        <w:tc>
          <w:tcPr>
            <w:tcW w:w="750"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各有关幼儿园</w:t>
            </w:r>
          </w:p>
        </w:tc>
        <w:tc>
          <w:tcPr>
            <w:tcW w:w="873"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教育局</w:t>
            </w:r>
          </w:p>
        </w:tc>
        <w:tc>
          <w:tcPr>
            <w:tcW w:w="682"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实施类</w:t>
            </w:r>
          </w:p>
        </w:tc>
        <w:tc>
          <w:tcPr>
            <w:tcW w:w="668"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自建</w:t>
            </w:r>
          </w:p>
        </w:tc>
        <w:tc>
          <w:tcPr>
            <w:tcW w:w="576"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11" w:hRule="atLeast"/>
          <w:jc w:val="center"/>
        </w:trPr>
        <w:tc>
          <w:tcPr>
            <w:tcW w:w="453"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2</w:t>
            </w:r>
          </w:p>
        </w:tc>
        <w:tc>
          <w:tcPr>
            <w:tcW w:w="1378"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龙泉市学前教育补短提升工程</w:t>
            </w:r>
          </w:p>
        </w:tc>
        <w:tc>
          <w:tcPr>
            <w:tcW w:w="913"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幼儿园</w:t>
            </w:r>
          </w:p>
        </w:tc>
        <w:tc>
          <w:tcPr>
            <w:tcW w:w="3191"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新建南大洋幼儿园（用地面积6900平方米，建筑面积4300平面米，15班）、水南幼儿园（用地6670平方米，新建园舍3480平方米，12班）、八都中心幼儿园（用地面积：6010平方米，建筑面积4300平方米，12班）</w:t>
            </w:r>
          </w:p>
        </w:tc>
        <w:tc>
          <w:tcPr>
            <w:tcW w:w="927"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各区块</w:t>
            </w:r>
          </w:p>
        </w:tc>
        <w:tc>
          <w:tcPr>
            <w:tcW w:w="737"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新建</w:t>
            </w:r>
          </w:p>
        </w:tc>
        <w:tc>
          <w:tcPr>
            <w:tcW w:w="1091"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2021-2025</w:t>
            </w:r>
          </w:p>
        </w:tc>
        <w:tc>
          <w:tcPr>
            <w:tcW w:w="1132"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 xml:space="preserve">0.84 </w:t>
            </w:r>
          </w:p>
        </w:tc>
        <w:tc>
          <w:tcPr>
            <w:tcW w:w="1090"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 xml:space="preserve">0.84 </w:t>
            </w:r>
          </w:p>
        </w:tc>
        <w:tc>
          <w:tcPr>
            <w:tcW w:w="955"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1170</w:t>
            </w:r>
          </w:p>
        </w:tc>
        <w:tc>
          <w:tcPr>
            <w:tcW w:w="750"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各有关幼儿园</w:t>
            </w:r>
          </w:p>
        </w:tc>
        <w:tc>
          <w:tcPr>
            <w:tcW w:w="873"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教育局</w:t>
            </w:r>
          </w:p>
        </w:tc>
        <w:tc>
          <w:tcPr>
            <w:tcW w:w="682"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实施类</w:t>
            </w:r>
          </w:p>
        </w:tc>
        <w:tc>
          <w:tcPr>
            <w:tcW w:w="668"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自建</w:t>
            </w:r>
          </w:p>
        </w:tc>
        <w:tc>
          <w:tcPr>
            <w:tcW w:w="576"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11" w:hRule="atLeast"/>
          <w:jc w:val="center"/>
        </w:trPr>
        <w:tc>
          <w:tcPr>
            <w:tcW w:w="453"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3</w:t>
            </w:r>
          </w:p>
        </w:tc>
        <w:tc>
          <w:tcPr>
            <w:tcW w:w="1378"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龙泉市塔石小学迁建工程</w:t>
            </w:r>
          </w:p>
        </w:tc>
        <w:tc>
          <w:tcPr>
            <w:tcW w:w="913"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小学</w:t>
            </w:r>
          </w:p>
        </w:tc>
        <w:tc>
          <w:tcPr>
            <w:tcW w:w="3191"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用地面积61亩，按48个班级规模规划，一期建设24个班规模的小学，建筑面积22775平方米，，新建教学楼、生活楼（宿舍、食堂）、综合楼、报告厅、实验楼、体艺楼等</w:t>
            </w:r>
          </w:p>
        </w:tc>
        <w:tc>
          <w:tcPr>
            <w:tcW w:w="927"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龙泉市区</w:t>
            </w:r>
          </w:p>
        </w:tc>
        <w:tc>
          <w:tcPr>
            <w:tcW w:w="737"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新建</w:t>
            </w:r>
          </w:p>
        </w:tc>
        <w:tc>
          <w:tcPr>
            <w:tcW w:w="1091"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2023-2025</w:t>
            </w:r>
          </w:p>
        </w:tc>
        <w:tc>
          <w:tcPr>
            <w:tcW w:w="1132"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 xml:space="preserve">2.10 </w:t>
            </w:r>
          </w:p>
        </w:tc>
        <w:tc>
          <w:tcPr>
            <w:tcW w:w="1090"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 xml:space="preserve">2.10 </w:t>
            </w:r>
          </w:p>
        </w:tc>
        <w:tc>
          <w:tcPr>
            <w:tcW w:w="955"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1470</w:t>
            </w:r>
          </w:p>
        </w:tc>
        <w:tc>
          <w:tcPr>
            <w:tcW w:w="750"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塔石小学</w:t>
            </w:r>
          </w:p>
        </w:tc>
        <w:tc>
          <w:tcPr>
            <w:tcW w:w="873"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教育局</w:t>
            </w:r>
          </w:p>
        </w:tc>
        <w:tc>
          <w:tcPr>
            <w:tcW w:w="682"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实施类</w:t>
            </w:r>
          </w:p>
        </w:tc>
        <w:tc>
          <w:tcPr>
            <w:tcW w:w="668"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自建</w:t>
            </w:r>
          </w:p>
        </w:tc>
        <w:tc>
          <w:tcPr>
            <w:tcW w:w="576"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32" w:hRule="atLeast"/>
          <w:jc w:val="center"/>
        </w:trPr>
        <w:tc>
          <w:tcPr>
            <w:tcW w:w="453" w:type="dxa"/>
            <w:shd w:val="clear" w:color="auto" w:fill="auto"/>
            <w:vAlign w:val="center"/>
          </w:tcPr>
          <w:p>
            <w:pPr>
              <w:widowControl/>
              <w:suppressAutoHyphens w:val="0"/>
              <w:jc w:val="center"/>
              <w:rPr>
                <w:rFonts w:hint="eastAsia" w:cs="宋体" w:asciiTheme="majorEastAsia" w:hAnsiTheme="majorEastAsia" w:eastAsiaTheme="majorEastAsia"/>
                <w:b/>
                <w:bCs/>
                <w:kern w:val="0"/>
                <w:sz w:val="21"/>
                <w:szCs w:val="21"/>
                <w:highlight w:val="none"/>
                <w:lang w:val="en-US" w:eastAsia="zh-CN" w:bidi="ar-SA"/>
              </w:rPr>
            </w:pPr>
            <w:r>
              <w:rPr>
                <w:rFonts w:hint="eastAsia" w:cs="宋体" w:asciiTheme="majorEastAsia" w:hAnsiTheme="majorEastAsia" w:eastAsiaTheme="majorEastAsia"/>
                <w:b/>
                <w:bCs/>
                <w:kern w:val="0"/>
                <w:szCs w:val="21"/>
                <w:highlight w:val="none"/>
              </w:rPr>
              <w:t>序号</w:t>
            </w:r>
          </w:p>
        </w:tc>
        <w:tc>
          <w:tcPr>
            <w:tcW w:w="1378" w:type="dxa"/>
            <w:shd w:val="clear" w:color="auto" w:fill="auto"/>
            <w:vAlign w:val="center"/>
          </w:tcPr>
          <w:p>
            <w:pPr>
              <w:widowControl/>
              <w:suppressAutoHyphens w:val="0"/>
              <w:jc w:val="center"/>
              <w:rPr>
                <w:rFonts w:hint="eastAsia" w:cs="宋体" w:asciiTheme="majorEastAsia" w:hAnsiTheme="majorEastAsia" w:eastAsiaTheme="majorEastAsia"/>
                <w:b/>
                <w:bCs/>
                <w:kern w:val="0"/>
                <w:sz w:val="21"/>
                <w:szCs w:val="21"/>
                <w:highlight w:val="none"/>
                <w:lang w:val="en-US" w:eastAsia="zh-CN" w:bidi="ar-SA"/>
              </w:rPr>
            </w:pPr>
            <w:r>
              <w:rPr>
                <w:rFonts w:hint="eastAsia" w:cs="宋体" w:asciiTheme="majorEastAsia" w:hAnsiTheme="majorEastAsia" w:eastAsiaTheme="majorEastAsia"/>
                <w:b/>
                <w:bCs/>
                <w:kern w:val="0"/>
                <w:szCs w:val="21"/>
                <w:highlight w:val="none"/>
              </w:rPr>
              <w:t>项目名称</w:t>
            </w:r>
          </w:p>
        </w:tc>
        <w:tc>
          <w:tcPr>
            <w:tcW w:w="913" w:type="dxa"/>
            <w:shd w:val="clear" w:color="auto" w:fill="auto"/>
            <w:vAlign w:val="center"/>
          </w:tcPr>
          <w:p>
            <w:pPr>
              <w:widowControl/>
              <w:suppressAutoHyphens w:val="0"/>
              <w:jc w:val="center"/>
              <w:rPr>
                <w:rFonts w:hint="eastAsia" w:cs="宋体" w:asciiTheme="majorEastAsia" w:hAnsiTheme="majorEastAsia" w:eastAsiaTheme="majorEastAsia"/>
                <w:b/>
                <w:bCs/>
                <w:kern w:val="0"/>
                <w:sz w:val="21"/>
                <w:szCs w:val="21"/>
                <w:highlight w:val="none"/>
                <w:lang w:val="en-US" w:eastAsia="zh-CN" w:bidi="ar-SA"/>
              </w:rPr>
            </w:pPr>
            <w:r>
              <w:rPr>
                <w:rFonts w:hint="eastAsia" w:cs="宋体" w:asciiTheme="majorEastAsia" w:hAnsiTheme="majorEastAsia" w:eastAsiaTheme="majorEastAsia"/>
                <w:b/>
                <w:bCs/>
                <w:kern w:val="0"/>
                <w:szCs w:val="21"/>
                <w:highlight w:val="none"/>
              </w:rPr>
              <w:t>学段</w:t>
            </w:r>
          </w:p>
        </w:tc>
        <w:tc>
          <w:tcPr>
            <w:tcW w:w="3191" w:type="dxa"/>
            <w:shd w:val="clear" w:color="auto" w:fill="auto"/>
            <w:vAlign w:val="center"/>
          </w:tcPr>
          <w:p>
            <w:pPr>
              <w:widowControl/>
              <w:suppressAutoHyphens w:val="0"/>
              <w:jc w:val="center"/>
              <w:rPr>
                <w:rFonts w:hint="eastAsia" w:cs="宋体" w:asciiTheme="majorEastAsia" w:hAnsiTheme="majorEastAsia" w:eastAsiaTheme="majorEastAsia"/>
                <w:b/>
                <w:bCs/>
                <w:kern w:val="0"/>
                <w:sz w:val="21"/>
                <w:szCs w:val="21"/>
                <w:highlight w:val="none"/>
                <w:lang w:val="en-US" w:eastAsia="zh-CN" w:bidi="ar-SA"/>
              </w:rPr>
            </w:pPr>
            <w:r>
              <w:rPr>
                <w:rFonts w:hint="eastAsia" w:cs="宋体" w:asciiTheme="majorEastAsia" w:hAnsiTheme="majorEastAsia" w:eastAsiaTheme="majorEastAsia"/>
                <w:b/>
                <w:bCs/>
                <w:kern w:val="0"/>
                <w:szCs w:val="21"/>
                <w:highlight w:val="none"/>
              </w:rPr>
              <w:t>建设规模和内容</w:t>
            </w:r>
          </w:p>
        </w:tc>
        <w:tc>
          <w:tcPr>
            <w:tcW w:w="927" w:type="dxa"/>
            <w:shd w:val="clear" w:color="auto" w:fill="auto"/>
            <w:vAlign w:val="center"/>
          </w:tcPr>
          <w:p>
            <w:pPr>
              <w:widowControl/>
              <w:suppressAutoHyphens w:val="0"/>
              <w:jc w:val="center"/>
              <w:rPr>
                <w:rFonts w:hint="eastAsia"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建设</w:t>
            </w:r>
          </w:p>
          <w:p>
            <w:pPr>
              <w:widowControl/>
              <w:suppressAutoHyphens w:val="0"/>
              <w:jc w:val="center"/>
              <w:rPr>
                <w:rFonts w:hint="eastAsia" w:cs="宋体" w:asciiTheme="majorEastAsia" w:hAnsiTheme="majorEastAsia" w:eastAsiaTheme="majorEastAsia"/>
                <w:b/>
                <w:bCs/>
                <w:kern w:val="0"/>
                <w:sz w:val="21"/>
                <w:szCs w:val="21"/>
                <w:highlight w:val="none"/>
                <w:lang w:val="en-US" w:eastAsia="zh-CN" w:bidi="ar-SA"/>
              </w:rPr>
            </w:pPr>
            <w:r>
              <w:rPr>
                <w:rFonts w:hint="eastAsia" w:cs="宋体" w:asciiTheme="majorEastAsia" w:hAnsiTheme="majorEastAsia" w:eastAsiaTheme="majorEastAsia"/>
                <w:b/>
                <w:bCs/>
                <w:kern w:val="0"/>
                <w:szCs w:val="21"/>
                <w:highlight w:val="none"/>
              </w:rPr>
              <w:t>地点</w:t>
            </w:r>
          </w:p>
        </w:tc>
        <w:tc>
          <w:tcPr>
            <w:tcW w:w="737" w:type="dxa"/>
            <w:shd w:val="clear" w:color="auto" w:fill="auto"/>
            <w:vAlign w:val="center"/>
          </w:tcPr>
          <w:p>
            <w:pPr>
              <w:widowControl/>
              <w:suppressAutoHyphens w:val="0"/>
              <w:jc w:val="center"/>
              <w:rPr>
                <w:rFonts w:hint="eastAsia" w:cs="宋体" w:asciiTheme="majorEastAsia" w:hAnsiTheme="majorEastAsia" w:eastAsiaTheme="majorEastAsia"/>
                <w:b/>
                <w:bCs/>
                <w:kern w:val="0"/>
                <w:sz w:val="21"/>
                <w:szCs w:val="21"/>
                <w:highlight w:val="none"/>
                <w:lang w:val="en-US" w:eastAsia="zh-CN" w:bidi="ar-SA"/>
              </w:rPr>
            </w:pPr>
            <w:r>
              <w:rPr>
                <w:rFonts w:hint="eastAsia" w:cs="宋体" w:asciiTheme="majorEastAsia" w:hAnsiTheme="majorEastAsia" w:eastAsiaTheme="majorEastAsia"/>
                <w:b/>
                <w:bCs/>
                <w:kern w:val="0"/>
                <w:szCs w:val="21"/>
                <w:highlight w:val="none"/>
              </w:rPr>
              <w:t>建设性质</w:t>
            </w:r>
          </w:p>
        </w:tc>
        <w:tc>
          <w:tcPr>
            <w:tcW w:w="1091" w:type="dxa"/>
            <w:shd w:val="clear" w:color="auto" w:fill="auto"/>
            <w:vAlign w:val="center"/>
          </w:tcPr>
          <w:p>
            <w:pPr>
              <w:widowControl/>
              <w:suppressAutoHyphens w:val="0"/>
              <w:jc w:val="center"/>
              <w:rPr>
                <w:rFonts w:hint="eastAsia" w:cs="宋体" w:asciiTheme="majorEastAsia" w:hAnsiTheme="majorEastAsia" w:eastAsiaTheme="majorEastAsia"/>
                <w:b/>
                <w:bCs/>
                <w:kern w:val="0"/>
                <w:sz w:val="21"/>
                <w:szCs w:val="21"/>
                <w:highlight w:val="none"/>
                <w:lang w:val="en-US" w:eastAsia="zh-CN" w:bidi="ar-SA"/>
              </w:rPr>
            </w:pPr>
            <w:r>
              <w:rPr>
                <w:rFonts w:hint="eastAsia" w:cs="宋体" w:asciiTheme="majorEastAsia" w:hAnsiTheme="majorEastAsia" w:eastAsiaTheme="majorEastAsia"/>
                <w:b/>
                <w:bCs/>
                <w:kern w:val="0"/>
                <w:szCs w:val="21"/>
                <w:highlight w:val="none"/>
              </w:rPr>
              <w:t>起止年限</w:t>
            </w:r>
          </w:p>
        </w:tc>
        <w:tc>
          <w:tcPr>
            <w:tcW w:w="1132" w:type="dxa"/>
            <w:shd w:val="clear" w:color="auto" w:fill="auto"/>
            <w:vAlign w:val="center"/>
          </w:tcPr>
          <w:p>
            <w:pPr>
              <w:widowControl/>
              <w:suppressAutoHyphens w:val="0"/>
              <w:jc w:val="center"/>
              <w:rPr>
                <w:rFonts w:hint="eastAsia" w:cs="宋体" w:asciiTheme="majorEastAsia" w:hAnsiTheme="majorEastAsia" w:eastAsiaTheme="majorEastAsia"/>
                <w:b/>
                <w:bCs/>
                <w:kern w:val="0"/>
                <w:sz w:val="21"/>
                <w:szCs w:val="21"/>
                <w:highlight w:val="none"/>
                <w:lang w:val="en-US" w:eastAsia="zh-CN" w:bidi="ar-SA"/>
              </w:rPr>
            </w:pPr>
            <w:r>
              <w:rPr>
                <w:rFonts w:hint="eastAsia" w:cs="宋体" w:asciiTheme="majorEastAsia" w:hAnsiTheme="majorEastAsia" w:eastAsiaTheme="majorEastAsia"/>
                <w:b/>
                <w:bCs/>
                <w:kern w:val="0"/>
                <w:szCs w:val="21"/>
                <w:highlight w:val="none"/>
              </w:rPr>
              <w:t>总投资（亿元）</w:t>
            </w:r>
          </w:p>
        </w:tc>
        <w:tc>
          <w:tcPr>
            <w:tcW w:w="1090" w:type="dxa"/>
            <w:shd w:val="clear" w:color="auto" w:fill="auto"/>
            <w:vAlign w:val="center"/>
          </w:tcPr>
          <w:p>
            <w:pPr>
              <w:widowControl/>
              <w:suppressAutoHyphens w:val="0"/>
              <w:jc w:val="center"/>
              <w:rPr>
                <w:rFonts w:hint="eastAsia" w:cs="宋体" w:asciiTheme="majorEastAsia" w:hAnsiTheme="majorEastAsia" w:eastAsiaTheme="majorEastAsia"/>
                <w:b/>
                <w:bCs/>
                <w:kern w:val="0"/>
                <w:sz w:val="21"/>
                <w:szCs w:val="21"/>
                <w:highlight w:val="none"/>
                <w:lang w:val="en-US" w:eastAsia="zh-CN" w:bidi="ar-SA"/>
              </w:rPr>
            </w:pPr>
            <w:r>
              <w:rPr>
                <w:rFonts w:hint="eastAsia" w:cs="宋体" w:asciiTheme="majorEastAsia" w:hAnsiTheme="majorEastAsia" w:eastAsiaTheme="majorEastAsia"/>
                <w:b/>
                <w:bCs/>
                <w:kern w:val="0"/>
                <w:szCs w:val="21"/>
                <w:highlight w:val="none"/>
              </w:rPr>
              <w:t>计划投资（亿元）</w:t>
            </w:r>
          </w:p>
        </w:tc>
        <w:tc>
          <w:tcPr>
            <w:tcW w:w="955" w:type="dxa"/>
            <w:shd w:val="clear" w:color="auto" w:fill="auto"/>
            <w:vAlign w:val="center"/>
          </w:tcPr>
          <w:p>
            <w:pPr>
              <w:widowControl/>
              <w:suppressAutoHyphens w:val="0"/>
              <w:jc w:val="center"/>
              <w:rPr>
                <w:rFonts w:hint="eastAsia" w:cs="宋体" w:asciiTheme="majorEastAsia" w:hAnsiTheme="majorEastAsia" w:eastAsiaTheme="majorEastAsia"/>
                <w:b/>
                <w:bCs/>
                <w:kern w:val="0"/>
                <w:sz w:val="21"/>
                <w:szCs w:val="21"/>
                <w:highlight w:val="none"/>
                <w:lang w:val="en-US" w:eastAsia="zh-CN" w:bidi="ar-SA"/>
              </w:rPr>
            </w:pPr>
            <w:r>
              <w:rPr>
                <w:rFonts w:hint="eastAsia" w:cs="宋体" w:asciiTheme="majorEastAsia" w:hAnsiTheme="majorEastAsia" w:eastAsiaTheme="majorEastAsia"/>
                <w:b/>
                <w:bCs/>
                <w:kern w:val="0"/>
                <w:szCs w:val="21"/>
                <w:highlight w:val="none"/>
              </w:rPr>
              <w:t>新增学位（个）</w:t>
            </w:r>
          </w:p>
        </w:tc>
        <w:tc>
          <w:tcPr>
            <w:tcW w:w="750" w:type="dxa"/>
            <w:shd w:val="clear" w:color="auto" w:fill="auto"/>
            <w:vAlign w:val="center"/>
          </w:tcPr>
          <w:p>
            <w:pPr>
              <w:widowControl/>
              <w:suppressAutoHyphens w:val="0"/>
              <w:jc w:val="center"/>
              <w:rPr>
                <w:rFonts w:hint="eastAsia" w:cs="宋体" w:asciiTheme="majorEastAsia" w:hAnsiTheme="majorEastAsia" w:eastAsiaTheme="majorEastAsia"/>
                <w:b/>
                <w:bCs/>
                <w:kern w:val="0"/>
                <w:sz w:val="21"/>
                <w:szCs w:val="21"/>
                <w:highlight w:val="none"/>
                <w:lang w:val="en-US" w:eastAsia="zh-CN" w:bidi="ar-SA"/>
              </w:rPr>
            </w:pPr>
            <w:r>
              <w:rPr>
                <w:rFonts w:hint="eastAsia" w:cs="宋体" w:asciiTheme="majorEastAsia" w:hAnsiTheme="majorEastAsia" w:eastAsiaTheme="majorEastAsia"/>
                <w:b/>
                <w:bCs/>
                <w:kern w:val="0"/>
                <w:szCs w:val="21"/>
                <w:highlight w:val="none"/>
              </w:rPr>
              <w:t>项目业主</w:t>
            </w:r>
          </w:p>
        </w:tc>
        <w:tc>
          <w:tcPr>
            <w:tcW w:w="873" w:type="dxa"/>
            <w:shd w:val="clear" w:color="auto" w:fill="auto"/>
            <w:vAlign w:val="center"/>
          </w:tcPr>
          <w:p>
            <w:pPr>
              <w:widowControl/>
              <w:suppressAutoHyphens w:val="0"/>
              <w:jc w:val="center"/>
              <w:rPr>
                <w:rFonts w:hint="eastAsia" w:cs="宋体" w:asciiTheme="majorEastAsia" w:hAnsiTheme="majorEastAsia" w:eastAsiaTheme="majorEastAsia"/>
                <w:b/>
                <w:bCs/>
                <w:kern w:val="0"/>
                <w:sz w:val="21"/>
                <w:szCs w:val="21"/>
                <w:highlight w:val="none"/>
                <w:lang w:val="en-US" w:eastAsia="zh-CN" w:bidi="ar-SA"/>
              </w:rPr>
            </w:pPr>
            <w:r>
              <w:rPr>
                <w:rFonts w:hint="eastAsia" w:cs="宋体" w:asciiTheme="majorEastAsia" w:hAnsiTheme="majorEastAsia" w:eastAsiaTheme="majorEastAsia"/>
                <w:b/>
                <w:bCs/>
                <w:kern w:val="0"/>
                <w:szCs w:val="21"/>
                <w:highlight w:val="none"/>
              </w:rPr>
              <w:t>责任单位</w:t>
            </w:r>
          </w:p>
        </w:tc>
        <w:tc>
          <w:tcPr>
            <w:tcW w:w="682" w:type="dxa"/>
            <w:shd w:val="clear" w:color="auto" w:fill="auto"/>
            <w:vAlign w:val="center"/>
          </w:tcPr>
          <w:p>
            <w:pPr>
              <w:widowControl/>
              <w:suppressAutoHyphens w:val="0"/>
              <w:jc w:val="center"/>
              <w:rPr>
                <w:rFonts w:hint="eastAsia" w:cs="宋体" w:asciiTheme="majorEastAsia" w:hAnsiTheme="majorEastAsia" w:eastAsiaTheme="majorEastAsia"/>
                <w:b/>
                <w:bCs/>
                <w:kern w:val="0"/>
                <w:sz w:val="21"/>
                <w:szCs w:val="21"/>
                <w:highlight w:val="none"/>
                <w:lang w:val="en-US" w:eastAsia="zh-CN" w:bidi="ar-SA"/>
              </w:rPr>
            </w:pPr>
            <w:r>
              <w:rPr>
                <w:rFonts w:hint="eastAsia" w:cs="宋体" w:asciiTheme="majorEastAsia" w:hAnsiTheme="majorEastAsia" w:eastAsiaTheme="majorEastAsia"/>
                <w:b/>
                <w:bCs/>
                <w:kern w:val="0"/>
                <w:szCs w:val="21"/>
                <w:highlight w:val="none"/>
              </w:rPr>
              <w:t>项目类别</w:t>
            </w:r>
          </w:p>
        </w:tc>
        <w:tc>
          <w:tcPr>
            <w:tcW w:w="668" w:type="dxa"/>
            <w:shd w:val="clear" w:color="auto" w:fill="auto"/>
            <w:vAlign w:val="center"/>
          </w:tcPr>
          <w:p>
            <w:pPr>
              <w:widowControl/>
              <w:suppressAutoHyphens w:val="0"/>
              <w:jc w:val="center"/>
              <w:rPr>
                <w:rFonts w:hint="eastAsia" w:cs="宋体" w:asciiTheme="majorEastAsia" w:hAnsiTheme="majorEastAsia" w:eastAsiaTheme="majorEastAsia"/>
                <w:b/>
                <w:bCs/>
                <w:kern w:val="0"/>
                <w:sz w:val="21"/>
                <w:szCs w:val="21"/>
                <w:highlight w:val="none"/>
                <w:lang w:val="en-US" w:eastAsia="zh-CN" w:bidi="ar-SA"/>
              </w:rPr>
            </w:pPr>
            <w:r>
              <w:rPr>
                <w:rFonts w:hint="eastAsia" w:cs="宋体" w:asciiTheme="majorEastAsia" w:hAnsiTheme="majorEastAsia" w:eastAsiaTheme="majorEastAsia"/>
                <w:b/>
                <w:bCs/>
                <w:kern w:val="0"/>
                <w:szCs w:val="21"/>
                <w:highlight w:val="none"/>
              </w:rPr>
              <w:t>建设模式</w:t>
            </w:r>
          </w:p>
        </w:tc>
        <w:tc>
          <w:tcPr>
            <w:tcW w:w="576" w:type="dxa"/>
            <w:shd w:val="clear" w:color="auto" w:fill="auto"/>
            <w:vAlign w:val="center"/>
          </w:tcPr>
          <w:p>
            <w:pPr>
              <w:widowControl/>
              <w:suppressAutoHyphens w:val="0"/>
              <w:jc w:val="center"/>
              <w:rPr>
                <w:rFonts w:hint="eastAsia" w:cs="宋体" w:asciiTheme="majorEastAsia" w:hAnsiTheme="majorEastAsia" w:eastAsiaTheme="majorEastAsia"/>
                <w:b/>
                <w:bCs/>
                <w:kern w:val="0"/>
                <w:sz w:val="21"/>
                <w:szCs w:val="21"/>
                <w:highlight w:val="none"/>
                <w:lang w:val="en-US" w:eastAsia="zh-CN" w:bidi="ar-SA"/>
              </w:rPr>
            </w:pPr>
            <w:r>
              <w:rPr>
                <w:rFonts w:hint="eastAsia" w:cs="宋体" w:asciiTheme="majorEastAsia" w:hAnsiTheme="majorEastAsia" w:eastAsiaTheme="majorEastAsia"/>
                <w:b/>
                <w:bCs/>
                <w:kern w:val="0"/>
                <w:szCs w:val="21"/>
                <w:highlight w:val="none"/>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9" w:hRule="atLeast"/>
          <w:jc w:val="center"/>
        </w:trPr>
        <w:tc>
          <w:tcPr>
            <w:tcW w:w="453"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4</w:t>
            </w:r>
          </w:p>
        </w:tc>
        <w:tc>
          <w:tcPr>
            <w:tcW w:w="1378"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龙泉市水南小学扩建工程</w:t>
            </w:r>
          </w:p>
        </w:tc>
        <w:tc>
          <w:tcPr>
            <w:tcW w:w="913"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小学</w:t>
            </w:r>
          </w:p>
        </w:tc>
        <w:tc>
          <w:tcPr>
            <w:tcW w:w="3191"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按48班规模，项目用地27亩，新建校舍15995平方米</w:t>
            </w:r>
          </w:p>
        </w:tc>
        <w:tc>
          <w:tcPr>
            <w:tcW w:w="927"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龙泉市区</w:t>
            </w:r>
          </w:p>
        </w:tc>
        <w:tc>
          <w:tcPr>
            <w:tcW w:w="737"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改扩建</w:t>
            </w:r>
          </w:p>
        </w:tc>
        <w:tc>
          <w:tcPr>
            <w:tcW w:w="1091"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2024-2026</w:t>
            </w:r>
          </w:p>
        </w:tc>
        <w:tc>
          <w:tcPr>
            <w:tcW w:w="1132"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 xml:space="preserve">1.00 </w:t>
            </w:r>
          </w:p>
        </w:tc>
        <w:tc>
          <w:tcPr>
            <w:tcW w:w="1090"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 xml:space="preserve">0.66 </w:t>
            </w:r>
          </w:p>
        </w:tc>
        <w:tc>
          <w:tcPr>
            <w:tcW w:w="955"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385</w:t>
            </w:r>
          </w:p>
        </w:tc>
        <w:tc>
          <w:tcPr>
            <w:tcW w:w="750"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水南小学</w:t>
            </w:r>
          </w:p>
        </w:tc>
        <w:tc>
          <w:tcPr>
            <w:tcW w:w="873"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教育局</w:t>
            </w:r>
          </w:p>
        </w:tc>
        <w:tc>
          <w:tcPr>
            <w:tcW w:w="682"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实施类</w:t>
            </w:r>
          </w:p>
        </w:tc>
        <w:tc>
          <w:tcPr>
            <w:tcW w:w="668"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自建</w:t>
            </w:r>
          </w:p>
        </w:tc>
        <w:tc>
          <w:tcPr>
            <w:tcW w:w="576"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22" w:hRule="atLeast"/>
          <w:jc w:val="center"/>
        </w:trPr>
        <w:tc>
          <w:tcPr>
            <w:tcW w:w="453"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5</w:t>
            </w:r>
          </w:p>
        </w:tc>
        <w:tc>
          <w:tcPr>
            <w:tcW w:w="1378"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龙泉市八都小学迁建工程</w:t>
            </w:r>
          </w:p>
        </w:tc>
        <w:tc>
          <w:tcPr>
            <w:tcW w:w="913"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小学</w:t>
            </w:r>
          </w:p>
        </w:tc>
        <w:tc>
          <w:tcPr>
            <w:tcW w:w="3191"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按小学36个班规模，项目用地约46.5亩，新建校舍23500平方米，新建教学楼、宿舍楼、食堂、综合楼、报告厅、实验楼、体艺楼等</w:t>
            </w:r>
          </w:p>
        </w:tc>
        <w:tc>
          <w:tcPr>
            <w:tcW w:w="927"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龙泉八都</w:t>
            </w:r>
          </w:p>
        </w:tc>
        <w:tc>
          <w:tcPr>
            <w:tcW w:w="737"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新建</w:t>
            </w:r>
          </w:p>
        </w:tc>
        <w:tc>
          <w:tcPr>
            <w:tcW w:w="1091"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2024-2026</w:t>
            </w:r>
          </w:p>
        </w:tc>
        <w:tc>
          <w:tcPr>
            <w:tcW w:w="1132"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 xml:space="preserve">1.55 </w:t>
            </w:r>
          </w:p>
        </w:tc>
        <w:tc>
          <w:tcPr>
            <w:tcW w:w="1090"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 xml:space="preserve">1.02 </w:t>
            </w:r>
          </w:p>
        </w:tc>
        <w:tc>
          <w:tcPr>
            <w:tcW w:w="955"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385</w:t>
            </w:r>
          </w:p>
        </w:tc>
        <w:tc>
          <w:tcPr>
            <w:tcW w:w="750"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八都小学</w:t>
            </w:r>
          </w:p>
        </w:tc>
        <w:tc>
          <w:tcPr>
            <w:tcW w:w="873"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教育局</w:t>
            </w:r>
          </w:p>
        </w:tc>
        <w:tc>
          <w:tcPr>
            <w:tcW w:w="682"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实施类</w:t>
            </w:r>
          </w:p>
        </w:tc>
        <w:tc>
          <w:tcPr>
            <w:tcW w:w="668"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自建</w:t>
            </w:r>
          </w:p>
        </w:tc>
        <w:tc>
          <w:tcPr>
            <w:tcW w:w="576"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73" w:hRule="atLeast"/>
          <w:jc w:val="center"/>
        </w:trPr>
        <w:tc>
          <w:tcPr>
            <w:tcW w:w="453"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6</w:t>
            </w:r>
          </w:p>
        </w:tc>
        <w:tc>
          <w:tcPr>
            <w:tcW w:w="1378"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龙泉市兰巨小学迁建项目</w:t>
            </w:r>
          </w:p>
        </w:tc>
        <w:tc>
          <w:tcPr>
            <w:tcW w:w="913"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小学</w:t>
            </w:r>
          </w:p>
        </w:tc>
        <w:tc>
          <w:tcPr>
            <w:tcW w:w="3191"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对兰巨小学进行迁建至集镇核心区块，规划用地30亩，高标准提升学校基础设施及师资力量，引进优质教育资源，打造优质教育品牌，服务集镇集聚人口及周边乡镇</w:t>
            </w:r>
          </w:p>
        </w:tc>
        <w:tc>
          <w:tcPr>
            <w:tcW w:w="927"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龙泉兰巨</w:t>
            </w:r>
          </w:p>
        </w:tc>
        <w:tc>
          <w:tcPr>
            <w:tcW w:w="737"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新建</w:t>
            </w:r>
          </w:p>
        </w:tc>
        <w:tc>
          <w:tcPr>
            <w:tcW w:w="1091"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2025-2027</w:t>
            </w:r>
          </w:p>
        </w:tc>
        <w:tc>
          <w:tcPr>
            <w:tcW w:w="1132"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 xml:space="preserve">0.80 </w:t>
            </w:r>
          </w:p>
        </w:tc>
        <w:tc>
          <w:tcPr>
            <w:tcW w:w="1090"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 xml:space="preserve">0.00 </w:t>
            </w:r>
          </w:p>
        </w:tc>
        <w:tc>
          <w:tcPr>
            <w:tcW w:w="955"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　</w:t>
            </w:r>
          </w:p>
        </w:tc>
        <w:tc>
          <w:tcPr>
            <w:tcW w:w="750"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兰巨小学</w:t>
            </w:r>
          </w:p>
        </w:tc>
        <w:tc>
          <w:tcPr>
            <w:tcW w:w="873"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教育局</w:t>
            </w:r>
          </w:p>
        </w:tc>
        <w:tc>
          <w:tcPr>
            <w:tcW w:w="682"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谋划类</w:t>
            </w:r>
          </w:p>
        </w:tc>
        <w:tc>
          <w:tcPr>
            <w:tcW w:w="668"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自建</w:t>
            </w:r>
          </w:p>
        </w:tc>
        <w:tc>
          <w:tcPr>
            <w:tcW w:w="576"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4" w:hRule="atLeast"/>
          <w:jc w:val="center"/>
        </w:trPr>
        <w:tc>
          <w:tcPr>
            <w:tcW w:w="453"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7</w:t>
            </w:r>
          </w:p>
        </w:tc>
        <w:tc>
          <w:tcPr>
            <w:tcW w:w="1378"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龙泉市第四中学扩建工程</w:t>
            </w:r>
          </w:p>
        </w:tc>
        <w:tc>
          <w:tcPr>
            <w:tcW w:w="913"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初中</w:t>
            </w:r>
          </w:p>
        </w:tc>
        <w:tc>
          <w:tcPr>
            <w:tcW w:w="3191"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总用地93亩，总建筑面积约33146平方米；建设42个班级的寄宿制普通中学</w:t>
            </w:r>
          </w:p>
        </w:tc>
        <w:tc>
          <w:tcPr>
            <w:tcW w:w="927"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龙泉市区</w:t>
            </w:r>
          </w:p>
        </w:tc>
        <w:tc>
          <w:tcPr>
            <w:tcW w:w="737"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改扩建</w:t>
            </w:r>
          </w:p>
        </w:tc>
        <w:tc>
          <w:tcPr>
            <w:tcW w:w="1091"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2020-2024</w:t>
            </w:r>
          </w:p>
        </w:tc>
        <w:tc>
          <w:tcPr>
            <w:tcW w:w="1132"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 xml:space="preserve">1.49 </w:t>
            </w:r>
          </w:p>
        </w:tc>
        <w:tc>
          <w:tcPr>
            <w:tcW w:w="1090"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 xml:space="preserve">1.35 </w:t>
            </w:r>
          </w:p>
        </w:tc>
        <w:tc>
          <w:tcPr>
            <w:tcW w:w="955"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320</w:t>
            </w:r>
          </w:p>
        </w:tc>
        <w:tc>
          <w:tcPr>
            <w:tcW w:w="750"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龙泉四中</w:t>
            </w:r>
          </w:p>
        </w:tc>
        <w:tc>
          <w:tcPr>
            <w:tcW w:w="873"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教育局</w:t>
            </w:r>
          </w:p>
        </w:tc>
        <w:tc>
          <w:tcPr>
            <w:tcW w:w="682"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实施类</w:t>
            </w:r>
          </w:p>
        </w:tc>
        <w:tc>
          <w:tcPr>
            <w:tcW w:w="668"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自建</w:t>
            </w:r>
          </w:p>
        </w:tc>
        <w:tc>
          <w:tcPr>
            <w:tcW w:w="576"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2" w:hRule="atLeast"/>
          <w:jc w:val="center"/>
        </w:trPr>
        <w:tc>
          <w:tcPr>
            <w:tcW w:w="453"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8</w:t>
            </w:r>
          </w:p>
        </w:tc>
        <w:tc>
          <w:tcPr>
            <w:tcW w:w="1378"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龙泉二中扩建工程（二期）</w:t>
            </w:r>
          </w:p>
        </w:tc>
        <w:tc>
          <w:tcPr>
            <w:tcW w:w="913"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初中</w:t>
            </w:r>
          </w:p>
        </w:tc>
        <w:tc>
          <w:tcPr>
            <w:tcW w:w="3191"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新建教学办公楼、寝室等12895平方米，建设室外球场及绿化等附属工程</w:t>
            </w:r>
          </w:p>
        </w:tc>
        <w:tc>
          <w:tcPr>
            <w:tcW w:w="927"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龙泉市区</w:t>
            </w:r>
          </w:p>
        </w:tc>
        <w:tc>
          <w:tcPr>
            <w:tcW w:w="737"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改扩建</w:t>
            </w:r>
          </w:p>
        </w:tc>
        <w:tc>
          <w:tcPr>
            <w:tcW w:w="1091"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2020-2022</w:t>
            </w:r>
          </w:p>
        </w:tc>
        <w:tc>
          <w:tcPr>
            <w:tcW w:w="1132"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 xml:space="preserve">0.70 </w:t>
            </w:r>
          </w:p>
        </w:tc>
        <w:tc>
          <w:tcPr>
            <w:tcW w:w="1090"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 xml:space="preserve">0.70 </w:t>
            </w:r>
          </w:p>
        </w:tc>
        <w:tc>
          <w:tcPr>
            <w:tcW w:w="955"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360</w:t>
            </w:r>
          </w:p>
        </w:tc>
        <w:tc>
          <w:tcPr>
            <w:tcW w:w="750"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龙泉二中</w:t>
            </w:r>
          </w:p>
        </w:tc>
        <w:tc>
          <w:tcPr>
            <w:tcW w:w="873"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教育局</w:t>
            </w:r>
          </w:p>
        </w:tc>
        <w:tc>
          <w:tcPr>
            <w:tcW w:w="682"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实施类</w:t>
            </w:r>
          </w:p>
        </w:tc>
        <w:tc>
          <w:tcPr>
            <w:tcW w:w="668"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自建</w:t>
            </w:r>
          </w:p>
        </w:tc>
        <w:tc>
          <w:tcPr>
            <w:tcW w:w="576"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08" w:hRule="atLeast"/>
          <w:jc w:val="center"/>
        </w:trPr>
        <w:tc>
          <w:tcPr>
            <w:tcW w:w="453"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9</w:t>
            </w:r>
          </w:p>
        </w:tc>
        <w:tc>
          <w:tcPr>
            <w:tcW w:w="1378"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龙泉市第五中学</w:t>
            </w:r>
          </w:p>
        </w:tc>
        <w:tc>
          <w:tcPr>
            <w:tcW w:w="913"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初中</w:t>
            </w:r>
          </w:p>
        </w:tc>
        <w:tc>
          <w:tcPr>
            <w:tcW w:w="3191"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项目总用地109亩，总建筑面积约72500平方米，建设66个班级规模的九年一贯制全寄宿学校</w:t>
            </w:r>
          </w:p>
        </w:tc>
        <w:tc>
          <w:tcPr>
            <w:tcW w:w="927"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龙泉市区</w:t>
            </w:r>
          </w:p>
        </w:tc>
        <w:tc>
          <w:tcPr>
            <w:tcW w:w="737"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新建</w:t>
            </w:r>
          </w:p>
        </w:tc>
        <w:tc>
          <w:tcPr>
            <w:tcW w:w="1091"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2021-2023</w:t>
            </w:r>
          </w:p>
        </w:tc>
        <w:tc>
          <w:tcPr>
            <w:tcW w:w="1132"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 xml:space="preserve">3.30 </w:t>
            </w:r>
          </w:p>
        </w:tc>
        <w:tc>
          <w:tcPr>
            <w:tcW w:w="1090"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 xml:space="preserve">3.30 </w:t>
            </w:r>
          </w:p>
        </w:tc>
        <w:tc>
          <w:tcPr>
            <w:tcW w:w="955"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2520</w:t>
            </w:r>
          </w:p>
        </w:tc>
        <w:tc>
          <w:tcPr>
            <w:tcW w:w="750"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龙泉五中</w:t>
            </w:r>
          </w:p>
        </w:tc>
        <w:tc>
          <w:tcPr>
            <w:tcW w:w="873"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教育局</w:t>
            </w:r>
          </w:p>
        </w:tc>
        <w:tc>
          <w:tcPr>
            <w:tcW w:w="682"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实施类</w:t>
            </w:r>
          </w:p>
        </w:tc>
        <w:tc>
          <w:tcPr>
            <w:tcW w:w="668"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自建</w:t>
            </w:r>
          </w:p>
        </w:tc>
        <w:tc>
          <w:tcPr>
            <w:tcW w:w="576"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2" w:hRule="atLeast"/>
          <w:jc w:val="center"/>
        </w:trPr>
        <w:tc>
          <w:tcPr>
            <w:tcW w:w="453" w:type="dxa"/>
            <w:shd w:val="clear" w:color="auto" w:fill="auto"/>
            <w:vAlign w:val="center"/>
          </w:tcPr>
          <w:p>
            <w:pPr>
              <w:widowControl/>
              <w:suppressAutoHyphens w:val="0"/>
              <w:jc w:val="center"/>
              <w:rPr>
                <w:rFonts w:hint="eastAsia" w:cs="宋体" w:asciiTheme="majorEastAsia" w:hAnsiTheme="majorEastAsia" w:eastAsiaTheme="majorEastAsia"/>
                <w:b/>
                <w:bCs/>
                <w:kern w:val="0"/>
                <w:sz w:val="21"/>
                <w:szCs w:val="21"/>
                <w:highlight w:val="none"/>
                <w:lang w:val="en-US" w:eastAsia="zh-CN" w:bidi="ar-SA"/>
              </w:rPr>
            </w:pPr>
            <w:r>
              <w:rPr>
                <w:rFonts w:hint="eastAsia" w:cs="宋体" w:asciiTheme="majorEastAsia" w:hAnsiTheme="majorEastAsia" w:eastAsiaTheme="majorEastAsia"/>
                <w:b/>
                <w:bCs/>
                <w:kern w:val="0"/>
                <w:szCs w:val="21"/>
                <w:highlight w:val="none"/>
              </w:rPr>
              <w:t>序号</w:t>
            </w:r>
          </w:p>
        </w:tc>
        <w:tc>
          <w:tcPr>
            <w:tcW w:w="1378" w:type="dxa"/>
            <w:shd w:val="clear" w:color="auto" w:fill="auto"/>
            <w:vAlign w:val="center"/>
          </w:tcPr>
          <w:p>
            <w:pPr>
              <w:widowControl/>
              <w:suppressAutoHyphens w:val="0"/>
              <w:jc w:val="center"/>
              <w:rPr>
                <w:rFonts w:hint="eastAsia" w:cs="宋体" w:asciiTheme="majorEastAsia" w:hAnsiTheme="majorEastAsia" w:eastAsiaTheme="majorEastAsia"/>
                <w:b/>
                <w:bCs/>
                <w:kern w:val="0"/>
                <w:sz w:val="21"/>
                <w:szCs w:val="21"/>
                <w:highlight w:val="none"/>
                <w:lang w:val="en-US" w:eastAsia="zh-CN" w:bidi="ar-SA"/>
              </w:rPr>
            </w:pPr>
            <w:r>
              <w:rPr>
                <w:rFonts w:hint="eastAsia" w:cs="宋体" w:asciiTheme="majorEastAsia" w:hAnsiTheme="majorEastAsia" w:eastAsiaTheme="majorEastAsia"/>
                <w:b/>
                <w:bCs/>
                <w:kern w:val="0"/>
                <w:szCs w:val="21"/>
                <w:highlight w:val="none"/>
              </w:rPr>
              <w:t>项目名称</w:t>
            </w:r>
          </w:p>
        </w:tc>
        <w:tc>
          <w:tcPr>
            <w:tcW w:w="913" w:type="dxa"/>
            <w:shd w:val="clear" w:color="auto" w:fill="auto"/>
            <w:vAlign w:val="center"/>
          </w:tcPr>
          <w:p>
            <w:pPr>
              <w:widowControl/>
              <w:suppressAutoHyphens w:val="0"/>
              <w:jc w:val="center"/>
              <w:rPr>
                <w:rFonts w:hint="eastAsia" w:cs="宋体" w:asciiTheme="majorEastAsia" w:hAnsiTheme="majorEastAsia" w:eastAsiaTheme="majorEastAsia"/>
                <w:b/>
                <w:bCs/>
                <w:kern w:val="0"/>
                <w:sz w:val="21"/>
                <w:szCs w:val="21"/>
                <w:highlight w:val="none"/>
                <w:lang w:val="en-US" w:eastAsia="zh-CN" w:bidi="ar-SA"/>
              </w:rPr>
            </w:pPr>
            <w:r>
              <w:rPr>
                <w:rFonts w:hint="eastAsia" w:cs="宋体" w:asciiTheme="majorEastAsia" w:hAnsiTheme="majorEastAsia" w:eastAsiaTheme="majorEastAsia"/>
                <w:b/>
                <w:bCs/>
                <w:kern w:val="0"/>
                <w:szCs w:val="21"/>
                <w:highlight w:val="none"/>
              </w:rPr>
              <w:t>学段</w:t>
            </w:r>
          </w:p>
        </w:tc>
        <w:tc>
          <w:tcPr>
            <w:tcW w:w="3191" w:type="dxa"/>
            <w:shd w:val="clear" w:color="auto" w:fill="auto"/>
            <w:vAlign w:val="center"/>
          </w:tcPr>
          <w:p>
            <w:pPr>
              <w:widowControl/>
              <w:suppressAutoHyphens w:val="0"/>
              <w:jc w:val="center"/>
              <w:rPr>
                <w:rFonts w:hint="eastAsia" w:cs="宋体" w:asciiTheme="majorEastAsia" w:hAnsiTheme="majorEastAsia" w:eastAsiaTheme="majorEastAsia"/>
                <w:b/>
                <w:bCs/>
                <w:kern w:val="0"/>
                <w:sz w:val="21"/>
                <w:szCs w:val="21"/>
                <w:highlight w:val="none"/>
                <w:lang w:val="en-US" w:eastAsia="zh-CN" w:bidi="ar-SA"/>
              </w:rPr>
            </w:pPr>
            <w:r>
              <w:rPr>
                <w:rFonts w:hint="eastAsia" w:cs="宋体" w:asciiTheme="majorEastAsia" w:hAnsiTheme="majorEastAsia" w:eastAsiaTheme="majorEastAsia"/>
                <w:b/>
                <w:bCs/>
                <w:kern w:val="0"/>
                <w:szCs w:val="21"/>
                <w:highlight w:val="none"/>
              </w:rPr>
              <w:t>建设规模和内容</w:t>
            </w:r>
          </w:p>
        </w:tc>
        <w:tc>
          <w:tcPr>
            <w:tcW w:w="927" w:type="dxa"/>
            <w:shd w:val="clear" w:color="auto" w:fill="auto"/>
            <w:vAlign w:val="center"/>
          </w:tcPr>
          <w:p>
            <w:pPr>
              <w:widowControl/>
              <w:suppressAutoHyphens w:val="0"/>
              <w:jc w:val="center"/>
              <w:rPr>
                <w:rFonts w:hint="eastAsia"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建设</w:t>
            </w:r>
          </w:p>
          <w:p>
            <w:pPr>
              <w:widowControl/>
              <w:suppressAutoHyphens w:val="0"/>
              <w:jc w:val="center"/>
              <w:rPr>
                <w:rFonts w:hint="eastAsia" w:cs="宋体" w:asciiTheme="majorEastAsia" w:hAnsiTheme="majorEastAsia" w:eastAsiaTheme="majorEastAsia"/>
                <w:b/>
                <w:bCs/>
                <w:kern w:val="0"/>
                <w:sz w:val="21"/>
                <w:szCs w:val="21"/>
                <w:highlight w:val="none"/>
                <w:lang w:val="en-US" w:eastAsia="zh-CN" w:bidi="ar-SA"/>
              </w:rPr>
            </w:pPr>
            <w:r>
              <w:rPr>
                <w:rFonts w:hint="eastAsia" w:cs="宋体" w:asciiTheme="majorEastAsia" w:hAnsiTheme="majorEastAsia" w:eastAsiaTheme="majorEastAsia"/>
                <w:b/>
                <w:bCs/>
                <w:kern w:val="0"/>
                <w:szCs w:val="21"/>
                <w:highlight w:val="none"/>
              </w:rPr>
              <w:t>地点</w:t>
            </w:r>
          </w:p>
        </w:tc>
        <w:tc>
          <w:tcPr>
            <w:tcW w:w="737" w:type="dxa"/>
            <w:shd w:val="clear" w:color="auto" w:fill="auto"/>
            <w:vAlign w:val="center"/>
          </w:tcPr>
          <w:p>
            <w:pPr>
              <w:widowControl/>
              <w:suppressAutoHyphens w:val="0"/>
              <w:jc w:val="center"/>
              <w:rPr>
                <w:rFonts w:hint="eastAsia" w:cs="宋体" w:asciiTheme="majorEastAsia" w:hAnsiTheme="majorEastAsia" w:eastAsiaTheme="majorEastAsia"/>
                <w:b/>
                <w:bCs/>
                <w:kern w:val="0"/>
                <w:sz w:val="21"/>
                <w:szCs w:val="21"/>
                <w:highlight w:val="none"/>
                <w:lang w:val="en-US" w:eastAsia="zh-CN" w:bidi="ar-SA"/>
              </w:rPr>
            </w:pPr>
            <w:r>
              <w:rPr>
                <w:rFonts w:hint="eastAsia" w:cs="宋体" w:asciiTheme="majorEastAsia" w:hAnsiTheme="majorEastAsia" w:eastAsiaTheme="majorEastAsia"/>
                <w:b/>
                <w:bCs/>
                <w:kern w:val="0"/>
                <w:szCs w:val="21"/>
                <w:highlight w:val="none"/>
              </w:rPr>
              <w:t>建设性质</w:t>
            </w:r>
          </w:p>
        </w:tc>
        <w:tc>
          <w:tcPr>
            <w:tcW w:w="1091" w:type="dxa"/>
            <w:shd w:val="clear" w:color="auto" w:fill="auto"/>
            <w:vAlign w:val="center"/>
          </w:tcPr>
          <w:p>
            <w:pPr>
              <w:widowControl/>
              <w:suppressAutoHyphens w:val="0"/>
              <w:jc w:val="center"/>
              <w:rPr>
                <w:rFonts w:hint="eastAsia" w:cs="宋体" w:asciiTheme="majorEastAsia" w:hAnsiTheme="majorEastAsia" w:eastAsiaTheme="majorEastAsia"/>
                <w:b/>
                <w:bCs/>
                <w:kern w:val="0"/>
                <w:sz w:val="21"/>
                <w:szCs w:val="21"/>
                <w:highlight w:val="none"/>
                <w:lang w:val="en-US" w:eastAsia="zh-CN" w:bidi="ar-SA"/>
              </w:rPr>
            </w:pPr>
            <w:r>
              <w:rPr>
                <w:rFonts w:hint="eastAsia" w:cs="宋体" w:asciiTheme="majorEastAsia" w:hAnsiTheme="majorEastAsia" w:eastAsiaTheme="majorEastAsia"/>
                <w:b/>
                <w:bCs/>
                <w:kern w:val="0"/>
                <w:szCs w:val="21"/>
                <w:highlight w:val="none"/>
              </w:rPr>
              <w:t>起止年限</w:t>
            </w:r>
          </w:p>
        </w:tc>
        <w:tc>
          <w:tcPr>
            <w:tcW w:w="1132" w:type="dxa"/>
            <w:shd w:val="clear" w:color="auto" w:fill="auto"/>
            <w:vAlign w:val="center"/>
          </w:tcPr>
          <w:p>
            <w:pPr>
              <w:widowControl/>
              <w:suppressAutoHyphens w:val="0"/>
              <w:jc w:val="center"/>
              <w:rPr>
                <w:rFonts w:hint="eastAsia" w:cs="宋体" w:asciiTheme="majorEastAsia" w:hAnsiTheme="majorEastAsia" w:eastAsiaTheme="majorEastAsia"/>
                <w:b/>
                <w:bCs/>
                <w:kern w:val="0"/>
                <w:sz w:val="21"/>
                <w:szCs w:val="21"/>
                <w:highlight w:val="none"/>
                <w:lang w:val="en-US" w:eastAsia="zh-CN" w:bidi="ar-SA"/>
              </w:rPr>
            </w:pPr>
            <w:r>
              <w:rPr>
                <w:rFonts w:hint="eastAsia" w:cs="宋体" w:asciiTheme="majorEastAsia" w:hAnsiTheme="majorEastAsia" w:eastAsiaTheme="majorEastAsia"/>
                <w:b/>
                <w:bCs/>
                <w:kern w:val="0"/>
                <w:szCs w:val="21"/>
                <w:highlight w:val="none"/>
              </w:rPr>
              <w:t>总投资（亿元）</w:t>
            </w:r>
          </w:p>
        </w:tc>
        <w:tc>
          <w:tcPr>
            <w:tcW w:w="1090" w:type="dxa"/>
            <w:shd w:val="clear" w:color="auto" w:fill="auto"/>
            <w:vAlign w:val="center"/>
          </w:tcPr>
          <w:p>
            <w:pPr>
              <w:widowControl/>
              <w:suppressAutoHyphens w:val="0"/>
              <w:jc w:val="center"/>
              <w:rPr>
                <w:rFonts w:hint="eastAsia" w:cs="宋体" w:asciiTheme="majorEastAsia" w:hAnsiTheme="majorEastAsia" w:eastAsiaTheme="majorEastAsia"/>
                <w:b/>
                <w:bCs/>
                <w:kern w:val="0"/>
                <w:sz w:val="21"/>
                <w:szCs w:val="21"/>
                <w:highlight w:val="none"/>
                <w:lang w:val="en-US" w:eastAsia="zh-CN" w:bidi="ar-SA"/>
              </w:rPr>
            </w:pPr>
            <w:r>
              <w:rPr>
                <w:rFonts w:hint="eastAsia" w:cs="宋体" w:asciiTheme="majorEastAsia" w:hAnsiTheme="majorEastAsia" w:eastAsiaTheme="majorEastAsia"/>
                <w:b/>
                <w:bCs/>
                <w:kern w:val="0"/>
                <w:szCs w:val="21"/>
                <w:highlight w:val="none"/>
              </w:rPr>
              <w:t>计划投资（亿元）</w:t>
            </w:r>
          </w:p>
        </w:tc>
        <w:tc>
          <w:tcPr>
            <w:tcW w:w="955" w:type="dxa"/>
            <w:shd w:val="clear" w:color="auto" w:fill="auto"/>
            <w:vAlign w:val="center"/>
          </w:tcPr>
          <w:p>
            <w:pPr>
              <w:widowControl/>
              <w:suppressAutoHyphens w:val="0"/>
              <w:jc w:val="center"/>
              <w:rPr>
                <w:rFonts w:hint="eastAsia" w:cs="宋体" w:asciiTheme="majorEastAsia" w:hAnsiTheme="majorEastAsia" w:eastAsiaTheme="majorEastAsia"/>
                <w:b/>
                <w:bCs/>
                <w:kern w:val="0"/>
                <w:sz w:val="21"/>
                <w:szCs w:val="21"/>
                <w:highlight w:val="none"/>
                <w:lang w:val="en-US" w:eastAsia="zh-CN" w:bidi="ar-SA"/>
              </w:rPr>
            </w:pPr>
            <w:r>
              <w:rPr>
                <w:rFonts w:hint="eastAsia" w:cs="宋体" w:asciiTheme="majorEastAsia" w:hAnsiTheme="majorEastAsia" w:eastAsiaTheme="majorEastAsia"/>
                <w:b/>
                <w:bCs/>
                <w:kern w:val="0"/>
                <w:szCs w:val="21"/>
                <w:highlight w:val="none"/>
              </w:rPr>
              <w:t>新增学位（个）</w:t>
            </w:r>
          </w:p>
        </w:tc>
        <w:tc>
          <w:tcPr>
            <w:tcW w:w="750" w:type="dxa"/>
            <w:shd w:val="clear" w:color="auto" w:fill="auto"/>
            <w:vAlign w:val="center"/>
          </w:tcPr>
          <w:p>
            <w:pPr>
              <w:widowControl/>
              <w:suppressAutoHyphens w:val="0"/>
              <w:jc w:val="center"/>
              <w:rPr>
                <w:rFonts w:hint="eastAsia" w:cs="宋体" w:asciiTheme="majorEastAsia" w:hAnsiTheme="majorEastAsia" w:eastAsiaTheme="majorEastAsia"/>
                <w:b/>
                <w:bCs/>
                <w:kern w:val="0"/>
                <w:sz w:val="21"/>
                <w:szCs w:val="21"/>
                <w:highlight w:val="none"/>
                <w:lang w:val="en-US" w:eastAsia="zh-CN" w:bidi="ar-SA"/>
              </w:rPr>
            </w:pPr>
            <w:r>
              <w:rPr>
                <w:rFonts w:hint="eastAsia" w:cs="宋体" w:asciiTheme="majorEastAsia" w:hAnsiTheme="majorEastAsia" w:eastAsiaTheme="majorEastAsia"/>
                <w:b/>
                <w:bCs/>
                <w:kern w:val="0"/>
                <w:szCs w:val="21"/>
                <w:highlight w:val="none"/>
              </w:rPr>
              <w:t>项目业主</w:t>
            </w:r>
          </w:p>
        </w:tc>
        <w:tc>
          <w:tcPr>
            <w:tcW w:w="873" w:type="dxa"/>
            <w:shd w:val="clear" w:color="auto" w:fill="auto"/>
            <w:vAlign w:val="center"/>
          </w:tcPr>
          <w:p>
            <w:pPr>
              <w:widowControl/>
              <w:suppressAutoHyphens w:val="0"/>
              <w:jc w:val="center"/>
              <w:rPr>
                <w:rFonts w:hint="eastAsia" w:cs="宋体" w:asciiTheme="majorEastAsia" w:hAnsiTheme="majorEastAsia" w:eastAsiaTheme="majorEastAsia"/>
                <w:b/>
                <w:bCs/>
                <w:kern w:val="0"/>
                <w:sz w:val="21"/>
                <w:szCs w:val="21"/>
                <w:highlight w:val="none"/>
                <w:lang w:val="en-US" w:eastAsia="zh-CN" w:bidi="ar-SA"/>
              </w:rPr>
            </w:pPr>
            <w:r>
              <w:rPr>
                <w:rFonts w:hint="eastAsia" w:cs="宋体" w:asciiTheme="majorEastAsia" w:hAnsiTheme="majorEastAsia" w:eastAsiaTheme="majorEastAsia"/>
                <w:b/>
                <w:bCs/>
                <w:kern w:val="0"/>
                <w:szCs w:val="21"/>
                <w:highlight w:val="none"/>
              </w:rPr>
              <w:t>责任单位</w:t>
            </w:r>
          </w:p>
        </w:tc>
        <w:tc>
          <w:tcPr>
            <w:tcW w:w="682" w:type="dxa"/>
            <w:shd w:val="clear" w:color="auto" w:fill="auto"/>
            <w:vAlign w:val="center"/>
          </w:tcPr>
          <w:p>
            <w:pPr>
              <w:widowControl/>
              <w:suppressAutoHyphens w:val="0"/>
              <w:jc w:val="center"/>
              <w:rPr>
                <w:rFonts w:hint="eastAsia" w:cs="宋体" w:asciiTheme="majorEastAsia" w:hAnsiTheme="majorEastAsia" w:eastAsiaTheme="majorEastAsia"/>
                <w:b/>
                <w:bCs/>
                <w:kern w:val="0"/>
                <w:sz w:val="21"/>
                <w:szCs w:val="21"/>
                <w:highlight w:val="none"/>
                <w:lang w:val="en-US" w:eastAsia="zh-CN" w:bidi="ar-SA"/>
              </w:rPr>
            </w:pPr>
            <w:r>
              <w:rPr>
                <w:rFonts w:hint="eastAsia" w:cs="宋体" w:asciiTheme="majorEastAsia" w:hAnsiTheme="majorEastAsia" w:eastAsiaTheme="majorEastAsia"/>
                <w:b/>
                <w:bCs/>
                <w:kern w:val="0"/>
                <w:szCs w:val="21"/>
                <w:highlight w:val="none"/>
              </w:rPr>
              <w:t>项目类别</w:t>
            </w:r>
          </w:p>
        </w:tc>
        <w:tc>
          <w:tcPr>
            <w:tcW w:w="668" w:type="dxa"/>
            <w:shd w:val="clear" w:color="auto" w:fill="auto"/>
            <w:vAlign w:val="center"/>
          </w:tcPr>
          <w:p>
            <w:pPr>
              <w:widowControl/>
              <w:suppressAutoHyphens w:val="0"/>
              <w:jc w:val="center"/>
              <w:rPr>
                <w:rFonts w:hint="eastAsia" w:cs="宋体" w:asciiTheme="majorEastAsia" w:hAnsiTheme="majorEastAsia" w:eastAsiaTheme="majorEastAsia"/>
                <w:b/>
                <w:bCs/>
                <w:kern w:val="0"/>
                <w:sz w:val="21"/>
                <w:szCs w:val="21"/>
                <w:highlight w:val="none"/>
                <w:lang w:val="en-US" w:eastAsia="zh-CN" w:bidi="ar-SA"/>
              </w:rPr>
            </w:pPr>
            <w:r>
              <w:rPr>
                <w:rFonts w:hint="eastAsia" w:cs="宋体" w:asciiTheme="majorEastAsia" w:hAnsiTheme="majorEastAsia" w:eastAsiaTheme="majorEastAsia"/>
                <w:b/>
                <w:bCs/>
                <w:kern w:val="0"/>
                <w:szCs w:val="21"/>
                <w:highlight w:val="none"/>
              </w:rPr>
              <w:t>建设模式</w:t>
            </w:r>
          </w:p>
        </w:tc>
        <w:tc>
          <w:tcPr>
            <w:tcW w:w="576" w:type="dxa"/>
            <w:shd w:val="clear" w:color="auto" w:fill="auto"/>
            <w:vAlign w:val="center"/>
          </w:tcPr>
          <w:p>
            <w:pPr>
              <w:widowControl/>
              <w:suppressAutoHyphens w:val="0"/>
              <w:jc w:val="center"/>
              <w:rPr>
                <w:rFonts w:hint="eastAsia" w:cs="宋体" w:asciiTheme="majorEastAsia" w:hAnsiTheme="majorEastAsia" w:eastAsiaTheme="majorEastAsia"/>
                <w:b/>
                <w:bCs/>
                <w:kern w:val="0"/>
                <w:sz w:val="21"/>
                <w:szCs w:val="21"/>
                <w:highlight w:val="none"/>
                <w:lang w:val="en-US" w:eastAsia="zh-CN" w:bidi="ar-SA"/>
              </w:rPr>
            </w:pPr>
            <w:r>
              <w:rPr>
                <w:rFonts w:hint="eastAsia" w:cs="宋体" w:asciiTheme="majorEastAsia" w:hAnsiTheme="majorEastAsia" w:eastAsiaTheme="majorEastAsia"/>
                <w:b/>
                <w:bCs/>
                <w:kern w:val="0"/>
                <w:szCs w:val="21"/>
                <w:highlight w:val="none"/>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2" w:hRule="atLeast"/>
          <w:jc w:val="center"/>
        </w:trPr>
        <w:tc>
          <w:tcPr>
            <w:tcW w:w="453"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10</w:t>
            </w:r>
          </w:p>
        </w:tc>
        <w:tc>
          <w:tcPr>
            <w:tcW w:w="1378"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龙泉市安仁中学迁建项目</w:t>
            </w:r>
          </w:p>
        </w:tc>
        <w:tc>
          <w:tcPr>
            <w:tcW w:w="913"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初中</w:t>
            </w:r>
          </w:p>
        </w:tc>
        <w:tc>
          <w:tcPr>
            <w:tcW w:w="3191"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按初中24个班规模设计初中学校，新征用地30000平方米，建筑面积28000平方米，新建教学楼、报告厅、综合楼、体艺楼、食堂、寝室、运动场及室外附属工程</w:t>
            </w:r>
          </w:p>
        </w:tc>
        <w:tc>
          <w:tcPr>
            <w:tcW w:w="927"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龙泉安仁</w:t>
            </w:r>
          </w:p>
        </w:tc>
        <w:tc>
          <w:tcPr>
            <w:tcW w:w="737"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新建</w:t>
            </w:r>
          </w:p>
        </w:tc>
        <w:tc>
          <w:tcPr>
            <w:tcW w:w="1091"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2025-2027</w:t>
            </w:r>
          </w:p>
        </w:tc>
        <w:tc>
          <w:tcPr>
            <w:tcW w:w="1132"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 xml:space="preserve">1.78 </w:t>
            </w:r>
          </w:p>
        </w:tc>
        <w:tc>
          <w:tcPr>
            <w:tcW w:w="1090"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 xml:space="preserve">0.59 </w:t>
            </w:r>
          </w:p>
        </w:tc>
        <w:tc>
          <w:tcPr>
            <w:tcW w:w="955"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600</w:t>
            </w:r>
          </w:p>
        </w:tc>
        <w:tc>
          <w:tcPr>
            <w:tcW w:w="750"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安仁中学</w:t>
            </w:r>
          </w:p>
        </w:tc>
        <w:tc>
          <w:tcPr>
            <w:tcW w:w="873"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教育局</w:t>
            </w:r>
          </w:p>
        </w:tc>
        <w:tc>
          <w:tcPr>
            <w:tcW w:w="682"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实施类</w:t>
            </w:r>
          </w:p>
        </w:tc>
        <w:tc>
          <w:tcPr>
            <w:tcW w:w="668"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自建</w:t>
            </w:r>
          </w:p>
        </w:tc>
        <w:tc>
          <w:tcPr>
            <w:tcW w:w="576"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4" w:hRule="atLeast"/>
          <w:jc w:val="center"/>
        </w:trPr>
        <w:tc>
          <w:tcPr>
            <w:tcW w:w="453"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11</w:t>
            </w:r>
          </w:p>
        </w:tc>
        <w:tc>
          <w:tcPr>
            <w:tcW w:w="1378"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龙泉市民族中学扩建工程</w:t>
            </w:r>
          </w:p>
        </w:tc>
        <w:tc>
          <w:tcPr>
            <w:tcW w:w="913"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初中</w:t>
            </w:r>
          </w:p>
        </w:tc>
        <w:tc>
          <w:tcPr>
            <w:tcW w:w="3191"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新征用地14552平方米，建筑面积14100，新建男生寝室、体艺楼、报告厅及室外附属工程</w:t>
            </w:r>
          </w:p>
        </w:tc>
        <w:tc>
          <w:tcPr>
            <w:tcW w:w="927"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龙泉市区</w:t>
            </w:r>
          </w:p>
        </w:tc>
        <w:tc>
          <w:tcPr>
            <w:tcW w:w="737"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新建</w:t>
            </w:r>
          </w:p>
        </w:tc>
        <w:tc>
          <w:tcPr>
            <w:tcW w:w="1091"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2022-2025</w:t>
            </w:r>
          </w:p>
        </w:tc>
        <w:tc>
          <w:tcPr>
            <w:tcW w:w="1132"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 xml:space="preserve">0.85 </w:t>
            </w:r>
          </w:p>
        </w:tc>
        <w:tc>
          <w:tcPr>
            <w:tcW w:w="1090"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 xml:space="preserve">0.85 </w:t>
            </w:r>
          </w:p>
        </w:tc>
        <w:tc>
          <w:tcPr>
            <w:tcW w:w="955"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　</w:t>
            </w:r>
          </w:p>
        </w:tc>
        <w:tc>
          <w:tcPr>
            <w:tcW w:w="750"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民族中学</w:t>
            </w:r>
          </w:p>
        </w:tc>
        <w:tc>
          <w:tcPr>
            <w:tcW w:w="873"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教育局</w:t>
            </w:r>
          </w:p>
        </w:tc>
        <w:tc>
          <w:tcPr>
            <w:tcW w:w="682"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实施类</w:t>
            </w:r>
          </w:p>
        </w:tc>
        <w:tc>
          <w:tcPr>
            <w:tcW w:w="668"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自建</w:t>
            </w:r>
          </w:p>
        </w:tc>
        <w:tc>
          <w:tcPr>
            <w:tcW w:w="576"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27" w:hRule="atLeast"/>
          <w:jc w:val="center"/>
        </w:trPr>
        <w:tc>
          <w:tcPr>
            <w:tcW w:w="453" w:type="dxa"/>
            <w:shd w:val="clear" w:color="auto" w:fill="auto"/>
            <w:vAlign w:val="center"/>
          </w:tcPr>
          <w:p>
            <w:pPr>
              <w:widowControl/>
              <w:suppressAutoHyphens w:val="0"/>
              <w:spacing w:line="30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12</w:t>
            </w:r>
          </w:p>
        </w:tc>
        <w:tc>
          <w:tcPr>
            <w:tcW w:w="1378" w:type="dxa"/>
            <w:shd w:val="clear" w:color="auto" w:fill="auto"/>
            <w:vAlign w:val="center"/>
          </w:tcPr>
          <w:p>
            <w:pPr>
              <w:widowControl/>
              <w:suppressAutoHyphens w:val="0"/>
              <w:spacing w:line="30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龙泉市特殊教育学校、城区成技校</w:t>
            </w:r>
          </w:p>
        </w:tc>
        <w:tc>
          <w:tcPr>
            <w:tcW w:w="913" w:type="dxa"/>
            <w:shd w:val="clear" w:color="auto" w:fill="auto"/>
            <w:vAlign w:val="center"/>
          </w:tcPr>
          <w:p>
            <w:pPr>
              <w:widowControl/>
              <w:suppressAutoHyphens w:val="0"/>
              <w:spacing w:line="30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其他</w:t>
            </w:r>
          </w:p>
        </w:tc>
        <w:tc>
          <w:tcPr>
            <w:tcW w:w="3191" w:type="dxa"/>
            <w:shd w:val="clear" w:color="auto" w:fill="auto"/>
            <w:vAlign w:val="center"/>
          </w:tcPr>
          <w:p>
            <w:pPr>
              <w:widowControl/>
              <w:suppressAutoHyphens w:val="0"/>
              <w:spacing w:line="30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建设用地17100平方米，特殊教育学校建筑面积3792平方米，投资约1706万元；建设城区成技校的教室、大会议室等建筑面积2500平方米，合计投资约750万元</w:t>
            </w:r>
          </w:p>
        </w:tc>
        <w:tc>
          <w:tcPr>
            <w:tcW w:w="927" w:type="dxa"/>
            <w:shd w:val="clear" w:color="auto" w:fill="auto"/>
            <w:vAlign w:val="center"/>
          </w:tcPr>
          <w:p>
            <w:pPr>
              <w:widowControl/>
              <w:suppressAutoHyphens w:val="0"/>
              <w:spacing w:line="30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龙泉城区</w:t>
            </w:r>
          </w:p>
        </w:tc>
        <w:tc>
          <w:tcPr>
            <w:tcW w:w="737" w:type="dxa"/>
            <w:shd w:val="clear" w:color="auto" w:fill="auto"/>
            <w:vAlign w:val="center"/>
          </w:tcPr>
          <w:p>
            <w:pPr>
              <w:widowControl/>
              <w:suppressAutoHyphens w:val="0"/>
              <w:spacing w:line="30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新建</w:t>
            </w:r>
          </w:p>
        </w:tc>
        <w:tc>
          <w:tcPr>
            <w:tcW w:w="1091" w:type="dxa"/>
            <w:shd w:val="clear" w:color="auto" w:fill="auto"/>
            <w:vAlign w:val="center"/>
          </w:tcPr>
          <w:p>
            <w:pPr>
              <w:widowControl/>
              <w:suppressAutoHyphens w:val="0"/>
              <w:spacing w:line="30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2022-2024</w:t>
            </w:r>
          </w:p>
        </w:tc>
        <w:tc>
          <w:tcPr>
            <w:tcW w:w="1132" w:type="dxa"/>
            <w:shd w:val="clear" w:color="auto" w:fill="auto"/>
            <w:vAlign w:val="center"/>
          </w:tcPr>
          <w:p>
            <w:pPr>
              <w:widowControl/>
              <w:suppressAutoHyphens w:val="0"/>
              <w:spacing w:line="30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 xml:space="preserve">0.25 </w:t>
            </w:r>
          </w:p>
        </w:tc>
        <w:tc>
          <w:tcPr>
            <w:tcW w:w="1090" w:type="dxa"/>
            <w:shd w:val="clear" w:color="auto" w:fill="auto"/>
            <w:vAlign w:val="center"/>
          </w:tcPr>
          <w:p>
            <w:pPr>
              <w:widowControl/>
              <w:suppressAutoHyphens w:val="0"/>
              <w:spacing w:line="30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 xml:space="preserve">0.25 </w:t>
            </w:r>
          </w:p>
        </w:tc>
        <w:tc>
          <w:tcPr>
            <w:tcW w:w="955" w:type="dxa"/>
            <w:shd w:val="clear" w:color="auto" w:fill="auto"/>
            <w:vAlign w:val="center"/>
          </w:tcPr>
          <w:p>
            <w:pPr>
              <w:widowControl/>
              <w:suppressAutoHyphens w:val="0"/>
              <w:spacing w:line="30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36</w:t>
            </w:r>
          </w:p>
        </w:tc>
        <w:tc>
          <w:tcPr>
            <w:tcW w:w="750" w:type="dxa"/>
            <w:shd w:val="clear" w:color="auto" w:fill="auto"/>
            <w:vAlign w:val="center"/>
          </w:tcPr>
          <w:p>
            <w:pPr>
              <w:widowControl/>
              <w:suppressAutoHyphens w:val="0"/>
              <w:spacing w:line="30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有关学校</w:t>
            </w:r>
          </w:p>
        </w:tc>
        <w:tc>
          <w:tcPr>
            <w:tcW w:w="873" w:type="dxa"/>
            <w:shd w:val="clear" w:color="auto" w:fill="auto"/>
            <w:vAlign w:val="center"/>
          </w:tcPr>
          <w:p>
            <w:pPr>
              <w:widowControl/>
              <w:suppressAutoHyphens w:val="0"/>
              <w:spacing w:line="30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教育局</w:t>
            </w:r>
          </w:p>
        </w:tc>
        <w:tc>
          <w:tcPr>
            <w:tcW w:w="682" w:type="dxa"/>
            <w:shd w:val="clear" w:color="auto" w:fill="auto"/>
            <w:vAlign w:val="center"/>
          </w:tcPr>
          <w:p>
            <w:pPr>
              <w:widowControl/>
              <w:suppressAutoHyphens w:val="0"/>
              <w:spacing w:line="30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实施类</w:t>
            </w:r>
          </w:p>
        </w:tc>
        <w:tc>
          <w:tcPr>
            <w:tcW w:w="668" w:type="dxa"/>
            <w:shd w:val="clear" w:color="auto" w:fill="auto"/>
            <w:vAlign w:val="center"/>
          </w:tcPr>
          <w:p>
            <w:pPr>
              <w:widowControl/>
              <w:suppressAutoHyphens w:val="0"/>
              <w:spacing w:line="30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自建</w:t>
            </w:r>
          </w:p>
        </w:tc>
        <w:tc>
          <w:tcPr>
            <w:tcW w:w="576" w:type="dxa"/>
            <w:shd w:val="clear" w:color="auto" w:fill="auto"/>
            <w:vAlign w:val="center"/>
          </w:tcPr>
          <w:p>
            <w:pPr>
              <w:widowControl/>
              <w:suppressAutoHyphens w:val="0"/>
              <w:spacing w:line="30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85" w:hRule="atLeast"/>
          <w:jc w:val="center"/>
        </w:trPr>
        <w:tc>
          <w:tcPr>
            <w:tcW w:w="453" w:type="dxa"/>
            <w:shd w:val="clear" w:color="auto" w:fill="auto"/>
            <w:vAlign w:val="center"/>
          </w:tcPr>
          <w:p>
            <w:pPr>
              <w:widowControl/>
              <w:suppressAutoHyphens w:val="0"/>
              <w:spacing w:line="30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13</w:t>
            </w:r>
          </w:p>
        </w:tc>
        <w:tc>
          <w:tcPr>
            <w:tcW w:w="1378" w:type="dxa"/>
            <w:shd w:val="clear" w:color="auto" w:fill="auto"/>
            <w:vAlign w:val="center"/>
          </w:tcPr>
          <w:p>
            <w:pPr>
              <w:widowControl/>
              <w:suppressAutoHyphens w:val="0"/>
              <w:spacing w:line="30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龙泉市智慧校园建设</w:t>
            </w:r>
          </w:p>
        </w:tc>
        <w:tc>
          <w:tcPr>
            <w:tcW w:w="913" w:type="dxa"/>
            <w:shd w:val="clear" w:color="auto" w:fill="auto"/>
            <w:vAlign w:val="center"/>
          </w:tcPr>
          <w:p>
            <w:pPr>
              <w:widowControl/>
              <w:suppressAutoHyphens w:val="0"/>
              <w:spacing w:line="30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信息化</w:t>
            </w:r>
          </w:p>
        </w:tc>
        <w:tc>
          <w:tcPr>
            <w:tcW w:w="3191" w:type="dxa"/>
            <w:shd w:val="clear" w:color="auto" w:fill="auto"/>
            <w:vAlign w:val="center"/>
          </w:tcPr>
          <w:p>
            <w:pPr>
              <w:widowControl/>
              <w:suppressAutoHyphens w:val="0"/>
              <w:spacing w:line="30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统筹建立一体化智慧教学平台，开展涵盖教学全过程一体化应用；探索物联学校建设应用；开展教育管理公共服务应用建设；教育督导评价应用；实施教育城域网络骨干带宽升级至万兆；录播教室和同步课堂覆盖所有义务教育学校；开展移动学习终端教学场景应用；建设20个学科教室和人工智能创新实验室</w:t>
            </w:r>
          </w:p>
        </w:tc>
        <w:tc>
          <w:tcPr>
            <w:tcW w:w="927" w:type="dxa"/>
            <w:shd w:val="clear" w:color="auto" w:fill="auto"/>
            <w:vAlign w:val="center"/>
          </w:tcPr>
          <w:p>
            <w:pPr>
              <w:widowControl/>
              <w:suppressAutoHyphens w:val="0"/>
              <w:spacing w:line="30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各学校校园内</w:t>
            </w:r>
          </w:p>
        </w:tc>
        <w:tc>
          <w:tcPr>
            <w:tcW w:w="737" w:type="dxa"/>
            <w:shd w:val="clear" w:color="auto" w:fill="auto"/>
            <w:vAlign w:val="center"/>
          </w:tcPr>
          <w:p>
            <w:pPr>
              <w:widowControl/>
              <w:suppressAutoHyphens w:val="0"/>
              <w:spacing w:line="30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新建</w:t>
            </w:r>
          </w:p>
        </w:tc>
        <w:tc>
          <w:tcPr>
            <w:tcW w:w="1091" w:type="dxa"/>
            <w:shd w:val="clear" w:color="auto" w:fill="auto"/>
            <w:vAlign w:val="center"/>
          </w:tcPr>
          <w:p>
            <w:pPr>
              <w:widowControl/>
              <w:suppressAutoHyphens w:val="0"/>
              <w:spacing w:line="30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2021-2025</w:t>
            </w:r>
          </w:p>
        </w:tc>
        <w:tc>
          <w:tcPr>
            <w:tcW w:w="1132" w:type="dxa"/>
            <w:shd w:val="clear" w:color="auto" w:fill="auto"/>
            <w:vAlign w:val="center"/>
          </w:tcPr>
          <w:p>
            <w:pPr>
              <w:widowControl/>
              <w:suppressAutoHyphens w:val="0"/>
              <w:spacing w:line="30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 xml:space="preserve">0.80 </w:t>
            </w:r>
          </w:p>
        </w:tc>
        <w:tc>
          <w:tcPr>
            <w:tcW w:w="1090" w:type="dxa"/>
            <w:shd w:val="clear" w:color="auto" w:fill="auto"/>
            <w:vAlign w:val="center"/>
          </w:tcPr>
          <w:p>
            <w:pPr>
              <w:widowControl/>
              <w:suppressAutoHyphens w:val="0"/>
              <w:spacing w:line="30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 xml:space="preserve">0.80 </w:t>
            </w:r>
          </w:p>
        </w:tc>
        <w:tc>
          <w:tcPr>
            <w:tcW w:w="955" w:type="dxa"/>
            <w:shd w:val="clear" w:color="auto" w:fill="auto"/>
            <w:vAlign w:val="center"/>
          </w:tcPr>
          <w:p>
            <w:pPr>
              <w:widowControl/>
              <w:suppressAutoHyphens w:val="0"/>
              <w:spacing w:line="30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　</w:t>
            </w:r>
          </w:p>
        </w:tc>
        <w:tc>
          <w:tcPr>
            <w:tcW w:w="750" w:type="dxa"/>
            <w:shd w:val="clear" w:color="auto" w:fill="auto"/>
            <w:vAlign w:val="center"/>
          </w:tcPr>
          <w:p>
            <w:pPr>
              <w:widowControl/>
              <w:suppressAutoHyphens w:val="0"/>
              <w:spacing w:line="30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有关学校</w:t>
            </w:r>
          </w:p>
        </w:tc>
        <w:tc>
          <w:tcPr>
            <w:tcW w:w="873" w:type="dxa"/>
            <w:shd w:val="clear" w:color="auto" w:fill="auto"/>
            <w:vAlign w:val="center"/>
          </w:tcPr>
          <w:p>
            <w:pPr>
              <w:widowControl/>
              <w:suppressAutoHyphens w:val="0"/>
              <w:spacing w:line="30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教育局</w:t>
            </w:r>
          </w:p>
        </w:tc>
        <w:tc>
          <w:tcPr>
            <w:tcW w:w="682" w:type="dxa"/>
            <w:shd w:val="clear" w:color="auto" w:fill="auto"/>
            <w:vAlign w:val="center"/>
          </w:tcPr>
          <w:p>
            <w:pPr>
              <w:widowControl/>
              <w:suppressAutoHyphens w:val="0"/>
              <w:spacing w:line="30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实施类</w:t>
            </w:r>
          </w:p>
        </w:tc>
        <w:tc>
          <w:tcPr>
            <w:tcW w:w="668" w:type="dxa"/>
            <w:shd w:val="clear" w:color="auto" w:fill="auto"/>
            <w:vAlign w:val="center"/>
          </w:tcPr>
          <w:p>
            <w:pPr>
              <w:widowControl/>
              <w:suppressAutoHyphens w:val="0"/>
              <w:spacing w:line="30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自建</w:t>
            </w:r>
          </w:p>
        </w:tc>
        <w:tc>
          <w:tcPr>
            <w:tcW w:w="576" w:type="dxa"/>
            <w:shd w:val="clear" w:color="auto" w:fill="auto"/>
            <w:vAlign w:val="center"/>
          </w:tcPr>
          <w:p>
            <w:pPr>
              <w:widowControl/>
              <w:suppressAutoHyphens w:val="0"/>
              <w:spacing w:line="30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85" w:hRule="atLeast"/>
          <w:jc w:val="center"/>
        </w:trPr>
        <w:tc>
          <w:tcPr>
            <w:tcW w:w="453" w:type="dxa"/>
            <w:shd w:val="clear" w:color="auto" w:fill="auto"/>
            <w:vAlign w:val="center"/>
          </w:tcPr>
          <w:p>
            <w:pPr>
              <w:widowControl/>
              <w:suppressAutoHyphens w:val="0"/>
              <w:jc w:val="center"/>
              <w:rPr>
                <w:rFonts w:hint="eastAsia" w:cs="宋体" w:asciiTheme="majorEastAsia" w:hAnsiTheme="majorEastAsia" w:eastAsiaTheme="majorEastAsia"/>
                <w:b/>
                <w:bCs/>
                <w:kern w:val="0"/>
                <w:sz w:val="21"/>
                <w:szCs w:val="21"/>
                <w:highlight w:val="none"/>
                <w:lang w:val="en-US" w:eastAsia="zh-CN" w:bidi="ar-SA"/>
              </w:rPr>
            </w:pPr>
            <w:r>
              <w:rPr>
                <w:rFonts w:hint="eastAsia" w:cs="宋体" w:asciiTheme="majorEastAsia" w:hAnsiTheme="majorEastAsia" w:eastAsiaTheme="majorEastAsia"/>
                <w:b/>
                <w:bCs/>
                <w:kern w:val="0"/>
                <w:szCs w:val="21"/>
                <w:highlight w:val="none"/>
              </w:rPr>
              <w:t>序号</w:t>
            </w:r>
          </w:p>
        </w:tc>
        <w:tc>
          <w:tcPr>
            <w:tcW w:w="1378" w:type="dxa"/>
            <w:shd w:val="clear" w:color="auto" w:fill="auto"/>
            <w:vAlign w:val="center"/>
          </w:tcPr>
          <w:p>
            <w:pPr>
              <w:widowControl/>
              <w:suppressAutoHyphens w:val="0"/>
              <w:jc w:val="center"/>
              <w:rPr>
                <w:rFonts w:hint="eastAsia" w:cs="宋体" w:asciiTheme="majorEastAsia" w:hAnsiTheme="majorEastAsia" w:eastAsiaTheme="majorEastAsia"/>
                <w:b/>
                <w:bCs/>
                <w:kern w:val="0"/>
                <w:sz w:val="21"/>
                <w:szCs w:val="21"/>
                <w:highlight w:val="none"/>
                <w:lang w:val="en-US" w:eastAsia="zh-CN" w:bidi="ar-SA"/>
              </w:rPr>
            </w:pPr>
            <w:r>
              <w:rPr>
                <w:rFonts w:hint="eastAsia" w:cs="宋体" w:asciiTheme="majorEastAsia" w:hAnsiTheme="majorEastAsia" w:eastAsiaTheme="majorEastAsia"/>
                <w:b/>
                <w:bCs/>
                <w:kern w:val="0"/>
                <w:szCs w:val="21"/>
                <w:highlight w:val="none"/>
              </w:rPr>
              <w:t>项目名称</w:t>
            </w:r>
          </w:p>
        </w:tc>
        <w:tc>
          <w:tcPr>
            <w:tcW w:w="913" w:type="dxa"/>
            <w:shd w:val="clear" w:color="auto" w:fill="auto"/>
            <w:vAlign w:val="center"/>
          </w:tcPr>
          <w:p>
            <w:pPr>
              <w:widowControl/>
              <w:suppressAutoHyphens w:val="0"/>
              <w:jc w:val="center"/>
              <w:rPr>
                <w:rFonts w:hint="eastAsia" w:cs="宋体" w:asciiTheme="majorEastAsia" w:hAnsiTheme="majorEastAsia" w:eastAsiaTheme="majorEastAsia"/>
                <w:b/>
                <w:bCs/>
                <w:kern w:val="0"/>
                <w:sz w:val="21"/>
                <w:szCs w:val="21"/>
                <w:highlight w:val="none"/>
                <w:lang w:val="en-US" w:eastAsia="zh-CN" w:bidi="ar-SA"/>
              </w:rPr>
            </w:pPr>
            <w:r>
              <w:rPr>
                <w:rFonts w:hint="eastAsia" w:cs="宋体" w:asciiTheme="majorEastAsia" w:hAnsiTheme="majorEastAsia" w:eastAsiaTheme="majorEastAsia"/>
                <w:b/>
                <w:bCs/>
                <w:kern w:val="0"/>
                <w:szCs w:val="21"/>
                <w:highlight w:val="none"/>
              </w:rPr>
              <w:t>学段</w:t>
            </w:r>
          </w:p>
        </w:tc>
        <w:tc>
          <w:tcPr>
            <w:tcW w:w="3191" w:type="dxa"/>
            <w:shd w:val="clear" w:color="auto" w:fill="auto"/>
            <w:vAlign w:val="center"/>
          </w:tcPr>
          <w:p>
            <w:pPr>
              <w:widowControl/>
              <w:suppressAutoHyphens w:val="0"/>
              <w:jc w:val="center"/>
              <w:rPr>
                <w:rFonts w:hint="eastAsia" w:cs="宋体" w:asciiTheme="majorEastAsia" w:hAnsiTheme="majorEastAsia" w:eastAsiaTheme="majorEastAsia"/>
                <w:b/>
                <w:bCs/>
                <w:kern w:val="0"/>
                <w:sz w:val="21"/>
                <w:szCs w:val="21"/>
                <w:highlight w:val="none"/>
                <w:lang w:val="en-US" w:eastAsia="zh-CN" w:bidi="ar-SA"/>
              </w:rPr>
            </w:pPr>
            <w:r>
              <w:rPr>
                <w:rFonts w:hint="eastAsia" w:cs="宋体" w:asciiTheme="majorEastAsia" w:hAnsiTheme="majorEastAsia" w:eastAsiaTheme="majorEastAsia"/>
                <w:b/>
                <w:bCs/>
                <w:kern w:val="0"/>
                <w:szCs w:val="21"/>
                <w:highlight w:val="none"/>
              </w:rPr>
              <w:t>建设规模和内容</w:t>
            </w:r>
          </w:p>
        </w:tc>
        <w:tc>
          <w:tcPr>
            <w:tcW w:w="927" w:type="dxa"/>
            <w:shd w:val="clear" w:color="auto" w:fill="auto"/>
            <w:vAlign w:val="center"/>
          </w:tcPr>
          <w:p>
            <w:pPr>
              <w:widowControl/>
              <w:suppressAutoHyphens w:val="0"/>
              <w:jc w:val="center"/>
              <w:rPr>
                <w:rFonts w:hint="eastAsia"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建设</w:t>
            </w:r>
          </w:p>
          <w:p>
            <w:pPr>
              <w:widowControl/>
              <w:suppressAutoHyphens w:val="0"/>
              <w:jc w:val="center"/>
              <w:rPr>
                <w:rFonts w:hint="eastAsia" w:cs="宋体" w:asciiTheme="majorEastAsia" w:hAnsiTheme="majorEastAsia" w:eastAsiaTheme="majorEastAsia"/>
                <w:b/>
                <w:bCs/>
                <w:kern w:val="0"/>
                <w:sz w:val="21"/>
                <w:szCs w:val="21"/>
                <w:highlight w:val="none"/>
                <w:lang w:val="en-US" w:eastAsia="zh-CN" w:bidi="ar-SA"/>
              </w:rPr>
            </w:pPr>
            <w:r>
              <w:rPr>
                <w:rFonts w:hint="eastAsia" w:cs="宋体" w:asciiTheme="majorEastAsia" w:hAnsiTheme="majorEastAsia" w:eastAsiaTheme="majorEastAsia"/>
                <w:b/>
                <w:bCs/>
                <w:kern w:val="0"/>
                <w:szCs w:val="21"/>
                <w:highlight w:val="none"/>
              </w:rPr>
              <w:t>地点</w:t>
            </w:r>
          </w:p>
        </w:tc>
        <w:tc>
          <w:tcPr>
            <w:tcW w:w="737" w:type="dxa"/>
            <w:shd w:val="clear" w:color="auto" w:fill="auto"/>
            <w:vAlign w:val="center"/>
          </w:tcPr>
          <w:p>
            <w:pPr>
              <w:widowControl/>
              <w:suppressAutoHyphens w:val="0"/>
              <w:jc w:val="center"/>
              <w:rPr>
                <w:rFonts w:hint="eastAsia" w:cs="宋体" w:asciiTheme="majorEastAsia" w:hAnsiTheme="majorEastAsia" w:eastAsiaTheme="majorEastAsia"/>
                <w:b/>
                <w:bCs/>
                <w:kern w:val="0"/>
                <w:sz w:val="21"/>
                <w:szCs w:val="21"/>
                <w:highlight w:val="none"/>
                <w:lang w:val="en-US" w:eastAsia="zh-CN" w:bidi="ar-SA"/>
              </w:rPr>
            </w:pPr>
            <w:r>
              <w:rPr>
                <w:rFonts w:hint="eastAsia" w:cs="宋体" w:asciiTheme="majorEastAsia" w:hAnsiTheme="majorEastAsia" w:eastAsiaTheme="majorEastAsia"/>
                <w:b/>
                <w:bCs/>
                <w:kern w:val="0"/>
                <w:szCs w:val="21"/>
                <w:highlight w:val="none"/>
              </w:rPr>
              <w:t>建设性质</w:t>
            </w:r>
          </w:p>
        </w:tc>
        <w:tc>
          <w:tcPr>
            <w:tcW w:w="1091" w:type="dxa"/>
            <w:shd w:val="clear" w:color="auto" w:fill="auto"/>
            <w:vAlign w:val="center"/>
          </w:tcPr>
          <w:p>
            <w:pPr>
              <w:widowControl/>
              <w:suppressAutoHyphens w:val="0"/>
              <w:jc w:val="center"/>
              <w:rPr>
                <w:rFonts w:hint="eastAsia" w:cs="宋体" w:asciiTheme="majorEastAsia" w:hAnsiTheme="majorEastAsia" w:eastAsiaTheme="majorEastAsia"/>
                <w:b/>
                <w:bCs/>
                <w:kern w:val="0"/>
                <w:sz w:val="21"/>
                <w:szCs w:val="21"/>
                <w:highlight w:val="none"/>
                <w:lang w:val="en-US" w:eastAsia="zh-CN" w:bidi="ar-SA"/>
              </w:rPr>
            </w:pPr>
            <w:r>
              <w:rPr>
                <w:rFonts w:hint="eastAsia" w:cs="宋体" w:asciiTheme="majorEastAsia" w:hAnsiTheme="majorEastAsia" w:eastAsiaTheme="majorEastAsia"/>
                <w:b/>
                <w:bCs/>
                <w:kern w:val="0"/>
                <w:szCs w:val="21"/>
                <w:highlight w:val="none"/>
              </w:rPr>
              <w:t>起止年限</w:t>
            </w:r>
          </w:p>
        </w:tc>
        <w:tc>
          <w:tcPr>
            <w:tcW w:w="1132" w:type="dxa"/>
            <w:shd w:val="clear" w:color="auto" w:fill="auto"/>
            <w:vAlign w:val="center"/>
          </w:tcPr>
          <w:p>
            <w:pPr>
              <w:widowControl/>
              <w:suppressAutoHyphens w:val="0"/>
              <w:jc w:val="center"/>
              <w:rPr>
                <w:rFonts w:hint="eastAsia" w:cs="宋体" w:asciiTheme="majorEastAsia" w:hAnsiTheme="majorEastAsia" w:eastAsiaTheme="majorEastAsia"/>
                <w:b/>
                <w:bCs/>
                <w:kern w:val="0"/>
                <w:sz w:val="21"/>
                <w:szCs w:val="21"/>
                <w:highlight w:val="none"/>
                <w:lang w:val="en-US" w:eastAsia="zh-CN" w:bidi="ar-SA"/>
              </w:rPr>
            </w:pPr>
            <w:r>
              <w:rPr>
                <w:rFonts w:hint="eastAsia" w:cs="宋体" w:asciiTheme="majorEastAsia" w:hAnsiTheme="majorEastAsia" w:eastAsiaTheme="majorEastAsia"/>
                <w:b/>
                <w:bCs/>
                <w:kern w:val="0"/>
                <w:szCs w:val="21"/>
                <w:highlight w:val="none"/>
              </w:rPr>
              <w:t>总投资（亿元）</w:t>
            </w:r>
          </w:p>
        </w:tc>
        <w:tc>
          <w:tcPr>
            <w:tcW w:w="1090" w:type="dxa"/>
            <w:shd w:val="clear" w:color="auto" w:fill="auto"/>
            <w:vAlign w:val="center"/>
          </w:tcPr>
          <w:p>
            <w:pPr>
              <w:widowControl/>
              <w:suppressAutoHyphens w:val="0"/>
              <w:jc w:val="center"/>
              <w:rPr>
                <w:rFonts w:hint="eastAsia" w:cs="宋体" w:asciiTheme="majorEastAsia" w:hAnsiTheme="majorEastAsia" w:eastAsiaTheme="majorEastAsia"/>
                <w:b/>
                <w:bCs/>
                <w:kern w:val="0"/>
                <w:sz w:val="21"/>
                <w:szCs w:val="21"/>
                <w:highlight w:val="none"/>
                <w:lang w:val="en-US" w:eastAsia="zh-CN" w:bidi="ar-SA"/>
              </w:rPr>
            </w:pPr>
            <w:r>
              <w:rPr>
                <w:rFonts w:hint="eastAsia" w:cs="宋体" w:asciiTheme="majorEastAsia" w:hAnsiTheme="majorEastAsia" w:eastAsiaTheme="majorEastAsia"/>
                <w:b/>
                <w:bCs/>
                <w:kern w:val="0"/>
                <w:szCs w:val="21"/>
                <w:highlight w:val="none"/>
              </w:rPr>
              <w:t>计划投资（亿元）</w:t>
            </w:r>
          </w:p>
        </w:tc>
        <w:tc>
          <w:tcPr>
            <w:tcW w:w="955" w:type="dxa"/>
            <w:shd w:val="clear" w:color="auto" w:fill="auto"/>
            <w:vAlign w:val="center"/>
          </w:tcPr>
          <w:p>
            <w:pPr>
              <w:widowControl/>
              <w:suppressAutoHyphens w:val="0"/>
              <w:jc w:val="center"/>
              <w:rPr>
                <w:rFonts w:hint="eastAsia" w:cs="宋体" w:asciiTheme="majorEastAsia" w:hAnsiTheme="majorEastAsia" w:eastAsiaTheme="majorEastAsia"/>
                <w:b/>
                <w:bCs/>
                <w:kern w:val="0"/>
                <w:sz w:val="21"/>
                <w:szCs w:val="21"/>
                <w:highlight w:val="none"/>
                <w:lang w:val="en-US" w:eastAsia="zh-CN" w:bidi="ar-SA"/>
              </w:rPr>
            </w:pPr>
            <w:r>
              <w:rPr>
                <w:rFonts w:hint="eastAsia" w:cs="宋体" w:asciiTheme="majorEastAsia" w:hAnsiTheme="majorEastAsia" w:eastAsiaTheme="majorEastAsia"/>
                <w:b/>
                <w:bCs/>
                <w:kern w:val="0"/>
                <w:szCs w:val="21"/>
                <w:highlight w:val="none"/>
              </w:rPr>
              <w:t>新增学位（个）</w:t>
            </w:r>
          </w:p>
        </w:tc>
        <w:tc>
          <w:tcPr>
            <w:tcW w:w="750" w:type="dxa"/>
            <w:shd w:val="clear" w:color="auto" w:fill="auto"/>
            <w:vAlign w:val="center"/>
          </w:tcPr>
          <w:p>
            <w:pPr>
              <w:widowControl/>
              <w:suppressAutoHyphens w:val="0"/>
              <w:jc w:val="center"/>
              <w:rPr>
                <w:rFonts w:hint="eastAsia" w:cs="宋体" w:asciiTheme="majorEastAsia" w:hAnsiTheme="majorEastAsia" w:eastAsiaTheme="majorEastAsia"/>
                <w:b/>
                <w:bCs/>
                <w:kern w:val="0"/>
                <w:sz w:val="21"/>
                <w:szCs w:val="21"/>
                <w:highlight w:val="none"/>
                <w:lang w:val="en-US" w:eastAsia="zh-CN" w:bidi="ar-SA"/>
              </w:rPr>
            </w:pPr>
            <w:r>
              <w:rPr>
                <w:rFonts w:hint="eastAsia" w:cs="宋体" w:asciiTheme="majorEastAsia" w:hAnsiTheme="majorEastAsia" w:eastAsiaTheme="majorEastAsia"/>
                <w:b/>
                <w:bCs/>
                <w:kern w:val="0"/>
                <w:szCs w:val="21"/>
                <w:highlight w:val="none"/>
              </w:rPr>
              <w:t>项目业主</w:t>
            </w:r>
          </w:p>
        </w:tc>
        <w:tc>
          <w:tcPr>
            <w:tcW w:w="873" w:type="dxa"/>
            <w:shd w:val="clear" w:color="auto" w:fill="auto"/>
            <w:vAlign w:val="center"/>
          </w:tcPr>
          <w:p>
            <w:pPr>
              <w:widowControl/>
              <w:suppressAutoHyphens w:val="0"/>
              <w:jc w:val="center"/>
              <w:rPr>
                <w:rFonts w:hint="eastAsia" w:cs="宋体" w:asciiTheme="majorEastAsia" w:hAnsiTheme="majorEastAsia" w:eastAsiaTheme="majorEastAsia"/>
                <w:b/>
                <w:bCs/>
                <w:kern w:val="0"/>
                <w:sz w:val="21"/>
                <w:szCs w:val="21"/>
                <w:highlight w:val="none"/>
                <w:lang w:val="en-US" w:eastAsia="zh-CN" w:bidi="ar-SA"/>
              </w:rPr>
            </w:pPr>
            <w:r>
              <w:rPr>
                <w:rFonts w:hint="eastAsia" w:cs="宋体" w:asciiTheme="majorEastAsia" w:hAnsiTheme="majorEastAsia" w:eastAsiaTheme="majorEastAsia"/>
                <w:b/>
                <w:bCs/>
                <w:kern w:val="0"/>
                <w:szCs w:val="21"/>
                <w:highlight w:val="none"/>
              </w:rPr>
              <w:t>责任单位</w:t>
            </w:r>
          </w:p>
        </w:tc>
        <w:tc>
          <w:tcPr>
            <w:tcW w:w="682" w:type="dxa"/>
            <w:shd w:val="clear" w:color="auto" w:fill="auto"/>
            <w:vAlign w:val="center"/>
          </w:tcPr>
          <w:p>
            <w:pPr>
              <w:widowControl/>
              <w:suppressAutoHyphens w:val="0"/>
              <w:jc w:val="center"/>
              <w:rPr>
                <w:rFonts w:hint="eastAsia" w:cs="宋体" w:asciiTheme="majorEastAsia" w:hAnsiTheme="majorEastAsia" w:eastAsiaTheme="majorEastAsia"/>
                <w:b/>
                <w:bCs/>
                <w:kern w:val="0"/>
                <w:sz w:val="21"/>
                <w:szCs w:val="21"/>
                <w:highlight w:val="none"/>
                <w:lang w:val="en-US" w:eastAsia="zh-CN" w:bidi="ar-SA"/>
              </w:rPr>
            </w:pPr>
            <w:r>
              <w:rPr>
                <w:rFonts w:hint="eastAsia" w:cs="宋体" w:asciiTheme="majorEastAsia" w:hAnsiTheme="majorEastAsia" w:eastAsiaTheme="majorEastAsia"/>
                <w:b/>
                <w:bCs/>
                <w:kern w:val="0"/>
                <w:szCs w:val="21"/>
                <w:highlight w:val="none"/>
              </w:rPr>
              <w:t>项目类别</w:t>
            </w:r>
          </w:p>
        </w:tc>
        <w:tc>
          <w:tcPr>
            <w:tcW w:w="668" w:type="dxa"/>
            <w:shd w:val="clear" w:color="auto" w:fill="auto"/>
            <w:vAlign w:val="center"/>
          </w:tcPr>
          <w:p>
            <w:pPr>
              <w:widowControl/>
              <w:suppressAutoHyphens w:val="0"/>
              <w:jc w:val="center"/>
              <w:rPr>
                <w:rFonts w:hint="eastAsia" w:cs="宋体" w:asciiTheme="majorEastAsia" w:hAnsiTheme="majorEastAsia" w:eastAsiaTheme="majorEastAsia"/>
                <w:b/>
                <w:bCs/>
                <w:kern w:val="0"/>
                <w:sz w:val="21"/>
                <w:szCs w:val="21"/>
                <w:highlight w:val="none"/>
                <w:lang w:val="en-US" w:eastAsia="zh-CN" w:bidi="ar-SA"/>
              </w:rPr>
            </w:pPr>
            <w:r>
              <w:rPr>
                <w:rFonts w:hint="eastAsia" w:cs="宋体" w:asciiTheme="majorEastAsia" w:hAnsiTheme="majorEastAsia" w:eastAsiaTheme="majorEastAsia"/>
                <w:b/>
                <w:bCs/>
                <w:kern w:val="0"/>
                <w:szCs w:val="21"/>
                <w:highlight w:val="none"/>
              </w:rPr>
              <w:t>建设模式</w:t>
            </w:r>
          </w:p>
        </w:tc>
        <w:tc>
          <w:tcPr>
            <w:tcW w:w="576" w:type="dxa"/>
            <w:shd w:val="clear" w:color="auto" w:fill="auto"/>
            <w:vAlign w:val="center"/>
          </w:tcPr>
          <w:p>
            <w:pPr>
              <w:widowControl/>
              <w:suppressAutoHyphens w:val="0"/>
              <w:jc w:val="center"/>
              <w:rPr>
                <w:rFonts w:hint="eastAsia" w:cs="宋体" w:asciiTheme="majorEastAsia" w:hAnsiTheme="majorEastAsia" w:eastAsiaTheme="majorEastAsia"/>
                <w:b/>
                <w:bCs/>
                <w:kern w:val="0"/>
                <w:sz w:val="21"/>
                <w:szCs w:val="21"/>
                <w:highlight w:val="none"/>
                <w:lang w:val="en-US" w:eastAsia="zh-CN" w:bidi="ar-SA"/>
              </w:rPr>
            </w:pPr>
            <w:r>
              <w:rPr>
                <w:rFonts w:hint="eastAsia" w:cs="宋体" w:asciiTheme="majorEastAsia" w:hAnsiTheme="majorEastAsia" w:eastAsiaTheme="majorEastAsia"/>
                <w:b/>
                <w:bCs/>
                <w:kern w:val="0"/>
                <w:szCs w:val="21"/>
                <w:highlight w:val="none"/>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7" w:hRule="atLeast"/>
          <w:jc w:val="center"/>
        </w:trPr>
        <w:tc>
          <w:tcPr>
            <w:tcW w:w="2744" w:type="dxa"/>
            <w:gridSpan w:val="3"/>
            <w:shd w:val="clear" w:color="auto" w:fill="auto"/>
            <w:vAlign w:val="center"/>
          </w:tcPr>
          <w:p>
            <w:pPr>
              <w:widowControl/>
              <w:suppressAutoHyphens w:val="0"/>
              <w:spacing w:line="240" w:lineRule="exact"/>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青田县小计</w:t>
            </w:r>
          </w:p>
        </w:tc>
        <w:tc>
          <w:tcPr>
            <w:tcW w:w="3191" w:type="dxa"/>
            <w:shd w:val="clear" w:color="auto" w:fill="auto"/>
            <w:vAlign w:val="center"/>
          </w:tcPr>
          <w:p>
            <w:pPr>
              <w:widowControl/>
              <w:suppressAutoHyphens w:val="0"/>
              <w:spacing w:line="240" w:lineRule="exact"/>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 xml:space="preserve">14 </w:t>
            </w:r>
          </w:p>
        </w:tc>
        <w:tc>
          <w:tcPr>
            <w:tcW w:w="927" w:type="dxa"/>
            <w:shd w:val="clear" w:color="auto" w:fill="auto"/>
            <w:vAlign w:val="center"/>
          </w:tcPr>
          <w:p>
            <w:pPr>
              <w:widowControl/>
              <w:suppressAutoHyphens w:val="0"/>
              <w:spacing w:line="240" w:lineRule="exact"/>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　</w:t>
            </w:r>
          </w:p>
        </w:tc>
        <w:tc>
          <w:tcPr>
            <w:tcW w:w="737" w:type="dxa"/>
            <w:shd w:val="clear" w:color="auto" w:fill="auto"/>
            <w:vAlign w:val="center"/>
          </w:tcPr>
          <w:p>
            <w:pPr>
              <w:widowControl/>
              <w:suppressAutoHyphens w:val="0"/>
              <w:spacing w:line="240" w:lineRule="exact"/>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　</w:t>
            </w:r>
          </w:p>
        </w:tc>
        <w:tc>
          <w:tcPr>
            <w:tcW w:w="1091" w:type="dxa"/>
            <w:shd w:val="clear" w:color="auto" w:fill="auto"/>
            <w:vAlign w:val="center"/>
          </w:tcPr>
          <w:p>
            <w:pPr>
              <w:widowControl/>
              <w:suppressAutoHyphens w:val="0"/>
              <w:spacing w:line="240" w:lineRule="exact"/>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　</w:t>
            </w:r>
          </w:p>
        </w:tc>
        <w:tc>
          <w:tcPr>
            <w:tcW w:w="1132" w:type="dxa"/>
            <w:shd w:val="clear" w:color="auto" w:fill="auto"/>
            <w:vAlign w:val="center"/>
          </w:tcPr>
          <w:p>
            <w:pPr>
              <w:widowControl/>
              <w:suppressAutoHyphens w:val="0"/>
              <w:spacing w:line="240" w:lineRule="exact"/>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 xml:space="preserve">24.48 </w:t>
            </w:r>
          </w:p>
        </w:tc>
        <w:tc>
          <w:tcPr>
            <w:tcW w:w="1090" w:type="dxa"/>
            <w:shd w:val="clear" w:color="auto" w:fill="auto"/>
            <w:vAlign w:val="center"/>
          </w:tcPr>
          <w:p>
            <w:pPr>
              <w:widowControl/>
              <w:suppressAutoHyphens w:val="0"/>
              <w:spacing w:line="240" w:lineRule="exact"/>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 xml:space="preserve">20.18 </w:t>
            </w:r>
          </w:p>
        </w:tc>
        <w:tc>
          <w:tcPr>
            <w:tcW w:w="955" w:type="dxa"/>
            <w:shd w:val="clear" w:color="auto" w:fill="auto"/>
            <w:vAlign w:val="center"/>
          </w:tcPr>
          <w:p>
            <w:pPr>
              <w:widowControl/>
              <w:suppressAutoHyphens w:val="0"/>
              <w:spacing w:line="240" w:lineRule="exact"/>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15125</w:t>
            </w:r>
          </w:p>
        </w:tc>
        <w:tc>
          <w:tcPr>
            <w:tcW w:w="750" w:type="dxa"/>
            <w:shd w:val="clear" w:color="auto" w:fill="auto"/>
            <w:vAlign w:val="center"/>
          </w:tcPr>
          <w:p>
            <w:pPr>
              <w:widowControl/>
              <w:suppressAutoHyphens w:val="0"/>
              <w:spacing w:line="240" w:lineRule="exact"/>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　</w:t>
            </w:r>
          </w:p>
        </w:tc>
        <w:tc>
          <w:tcPr>
            <w:tcW w:w="873" w:type="dxa"/>
            <w:shd w:val="clear" w:color="auto" w:fill="auto"/>
            <w:vAlign w:val="center"/>
          </w:tcPr>
          <w:p>
            <w:pPr>
              <w:widowControl/>
              <w:suppressAutoHyphens w:val="0"/>
              <w:spacing w:line="240" w:lineRule="exact"/>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　</w:t>
            </w:r>
          </w:p>
        </w:tc>
        <w:tc>
          <w:tcPr>
            <w:tcW w:w="682" w:type="dxa"/>
            <w:shd w:val="clear" w:color="auto" w:fill="auto"/>
            <w:vAlign w:val="center"/>
          </w:tcPr>
          <w:p>
            <w:pPr>
              <w:widowControl/>
              <w:suppressAutoHyphens w:val="0"/>
              <w:spacing w:line="240" w:lineRule="exact"/>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　</w:t>
            </w:r>
          </w:p>
        </w:tc>
        <w:tc>
          <w:tcPr>
            <w:tcW w:w="668" w:type="dxa"/>
            <w:shd w:val="clear" w:color="auto" w:fill="auto"/>
            <w:vAlign w:val="center"/>
          </w:tcPr>
          <w:p>
            <w:pPr>
              <w:widowControl/>
              <w:suppressAutoHyphens w:val="0"/>
              <w:spacing w:line="240" w:lineRule="exact"/>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　</w:t>
            </w:r>
          </w:p>
        </w:tc>
        <w:tc>
          <w:tcPr>
            <w:tcW w:w="576" w:type="dxa"/>
            <w:shd w:val="clear" w:color="auto" w:fill="auto"/>
            <w:vAlign w:val="center"/>
          </w:tcPr>
          <w:p>
            <w:pPr>
              <w:widowControl/>
              <w:suppressAutoHyphens w:val="0"/>
              <w:spacing w:line="240" w:lineRule="exact"/>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88" w:hRule="atLeast"/>
          <w:jc w:val="center"/>
        </w:trPr>
        <w:tc>
          <w:tcPr>
            <w:tcW w:w="453"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14</w:t>
            </w:r>
          </w:p>
        </w:tc>
        <w:tc>
          <w:tcPr>
            <w:tcW w:w="1378"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青田县幼儿园新建工程</w:t>
            </w:r>
          </w:p>
        </w:tc>
        <w:tc>
          <w:tcPr>
            <w:tcW w:w="913"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幼儿园</w:t>
            </w:r>
          </w:p>
        </w:tc>
        <w:tc>
          <w:tcPr>
            <w:tcW w:w="3191"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迁建县中心幼儿园、新建三溪口幼儿园、海口镇第二幼儿园、石门幼儿园、水南第二幼儿园、飞鹤幼儿园、前仓幼儿园等。</w:t>
            </w:r>
          </w:p>
        </w:tc>
        <w:tc>
          <w:tcPr>
            <w:tcW w:w="927"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青田县</w:t>
            </w:r>
          </w:p>
        </w:tc>
        <w:tc>
          <w:tcPr>
            <w:tcW w:w="737"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新建</w:t>
            </w:r>
          </w:p>
        </w:tc>
        <w:tc>
          <w:tcPr>
            <w:tcW w:w="1091"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2021-2025</w:t>
            </w:r>
          </w:p>
        </w:tc>
        <w:tc>
          <w:tcPr>
            <w:tcW w:w="1132"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 xml:space="preserve">1.80 </w:t>
            </w:r>
          </w:p>
        </w:tc>
        <w:tc>
          <w:tcPr>
            <w:tcW w:w="1090"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 xml:space="preserve">1.80 </w:t>
            </w:r>
          </w:p>
        </w:tc>
        <w:tc>
          <w:tcPr>
            <w:tcW w:w="955"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2250</w:t>
            </w:r>
          </w:p>
        </w:tc>
        <w:tc>
          <w:tcPr>
            <w:tcW w:w="750"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青田兴达教育发展投资有限公司</w:t>
            </w:r>
          </w:p>
        </w:tc>
        <w:tc>
          <w:tcPr>
            <w:tcW w:w="873"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青田县教育局</w:t>
            </w:r>
          </w:p>
        </w:tc>
        <w:tc>
          <w:tcPr>
            <w:tcW w:w="682"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谋划类</w:t>
            </w:r>
          </w:p>
        </w:tc>
        <w:tc>
          <w:tcPr>
            <w:tcW w:w="668"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自建</w:t>
            </w:r>
          </w:p>
        </w:tc>
        <w:tc>
          <w:tcPr>
            <w:tcW w:w="576"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4" w:hRule="atLeast"/>
          <w:jc w:val="center"/>
        </w:trPr>
        <w:tc>
          <w:tcPr>
            <w:tcW w:w="453"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15</w:t>
            </w:r>
          </w:p>
        </w:tc>
        <w:tc>
          <w:tcPr>
            <w:tcW w:w="1378"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青田县新东山小学新建工程</w:t>
            </w:r>
          </w:p>
        </w:tc>
        <w:tc>
          <w:tcPr>
            <w:tcW w:w="913"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小学</w:t>
            </w:r>
          </w:p>
        </w:tc>
        <w:tc>
          <w:tcPr>
            <w:tcW w:w="3191"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学校规划36个班级。总用地面积50亩，总建筑面积25000㎡</w:t>
            </w:r>
          </w:p>
        </w:tc>
        <w:tc>
          <w:tcPr>
            <w:tcW w:w="927"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青田县鹤城街道</w:t>
            </w:r>
          </w:p>
        </w:tc>
        <w:tc>
          <w:tcPr>
            <w:tcW w:w="737"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新建</w:t>
            </w:r>
          </w:p>
        </w:tc>
        <w:tc>
          <w:tcPr>
            <w:tcW w:w="1091"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2024-2027</w:t>
            </w:r>
          </w:p>
        </w:tc>
        <w:tc>
          <w:tcPr>
            <w:tcW w:w="1132"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 xml:space="preserve">1.50 </w:t>
            </w:r>
          </w:p>
        </w:tc>
        <w:tc>
          <w:tcPr>
            <w:tcW w:w="1090"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 xml:space="preserve">0.80 </w:t>
            </w:r>
          </w:p>
        </w:tc>
        <w:tc>
          <w:tcPr>
            <w:tcW w:w="955"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1260</w:t>
            </w:r>
          </w:p>
        </w:tc>
        <w:tc>
          <w:tcPr>
            <w:tcW w:w="750"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东山分校</w:t>
            </w:r>
          </w:p>
        </w:tc>
        <w:tc>
          <w:tcPr>
            <w:tcW w:w="873"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青田县教育局</w:t>
            </w:r>
          </w:p>
        </w:tc>
        <w:tc>
          <w:tcPr>
            <w:tcW w:w="682"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谋划类</w:t>
            </w:r>
          </w:p>
        </w:tc>
        <w:tc>
          <w:tcPr>
            <w:tcW w:w="668"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自建</w:t>
            </w:r>
          </w:p>
        </w:tc>
        <w:tc>
          <w:tcPr>
            <w:tcW w:w="576"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02" w:hRule="atLeast"/>
          <w:jc w:val="center"/>
        </w:trPr>
        <w:tc>
          <w:tcPr>
            <w:tcW w:w="453"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16</w:t>
            </w:r>
          </w:p>
        </w:tc>
        <w:tc>
          <w:tcPr>
            <w:tcW w:w="1378"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青田县石郭小学新建工程</w:t>
            </w:r>
          </w:p>
        </w:tc>
        <w:tc>
          <w:tcPr>
            <w:tcW w:w="913"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小学</w:t>
            </w:r>
          </w:p>
        </w:tc>
        <w:tc>
          <w:tcPr>
            <w:tcW w:w="3191"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该项目规划24个班级，总用地面积35.2亩，总建筑面积约17058平方米。建设内容包含教学楼、室外运动场、教学辅助及生活用房和相关设备购置及相关配套附属工程</w:t>
            </w:r>
          </w:p>
        </w:tc>
        <w:tc>
          <w:tcPr>
            <w:tcW w:w="927"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青田县瓯南街道石郭村</w:t>
            </w:r>
          </w:p>
        </w:tc>
        <w:tc>
          <w:tcPr>
            <w:tcW w:w="737"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新建</w:t>
            </w:r>
          </w:p>
        </w:tc>
        <w:tc>
          <w:tcPr>
            <w:tcW w:w="1091"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2022-2025</w:t>
            </w:r>
          </w:p>
        </w:tc>
        <w:tc>
          <w:tcPr>
            <w:tcW w:w="1132"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 xml:space="preserve">1.50 </w:t>
            </w:r>
          </w:p>
        </w:tc>
        <w:tc>
          <w:tcPr>
            <w:tcW w:w="1090"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 xml:space="preserve">1.50 </w:t>
            </w:r>
          </w:p>
        </w:tc>
        <w:tc>
          <w:tcPr>
            <w:tcW w:w="955"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840</w:t>
            </w:r>
          </w:p>
        </w:tc>
        <w:tc>
          <w:tcPr>
            <w:tcW w:w="750"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青田县塔山实验小学</w:t>
            </w:r>
          </w:p>
        </w:tc>
        <w:tc>
          <w:tcPr>
            <w:tcW w:w="873"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青田县教育局</w:t>
            </w:r>
          </w:p>
        </w:tc>
        <w:tc>
          <w:tcPr>
            <w:tcW w:w="682"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实施类</w:t>
            </w:r>
          </w:p>
        </w:tc>
        <w:tc>
          <w:tcPr>
            <w:tcW w:w="668"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自建</w:t>
            </w:r>
          </w:p>
        </w:tc>
        <w:tc>
          <w:tcPr>
            <w:tcW w:w="576"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00" w:hRule="atLeast"/>
          <w:jc w:val="center"/>
        </w:trPr>
        <w:tc>
          <w:tcPr>
            <w:tcW w:w="453"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17</w:t>
            </w:r>
          </w:p>
        </w:tc>
        <w:tc>
          <w:tcPr>
            <w:tcW w:w="1378"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青田县华侨小学新建工程</w:t>
            </w:r>
          </w:p>
        </w:tc>
        <w:tc>
          <w:tcPr>
            <w:tcW w:w="913"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小学</w:t>
            </w:r>
          </w:p>
        </w:tc>
        <w:tc>
          <w:tcPr>
            <w:tcW w:w="3191"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青田县华侨小学按完全小学24个教学班、1080名在校生规模建设，总用地面积31亩，总建筑面积14500㎡。主要包括教学及教学辅助用房、师生食堂、体育馆，以及相关附属工程建设等</w:t>
            </w:r>
          </w:p>
        </w:tc>
        <w:tc>
          <w:tcPr>
            <w:tcW w:w="927"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青田县油竹街道</w:t>
            </w:r>
          </w:p>
        </w:tc>
        <w:tc>
          <w:tcPr>
            <w:tcW w:w="737"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新建</w:t>
            </w:r>
          </w:p>
        </w:tc>
        <w:tc>
          <w:tcPr>
            <w:tcW w:w="1091"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2021-2023</w:t>
            </w:r>
          </w:p>
        </w:tc>
        <w:tc>
          <w:tcPr>
            <w:tcW w:w="1132"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 xml:space="preserve">1.20 </w:t>
            </w:r>
          </w:p>
        </w:tc>
        <w:tc>
          <w:tcPr>
            <w:tcW w:w="1090"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 xml:space="preserve">1.20 </w:t>
            </w:r>
          </w:p>
        </w:tc>
        <w:tc>
          <w:tcPr>
            <w:tcW w:w="955"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840</w:t>
            </w:r>
          </w:p>
        </w:tc>
        <w:tc>
          <w:tcPr>
            <w:tcW w:w="750"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青田县油竹实验小学</w:t>
            </w:r>
          </w:p>
        </w:tc>
        <w:tc>
          <w:tcPr>
            <w:tcW w:w="873"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青田县教育局</w:t>
            </w:r>
          </w:p>
        </w:tc>
        <w:tc>
          <w:tcPr>
            <w:tcW w:w="682"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实施类</w:t>
            </w:r>
          </w:p>
        </w:tc>
        <w:tc>
          <w:tcPr>
            <w:tcW w:w="668"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自建</w:t>
            </w:r>
          </w:p>
        </w:tc>
        <w:tc>
          <w:tcPr>
            <w:tcW w:w="576"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95" w:hRule="atLeast"/>
          <w:jc w:val="center"/>
        </w:trPr>
        <w:tc>
          <w:tcPr>
            <w:tcW w:w="453" w:type="dxa"/>
            <w:shd w:val="clear" w:color="auto" w:fill="auto"/>
            <w:vAlign w:val="center"/>
          </w:tcPr>
          <w:p>
            <w:pPr>
              <w:widowControl/>
              <w:suppressAutoHyphens w:val="0"/>
              <w:jc w:val="center"/>
              <w:rPr>
                <w:rFonts w:hint="eastAsia" w:cs="宋体" w:asciiTheme="majorEastAsia" w:hAnsiTheme="majorEastAsia" w:eastAsiaTheme="majorEastAsia"/>
                <w:b/>
                <w:bCs/>
                <w:kern w:val="0"/>
                <w:sz w:val="21"/>
                <w:szCs w:val="21"/>
                <w:highlight w:val="none"/>
                <w:lang w:val="en-US" w:eastAsia="zh-CN" w:bidi="ar-SA"/>
              </w:rPr>
            </w:pPr>
            <w:r>
              <w:rPr>
                <w:rFonts w:hint="eastAsia" w:cs="宋体" w:asciiTheme="majorEastAsia" w:hAnsiTheme="majorEastAsia" w:eastAsiaTheme="majorEastAsia"/>
                <w:b/>
                <w:bCs/>
                <w:kern w:val="0"/>
                <w:szCs w:val="21"/>
                <w:highlight w:val="none"/>
              </w:rPr>
              <w:t>序号</w:t>
            </w:r>
          </w:p>
        </w:tc>
        <w:tc>
          <w:tcPr>
            <w:tcW w:w="1378" w:type="dxa"/>
            <w:shd w:val="clear" w:color="auto" w:fill="auto"/>
            <w:vAlign w:val="center"/>
          </w:tcPr>
          <w:p>
            <w:pPr>
              <w:widowControl/>
              <w:suppressAutoHyphens w:val="0"/>
              <w:jc w:val="center"/>
              <w:rPr>
                <w:rFonts w:hint="eastAsia" w:cs="宋体" w:asciiTheme="majorEastAsia" w:hAnsiTheme="majorEastAsia" w:eastAsiaTheme="majorEastAsia"/>
                <w:b/>
                <w:bCs/>
                <w:kern w:val="0"/>
                <w:sz w:val="21"/>
                <w:szCs w:val="21"/>
                <w:highlight w:val="none"/>
                <w:lang w:val="en-US" w:eastAsia="zh-CN" w:bidi="ar-SA"/>
              </w:rPr>
            </w:pPr>
            <w:r>
              <w:rPr>
                <w:rFonts w:hint="eastAsia" w:cs="宋体" w:asciiTheme="majorEastAsia" w:hAnsiTheme="majorEastAsia" w:eastAsiaTheme="majorEastAsia"/>
                <w:b/>
                <w:bCs/>
                <w:kern w:val="0"/>
                <w:szCs w:val="21"/>
                <w:highlight w:val="none"/>
              </w:rPr>
              <w:t>项目名称</w:t>
            </w:r>
          </w:p>
        </w:tc>
        <w:tc>
          <w:tcPr>
            <w:tcW w:w="913" w:type="dxa"/>
            <w:shd w:val="clear" w:color="auto" w:fill="auto"/>
            <w:vAlign w:val="center"/>
          </w:tcPr>
          <w:p>
            <w:pPr>
              <w:widowControl/>
              <w:suppressAutoHyphens w:val="0"/>
              <w:jc w:val="center"/>
              <w:rPr>
                <w:rFonts w:hint="eastAsia" w:cs="宋体" w:asciiTheme="majorEastAsia" w:hAnsiTheme="majorEastAsia" w:eastAsiaTheme="majorEastAsia"/>
                <w:b/>
                <w:bCs/>
                <w:kern w:val="0"/>
                <w:sz w:val="21"/>
                <w:szCs w:val="21"/>
                <w:highlight w:val="none"/>
                <w:lang w:val="en-US" w:eastAsia="zh-CN" w:bidi="ar-SA"/>
              </w:rPr>
            </w:pPr>
            <w:r>
              <w:rPr>
                <w:rFonts w:hint="eastAsia" w:cs="宋体" w:asciiTheme="majorEastAsia" w:hAnsiTheme="majorEastAsia" w:eastAsiaTheme="majorEastAsia"/>
                <w:b/>
                <w:bCs/>
                <w:kern w:val="0"/>
                <w:szCs w:val="21"/>
                <w:highlight w:val="none"/>
              </w:rPr>
              <w:t>学段</w:t>
            </w:r>
          </w:p>
        </w:tc>
        <w:tc>
          <w:tcPr>
            <w:tcW w:w="3191" w:type="dxa"/>
            <w:shd w:val="clear" w:color="auto" w:fill="auto"/>
            <w:vAlign w:val="center"/>
          </w:tcPr>
          <w:p>
            <w:pPr>
              <w:widowControl/>
              <w:suppressAutoHyphens w:val="0"/>
              <w:jc w:val="center"/>
              <w:rPr>
                <w:rFonts w:hint="eastAsia" w:cs="宋体" w:asciiTheme="majorEastAsia" w:hAnsiTheme="majorEastAsia" w:eastAsiaTheme="majorEastAsia"/>
                <w:b/>
                <w:bCs/>
                <w:kern w:val="0"/>
                <w:sz w:val="21"/>
                <w:szCs w:val="21"/>
                <w:highlight w:val="none"/>
                <w:lang w:val="en-US" w:eastAsia="zh-CN" w:bidi="ar-SA"/>
              </w:rPr>
            </w:pPr>
            <w:r>
              <w:rPr>
                <w:rFonts w:hint="eastAsia" w:cs="宋体" w:asciiTheme="majorEastAsia" w:hAnsiTheme="majorEastAsia" w:eastAsiaTheme="majorEastAsia"/>
                <w:b/>
                <w:bCs/>
                <w:kern w:val="0"/>
                <w:szCs w:val="21"/>
                <w:highlight w:val="none"/>
              </w:rPr>
              <w:t>建设规模和内容</w:t>
            </w:r>
          </w:p>
        </w:tc>
        <w:tc>
          <w:tcPr>
            <w:tcW w:w="927" w:type="dxa"/>
            <w:shd w:val="clear" w:color="auto" w:fill="auto"/>
            <w:vAlign w:val="center"/>
          </w:tcPr>
          <w:p>
            <w:pPr>
              <w:widowControl/>
              <w:suppressAutoHyphens w:val="0"/>
              <w:jc w:val="center"/>
              <w:rPr>
                <w:rFonts w:hint="eastAsia"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建设</w:t>
            </w:r>
          </w:p>
          <w:p>
            <w:pPr>
              <w:widowControl/>
              <w:suppressAutoHyphens w:val="0"/>
              <w:jc w:val="center"/>
              <w:rPr>
                <w:rFonts w:hint="eastAsia" w:cs="宋体" w:asciiTheme="majorEastAsia" w:hAnsiTheme="majorEastAsia" w:eastAsiaTheme="majorEastAsia"/>
                <w:b/>
                <w:bCs/>
                <w:kern w:val="0"/>
                <w:sz w:val="21"/>
                <w:szCs w:val="21"/>
                <w:highlight w:val="none"/>
                <w:lang w:val="en-US" w:eastAsia="zh-CN" w:bidi="ar-SA"/>
              </w:rPr>
            </w:pPr>
            <w:r>
              <w:rPr>
                <w:rFonts w:hint="eastAsia" w:cs="宋体" w:asciiTheme="majorEastAsia" w:hAnsiTheme="majorEastAsia" w:eastAsiaTheme="majorEastAsia"/>
                <w:b/>
                <w:bCs/>
                <w:kern w:val="0"/>
                <w:szCs w:val="21"/>
                <w:highlight w:val="none"/>
              </w:rPr>
              <w:t>地点</w:t>
            </w:r>
          </w:p>
        </w:tc>
        <w:tc>
          <w:tcPr>
            <w:tcW w:w="737" w:type="dxa"/>
            <w:shd w:val="clear" w:color="auto" w:fill="auto"/>
            <w:vAlign w:val="center"/>
          </w:tcPr>
          <w:p>
            <w:pPr>
              <w:widowControl/>
              <w:suppressAutoHyphens w:val="0"/>
              <w:jc w:val="center"/>
              <w:rPr>
                <w:rFonts w:hint="eastAsia" w:cs="宋体" w:asciiTheme="majorEastAsia" w:hAnsiTheme="majorEastAsia" w:eastAsiaTheme="majorEastAsia"/>
                <w:b/>
                <w:bCs/>
                <w:kern w:val="0"/>
                <w:sz w:val="21"/>
                <w:szCs w:val="21"/>
                <w:highlight w:val="none"/>
                <w:lang w:val="en-US" w:eastAsia="zh-CN" w:bidi="ar-SA"/>
              </w:rPr>
            </w:pPr>
            <w:r>
              <w:rPr>
                <w:rFonts w:hint="eastAsia" w:cs="宋体" w:asciiTheme="majorEastAsia" w:hAnsiTheme="majorEastAsia" w:eastAsiaTheme="majorEastAsia"/>
                <w:b/>
                <w:bCs/>
                <w:kern w:val="0"/>
                <w:szCs w:val="21"/>
                <w:highlight w:val="none"/>
              </w:rPr>
              <w:t>建设性质</w:t>
            </w:r>
          </w:p>
        </w:tc>
        <w:tc>
          <w:tcPr>
            <w:tcW w:w="1091" w:type="dxa"/>
            <w:shd w:val="clear" w:color="auto" w:fill="auto"/>
            <w:vAlign w:val="center"/>
          </w:tcPr>
          <w:p>
            <w:pPr>
              <w:widowControl/>
              <w:suppressAutoHyphens w:val="0"/>
              <w:jc w:val="center"/>
              <w:rPr>
                <w:rFonts w:hint="eastAsia" w:cs="宋体" w:asciiTheme="majorEastAsia" w:hAnsiTheme="majorEastAsia" w:eastAsiaTheme="majorEastAsia"/>
                <w:b/>
                <w:bCs/>
                <w:kern w:val="0"/>
                <w:sz w:val="21"/>
                <w:szCs w:val="21"/>
                <w:highlight w:val="none"/>
                <w:lang w:val="en-US" w:eastAsia="zh-CN" w:bidi="ar-SA"/>
              </w:rPr>
            </w:pPr>
            <w:r>
              <w:rPr>
                <w:rFonts w:hint="eastAsia" w:cs="宋体" w:asciiTheme="majorEastAsia" w:hAnsiTheme="majorEastAsia" w:eastAsiaTheme="majorEastAsia"/>
                <w:b/>
                <w:bCs/>
                <w:kern w:val="0"/>
                <w:szCs w:val="21"/>
                <w:highlight w:val="none"/>
              </w:rPr>
              <w:t>起止年限</w:t>
            </w:r>
          </w:p>
        </w:tc>
        <w:tc>
          <w:tcPr>
            <w:tcW w:w="1132" w:type="dxa"/>
            <w:shd w:val="clear" w:color="auto" w:fill="auto"/>
            <w:vAlign w:val="center"/>
          </w:tcPr>
          <w:p>
            <w:pPr>
              <w:widowControl/>
              <w:suppressAutoHyphens w:val="0"/>
              <w:jc w:val="center"/>
              <w:rPr>
                <w:rFonts w:hint="eastAsia" w:cs="宋体" w:asciiTheme="majorEastAsia" w:hAnsiTheme="majorEastAsia" w:eastAsiaTheme="majorEastAsia"/>
                <w:b/>
                <w:bCs/>
                <w:kern w:val="0"/>
                <w:sz w:val="21"/>
                <w:szCs w:val="21"/>
                <w:highlight w:val="none"/>
                <w:lang w:val="en-US" w:eastAsia="zh-CN" w:bidi="ar-SA"/>
              </w:rPr>
            </w:pPr>
            <w:r>
              <w:rPr>
                <w:rFonts w:hint="eastAsia" w:cs="宋体" w:asciiTheme="majorEastAsia" w:hAnsiTheme="majorEastAsia" w:eastAsiaTheme="majorEastAsia"/>
                <w:b/>
                <w:bCs/>
                <w:kern w:val="0"/>
                <w:szCs w:val="21"/>
                <w:highlight w:val="none"/>
              </w:rPr>
              <w:t>总投资（亿元）</w:t>
            </w:r>
          </w:p>
        </w:tc>
        <w:tc>
          <w:tcPr>
            <w:tcW w:w="1090" w:type="dxa"/>
            <w:shd w:val="clear" w:color="auto" w:fill="auto"/>
            <w:vAlign w:val="center"/>
          </w:tcPr>
          <w:p>
            <w:pPr>
              <w:widowControl/>
              <w:suppressAutoHyphens w:val="0"/>
              <w:jc w:val="center"/>
              <w:rPr>
                <w:rFonts w:hint="eastAsia" w:cs="宋体" w:asciiTheme="majorEastAsia" w:hAnsiTheme="majorEastAsia" w:eastAsiaTheme="majorEastAsia"/>
                <w:b/>
                <w:bCs/>
                <w:kern w:val="0"/>
                <w:sz w:val="21"/>
                <w:szCs w:val="21"/>
                <w:highlight w:val="none"/>
                <w:lang w:val="en-US" w:eastAsia="zh-CN" w:bidi="ar-SA"/>
              </w:rPr>
            </w:pPr>
            <w:r>
              <w:rPr>
                <w:rFonts w:hint="eastAsia" w:cs="宋体" w:asciiTheme="majorEastAsia" w:hAnsiTheme="majorEastAsia" w:eastAsiaTheme="majorEastAsia"/>
                <w:b/>
                <w:bCs/>
                <w:kern w:val="0"/>
                <w:szCs w:val="21"/>
                <w:highlight w:val="none"/>
              </w:rPr>
              <w:t>计划投资（亿元）</w:t>
            </w:r>
          </w:p>
        </w:tc>
        <w:tc>
          <w:tcPr>
            <w:tcW w:w="955" w:type="dxa"/>
            <w:shd w:val="clear" w:color="auto" w:fill="auto"/>
            <w:vAlign w:val="center"/>
          </w:tcPr>
          <w:p>
            <w:pPr>
              <w:widowControl/>
              <w:suppressAutoHyphens w:val="0"/>
              <w:jc w:val="center"/>
              <w:rPr>
                <w:rFonts w:hint="eastAsia" w:cs="宋体" w:asciiTheme="majorEastAsia" w:hAnsiTheme="majorEastAsia" w:eastAsiaTheme="majorEastAsia"/>
                <w:b/>
                <w:bCs/>
                <w:kern w:val="0"/>
                <w:sz w:val="21"/>
                <w:szCs w:val="21"/>
                <w:highlight w:val="none"/>
                <w:lang w:val="en-US" w:eastAsia="zh-CN" w:bidi="ar-SA"/>
              </w:rPr>
            </w:pPr>
            <w:r>
              <w:rPr>
                <w:rFonts w:hint="eastAsia" w:cs="宋体" w:asciiTheme="majorEastAsia" w:hAnsiTheme="majorEastAsia" w:eastAsiaTheme="majorEastAsia"/>
                <w:b/>
                <w:bCs/>
                <w:kern w:val="0"/>
                <w:szCs w:val="21"/>
                <w:highlight w:val="none"/>
              </w:rPr>
              <w:t>新增学位（个）</w:t>
            </w:r>
          </w:p>
        </w:tc>
        <w:tc>
          <w:tcPr>
            <w:tcW w:w="750" w:type="dxa"/>
            <w:shd w:val="clear" w:color="auto" w:fill="auto"/>
            <w:vAlign w:val="center"/>
          </w:tcPr>
          <w:p>
            <w:pPr>
              <w:widowControl/>
              <w:suppressAutoHyphens w:val="0"/>
              <w:jc w:val="center"/>
              <w:rPr>
                <w:rFonts w:hint="eastAsia" w:cs="宋体" w:asciiTheme="majorEastAsia" w:hAnsiTheme="majorEastAsia" w:eastAsiaTheme="majorEastAsia"/>
                <w:b/>
                <w:bCs/>
                <w:kern w:val="0"/>
                <w:sz w:val="21"/>
                <w:szCs w:val="21"/>
                <w:highlight w:val="none"/>
                <w:lang w:val="en-US" w:eastAsia="zh-CN" w:bidi="ar-SA"/>
              </w:rPr>
            </w:pPr>
            <w:r>
              <w:rPr>
                <w:rFonts w:hint="eastAsia" w:cs="宋体" w:asciiTheme="majorEastAsia" w:hAnsiTheme="majorEastAsia" w:eastAsiaTheme="majorEastAsia"/>
                <w:b/>
                <w:bCs/>
                <w:kern w:val="0"/>
                <w:szCs w:val="21"/>
                <w:highlight w:val="none"/>
              </w:rPr>
              <w:t>项目业主</w:t>
            </w:r>
          </w:p>
        </w:tc>
        <w:tc>
          <w:tcPr>
            <w:tcW w:w="873" w:type="dxa"/>
            <w:shd w:val="clear" w:color="auto" w:fill="auto"/>
            <w:vAlign w:val="center"/>
          </w:tcPr>
          <w:p>
            <w:pPr>
              <w:widowControl/>
              <w:suppressAutoHyphens w:val="0"/>
              <w:jc w:val="center"/>
              <w:rPr>
                <w:rFonts w:hint="eastAsia" w:cs="宋体" w:asciiTheme="majorEastAsia" w:hAnsiTheme="majorEastAsia" w:eastAsiaTheme="majorEastAsia"/>
                <w:b/>
                <w:bCs/>
                <w:kern w:val="0"/>
                <w:sz w:val="21"/>
                <w:szCs w:val="21"/>
                <w:highlight w:val="none"/>
                <w:lang w:val="en-US" w:eastAsia="zh-CN" w:bidi="ar-SA"/>
              </w:rPr>
            </w:pPr>
            <w:r>
              <w:rPr>
                <w:rFonts w:hint="eastAsia" w:cs="宋体" w:asciiTheme="majorEastAsia" w:hAnsiTheme="majorEastAsia" w:eastAsiaTheme="majorEastAsia"/>
                <w:b/>
                <w:bCs/>
                <w:kern w:val="0"/>
                <w:szCs w:val="21"/>
                <w:highlight w:val="none"/>
              </w:rPr>
              <w:t>责任单位</w:t>
            </w:r>
          </w:p>
        </w:tc>
        <w:tc>
          <w:tcPr>
            <w:tcW w:w="682" w:type="dxa"/>
            <w:shd w:val="clear" w:color="auto" w:fill="auto"/>
            <w:vAlign w:val="center"/>
          </w:tcPr>
          <w:p>
            <w:pPr>
              <w:widowControl/>
              <w:suppressAutoHyphens w:val="0"/>
              <w:jc w:val="center"/>
              <w:rPr>
                <w:rFonts w:hint="eastAsia" w:cs="宋体" w:asciiTheme="majorEastAsia" w:hAnsiTheme="majorEastAsia" w:eastAsiaTheme="majorEastAsia"/>
                <w:b/>
                <w:bCs/>
                <w:kern w:val="0"/>
                <w:sz w:val="21"/>
                <w:szCs w:val="21"/>
                <w:highlight w:val="none"/>
                <w:lang w:val="en-US" w:eastAsia="zh-CN" w:bidi="ar-SA"/>
              </w:rPr>
            </w:pPr>
            <w:r>
              <w:rPr>
                <w:rFonts w:hint="eastAsia" w:cs="宋体" w:asciiTheme="majorEastAsia" w:hAnsiTheme="majorEastAsia" w:eastAsiaTheme="majorEastAsia"/>
                <w:b/>
                <w:bCs/>
                <w:kern w:val="0"/>
                <w:szCs w:val="21"/>
                <w:highlight w:val="none"/>
              </w:rPr>
              <w:t>项目类别</w:t>
            </w:r>
          </w:p>
        </w:tc>
        <w:tc>
          <w:tcPr>
            <w:tcW w:w="668" w:type="dxa"/>
            <w:shd w:val="clear" w:color="auto" w:fill="auto"/>
            <w:vAlign w:val="center"/>
          </w:tcPr>
          <w:p>
            <w:pPr>
              <w:widowControl/>
              <w:suppressAutoHyphens w:val="0"/>
              <w:jc w:val="center"/>
              <w:rPr>
                <w:rFonts w:hint="eastAsia" w:cs="宋体" w:asciiTheme="majorEastAsia" w:hAnsiTheme="majorEastAsia" w:eastAsiaTheme="majorEastAsia"/>
                <w:b/>
                <w:bCs/>
                <w:kern w:val="0"/>
                <w:sz w:val="21"/>
                <w:szCs w:val="21"/>
                <w:highlight w:val="none"/>
                <w:lang w:val="en-US" w:eastAsia="zh-CN" w:bidi="ar-SA"/>
              </w:rPr>
            </w:pPr>
            <w:r>
              <w:rPr>
                <w:rFonts w:hint="eastAsia" w:cs="宋体" w:asciiTheme="majorEastAsia" w:hAnsiTheme="majorEastAsia" w:eastAsiaTheme="majorEastAsia"/>
                <w:b/>
                <w:bCs/>
                <w:kern w:val="0"/>
                <w:szCs w:val="21"/>
                <w:highlight w:val="none"/>
              </w:rPr>
              <w:t>建设模式</w:t>
            </w:r>
          </w:p>
        </w:tc>
        <w:tc>
          <w:tcPr>
            <w:tcW w:w="576" w:type="dxa"/>
            <w:shd w:val="clear" w:color="auto" w:fill="auto"/>
            <w:vAlign w:val="center"/>
          </w:tcPr>
          <w:p>
            <w:pPr>
              <w:widowControl/>
              <w:suppressAutoHyphens w:val="0"/>
              <w:jc w:val="center"/>
              <w:rPr>
                <w:rFonts w:hint="eastAsia" w:cs="宋体" w:asciiTheme="majorEastAsia" w:hAnsiTheme="majorEastAsia" w:eastAsiaTheme="majorEastAsia"/>
                <w:b/>
                <w:bCs/>
                <w:kern w:val="0"/>
                <w:sz w:val="21"/>
                <w:szCs w:val="21"/>
                <w:highlight w:val="none"/>
                <w:lang w:val="en-US" w:eastAsia="zh-CN" w:bidi="ar-SA"/>
              </w:rPr>
            </w:pPr>
            <w:r>
              <w:rPr>
                <w:rFonts w:hint="eastAsia" w:cs="宋体" w:asciiTheme="majorEastAsia" w:hAnsiTheme="majorEastAsia" w:eastAsiaTheme="majorEastAsia"/>
                <w:b/>
                <w:bCs/>
                <w:kern w:val="0"/>
                <w:szCs w:val="21"/>
                <w:highlight w:val="none"/>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23" w:hRule="atLeast"/>
          <w:jc w:val="center"/>
        </w:trPr>
        <w:tc>
          <w:tcPr>
            <w:tcW w:w="453"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18</w:t>
            </w:r>
          </w:p>
        </w:tc>
        <w:tc>
          <w:tcPr>
            <w:tcW w:w="1378"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青田县船寮镇第二小学新建工程（一期）</w:t>
            </w:r>
          </w:p>
        </w:tc>
        <w:tc>
          <w:tcPr>
            <w:tcW w:w="913"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小学</w:t>
            </w:r>
          </w:p>
        </w:tc>
        <w:tc>
          <w:tcPr>
            <w:tcW w:w="3191"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24班级规模，总用地29.49亩，总建筑面积14035平方米，其中教学楼5800平方米、实验楼2200平方米、实验综合楼3400平方米、食堂2600平方米及传达室35平方米，相关室内外附属设施和设备购置</w:t>
            </w:r>
          </w:p>
        </w:tc>
        <w:tc>
          <w:tcPr>
            <w:tcW w:w="927"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青田县船寮镇</w:t>
            </w:r>
          </w:p>
        </w:tc>
        <w:tc>
          <w:tcPr>
            <w:tcW w:w="737"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新建</w:t>
            </w:r>
          </w:p>
        </w:tc>
        <w:tc>
          <w:tcPr>
            <w:tcW w:w="1091"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2022-2025</w:t>
            </w:r>
          </w:p>
        </w:tc>
        <w:tc>
          <w:tcPr>
            <w:tcW w:w="1132"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 xml:space="preserve">0.80 </w:t>
            </w:r>
          </w:p>
        </w:tc>
        <w:tc>
          <w:tcPr>
            <w:tcW w:w="1090"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 xml:space="preserve">0.80 </w:t>
            </w:r>
          </w:p>
        </w:tc>
        <w:tc>
          <w:tcPr>
            <w:tcW w:w="955"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840</w:t>
            </w:r>
          </w:p>
        </w:tc>
        <w:tc>
          <w:tcPr>
            <w:tcW w:w="750"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青田兴达教育发展投资有限公司</w:t>
            </w:r>
          </w:p>
        </w:tc>
        <w:tc>
          <w:tcPr>
            <w:tcW w:w="873"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青田县教育局</w:t>
            </w:r>
          </w:p>
        </w:tc>
        <w:tc>
          <w:tcPr>
            <w:tcW w:w="682"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谋划类</w:t>
            </w:r>
          </w:p>
        </w:tc>
        <w:tc>
          <w:tcPr>
            <w:tcW w:w="668"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自建</w:t>
            </w:r>
          </w:p>
        </w:tc>
        <w:tc>
          <w:tcPr>
            <w:tcW w:w="576"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30" w:hRule="atLeast"/>
          <w:jc w:val="center"/>
        </w:trPr>
        <w:tc>
          <w:tcPr>
            <w:tcW w:w="453"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19</w:t>
            </w:r>
          </w:p>
        </w:tc>
        <w:tc>
          <w:tcPr>
            <w:tcW w:w="1378"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青田县温溪镇第五小学新建工程二期</w:t>
            </w:r>
          </w:p>
        </w:tc>
        <w:tc>
          <w:tcPr>
            <w:tcW w:w="913"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小学</w:t>
            </w:r>
          </w:p>
        </w:tc>
        <w:tc>
          <w:tcPr>
            <w:tcW w:w="3191"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用地面积为：12190平方米，用地内拟建二层体艺馆、地下停车场、运动场、绿化等。拟建建筑占地为：1285.7平方米,总建筑面积为：8525.1平方米{其中地上面积：2362.8平方米，地下面积：6162.3平方米}</w:t>
            </w:r>
          </w:p>
        </w:tc>
        <w:tc>
          <w:tcPr>
            <w:tcW w:w="927"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青田县温溪镇</w:t>
            </w:r>
          </w:p>
        </w:tc>
        <w:tc>
          <w:tcPr>
            <w:tcW w:w="737"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改扩建</w:t>
            </w:r>
          </w:p>
        </w:tc>
        <w:tc>
          <w:tcPr>
            <w:tcW w:w="1091"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2020-2021</w:t>
            </w:r>
          </w:p>
        </w:tc>
        <w:tc>
          <w:tcPr>
            <w:tcW w:w="1132"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 xml:space="preserve">0.55 </w:t>
            </w:r>
          </w:p>
        </w:tc>
        <w:tc>
          <w:tcPr>
            <w:tcW w:w="1090"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 xml:space="preserve">0.45 </w:t>
            </w:r>
          </w:p>
        </w:tc>
        <w:tc>
          <w:tcPr>
            <w:tcW w:w="955"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　</w:t>
            </w:r>
          </w:p>
        </w:tc>
        <w:tc>
          <w:tcPr>
            <w:tcW w:w="750"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青田县温溪镇第五小学</w:t>
            </w:r>
          </w:p>
        </w:tc>
        <w:tc>
          <w:tcPr>
            <w:tcW w:w="873"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青田县教育局</w:t>
            </w:r>
          </w:p>
        </w:tc>
        <w:tc>
          <w:tcPr>
            <w:tcW w:w="682"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实施类</w:t>
            </w:r>
          </w:p>
        </w:tc>
        <w:tc>
          <w:tcPr>
            <w:tcW w:w="668"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自建</w:t>
            </w:r>
          </w:p>
        </w:tc>
        <w:tc>
          <w:tcPr>
            <w:tcW w:w="576"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53" w:hRule="atLeast"/>
          <w:jc w:val="center"/>
        </w:trPr>
        <w:tc>
          <w:tcPr>
            <w:tcW w:w="453"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20</w:t>
            </w:r>
          </w:p>
        </w:tc>
        <w:tc>
          <w:tcPr>
            <w:tcW w:w="1378"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青田县水南第二小学新建工程</w:t>
            </w:r>
          </w:p>
        </w:tc>
        <w:tc>
          <w:tcPr>
            <w:tcW w:w="913"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小学</w:t>
            </w:r>
          </w:p>
        </w:tc>
        <w:tc>
          <w:tcPr>
            <w:tcW w:w="3191"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总用地80亩，总建筑面积30000平方米。建设48个班级完全小学。主要包括教学及教学辅助用房、师生食堂、室外体育场和体育馆，以及相关附属工程建设等。</w:t>
            </w:r>
          </w:p>
        </w:tc>
        <w:tc>
          <w:tcPr>
            <w:tcW w:w="927"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青田县欧南街道</w:t>
            </w:r>
          </w:p>
        </w:tc>
        <w:tc>
          <w:tcPr>
            <w:tcW w:w="737"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新建</w:t>
            </w:r>
          </w:p>
        </w:tc>
        <w:tc>
          <w:tcPr>
            <w:tcW w:w="1091"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2024-2027</w:t>
            </w:r>
          </w:p>
        </w:tc>
        <w:tc>
          <w:tcPr>
            <w:tcW w:w="1132"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 xml:space="preserve">3.00 </w:t>
            </w:r>
          </w:p>
        </w:tc>
        <w:tc>
          <w:tcPr>
            <w:tcW w:w="1090"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 xml:space="preserve">1.00 </w:t>
            </w:r>
          </w:p>
        </w:tc>
        <w:tc>
          <w:tcPr>
            <w:tcW w:w="955"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1680</w:t>
            </w:r>
          </w:p>
        </w:tc>
        <w:tc>
          <w:tcPr>
            <w:tcW w:w="750"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青田县城西实验小学</w:t>
            </w:r>
          </w:p>
        </w:tc>
        <w:tc>
          <w:tcPr>
            <w:tcW w:w="873"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青田县教育局</w:t>
            </w:r>
          </w:p>
        </w:tc>
        <w:tc>
          <w:tcPr>
            <w:tcW w:w="682"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实施类</w:t>
            </w:r>
          </w:p>
        </w:tc>
        <w:tc>
          <w:tcPr>
            <w:tcW w:w="668"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　</w:t>
            </w:r>
          </w:p>
        </w:tc>
        <w:tc>
          <w:tcPr>
            <w:tcW w:w="576"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民间投资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11" w:hRule="atLeast"/>
          <w:jc w:val="center"/>
        </w:trPr>
        <w:tc>
          <w:tcPr>
            <w:tcW w:w="453"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21</w:t>
            </w:r>
          </w:p>
        </w:tc>
        <w:tc>
          <w:tcPr>
            <w:tcW w:w="1378"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青田县培智学校迁建工程</w:t>
            </w:r>
          </w:p>
        </w:tc>
        <w:tc>
          <w:tcPr>
            <w:tcW w:w="913"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其他</w:t>
            </w:r>
          </w:p>
        </w:tc>
        <w:tc>
          <w:tcPr>
            <w:tcW w:w="3191"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15个班级,总用地30亩，总建筑面积15000平方米。主要包括教学及教学辅助用房、师生食堂、室外体育场以及相关附属工程建设等。</w:t>
            </w:r>
          </w:p>
        </w:tc>
        <w:tc>
          <w:tcPr>
            <w:tcW w:w="927"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青田县欧南街道</w:t>
            </w:r>
          </w:p>
        </w:tc>
        <w:tc>
          <w:tcPr>
            <w:tcW w:w="737"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新建</w:t>
            </w:r>
          </w:p>
        </w:tc>
        <w:tc>
          <w:tcPr>
            <w:tcW w:w="1091"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2024-2027</w:t>
            </w:r>
          </w:p>
        </w:tc>
        <w:tc>
          <w:tcPr>
            <w:tcW w:w="1132"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 xml:space="preserve">1.00 </w:t>
            </w:r>
          </w:p>
        </w:tc>
        <w:tc>
          <w:tcPr>
            <w:tcW w:w="1090"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 xml:space="preserve">0.50 </w:t>
            </w:r>
          </w:p>
        </w:tc>
        <w:tc>
          <w:tcPr>
            <w:tcW w:w="955"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135</w:t>
            </w:r>
          </w:p>
        </w:tc>
        <w:tc>
          <w:tcPr>
            <w:tcW w:w="750"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青田县城西实验小学</w:t>
            </w:r>
          </w:p>
        </w:tc>
        <w:tc>
          <w:tcPr>
            <w:tcW w:w="873"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青田县教育局</w:t>
            </w:r>
          </w:p>
        </w:tc>
        <w:tc>
          <w:tcPr>
            <w:tcW w:w="682"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实施类</w:t>
            </w:r>
          </w:p>
        </w:tc>
        <w:tc>
          <w:tcPr>
            <w:tcW w:w="668"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　</w:t>
            </w:r>
          </w:p>
        </w:tc>
        <w:tc>
          <w:tcPr>
            <w:tcW w:w="576"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民间投资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4" w:hRule="atLeast"/>
          <w:jc w:val="center"/>
        </w:trPr>
        <w:tc>
          <w:tcPr>
            <w:tcW w:w="453" w:type="dxa"/>
            <w:shd w:val="clear" w:color="auto" w:fill="auto"/>
            <w:vAlign w:val="center"/>
          </w:tcPr>
          <w:p>
            <w:pPr>
              <w:widowControl/>
              <w:suppressAutoHyphens w:val="0"/>
              <w:jc w:val="center"/>
              <w:rPr>
                <w:rFonts w:hint="eastAsia" w:cs="宋体" w:asciiTheme="majorEastAsia" w:hAnsiTheme="majorEastAsia" w:eastAsiaTheme="majorEastAsia"/>
                <w:b/>
                <w:bCs/>
                <w:kern w:val="0"/>
                <w:sz w:val="21"/>
                <w:szCs w:val="21"/>
                <w:highlight w:val="none"/>
                <w:lang w:val="en-US" w:eastAsia="zh-CN" w:bidi="ar-SA"/>
              </w:rPr>
            </w:pPr>
            <w:r>
              <w:rPr>
                <w:rFonts w:hint="eastAsia" w:cs="宋体" w:asciiTheme="majorEastAsia" w:hAnsiTheme="majorEastAsia" w:eastAsiaTheme="majorEastAsia"/>
                <w:b/>
                <w:bCs/>
                <w:kern w:val="0"/>
                <w:szCs w:val="21"/>
                <w:highlight w:val="none"/>
              </w:rPr>
              <w:t>序号</w:t>
            </w:r>
          </w:p>
        </w:tc>
        <w:tc>
          <w:tcPr>
            <w:tcW w:w="1378" w:type="dxa"/>
            <w:shd w:val="clear" w:color="auto" w:fill="auto"/>
            <w:vAlign w:val="center"/>
          </w:tcPr>
          <w:p>
            <w:pPr>
              <w:widowControl/>
              <w:suppressAutoHyphens w:val="0"/>
              <w:jc w:val="center"/>
              <w:rPr>
                <w:rFonts w:hint="eastAsia" w:cs="宋体" w:asciiTheme="majorEastAsia" w:hAnsiTheme="majorEastAsia" w:eastAsiaTheme="majorEastAsia"/>
                <w:b/>
                <w:bCs/>
                <w:kern w:val="0"/>
                <w:sz w:val="21"/>
                <w:szCs w:val="21"/>
                <w:highlight w:val="none"/>
                <w:lang w:val="en-US" w:eastAsia="zh-CN" w:bidi="ar-SA"/>
              </w:rPr>
            </w:pPr>
            <w:r>
              <w:rPr>
                <w:rFonts w:hint="eastAsia" w:cs="宋体" w:asciiTheme="majorEastAsia" w:hAnsiTheme="majorEastAsia" w:eastAsiaTheme="majorEastAsia"/>
                <w:b/>
                <w:bCs/>
                <w:kern w:val="0"/>
                <w:szCs w:val="21"/>
                <w:highlight w:val="none"/>
              </w:rPr>
              <w:t>项目名称</w:t>
            </w:r>
          </w:p>
        </w:tc>
        <w:tc>
          <w:tcPr>
            <w:tcW w:w="913" w:type="dxa"/>
            <w:shd w:val="clear" w:color="auto" w:fill="auto"/>
            <w:vAlign w:val="center"/>
          </w:tcPr>
          <w:p>
            <w:pPr>
              <w:widowControl/>
              <w:suppressAutoHyphens w:val="0"/>
              <w:jc w:val="center"/>
              <w:rPr>
                <w:rFonts w:hint="eastAsia" w:cs="宋体" w:asciiTheme="majorEastAsia" w:hAnsiTheme="majorEastAsia" w:eastAsiaTheme="majorEastAsia"/>
                <w:b/>
                <w:bCs/>
                <w:kern w:val="0"/>
                <w:sz w:val="21"/>
                <w:szCs w:val="21"/>
                <w:highlight w:val="none"/>
                <w:lang w:val="en-US" w:eastAsia="zh-CN" w:bidi="ar-SA"/>
              </w:rPr>
            </w:pPr>
            <w:r>
              <w:rPr>
                <w:rFonts w:hint="eastAsia" w:cs="宋体" w:asciiTheme="majorEastAsia" w:hAnsiTheme="majorEastAsia" w:eastAsiaTheme="majorEastAsia"/>
                <w:b/>
                <w:bCs/>
                <w:kern w:val="0"/>
                <w:szCs w:val="21"/>
                <w:highlight w:val="none"/>
              </w:rPr>
              <w:t>学段</w:t>
            </w:r>
          </w:p>
        </w:tc>
        <w:tc>
          <w:tcPr>
            <w:tcW w:w="3191" w:type="dxa"/>
            <w:shd w:val="clear" w:color="auto" w:fill="auto"/>
            <w:vAlign w:val="center"/>
          </w:tcPr>
          <w:p>
            <w:pPr>
              <w:widowControl/>
              <w:suppressAutoHyphens w:val="0"/>
              <w:jc w:val="center"/>
              <w:rPr>
                <w:rFonts w:hint="eastAsia" w:cs="宋体" w:asciiTheme="majorEastAsia" w:hAnsiTheme="majorEastAsia" w:eastAsiaTheme="majorEastAsia"/>
                <w:b/>
                <w:bCs/>
                <w:kern w:val="0"/>
                <w:sz w:val="21"/>
                <w:szCs w:val="21"/>
                <w:highlight w:val="none"/>
                <w:lang w:val="en-US" w:eastAsia="zh-CN" w:bidi="ar-SA"/>
              </w:rPr>
            </w:pPr>
            <w:r>
              <w:rPr>
                <w:rFonts w:hint="eastAsia" w:cs="宋体" w:asciiTheme="majorEastAsia" w:hAnsiTheme="majorEastAsia" w:eastAsiaTheme="majorEastAsia"/>
                <w:b/>
                <w:bCs/>
                <w:kern w:val="0"/>
                <w:szCs w:val="21"/>
                <w:highlight w:val="none"/>
              </w:rPr>
              <w:t>建设规模和内容</w:t>
            </w:r>
          </w:p>
        </w:tc>
        <w:tc>
          <w:tcPr>
            <w:tcW w:w="927" w:type="dxa"/>
            <w:shd w:val="clear" w:color="auto" w:fill="auto"/>
            <w:vAlign w:val="center"/>
          </w:tcPr>
          <w:p>
            <w:pPr>
              <w:widowControl/>
              <w:suppressAutoHyphens w:val="0"/>
              <w:jc w:val="center"/>
              <w:rPr>
                <w:rFonts w:hint="eastAsia"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建设</w:t>
            </w:r>
          </w:p>
          <w:p>
            <w:pPr>
              <w:widowControl/>
              <w:suppressAutoHyphens w:val="0"/>
              <w:jc w:val="center"/>
              <w:rPr>
                <w:rFonts w:hint="eastAsia" w:cs="宋体" w:asciiTheme="majorEastAsia" w:hAnsiTheme="majorEastAsia" w:eastAsiaTheme="majorEastAsia"/>
                <w:b/>
                <w:bCs/>
                <w:kern w:val="0"/>
                <w:sz w:val="21"/>
                <w:szCs w:val="21"/>
                <w:highlight w:val="none"/>
                <w:lang w:val="en-US" w:eastAsia="zh-CN" w:bidi="ar-SA"/>
              </w:rPr>
            </w:pPr>
            <w:r>
              <w:rPr>
                <w:rFonts w:hint="eastAsia" w:cs="宋体" w:asciiTheme="majorEastAsia" w:hAnsiTheme="majorEastAsia" w:eastAsiaTheme="majorEastAsia"/>
                <w:b/>
                <w:bCs/>
                <w:kern w:val="0"/>
                <w:szCs w:val="21"/>
                <w:highlight w:val="none"/>
              </w:rPr>
              <w:t>地点</w:t>
            </w:r>
          </w:p>
        </w:tc>
        <w:tc>
          <w:tcPr>
            <w:tcW w:w="737" w:type="dxa"/>
            <w:shd w:val="clear" w:color="auto" w:fill="auto"/>
            <w:vAlign w:val="center"/>
          </w:tcPr>
          <w:p>
            <w:pPr>
              <w:widowControl/>
              <w:suppressAutoHyphens w:val="0"/>
              <w:jc w:val="center"/>
              <w:rPr>
                <w:rFonts w:hint="eastAsia" w:cs="宋体" w:asciiTheme="majorEastAsia" w:hAnsiTheme="majorEastAsia" w:eastAsiaTheme="majorEastAsia"/>
                <w:b/>
                <w:bCs/>
                <w:kern w:val="0"/>
                <w:sz w:val="21"/>
                <w:szCs w:val="21"/>
                <w:highlight w:val="none"/>
                <w:lang w:val="en-US" w:eastAsia="zh-CN" w:bidi="ar-SA"/>
              </w:rPr>
            </w:pPr>
            <w:r>
              <w:rPr>
                <w:rFonts w:hint="eastAsia" w:cs="宋体" w:asciiTheme="majorEastAsia" w:hAnsiTheme="majorEastAsia" w:eastAsiaTheme="majorEastAsia"/>
                <w:b/>
                <w:bCs/>
                <w:kern w:val="0"/>
                <w:szCs w:val="21"/>
                <w:highlight w:val="none"/>
              </w:rPr>
              <w:t>建设性质</w:t>
            </w:r>
          </w:p>
        </w:tc>
        <w:tc>
          <w:tcPr>
            <w:tcW w:w="1091" w:type="dxa"/>
            <w:shd w:val="clear" w:color="auto" w:fill="auto"/>
            <w:vAlign w:val="center"/>
          </w:tcPr>
          <w:p>
            <w:pPr>
              <w:widowControl/>
              <w:suppressAutoHyphens w:val="0"/>
              <w:jc w:val="center"/>
              <w:rPr>
                <w:rFonts w:hint="eastAsia" w:cs="宋体" w:asciiTheme="majorEastAsia" w:hAnsiTheme="majorEastAsia" w:eastAsiaTheme="majorEastAsia"/>
                <w:b/>
                <w:bCs/>
                <w:kern w:val="0"/>
                <w:sz w:val="21"/>
                <w:szCs w:val="21"/>
                <w:highlight w:val="none"/>
                <w:lang w:val="en-US" w:eastAsia="zh-CN" w:bidi="ar-SA"/>
              </w:rPr>
            </w:pPr>
            <w:r>
              <w:rPr>
                <w:rFonts w:hint="eastAsia" w:cs="宋体" w:asciiTheme="majorEastAsia" w:hAnsiTheme="majorEastAsia" w:eastAsiaTheme="majorEastAsia"/>
                <w:b/>
                <w:bCs/>
                <w:kern w:val="0"/>
                <w:szCs w:val="21"/>
                <w:highlight w:val="none"/>
              </w:rPr>
              <w:t>起止年限</w:t>
            </w:r>
          </w:p>
        </w:tc>
        <w:tc>
          <w:tcPr>
            <w:tcW w:w="1132" w:type="dxa"/>
            <w:shd w:val="clear" w:color="auto" w:fill="auto"/>
            <w:vAlign w:val="center"/>
          </w:tcPr>
          <w:p>
            <w:pPr>
              <w:widowControl/>
              <w:suppressAutoHyphens w:val="0"/>
              <w:jc w:val="center"/>
              <w:rPr>
                <w:rFonts w:hint="eastAsia" w:cs="宋体" w:asciiTheme="majorEastAsia" w:hAnsiTheme="majorEastAsia" w:eastAsiaTheme="majorEastAsia"/>
                <w:b/>
                <w:bCs/>
                <w:kern w:val="0"/>
                <w:sz w:val="21"/>
                <w:szCs w:val="21"/>
                <w:highlight w:val="none"/>
                <w:lang w:val="en-US" w:eastAsia="zh-CN" w:bidi="ar-SA"/>
              </w:rPr>
            </w:pPr>
            <w:r>
              <w:rPr>
                <w:rFonts w:hint="eastAsia" w:cs="宋体" w:asciiTheme="majorEastAsia" w:hAnsiTheme="majorEastAsia" w:eastAsiaTheme="majorEastAsia"/>
                <w:b/>
                <w:bCs/>
                <w:kern w:val="0"/>
                <w:szCs w:val="21"/>
                <w:highlight w:val="none"/>
              </w:rPr>
              <w:t>总投资（亿元）</w:t>
            </w:r>
          </w:p>
        </w:tc>
        <w:tc>
          <w:tcPr>
            <w:tcW w:w="1090" w:type="dxa"/>
            <w:shd w:val="clear" w:color="auto" w:fill="auto"/>
            <w:vAlign w:val="center"/>
          </w:tcPr>
          <w:p>
            <w:pPr>
              <w:widowControl/>
              <w:suppressAutoHyphens w:val="0"/>
              <w:jc w:val="center"/>
              <w:rPr>
                <w:rFonts w:hint="eastAsia" w:cs="宋体" w:asciiTheme="majorEastAsia" w:hAnsiTheme="majorEastAsia" w:eastAsiaTheme="majorEastAsia"/>
                <w:b/>
                <w:bCs/>
                <w:kern w:val="0"/>
                <w:sz w:val="21"/>
                <w:szCs w:val="21"/>
                <w:highlight w:val="none"/>
                <w:lang w:val="en-US" w:eastAsia="zh-CN" w:bidi="ar-SA"/>
              </w:rPr>
            </w:pPr>
            <w:r>
              <w:rPr>
                <w:rFonts w:hint="eastAsia" w:cs="宋体" w:asciiTheme="majorEastAsia" w:hAnsiTheme="majorEastAsia" w:eastAsiaTheme="majorEastAsia"/>
                <w:b/>
                <w:bCs/>
                <w:kern w:val="0"/>
                <w:szCs w:val="21"/>
                <w:highlight w:val="none"/>
              </w:rPr>
              <w:t>计划投资（亿元）</w:t>
            </w:r>
          </w:p>
        </w:tc>
        <w:tc>
          <w:tcPr>
            <w:tcW w:w="955" w:type="dxa"/>
            <w:shd w:val="clear" w:color="auto" w:fill="auto"/>
            <w:vAlign w:val="center"/>
          </w:tcPr>
          <w:p>
            <w:pPr>
              <w:widowControl/>
              <w:suppressAutoHyphens w:val="0"/>
              <w:jc w:val="center"/>
              <w:rPr>
                <w:rFonts w:hint="eastAsia" w:cs="宋体" w:asciiTheme="majorEastAsia" w:hAnsiTheme="majorEastAsia" w:eastAsiaTheme="majorEastAsia"/>
                <w:b/>
                <w:bCs/>
                <w:kern w:val="0"/>
                <w:sz w:val="21"/>
                <w:szCs w:val="21"/>
                <w:highlight w:val="none"/>
                <w:lang w:val="en-US" w:eastAsia="zh-CN" w:bidi="ar-SA"/>
              </w:rPr>
            </w:pPr>
            <w:r>
              <w:rPr>
                <w:rFonts w:hint="eastAsia" w:cs="宋体" w:asciiTheme="majorEastAsia" w:hAnsiTheme="majorEastAsia" w:eastAsiaTheme="majorEastAsia"/>
                <w:b/>
                <w:bCs/>
                <w:kern w:val="0"/>
                <w:szCs w:val="21"/>
                <w:highlight w:val="none"/>
              </w:rPr>
              <w:t>新增学位（个）</w:t>
            </w:r>
          </w:p>
        </w:tc>
        <w:tc>
          <w:tcPr>
            <w:tcW w:w="750" w:type="dxa"/>
            <w:shd w:val="clear" w:color="auto" w:fill="auto"/>
            <w:vAlign w:val="center"/>
          </w:tcPr>
          <w:p>
            <w:pPr>
              <w:widowControl/>
              <w:suppressAutoHyphens w:val="0"/>
              <w:jc w:val="center"/>
              <w:rPr>
                <w:rFonts w:hint="eastAsia" w:cs="宋体" w:asciiTheme="majorEastAsia" w:hAnsiTheme="majorEastAsia" w:eastAsiaTheme="majorEastAsia"/>
                <w:b/>
                <w:bCs/>
                <w:kern w:val="0"/>
                <w:sz w:val="21"/>
                <w:szCs w:val="21"/>
                <w:highlight w:val="none"/>
                <w:lang w:val="en-US" w:eastAsia="zh-CN" w:bidi="ar-SA"/>
              </w:rPr>
            </w:pPr>
            <w:r>
              <w:rPr>
                <w:rFonts w:hint="eastAsia" w:cs="宋体" w:asciiTheme="majorEastAsia" w:hAnsiTheme="majorEastAsia" w:eastAsiaTheme="majorEastAsia"/>
                <w:b/>
                <w:bCs/>
                <w:kern w:val="0"/>
                <w:szCs w:val="21"/>
                <w:highlight w:val="none"/>
              </w:rPr>
              <w:t>项目业主</w:t>
            </w:r>
          </w:p>
        </w:tc>
        <w:tc>
          <w:tcPr>
            <w:tcW w:w="873" w:type="dxa"/>
            <w:shd w:val="clear" w:color="auto" w:fill="auto"/>
            <w:vAlign w:val="center"/>
          </w:tcPr>
          <w:p>
            <w:pPr>
              <w:widowControl/>
              <w:suppressAutoHyphens w:val="0"/>
              <w:jc w:val="center"/>
              <w:rPr>
                <w:rFonts w:hint="eastAsia" w:cs="宋体" w:asciiTheme="majorEastAsia" w:hAnsiTheme="majorEastAsia" w:eastAsiaTheme="majorEastAsia"/>
                <w:b/>
                <w:bCs/>
                <w:kern w:val="0"/>
                <w:sz w:val="21"/>
                <w:szCs w:val="21"/>
                <w:highlight w:val="none"/>
                <w:lang w:val="en-US" w:eastAsia="zh-CN" w:bidi="ar-SA"/>
              </w:rPr>
            </w:pPr>
            <w:r>
              <w:rPr>
                <w:rFonts w:hint="eastAsia" w:cs="宋体" w:asciiTheme="majorEastAsia" w:hAnsiTheme="majorEastAsia" w:eastAsiaTheme="majorEastAsia"/>
                <w:b/>
                <w:bCs/>
                <w:kern w:val="0"/>
                <w:szCs w:val="21"/>
                <w:highlight w:val="none"/>
              </w:rPr>
              <w:t>责任单位</w:t>
            </w:r>
          </w:p>
        </w:tc>
        <w:tc>
          <w:tcPr>
            <w:tcW w:w="682" w:type="dxa"/>
            <w:shd w:val="clear" w:color="auto" w:fill="auto"/>
            <w:vAlign w:val="center"/>
          </w:tcPr>
          <w:p>
            <w:pPr>
              <w:widowControl/>
              <w:suppressAutoHyphens w:val="0"/>
              <w:jc w:val="center"/>
              <w:rPr>
                <w:rFonts w:hint="eastAsia" w:cs="宋体" w:asciiTheme="majorEastAsia" w:hAnsiTheme="majorEastAsia" w:eastAsiaTheme="majorEastAsia"/>
                <w:b/>
                <w:bCs/>
                <w:kern w:val="0"/>
                <w:sz w:val="21"/>
                <w:szCs w:val="21"/>
                <w:highlight w:val="none"/>
                <w:lang w:val="en-US" w:eastAsia="zh-CN" w:bidi="ar-SA"/>
              </w:rPr>
            </w:pPr>
            <w:r>
              <w:rPr>
                <w:rFonts w:hint="eastAsia" w:cs="宋体" w:asciiTheme="majorEastAsia" w:hAnsiTheme="majorEastAsia" w:eastAsiaTheme="majorEastAsia"/>
                <w:b/>
                <w:bCs/>
                <w:kern w:val="0"/>
                <w:szCs w:val="21"/>
                <w:highlight w:val="none"/>
              </w:rPr>
              <w:t>项目类别</w:t>
            </w:r>
          </w:p>
        </w:tc>
        <w:tc>
          <w:tcPr>
            <w:tcW w:w="668" w:type="dxa"/>
            <w:shd w:val="clear" w:color="auto" w:fill="auto"/>
            <w:vAlign w:val="center"/>
          </w:tcPr>
          <w:p>
            <w:pPr>
              <w:widowControl/>
              <w:suppressAutoHyphens w:val="0"/>
              <w:jc w:val="center"/>
              <w:rPr>
                <w:rFonts w:hint="eastAsia" w:cs="宋体" w:asciiTheme="majorEastAsia" w:hAnsiTheme="majorEastAsia" w:eastAsiaTheme="majorEastAsia"/>
                <w:b/>
                <w:bCs/>
                <w:kern w:val="0"/>
                <w:sz w:val="21"/>
                <w:szCs w:val="21"/>
                <w:highlight w:val="none"/>
                <w:lang w:val="en-US" w:eastAsia="zh-CN" w:bidi="ar-SA"/>
              </w:rPr>
            </w:pPr>
            <w:r>
              <w:rPr>
                <w:rFonts w:hint="eastAsia" w:cs="宋体" w:asciiTheme="majorEastAsia" w:hAnsiTheme="majorEastAsia" w:eastAsiaTheme="majorEastAsia"/>
                <w:b/>
                <w:bCs/>
                <w:kern w:val="0"/>
                <w:szCs w:val="21"/>
                <w:highlight w:val="none"/>
              </w:rPr>
              <w:t>建设模式</w:t>
            </w:r>
          </w:p>
        </w:tc>
        <w:tc>
          <w:tcPr>
            <w:tcW w:w="576" w:type="dxa"/>
            <w:shd w:val="clear" w:color="auto" w:fill="auto"/>
            <w:vAlign w:val="center"/>
          </w:tcPr>
          <w:p>
            <w:pPr>
              <w:widowControl/>
              <w:suppressAutoHyphens w:val="0"/>
              <w:jc w:val="center"/>
              <w:rPr>
                <w:rFonts w:hint="eastAsia" w:cs="宋体" w:asciiTheme="majorEastAsia" w:hAnsiTheme="majorEastAsia" w:eastAsiaTheme="majorEastAsia"/>
                <w:b/>
                <w:bCs/>
                <w:kern w:val="0"/>
                <w:sz w:val="21"/>
                <w:szCs w:val="21"/>
                <w:highlight w:val="none"/>
                <w:lang w:val="en-US" w:eastAsia="zh-CN" w:bidi="ar-SA"/>
              </w:rPr>
            </w:pPr>
            <w:r>
              <w:rPr>
                <w:rFonts w:hint="eastAsia" w:cs="宋体" w:asciiTheme="majorEastAsia" w:hAnsiTheme="majorEastAsia" w:eastAsiaTheme="majorEastAsia"/>
                <w:b/>
                <w:bCs/>
                <w:kern w:val="0"/>
                <w:szCs w:val="21"/>
                <w:highlight w:val="none"/>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57" w:hRule="atLeast"/>
          <w:jc w:val="center"/>
        </w:trPr>
        <w:tc>
          <w:tcPr>
            <w:tcW w:w="453"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22</w:t>
            </w:r>
          </w:p>
        </w:tc>
        <w:tc>
          <w:tcPr>
            <w:tcW w:w="1378"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青田县章中集团章旦中学扩建二期工程</w:t>
            </w:r>
          </w:p>
        </w:tc>
        <w:tc>
          <w:tcPr>
            <w:tcW w:w="913"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初中</w:t>
            </w:r>
          </w:p>
        </w:tc>
        <w:tc>
          <w:tcPr>
            <w:tcW w:w="3191"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该项目新建学生宿舍、食堂、艺术楼和文化礼堂，总用地面积约4000平方米，总建筑面积约14200平方米。</w:t>
            </w:r>
          </w:p>
        </w:tc>
        <w:tc>
          <w:tcPr>
            <w:tcW w:w="927"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青田县章旦乡</w:t>
            </w:r>
          </w:p>
        </w:tc>
        <w:tc>
          <w:tcPr>
            <w:tcW w:w="737"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改扩建</w:t>
            </w:r>
          </w:p>
        </w:tc>
        <w:tc>
          <w:tcPr>
            <w:tcW w:w="1091"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2022-2024</w:t>
            </w:r>
          </w:p>
        </w:tc>
        <w:tc>
          <w:tcPr>
            <w:tcW w:w="1132"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 xml:space="preserve">0.78 </w:t>
            </w:r>
          </w:p>
        </w:tc>
        <w:tc>
          <w:tcPr>
            <w:tcW w:w="1090"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 xml:space="preserve">0.78 </w:t>
            </w:r>
          </w:p>
        </w:tc>
        <w:tc>
          <w:tcPr>
            <w:tcW w:w="955"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350</w:t>
            </w:r>
          </w:p>
        </w:tc>
        <w:tc>
          <w:tcPr>
            <w:tcW w:w="750"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青田县章旦中学教育集团</w:t>
            </w:r>
          </w:p>
        </w:tc>
        <w:tc>
          <w:tcPr>
            <w:tcW w:w="873"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青田县教育局</w:t>
            </w:r>
          </w:p>
        </w:tc>
        <w:tc>
          <w:tcPr>
            <w:tcW w:w="682"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实施类</w:t>
            </w:r>
          </w:p>
        </w:tc>
        <w:tc>
          <w:tcPr>
            <w:tcW w:w="668"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自建</w:t>
            </w:r>
          </w:p>
        </w:tc>
        <w:tc>
          <w:tcPr>
            <w:tcW w:w="576"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9" w:hRule="atLeast"/>
          <w:jc w:val="center"/>
        </w:trPr>
        <w:tc>
          <w:tcPr>
            <w:tcW w:w="453"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23</w:t>
            </w:r>
          </w:p>
        </w:tc>
        <w:tc>
          <w:tcPr>
            <w:tcW w:w="1378"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青田县三溪口中学新建工程</w:t>
            </w:r>
          </w:p>
        </w:tc>
        <w:tc>
          <w:tcPr>
            <w:tcW w:w="913"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初中</w:t>
            </w:r>
          </w:p>
        </w:tc>
        <w:tc>
          <w:tcPr>
            <w:tcW w:w="3191"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规划48个班级，1920个学位办学规模，总用地93亩，总建筑面积为71958.3平方米，其中地上为66346.3平方米、地下为5612平方米，主要包括教学及教学辅助用房、学生宿舍、师生食堂、风雨操场以及相关附属工程和设备购置等。</w:t>
            </w:r>
          </w:p>
        </w:tc>
        <w:tc>
          <w:tcPr>
            <w:tcW w:w="927"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青田县三溪口街道</w:t>
            </w:r>
          </w:p>
        </w:tc>
        <w:tc>
          <w:tcPr>
            <w:tcW w:w="737"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新建</w:t>
            </w:r>
          </w:p>
        </w:tc>
        <w:tc>
          <w:tcPr>
            <w:tcW w:w="1091"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2022-2025</w:t>
            </w:r>
          </w:p>
        </w:tc>
        <w:tc>
          <w:tcPr>
            <w:tcW w:w="1132"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 xml:space="preserve">4.80 </w:t>
            </w:r>
          </w:p>
        </w:tc>
        <w:tc>
          <w:tcPr>
            <w:tcW w:w="1090"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 xml:space="preserve">4.80 </w:t>
            </w:r>
          </w:p>
        </w:tc>
        <w:tc>
          <w:tcPr>
            <w:tcW w:w="955"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1920</w:t>
            </w:r>
          </w:p>
        </w:tc>
        <w:tc>
          <w:tcPr>
            <w:tcW w:w="750"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青田县三溪口学校</w:t>
            </w:r>
          </w:p>
        </w:tc>
        <w:tc>
          <w:tcPr>
            <w:tcW w:w="873"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青田县教育局</w:t>
            </w:r>
          </w:p>
        </w:tc>
        <w:tc>
          <w:tcPr>
            <w:tcW w:w="682"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实施类</w:t>
            </w:r>
          </w:p>
        </w:tc>
        <w:tc>
          <w:tcPr>
            <w:tcW w:w="668"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自建</w:t>
            </w:r>
          </w:p>
        </w:tc>
        <w:tc>
          <w:tcPr>
            <w:tcW w:w="576"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11" w:hRule="atLeast"/>
          <w:jc w:val="center"/>
        </w:trPr>
        <w:tc>
          <w:tcPr>
            <w:tcW w:w="453"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24</w:t>
            </w:r>
          </w:p>
        </w:tc>
        <w:tc>
          <w:tcPr>
            <w:tcW w:w="1378"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青田县湖边学校迁建二期工程</w:t>
            </w:r>
          </w:p>
        </w:tc>
        <w:tc>
          <w:tcPr>
            <w:tcW w:w="913"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初中</w:t>
            </w:r>
          </w:p>
        </w:tc>
        <w:tc>
          <w:tcPr>
            <w:tcW w:w="3191"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该项目总建筑面积约31073平方米，新建教学综合楼、宿舍综合楼、体艺馆、门卫、连廊、停车场、室外运动场及相关附属设施建设和设备购置。计划总投资12000万</w:t>
            </w:r>
          </w:p>
        </w:tc>
        <w:tc>
          <w:tcPr>
            <w:tcW w:w="927"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青田县瓯南街道湖边村</w:t>
            </w:r>
          </w:p>
        </w:tc>
        <w:tc>
          <w:tcPr>
            <w:tcW w:w="737"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改扩建</w:t>
            </w:r>
          </w:p>
        </w:tc>
        <w:tc>
          <w:tcPr>
            <w:tcW w:w="1091"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2021-2023</w:t>
            </w:r>
          </w:p>
        </w:tc>
        <w:tc>
          <w:tcPr>
            <w:tcW w:w="1132"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 xml:space="preserve">1.20 </w:t>
            </w:r>
          </w:p>
        </w:tc>
        <w:tc>
          <w:tcPr>
            <w:tcW w:w="1090"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 xml:space="preserve">1.20 </w:t>
            </w:r>
          </w:p>
        </w:tc>
        <w:tc>
          <w:tcPr>
            <w:tcW w:w="955"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810</w:t>
            </w:r>
          </w:p>
        </w:tc>
        <w:tc>
          <w:tcPr>
            <w:tcW w:w="750"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青田县湖边学校</w:t>
            </w:r>
          </w:p>
        </w:tc>
        <w:tc>
          <w:tcPr>
            <w:tcW w:w="873"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青田县教育局</w:t>
            </w:r>
          </w:p>
        </w:tc>
        <w:tc>
          <w:tcPr>
            <w:tcW w:w="682"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实施类</w:t>
            </w:r>
          </w:p>
        </w:tc>
        <w:tc>
          <w:tcPr>
            <w:tcW w:w="668"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自建</w:t>
            </w:r>
          </w:p>
        </w:tc>
        <w:tc>
          <w:tcPr>
            <w:tcW w:w="576"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72" w:hRule="atLeast"/>
          <w:jc w:val="center"/>
        </w:trPr>
        <w:tc>
          <w:tcPr>
            <w:tcW w:w="453"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25</w:t>
            </w:r>
          </w:p>
        </w:tc>
        <w:tc>
          <w:tcPr>
            <w:tcW w:w="1378"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青田县职业技术学校校园二期扩建工程</w:t>
            </w:r>
          </w:p>
        </w:tc>
        <w:tc>
          <w:tcPr>
            <w:tcW w:w="913"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高中</w:t>
            </w:r>
          </w:p>
        </w:tc>
        <w:tc>
          <w:tcPr>
            <w:tcW w:w="3191"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项目总用地面积为61987平方米，建筑占地面积7310.62平方米，总建筑面积37477.01平方米。其中：地上30112.07平方米、地下7364.94 平方米，以及附属工程建设，以及雨水收集处理设备、空调、电梯、教学和办公设备、厨房和环卫设施等相关设备购置</w:t>
            </w:r>
          </w:p>
        </w:tc>
        <w:tc>
          <w:tcPr>
            <w:tcW w:w="927"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青田县瓯南街道水南村青田县职业技术学校内</w:t>
            </w:r>
          </w:p>
        </w:tc>
        <w:tc>
          <w:tcPr>
            <w:tcW w:w="737"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改扩建</w:t>
            </w:r>
          </w:p>
        </w:tc>
        <w:tc>
          <w:tcPr>
            <w:tcW w:w="1091"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2021-2022</w:t>
            </w:r>
          </w:p>
        </w:tc>
        <w:tc>
          <w:tcPr>
            <w:tcW w:w="1132"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 xml:space="preserve">2.60 </w:t>
            </w:r>
          </w:p>
        </w:tc>
        <w:tc>
          <w:tcPr>
            <w:tcW w:w="1090"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 xml:space="preserve">2.60 </w:t>
            </w:r>
          </w:p>
        </w:tc>
        <w:tc>
          <w:tcPr>
            <w:tcW w:w="955"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1620</w:t>
            </w:r>
          </w:p>
        </w:tc>
        <w:tc>
          <w:tcPr>
            <w:tcW w:w="750"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青田县职业技术学校</w:t>
            </w:r>
          </w:p>
        </w:tc>
        <w:tc>
          <w:tcPr>
            <w:tcW w:w="873"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青田县教育局</w:t>
            </w:r>
          </w:p>
        </w:tc>
        <w:tc>
          <w:tcPr>
            <w:tcW w:w="682"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实施类</w:t>
            </w:r>
          </w:p>
        </w:tc>
        <w:tc>
          <w:tcPr>
            <w:tcW w:w="668"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自建</w:t>
            </w:r>
          </w:p>
        </w:tc>
        <w:tc>
          <w:tcPr>
            <w:tcW w:w="576"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7" w:hRule="atLeast"/>
          <w:jc w:val="center"/>
        </w:trPr>
        <w:tc>
          <w:tcPr>
            <w:tcW w:w="453" w:type="dxa"/>
            <w:shd w:val="clear" w:color="auto" w:fill="auto"/>
            <w:vAlign w:val="center"/>
          </w:tcPr>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序号</w:t>
            </w:r>
          </w:p>
        </w:tc>
        <w:tc>
          <w:tcPr>
            <w:tcW w:w="1378" w:type="dxa"/>
            <w:shd w:val="clear" w:color="auto" w:fill="auto"/>
            <w:vAlign w:val="center"/>
          </w:tcPr>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项目名称</w:t>
            </w:r>
          </w:p>
        </w:tc>
        <w:tc>
          <w:tcPr>
            <w:tcW w:w="913" w:type="dxa"/>
            <w:shd w:val="clear" w:color="auto" w:fill="auto"/>
            <w:vAlign w:val="center"/>
          </w:tcPr>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学段</w:t>
            </w:r>
          </w:p>
        </w:tc>
        <w:tc>
          <w:tcPr>
            <w:tcW w:w="3191" w:type="dxa"/>
            <w:shd w:val="clear" w:color="auto" w:fill="auto"/>
            <w:vAlign w:val="center"/>
          </w:tcPr>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建设规模和内容</w:t>
            </w:r>
          </w:p>
        </w:tc>
        <w:tc>
          <w:tcPr>
            <w:tcW w:w="927" w:type="dxa"/>
            <w:shd w:val="clear" w:color="auto" w:fill="auto"/>
            <w:vAlign w:val="center"/>
          </w:tcPr>
          <w:p>
            <w:pPr>
              <w:widowControl/>
              <w:suppressAutoHyphens w:val="0"/>
              <w:jc w:val="center"/>
              <w:rPr>
                <w:rFonts w:hint="eastAsia"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建设</w:t>
            </w:r>
          </w:p>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地点</w:t>
            </w:r>
          </w:p>
        </w:tc>
        <w:tc>
          <w:tcPr>
            <w:tcW w:w="737" w:type="dxa"/>
            <w:shd w:val="clear" w:color="auto" w:fill="auto"/>
            <w:vAlign w:val="center"/>
          </w:tcPr>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建设性质</w:t>
            </w:r>
          </w:p>
        </w:tc>
        <w:tc>
          <w:tcPr>
            <w:tcW w:w="1091" w:type="dxa"/>
            <w:shd w:val="clear" w:color="auto" w:fill="auto"/>
            <w:vAlign w:val="center"/>
          </w:tcPr>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起止年限</w:t>
            </w:r>
          </w:p>
        </w:tc>
        <w:tc>
          <w:tcPr>
            <w:tcW w:w="1132" w:type="dxa"/>
            <w:shd w:val="clear" w:color="auto" w:fill="auto"/>
            <w:vAlign w:val="center"/>
          </w:tcPr>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总投资（亿元）</w:t>
            </w:r>
          </w:p>
        </w:tc>
        <w:tc>
          <w:tcPr>
            <w:tcW w:w="1090" w:type="dxa"/>
            <w:shd w:val="clear" w:color="auto" w:fill="auto"/>
            <w:vAlign w:val="center"/>
          </w:tcPr>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计划投资（亿元）</w:t>
            </w:r>
          </w:p>
        </w:tc>
        <w:tc>
          <w:tcPr>
            <w:tcW w:w="955" w:type="dxa"/>
            <w:shd w:val="clear" w:color="auto" w:fill="auto"/>
            <w:vAlign w:val="center"/>
          </w:tcPr>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新增学位（个）</w:t>
            </w:r>
          </w:p>
        </w:tc>
        <w:tc>
          <w:tcPr>
            <w:tcW w:w="750" w:type="dxa"/>
            <w:shd w:val="clear" w:color="auto" w:fill="auto"/>
            <w:vAlign w:val="center"/>
          </w:tcPr>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项目业主</w:t>
            </w:r>
          </w:p>
        </w:tc>
        <w:tc>
          <w:tcPr>
            <w:tcW w:w="873" w:type="dxa"/>
            <w:shd w:val="clear" w:color="auto" w:fill="auto"/>
            <w:vAlign w:val="center"/>
          </w:tcPr>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责任单位</w:t>
            </w:r>
          </w:p>
        </w:tc>
        <w:tc>
          <w:tcPr>
            <w:tcW w:w="682" w:type="dxa"/>
            <w:shd w:val="clear" w:color="auto" w:fill="auto"/>
            <w:vAlign w:val="center"/>
          </w:tcPr>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项目类别</w:t>
            </w:r>
          </w:p>
        </w:tc>
        <w:tc>
          <w:tcPr>
            <w:tcW w:w="668" w:type="dxa"/>
            <w:shd w:val="clear" w:color="auto" w:fill="auto"/>
            <w:vAlign w:val="center"/>
          </w:tcPr>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建设模式</w:t>
            </w:r>
          </w:p>
        </w:tc>
        <w:tc>
          <w:tcPr>
            <w:tcW w:w="576" w:type="dxa"/>
            <w:shd w:val="clear" w:color="auto" w:fill="auto"/>
            <w:vAlign w:val="center"/>
          </w:tcPr>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20" w:hRule="atLeast"/>
          <w:jc w:val="center"/>
        </w:trPr>
        <w:tc>
          <w:tcPr>
            <w:tcW w:w="453"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26</w:t>
            </w:r>
          </w:p>
        </w:tc>
        <w:tc>
          <w:tcPr>
            <w:tcW w:w="1378"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青田县山口镇学校新建工程</w:t>
            </w:r>
          </w:p>
        </w:tc>
        <w:tc>
          <w:tcPr>
            <w:tcW w:w="913"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初中</w:t>
            </w:r>
          </w:p>
        </w:tc>
        <w:tc>
          <w:tcPr>
            <w:tcW w:w="3191"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小学36班，初中24班，总用地面积80亩，总建筑面积5万平方米。主要包括教学及教学辅助用房、学生宿舍、师生食堂、室外体育场和体育馆、以及相关附属工程建设和设备购置等</w:t>
            </w:r>
          </w:p>
        </w:tc>
        <w:tc>
          <w:tcPr>
            <w:tcW w:w="927"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青田县山口镇</w:t>
            </w:r>
          </w:p>
        </w:tc>
        <w:tc>
          <w:tcPr>
            <w:tcW w:w="737"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新建</w:t>
            </w:r>
          </w:p>
        </w:tc>
        <w:tc>
          <w:tcPr>
            <w:tcW w:w="1091"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2023-2026</w:t>
            </w:r>
          </w:p>
        </w:tc>
        <w:tc>
          <w:tcPr>
            <w:tcW w:w="1132"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 xml:space="preserve">3.00 </w:t>
            </w:r>
          </w:p>
        </w:tc>
        <w:tc>
          <w:tcPr>
            <w:tcW w:w="1090"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 xml:space="preserve">2.00 </w:t>
            </w:r>
          </w:p>
        </w:tc>
        <w:tc>
          <w:tcPr>
            <w:tcW w:w="955"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2580</w:t>
            </w:r>
          </w:p>
        </w:tc>
        <w:tc>
          <w:tcPr>
            <w:tcW w:w="750"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青田县山口镇中学</w:t>
            </w:r>
          </w:p>
        </w:tc>
        <w:tc>
          <w:tcPr>
            <w:tcW w:w="873"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青田县教育局</w:t>
            </w:r>
          </w:p>
        </w:tc>
        <w:tc>
          <w:tcPr>
            <w:tcW w:w="682"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谋划类</w:t>
            </w:r>
          </w:p>
        </w:tc>
        <w:tc>
          <w:tcPr>
            <w:tcW w:w="668"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自建</w:t>
            </w:r>
          </w:p>
        </w:tc>
        <w:tc>
          <w:tcPr>
            <w:tcW w:w="576"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28" w:hRule="atLeast"/>
          <w:jc w:val="center"/>
        </w:trPr>
        <w:tc>
          <w:tcPr>
            <w:tcW w:w="453"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27</w:t>
            </w:r>
          </w:p>
        </w:tc>
        <w:tc>
          <w:tcPr>
            <w:tcW w:w="1378"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青田县教育信息化建设项目</w:t>
            </w:r>
          </w:p>
        </w:tc>
        <w:tc>
          <w:tcPr>
            <w:tcW w:w="913"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信息化</w:t>
            </w:r>
          </w:p>
        </w:tc>
        <w:tc>
          <w:tcPr>
            <w:tcW w:w="3191"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全县中小学幼儿园信息化基础建设、智慧校园、教育教学管理平台、智慧教室等</w:t>
            </w:r>
          </w:p>
        </w:tc>
        <w:tc>
          <w:tcPr>
            <w:tcW w:w="927"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青田县</w:t>
            </w:r>
          </w:p>
        </w:tc>
        <w:tc>
          <w:tcPr>
            <w:tcW w:w="737"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新建</w:t>
            </w:r>
          </w:p>
        </w:tc>
        <w:tc>
          <w:tcPr>
            <w:tcW w:w="1091"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2021-2025</w:t>
            </w:r>
          </w:p>
        </w:tc>
        <w:tc>
          <w:tcPr>
            <w:tcW w:w="1132"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 xml:space="preserve">0.75 </w:t>
            </w:r>
          </w:p>
        </w:tc>
        <w:tc>
          <w:tcPr>
            <w:tcW w:w="1090"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 xml:space="preserve">0.75 </w:t>
            </w:r>
          </w:p>
        </w:tc>
        <w:tc>
          <w:tcPr>
            <w:tcW w:w="955"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　</w:t>
            </w:r>
          </w:p>
        </w:tc>
        <w:tc>
          <w:tcPr>
            <w:tcW w:w="750"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青田县教育局</w:t>
            </w:r>
          </w:p>
        </w:tc>
        <w:tc>
          <w:tcPr>
            <w:tcW w:w="873"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青田县教育局</w:t>
            </w:r>
          </w:p>
        </w:tc>
        <w:tc>
          <w:tcPr>
            <w:tcW w:w="682"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实施类</w:t>
            </w:r>
          </w:p>
        </w:tc>
        <w:tc>
          <w:tcPr>
            <w:tcW w:w="668"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自建</w:t>
            </w:r>
          </w:p>
        </w:tc>
        <w:tc>
          <w:tcPr>
            <w:tcW w:w="576"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jc w:val="center"/>
        </w:trPr>
        <w:tc>
          <w:tcPr>
            <w:tcW w:w="2744" w:type="dxa"/>
            <w:gridSpan w:val="3"/>
            <w:shd w:val="clear" w:color="auto" w:fill="auto"/>
            <w:vAlign w:val="center"/>
          </w:tcPr>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云和县小计</w:t>
            </w:r>
          </w:p>
        </w:tc>
        <w:tc>
          <w:tcPr>
            <w:tcW w:w="3191" w:type="dxa"/>
            <w:shd w:val="clear" w:color="auto" w:fill="auto"/>
            <w:vAlign w:val="center"/>
          </w:tcPr>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 xml:space="preserve">9 </w:t>
            </w:r>
          </w:p>
        </w:tc>
        <w:tc>
          <w:tcPr>
            <w:tcW w:w="927" w:type="dxa"/>
            <w:shd w:val="clear" w:color="auto" w:fill="auto"/>
            <w:vAlign w:val="center"/>
          </w:tcPr>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　</w:t>
            </w:r>
          </w:p>
        </w:tc>
        <w:tc>
          <w:tcPr>
            <w:tcW w:w="737" w:type="dxa"/>
            <w:shd w:val="clear" w:color="auto" w:fill="auto"/>
            <w:vAlign w:val="center"/>
          </w:tcPr>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　</w:t>
            </w:r>
          </w:p>
        </w:tc>
        <w:tc>
          <w:tcPr>
            <w:tcW w:w="1091" w:type="dxa"/>
            <w:shd w:val="clear" w:color="auto" w:fill="auto"/>
            <w:vAlign w:val="center"/>
          </w:tcPr>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　</w:t>
            </w:r>
          </w:p>
        </w:tc>
        <w:tc>
          <w:tcPr>
            <w:tcW w:w="1132" w:type="dxa"/>
            <w:shd w:val="clear" w:color="auto" w:fill="auto"/>
            <w:vAlign w:val="center"/>
          </w:tcPr>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 xml:space="preserve">14.20 </w:t>
            </w:r>
          </w:p>
        </w:tc>
        <w:tc>
          <w:tcPr>
            <w:tcW w:w="1090" w:type="dxa"/>
            <w:shd w:val="clear" w:color="auto" w:fill="auto"/>
            <w:vAlign w:val="center"/>
          </w:tcPr>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 xml:space="preserve">13.90 </w:t>
            </w:r>
          </w:p>
        </w:tc>
        <w:tc>
          <w:tcPr>
            <w:tcW w:w="955" w:type="dxa"/>
            <w:shd w:val="clear" w:color="auto" w:fill="auto"/>
            <w:vAlign w:val="center"/>
          </w:tcPr>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4980</w:t>
            </w:r>
          </w:p>
        </w:tc>
        <w:tc>
          <w:tcPr>
            <w:tcW w:w="750" w:type="dxa"/>
            <w:shd w:val="clear" w:color="auto" w:fill="auto"/>
            <w:vAlign w:val="center"/>
          </w:tcPr>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　</w:t>
            </w:r>
          </w:p>
        </w:tc>
        <w:tc>
          <w:tcPr>
            <w:tcW w:w="873" w:type="dxa"/>
            <w:shd w:val="clear" w:color="auto" w:fill="auto"/>
            <w:vAlign w:val="center"/>
          </w:tcPr>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　</w:t>
            </w:r>
          </w:p>
        </w:tc>
        <w:tc>
          <w:tcPr>
            <w:tcW w:w="682" w:type="dxa"/>
            <w:shd w:val="clear" w:color="auto" w:fill="auto"/>
            <w:vAlign w:val="center"/>
          </w:tcPr>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　</w:t>
            </w:r>
          </w:p>
        </w:tc>
        <w:tc>
          <w:tcPr>
            <w:tcW w:w="668" w:type="dxa"/>
            <w:shd w:val="clear" w:color="auto" w:fill="auto"/>
            <w:vAlign w:val="center"/>
          </w:tcPr>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　</w:t>
            </w:r>
          </w:p>
        </w:tc>
        <w:tc>
          <w:tcPr>
            <w:tcW w:w="576" w:type="dxa"/>
            <w:shd w:val="clear" w:color="auto" w:fill="auto"/>
            <w:vAlign w:val="center"/>
          </w:tcPr>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9" w:hRule="atLeast"/>
          <w:jc w:val="center"/>
        </w:trPr>
        <w:tc>
          <w:tcPr>
            <w:tcW w:w="453" w:type="dxa"/>
            <w:shd w:val="clear" w:color="auto" w:fill="auto"/>
            <w:vAlign w:val="center"/>
          </w:tcPr>
          <w:p>
            <w:pPr>
              <w:widowControl/>
              <w:suppressAutoHyphens w:val="0"/>
              <w:spacing w:line="240" w:lineRule="exact"/>
              <w:jc w:val="center"/>
              <w:rPr>
                <w:rFonts w:hint="default" w:cs="宋体" w:asciiTheme="majorEastAsia" w:hAnsiTheme="majorEastAsia" w:eastAsiaTheme="majorEastAsia"/>
                <w:kern w:val="0"/>
                <w:sz w:val="21"/>
                <w:szCs w:val="21"/>
                <w:highlight w:val="none"/>
                <w:lang w:val="en" w:eastAsia="zh-CN" w:bidi="ar-SA"/>
              </w:rPr>
            </w:pPr>
            <w:r>
              <w:rPr>
                <w:rFonts w:hint="eastAsia" w:cs="宋体" w:asciiTheme="majorEastAsia" w:hAnsiTheme="majorEastAsia" w:eastAsiaTheme="majorEastAsia"/>
                <w:kern w:val="0"/>
                <w:szCs w:val="21"/>
                <w:highlight w:val="none"/>
              </w:rPr>
              <w:t>2</w:t>
            </w:r>
            <w:r>
              <w:rPr>
                <w:rFonts w:hint="default" w:cs="宋体" w:asciiTheme="majorEastAsia" w:hAnsiTheme="majorEastAsia" w:eastAsiaTheme="majorEastAsia"/>
                <w:kern w:val="0"/>
                <w:szCs w:val="21"/>
                <w:highlight w:val="none"/>
                <w:lang w:val="en"/>
              </w:rPr>
              <w:t>8</w:t>
            </w:r>
          </w:p>
        </w:tc>
        <w:tc>
          <w:tcPr>
            <w:tcW w:w="1378" w:type="dxa"/>
            <w:shd w:val="clear" w:color="auto" w:fill="auto"/>
            <w:vAlign w:val="center"/>
          </w:tcPr>
          <w:p>
            <w:pPr>
              <w:widowControl/>
              <w:suppressAutoHyphens w:val="0"/>
              <w:spacing w:line="240" w:lineRule="exact"/>
              <w:jc w:val="center"/>
              <w:rPr>
                <w:rFonts w:hint="eastAsia" w:cs="宋体" w:asciiTheme="majorEastAsia" w:hAnsiTheme="majorEastAsia" w:eastAsiaTheme="majorEastAsia"/>
                <w:kern w:val="0"/>
                <w:sz w:val="21"/>
                <w:szCs w:val="21"/>
                <w:highlight w:val="none"/>
                <w:lang w:val="en-US" w:eastAsia="zh-CN" w:bidi="ar-SA"/>
              </w:rPr>
            </w:pPr>
            <w:r>
              <w:rPr>
                <w:rFonts w:hint="eastAsia" w:cs="宋体" w:asciiTheme="majorEastAsia" w:hAnsiTheme="majorEastAsia" w:eastAsiaTheme="majorEastAsia"/>
                <w:kern w:val="0"/>
                <w:szCs w:val="21"/>
                <w:highlight w:val="none"/>
              </w:rPr>
              <w:t>中国幼教创意园</w:t>
            </w:r>
          </w:p>
        </w:tc>
        <w:tc>
          <w:tcPr>
            <w:tcW w:w="913" w:type="dxa"/>
            <w:shd w:val="clear" w:color="auto" w:fill="auto"/>
            <w:vAlign w:val="center"/>
          </w:tcPr>
          <w:p>
            <w:pPr>
              <w:widowControl/>
              <w:suppressAutoHyphens w:val="0"/>
              <w:spacing w:line="240" w:lineRule="exact"/>
              <w:jc w:val="center"/>
              <w:rPr>
                <w:rFonts w:hint="eastAsia" w:cs="宋体" w:asciiTheme="majorEastAsia" w:hAnsiTheme="majorEastAsia" w:eastAsiaTheme="majorEastAsia"/>
                <w:kern w:val="0"/>
                <w:sz w:val="21"/>
                <w:szCs w:val="21"/>
                <w:highlight w:val="none"/>
                <w:lang w:val="en-US" w:eastAsia="zh-CN" w:bidi="ar-SA"/>
              </w:rPr>
            </w:pPr>
            <w:r>
              <w:rPr>
                <w:rFonts w:hint="eastAsia" w:cs="宋体" w:asciiTheme="majorEastAsia" w:hAnsiTheme="majorEastAsia" w:eastAsiaTheme="majorEastAsia"/>
                <w:kern w:val="0"/>
                <w:szCs w:val="21"/>
                <w:highlight w:val="none"/>
              </w:rPr>
              <w:t>幼儿园</w:t>
            </w:r>
          </w:p>
        </w:tc>
        <w:tc>
          <w:tcPr>
            <w:tcW w:w="3191" w:type="dxa"/>
            <w:shd w:val="clear" w:color="auto" w:fill="auto"/>
            <w:vAlign w:val="center"/>
          </w:tcPr>
          <w:p>
            <w:pPr>
              <w:widowControl/>
              <w:suppressAutoHyphens w:val="0"/>
              <w:spacing w:line="240" w:lineRule="exact"/>
              <w:jc w:val="left"/>
              <w:rPr>
                <w:rFonts w:hint="eastAsia" w:cs="宋体" w:asciiTheme="majorEastAsia" w:hAnsiTheme="majorEastAsia" w:eastAsiaTheme="majorEastAsia"/>
                <w:kern w:val="0"/>
                <w:sz w:val="21"/>
                <w:szCs w:val="21"/>
                <w:highlight w:val="none"/>
                <w:lang w:val="en-US" w:eastAsia="zh-CN" w:bidi="ar-SA"/>
              </w:rPr>
            </w:pPr>
            <w:r>
              <w:rPr>
                <w:rFonts w:hint="eastAsia" w:cs="宋体" w:asciiTheme="majorEastAsia" w:hAnsiTheme="majorEastAsia" w:eastAsiaTheme="majorEastAsia"/>
                <w:kern w:val="0"/>
                <w:szCs w:val="21"/>
                <w:highlight w:val="none"/>
              </w:rPr>
              <w:t>总用地面积约30亩，总建筑面积约3.2万㎡，主要建设木玩研究展示中心（含国际玩具交流中心）、12班幼儿园用房、幼师培训中心及配套服务设施</w:t>
            </w:r>
          </w:p>
        </w:tc>
        <w:tc>
          <w:tcPr>
            <w:tcW w:w="927" w:type="dxa"/>
            <w:shd w:val="clear" w:color="auto" w:fill="auto"/>
            <w:vAlign w:val="center"/>
          </w:tcPr>
          <w:p>
            <w:pPr>
              <w:widowControl/>
              <w:suppressAutoHyphens w:val="0"/>
              <w:spacing w:line="240" w:lineRule="exact"/>
              <w:jc w:val="center"/>
              <w:rPr>
                <w:rFonts w:hint="eastAsia" w:cs="宋体" w:asciiTheme="majorEastAsia" w:hAnsiTheme="majorEastAsia" w:eastAsiaTheme="majorEastAsia"/>
                <w:kern w:val="0"/>
                <w:sz w:val="21"/>
                <w:szCs w:val="21"/>
                <w:highlight w:val="none"/>
                <w:lang w:val="en-US" w:eastAsia="zh-CN" w:bidi="ar-SA"/>
              </w:rPr>
            </w:pPr>
            <w:r>
              <w:rPr>
                <w:rFonts w:hint="eastAsia" w:cs="宋体" w:asciiTheme="majorEastAsia" w:hAnsiTheme="majorEastAsia" w:eastAsiaTheme="majorEastAsia"/>
                <w:kern w:val="0"/>
                <w:szCs w:val="21"/>
                <w:highlight w:val="none"/>
              </w:rPr>
              <w:t>木玩童话小镇</w:t>
            </w:r>
          </w:p>
        </w:tc>
        <w:tc>
          <w:tcPr>
            <w:tcW w:w="737" w:type="dxa"/>
            <w:shd w:val="clear" w:color="auto" w:fill="auto"/>
            <w:vAlign w:val="center"/>
          </w:tcPr>
          <w:p>
            <w:pPr>
              <w:widowControl/>
              <w:suppressAutoHyphens w:val="0"/>
              <w:spacing w:line="240" w:lineRule="exact"/>
              <w:jc w:val="center"/>
              <w:rPr>
                <w:rFonts w:hint="eastAsia" w:cs="宋体" w:asciiTheme="majorEastAsia" w:hAnsiTheme="majorEastAsia" w:eastAsiaTheme="majorEastAsia"/>
                <w:kern w:val="0"/>
                <w:sz w:val="21"/>
                <w:szCs w:val="21"/>
                <w:highlight w:val="none"/>
                <w:lang w:val="en-US" w:eastAsia="zh-CN" w:bidi="ar-SA"/>
              </w:rPr>
            </w:pPr>
            <w:r>
              <w:rPr>
                <w:rFonts w:hint="eastAsia" w:cs="宋体" w:asciiTheme="majorEastAsia" w:hAnsiTheme="majorEastAsia" w:eastAsiaTheme="majorEastAsia"/>
                <w:kern w:val="0"/>
                <w:szCs w:val="21"/>
                <w:highlight w:val="none"/>
              </w:rPr>
              <w:t>新建</w:t>
            </w:r>
          </w:p>
        </w:tc>
        <w:tc>
          <w:tcPr>
            <w:tcW w:w="1091" w:type="dxa"/>
            <w:shd w:val="clear" w:color="auto" w:fill="auto"/>
            <w:vAlign w:val="center"/>
          </w:tcPr>
          <w:p>
            <w:pPr>
              <w:widowControl/>
              <w:suppressAutoHyphens w:val="0"/>
              <w:spacing w:line="240" w:lineRule="exact"/>
              <w:jc w:val="center"/>
              <w:rPr>
                <w:rFonts w:hint="eastAsia" w:cs="宋体" w:asciiTheme="majorEastAsia" w:hAnsiTheme="majorEastAsia" w:eastAsiaTheme="majorEastAsia"/>
                <w:kern w:val="0"/>
                <w:sz w:val="21"/>
                <w:szCs w:val="21"/>
                <w:highlight w:val="none"/>
                <w:lang w:val="en-US" w:eastAsia="zh-CN" w:bidi="ar-SA"/>
              </w:rPr>
            </w:pPr>
            <w:r>
              <w:rPr>
                <w:rFonts w:hint="eastAsia" w:cs="宋体" w:asciiTheme="majorEastAsia" w:hAnsiTheme="majorEastAsia" w:eastAsiaTheme="majorEastAsia"/>
                <w:kern w:val="0"/>
                <w:szCs w:val="21"/>
                <w:highlight w:val="none"/>
              </w:rPr>
              <w:t>2022-2025</w:t>
            </w:r>
          </w:p>
        </w:tc>
        <w:tc>
          <w:tcPr>
            <w:tcW w:w="1132" w:type="dxa"/>
            <w:shd w:val="clear" w:color="auto" w:fill="auto"/>
            <w:vAlign w:val="center"/>
          </w:tcPr>
          <w:p>
            <w:pPr>
              <w:widowControl/>
              <w:suppressAutoHyphens w:val="0"/>
              <w:spacing w:line="240" w:lineRule="exact"/>
              <w:jc w:val="center"/>
              <w:rPr>
                <w:rFonts w:hint="eastAsia" w:cs="宋体" w:asciiTheme="majorEastAsia" w:hAnsiTheme="majorEastAsia" w:eastAsiaTheme="majorEastAsia"/>
                <w:kern w:val="0"/>
                <w:sz w:val="21"/>
                <w:szCs w:val="21"/>
                <w:highlight w:val="none"/>
                <w:lang w:val="en-US" w:eastAsia="zh-CN" w:bidi="ar-SA"/>
              </w:rPr>
            </w:pPr>
            <w:r>
              <w:rPr>
                <w:rFonts w:hint="eastAsia" w:cs="宋体" w:asciiTheme="majorEastAsia" w:hAnsiTheme="majorEastAsia" w:eastAsiaTheme="majorEastAsia"/>
                <w:kern w:val="0"/>
                <w:szCs w:val="21"/>
                <w:highlight w:val="none"/>
              </w:rPr>
              <w:t xml:space="preserve">2.10 </w:t>
            </w:r>
          </w:p>
        </w:tc>
        <w:tc>
          <w:tcPr>
            <w:tcW w:w="1090" w:type="dxa"/>
            <w:shd w:val="clear" w:color="auto" w:fill="auto"/>
            <w:vAlign w:val="center"/>
          </w:tcPr>
          <w:p>
            <w:pPr>
              <w:widowControl/>
              <w:suppressAutoHyphens w:val="0"/>
              <w:spacing w:line="240" w:lineRule="exact"/>
              <w:jc w:val="center"/>
              <w:rPr>
                <w:rFonts w:hint="eastAsia" w:cs="宋体" w:asciiTheme="majorEastAsia" w:hAnsiTheme="majorEastAsia" w:eastAsiaTheme="majorEastAsia"/>
                <w:kern w:val="0"/>
                <w:sz w:val="21"/>
                <w:szCs w:val="21"/>
                <w:highlight w:val="none"/>
                <w:lang w:val="en-US" w:eastAsia="zh-CN" w:bidi="ar-SA"/>
              </w:rPr>
            </w:pPr>
            <w:r>
              <w:rPr>
                <w:rFonts w:hint="eastAsia" w:cs="宋体" w:asciiTheme="majorEastAsia" w:hAnsiTheme="majorEastAsia" w:eastAsiaTheme="majorEastAsia"/>
                <w:kern w:val="0"/>
                <w:szCs w:val="21"/>
                <w:highlight w:val="none"/>
              </w:rPr>
              <w:t xml:space="preserve">2.10 </w:t>
            </w:r>
          </w:p>
        </w:tc>
        <w:tc>
          <w:tcPr>
            <w:tcW w:w="955" w:type="dxa"/>
            <w:shd w:val="clear" w:color="auto" w:fill="auto"/>
            <w:vAlign w:val="center"/>
          </w:tcPr>
          <w:p>
            <w:pPr>
              <w:widowControl/>
              <w:suppressAutoHyphens w:val="0"/>
              <w:spacing w:line="240" w:lineRule="exact"/>
              <w:jc w:val="center"/>
              <w:rPr>
                <w:rFonts w:hint="eastAsia" w:cs="宋体" w:asciiTheme="majorEastAsia" w:hAnsiTheme="majorEastAsia" w:eastAsiaTheme="majorEastAsia"/>
                <w:kern w:val="0"/>
                <w:sz w:val="21"/>
                <w:szCs w:val="21"/>
                <w:highlight w:val="none"/>
                <w:lang w:val="en-US" w:eastAsia="zh-CN" w:bidi="ar-SA"/>
              </w:rPr>
            </w:pPr>
            <w:r>
              <w:rPr>
                <w:rFonts w:hint="eastAsia" w:cs="宋体" w:asciiTheme="majorEastAsia" w:hAnsiTheme="majorEastAsia" w:eastAsiaTheme="majorEastAsia"/>
                <w:kern w:val="0"/>
                <w:szCs w:val="21"/>
                <w:highlight w:val="none"/>
              </w:rPr>
              <w:t>360</w:t>
            </w:r>
          </w:p>
        </w:tc>
        <w:tc>
          <w:tcPr>
            <w:tcW w:w="750" w:type="dxa"/>
            <w:shd w:val="clear" w:color="auto" w:fill="auto"/>
            <w:vAlign w:val="center"/>
          </w:tcPr>
          <w:p>
            <w:pPr>
              <w:widowControl/>
              <w:suppressAutoHyphens w:val="0"/>
              <w:spacing w:line="240" w:lineRule="exact"/>
              <w:jc w:val="center"/>
              <w:rPr>
                <w:rFonts w:hint="eastAsia" w:cs="宋体" w:asciiTheme="majorEastAsia" w:hAnsiTheme="majorEastAsia" w:eastAsiaTheme="majorEastAsia"/>
                <w:kern w:val="0"/>
                <w:sz w:val="21"/>
                <w:szCs w:val="21"/>
                <w:highlight w:val="none"/>
                <w:lang w:val="en-US" w:eastAsia="zh-CN" w:bidi="ar-SA"/>
              </w:rPr>
            </w:pPr>
            <w:r>
              <w:rPr>
                <w:rFonts w:hint="eastAsia" w:cs="宋体" w:asciiTheme="majorEastAsia" w:hAnsiTheme="majorEastAsia" w:eastAsiaTheme="majorEastAsia"/>
                <w:kern w:val="0"/>
                <w:szCs w:val="21"/>
                <w:highlight w:val="none"/>
              </w:rPr>
              <w:t>待定</w:t>
            </w:r>
          </w:p>
        </w:tc>
        <w:tc>
          <w:tcPr>
            <w:tcW w:w="873" w:type="dxa"/>
            <w:shd w:val="clear" w:color="auto" w:fill="auto"/>
            <w:vAlign w:val="center"/>
          </w:tcPr>
          <w:p>
            <w:pPr>
              <w:widowControl/>
              <w:suppressAutoHyphens w:val="0"/>
              <w:spacing w:line="240" w:lineRule="exact"/>
              <w:jc w:val="center"/>
              <w:rPr>
                <w:rFonts w:hint="eastAsia" w:cs="宋体" w:asciiTheme="majorEastAsia" w:hAnsiTheme="majorEastAsia" w:eastAsiaTheme="majorEastAsia"/>
                <w:kern w:val="0"/>
                <w:sz w:val="21"/>
                <w:szCs w:val="21"/>
                <w:highlight w:val="none"/>
                <w:lang w:val="en-US" w:eastAsia="zh-CN" w:bidi="ar-SA"/>
              </w:rPr>
            </w:pPr>
            <w:r>
              <w:rPr>
                <w:rFonts w:hint="eastAsia" w:cs="宋体" w:asciiTheme="majorEastAsia" w:hAnsiTheme="majorEastAsia" w:eastAsiaTheme="majorEastAsia"/>
                <w:kern w:val="0"/>
                <w:szCs w:val="21"/>
                <w:highlight w:val="none"/>
              </w:rPr>
              <w:t>云和县教育局</w:t>
            </w:r>
          </w:p>
        </w:tc>
        <w:tc>
          <w:tcPr>
            <w:tcW w:w="682" w:type="dxa"/>
            <w:shd w:val="clear" w:color="auto" w:fill="auto"/>
            <w:vAlign w:val="center"/>
          </w:tcPr>
          <w:p>
            <w:pPr>
              <w:widowControl/>
              <w:suppressAutoHyphens w:val="0"/>
              <w:spacing w:line="240" w:lineRule="exact"/>
              <w:jc w:val="center"/>
              <w:rPr>
                <w:rFonts w:hint="eastAsia" w:cs="宋体" w:asciiTheme="majorEastAsia" w:hAnsiTheme="majorEastAsia" w:eastAsiaTheme="majorEastAsia"/>
                <w:kern w:val="0"/>
                <w:sz w:val="21"/>
                <w:szCs w:val="21"/>
                <w:highlight w:val="none"/>
                <w:lang w:val="en-US" w:eastAsia="zh-CN" w:bidi="ar-SA"/>
              </w:rPr>
            </w:pPr>
            <w:r>
              <w:rPr>
                <w:rFonts w:hint="eastAsia" w:cs="宋体" w:asciiTheme="majorEastAsia" w:hAnsiTheme="majorEastAsia" w:eastAsiaTheme="majorEastAsia"/>
                <w:kern w:val="0"/>
                <w:szCs w:val="21"/>
                <w:highlight w:val="none"/>
              </w:rPr>
              <w:t>实施类</w:t>
            </w:r>
          </w:p>
        </w:tc>
        <w:tc>
          <w:tcPr>
            <w:tcW w:w="668" w:type="dxa"/>
            <w:shd w:val="clear" w:color="auto" w:fill="auto"/>
            <w:vAlign w:val="center"/>
          </w:tcPr>
          <w:p>
            <w:pPr>
              <w:widowControl/>
              <w:suppressAutoHyphens w:val="0"/>
              <w:spacing w:line="240" w:lineRule="exact"/>
              <w:jc w:val="center"/>
              <w:rPr>
                <w:rFonts w:hint="eastAsia" w:cs="宋体" w:asciiTheme="majorEastAsia" w:hAnsiTheme="majorEastAsia" w:eastAsiaTheme="majorEastAsia"/>
                <w:kern w:val="0"/>
                <w:sz w:val="21"/>
                <w:szCs w:val="21"/>
                <w:highlight w:val="none"/>
                <w:lang w:val="en-US" w:eastAsia="zh-CN" w:bidi="ar-SA"/>
              </w:rPr>
            </w:pPr>
            <w:r>
              <w:rPr>
                <w:rFonts w:hint="eastAsia" w:cs="宋体" w:asciiTheme="majorEastAsia" w:hAnsiTheme="majorEastAsia" w:eastAsiaTheme="majorEastAsia"/>
                <w:kern w:val="0"/>
                <w:szCs w:val="21"/>
                <w:highlight w:val="none"/>
              </w:rPr>
              <w:t>配建</w:t>
            </w:r>
          </w:p>
        </w:tc>
        <w:tc>
          <w:tcPr>
            <w:tcW w:w="576" w:type="dxa"/>
            <w:shd w:val="clear" w:color="auto" w:fill="auto"/>
            <w:vAlign w:val="center"/>
          </w:tcPr>
          <w:p>
            <w:pPr>
              <w:widowControl/>
              <w:suppressAutoHyphens w:val="0"/>
              <w:jc w:val="center"/>
              <w:rPr>
                <w:rFonts w:hint="eastAsia" w:cs="宋体" w:asciiTheme="majorEastAsia" w:hAnsiTheme="majorEastAsia" w:eastAsiaTheme="majorEastAsia"/>
                <w:b/>
                <w:bCs/>
                <w:kern w:val="0"/>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9" w:hRule="atLeast"/>
          <w:jc w:val="center"/>
        </w:trPr>
        <w:tc>
          <w:tcPr>
            <w:tcW w:w="453" w:type="dxa"/>
            <w:shd w:val="clear" w:color="auto" w:fill="auto"/>
            <w:vAlign w:val="center"/>
          </w:tcPr>
          <w:p>
            <w:pPr>
              <w:widowControl/>
              <w:suppressAutoHyphens w:val="0"/>
              <w:jc w:val="center"/>
              <w:rPr>
                <w:rFonts w:hint="default" w:cs="宋体" w:asciiTheme="majorEastAsia" w:hAnsiTheme="majorEastAsia" w:eastAsiaTheme="majorEastAsia"/>
                <w:kern w:val="0"/>
                <w:sz w:val="21"/>
                <w:szCs w:val="21"/>
                <w:highlight w:val="none"/>
                <w:lang w:val="en" w:eastAsia="zh-CN" w:bidi="ar-SA"/>
              </w:rPr>
            </w:pPr>
            <w:r>
              <w:rPr>
                <w:rFonts w:hint="default" w:cs="宋体" w:asciiTheme="majorEastAsia" w:hAnsiTheme="majorEastAsia" w:eastAsiaTheme="majorEastAsia"/>
                <w:kern w:val="0"/>
                <w:sz w:val="21"/>
                <w:szCs w:val="21"/>
                <w:highlight w:val="none"/>
                <w:lang w:val="en" w:eastAsia="zh-CN" w:bidi="ar-SA"/>
              </w:rPr>
              <w:t>29</w:t>
            </w:r>
          </w:p>
        </w:tc>
        <w:tc>
          <w:tcPr>
            <w:tcW w:w="1378" w:type="dxa"/>
            <w:shd w:val="clear" w:color="auto" w:fill="auto"/>
            <w:vAlign w:val="center"/>
          </w:tcPr>
          <w:p>
            <w:pPr>
              <w:widowControl/>
              <w:suppressAutoHyphens w:val="0"/>
              <w:jc w:val="center"/>
              <w:rPr>
                <w:rFonts w:hint="eastAsia" w:cs="宋体" w:asciiTheme="majorEastAsia" w:hAnsiTheme="majorEastAsia" w:eastAsiaTheme="majorEastAsia"/>
                <w:kern w:val="0"/>
                <w:sz w:val="21"/>
                <w:szCs w:val="21"/>
                <w:highlight w:val="none"/>
                <w:lang w:val="en-US" w:eastAsia="zh-CN" w:bidi="ar-SA"/>
              </w:rPr>
            </w:pPr>
            <w:r>
              <w:rPr>
                <w:rFonts w:hint="eastAsia" w:cs="宋体" w:asciiTheme="majorEastAsia" w:hAnsiTheme="majorEastAsia" w:eastAsiaTheme="majorEastAsia"/>
                <w:kern w:val="0"/>
                <w:szCs w:val="21"/>
                <w:highlight w:val="none"/>
              </w:rPr>
              <w:t>云和县新城幼儿园工程</w:t>
            </w:r>
          </w:p>
        </w:tc>
        <w:tc>
          <w:tcPr>
            <w:tcW w:w="913" w:type="dxa"/>
            <w:shd w:val="clear" w:color="auto" w:fill="auto"/>
            <w:vAlign w:val="center"/>
          </w:tcPr>
          <w:p>
            <w:pPr>
              <w:widowControl/>
              <w:suppressAutoHyphens w:val="0"/>
              <w:jc w:val="center"/>
              <w:rPr>
                <w:rFonts w:hint="eastAsia" w:cs="宋体" w:asciiTheme="majorEastAsia" w:hAnsiTheme="majorEastAsia" w:eastAsiaTheme="majorEastAsia"/>
                <w:kern w:val="0"/>
                <w:sz w:val="21"/>
                <w:szCs w:val="21"/>
                <w:highlight w:val="none"/>
                <w:lang w:val="en-US" w:eastAsia="zh-CN" w:bidi="ar-SA"/>
              </w:rPr>
            </w:pPr>
            <w:r>
              <w:rPr>
                <w:rFonts w:hint="eastAsia" w:cs="宋体" w:asciiTheme="majorEastAsia" w:hAnsiTheme="majorEastAsia" w:eastAsiaTheme="majorEastAsia"/>
                <w:kern w:val="0"/>
                <w:szCs w:val="21"/>
                <w:highlight w:val="none"/>
              </w:rPr>
              <w:t>幼儿园</w:t>
            </w:r>
          </w:p>
        </w:tc>
        <w:tc>
          <w:tcPr>
            <w:tcW w:w="3191" w:type="dxa"/>
            <w:shd w:val="clear" w:color="auto" w:fill="auto"/>
            <w:vAlign w:val="center"/>
          </w:tcPr>
          <w:p>
            <w:pPr>
              <w:widowControl/>
              <w:suppressAutoHyphens w:val="0"/>
              <w:jc w:val="left"/>
              <w:rPr>
                <w:rFonts w:hint="eastAsia" w:cs="宋体" w:asciiTheme="majorEastAsia" w:hAnsiTheme="majorEastAsia" w:eastAsiaTheme="majorEastAsia"/>
                <w:kern w:val="0"/>
                <w:sz w:val="21"/>
                <w:szCs w:val="21"/>
                <w:highlight w:val="none"/>
                <w:lang w:val="en-US" w:eastAsia="zh-CN" w:bidi="ar-SA"/>
              </w:rPr>
            </w:pPr>
            <w:r>
              <w:rPr>
                <w:rFonts w:hint="eastAsia" w:cs="宋体" w:asciiTheme="majorEastAsia" w:hAnsiTheme="majorEastAsia" w:eastAsiaTheme="majorEastAsia"/>
                <w:kern w:val="0"/>
                <w:szCs w:val="21"/>
                <w:highlight w:val="none"/>
              </w:rPr>
              <w:t>房屋购置2940㎡，以及装修改造、设备采购等</w:t>
            </w:r>
          </w:p>
        </w:tc>
        <w:tc>
          <w:tcPr>
            <w:tcW w:w="927" w:type="dxa"/>
            <w:shd w:val="clear" w:color="auto" w:fill="auto"/>
            <w:vAlign w:val="center"/>
          </w:tcPr>
          <w:p>
            <w:pPr>
              <w:widowControl/>
              <w:suppressAutoHyphens w:val="0"/>
              <w:jc w:val="center"/>
              <w:rPr>
                <w:rFonts w:hint="eastAsia" w:cs="宋体" w:asciiTheme="majorEastAsia" w:hAnsiTheme="majorEastAsia" w:eastAsiaTheme="majorEastAsia"/>
                <w:kern w:val="0"/>
                <w:sz w:val="21"/>
                <w:szCs w:val="21"/>
                <w:highlight w:val="none"/>
                <w:lang w:val="en-US" w:eastAsia="zh-CN" w:bidi="ar-SA"/>
              </w:rPr>
            </w:pPr>
            <w:r>
              <w:rPr>
                <w:rFonts w:hint="eastAsia" w:cs="宋体" w:asciiTheme="majorEastAsia" w:hAnsiTheme="majorEastAsia" w:eastAsiaTheme="majorEastAsia"/>
                <w:kern w:val="0"/>
                <w:szCs w:val="21"/>
                <w:highlight w:val="none"/>
              </w:rPr>
              <w:t>商贸物流城B区块</w:t>
            </w:r>
          </w:p>
        </w:tc>
        <w:tc>
          <w:tcPr>
            <w:tcW w:w="737" w:type="dxa"/>
            <w:shd w:val="clear" w:color="auto" w:fill="auto"/>
            <w:vAlign w:val="center"/>
          </w:tcPr>
          <w:p>
            <w:pPr>
              <w:widowControl/>
              <w:suppressAutoHyphens w:val="0"/>
              <w:jc w:val="center"/>
              <w:rPr>
                <w:rFonts w:hint="eastAsia" w:cs="宋体" w:asciiTheme="majorEastAsia" w:hAnsiTheme="majorEastAsia" w:eastAsiaTheme="majorEastAsia"/>
                <w:kern w:val="0"/>
                <w:sz w:val="21"/>
                <w:szCs w:val="21"/>
                <w:highlight w:val="none"/>
                <w:lang w:val="en-US" w:eastAsia="zh-CN" w:bidi="ar-SA"/>
              </w:rPr>
            </w:pPr>
            <w:r>
              <w:rPr>
                <w:rFonts w:hint="eastAsia" w:cs="宋体" w:asciiTheme="majorEastAsia" w:hAnsiTheme="majorEastAsia" w:eastAsiaTheme="majorEastAsia"/>
                <w:kern w:val="0"/>
                <w:szCs w:val="21"/>
                <w:highlight w:val="none"/>
              </w:rPr>
              <w:t>新建</w:t>
            </w:r>
          </w:p>
        </w:tc>
        <w:tc>
          <w:tcPr>
            <w:tcW w:w="1091" w:type="dxa"/>
            <w:shd w:val="clear" w:color="auto" w:fill="auto"/>
            <w:vAlign w:val="center"/>
          </w:tcPr>
          <w:p>
            <w:pPr>
              <w:widowControl/>
              <w:suppressAutoHyphens w:val="0"/>
              <w:jc w:val="center"/>
              <w:rPr>
                <w:rFonts w:hint="eastAsia" w:cs="宋体" w:asciiTheme="majorEastAsia" w:hAnsiTheme="majorEastAsia" w:eastAsiaTheme="majorEastAsia"/>
                <w:kern w:val="0"/>
                <w:sz w:val="21"/>
                <w:szCs w:val="21"/>
                <w:highlight w:val="none"/>
                <w:lang w:val="en-US" w:eastAsia="zh-CN" w:bidi="ar-SA"/>
              </w:rPr>
            </w:pPr>
            <w:r>
              <w:rPr>
                <w:rFonts w:hint="eastAsia" w:cs="宋体" w:asciiTheme="majorEastAsia" w:hAnsiTheme="majorEastAsia" w:eastAsiaTheme="majorEastAsia"/>
                <w:kern w:val="0"/>
                <w:szCs w:val="21"/>
                <w:highlight w:val="none"/>
              </w:rPr>
              <w:t>2020-2021</w:t>
            </w:r>
          </w:p>
        </w:tc>
        <w:tc>
          <w:tcPr>
            <w:tcW w:w="1132" w:type="dxa"/>
            <w:shd w:val="clear" w:color="auto" w:fill="auto"/>
            <w:vAlign w:val="center"/>
          </w:tcPr>
          <w:p>
            <w:pPr>
              <w:widowControl/>
              <w:suppressAutoHyphens w:val="0"/>
              <w:jc w:val="center"/>
              <w:rPr>
                <w:rFonts w:hint="eastAsia" w:cs="宋体" w:asciiTheme="majorEastAsia" w:hAnsiTheme="majorEastAsia" w:eastAsiaTheme="majorEastAsia"/>
                <w:kern w:val="0"/>
                <w:sz w:val="21"/>
                <w:szCs w:val="21"/>
                <w:highlight w:val="none"/>
                <w:lang w:val="en-US" w:eastAsia="zh-CN" w:bidi="ar-SA"/>
              </w:rPr>
            </w:pPr>
            <w:r>
              <w:rPr>
                <w:rFonts w:hint="eastAsia" w:cs="宋体" w:asciiTheme="majorEastAsia" w:hAnsiTheme="majorEastAsia" w:eastAsiaTheme="majorEastAsia"/>
                <w:kern w:val="0"/>
                <w:szCs w:val="21"/>
                <w:highlight w:val="none"/>
              </w:rPr>
              <w:t xml:space="preserve">0.15 </w:t>
            </w:r>
          </w:p>
        </w:tc>
        <w:tc>
          <w:tcPr>
            <w:tcW w:w="1090" w:type="dxa"/>
            <w:shd w:val="clear" w:color="auto" w:fill="auto"/>
            <w:vAlign w:val="center"/>
          </w:tcPr>
          <w:p>
            <w:pPr>
              <w:widowControl/>
              <w:suppressAutoHyphens w:val="0"/>
              <w:jc w:val="center"/>
              <w:rPr>
                <w:rFonts w:hint="eastAsia" w:cs="宋体" w:asciiTheme="majorEastAsia" w:hAnsiTheme="majorEastAsia" w:eastAsiaTheme="majorEastAsia"/>
                <w:kern w:val="0"/>
                <w:sz w:val="21"/>
                <w:szCs w:val="21"/>
                <w:highlight w:val="none"/>
                <w:lang w:val="en-US" w:eastAsia="zh-CN" w:bidi="ar-SA"/>
              </w:rPr>
            </w:pPr>
            <w:r>
              <w:rPr>
                <w:rFonts w:hint="eastAsia" w:cs="宋体" w:asciiTheme="majorEastAsia" w:hAnsiTheme="majorEastAsia" w:eastAsiaTheme="majorEastAsia"/>
                <w:kern w:val="0"/>
                <w:szCs w:val="21"/>
                <w:highlight w:val="none"/>
              </w:rPr>
              <w:t xml:space="preserve">0.15 </w:t>
            </w:r>
          </w:p>
        </w:tc>
        <w:tc>
          <w:tcPr>
            <w:tcW w:w="955" w:type="dxa"/>
            <w:shd w:val="clear" w:color="auto" w:fill="auto"/>
            <w:vAlign w:val="center"/>
          </w:tcPr>
          <w:p>
            <w:pPr>
              <w:widowControl/>
              <w:suppressAutoHyphens w:val="0"/>
              <w:jc w:val="center"/>
              <w:rPr>
                <w:rFonts w:hint="eastAsia" w:cs="宋体" w:asciiTheme="majorEastAsia" w:hAnsiTheme="majorEastAsia" w:eastAsiaTheme="majorEastAsia"/>
                <w:kern w:val="0"/>
                <w:sz w:val="21"/>
                <w:szCs w:val="21"/>
                <w:highlight w:val="none"/>
                <w:lang w:val="en-US" w:eastAsia="zh-CN" w:bidi="ar-SA"/>
              </w:rPr>
            </w:pPr>
            <w:r>
              <w:rPr>
                <w:rFonts w:hint="eastAsia" w:cs="宋体" w:asciiTheme="majorEastAsia" w:hAnsiTheme="majorEastAsia" w:eastAsiaTheme="majorEastAsia"/>
                <w:kern w:val="0"/>
                <w:szCs w:val="21"/>
                <w:highlight w:val="none"/>
              </w:rPr>
              <w:t>180</w:t>
            </w:r>
          </w:p>
        </w:tc>
        <w:tc>
          <w:tcPr>
            <w:tcW w:w="750" w:type="dxa"/>
            <w:shd w:val="clear" w:color="auto" w:fill="auto"/>
            <w:vAlign w:val="center"/>
          </w:tcPr>
          <w:p>
            <w:pPr>
              <w:widowControl/>
              <w:suppressAutoHyphens w:val="0"/>
              <w:jc w:val="center"/>
              <w:rPr>
                <w:rFonts w:hint="eastAsia" w:cs="宋体" w:asciiTheme="majorEastAsia" w:hAnsiTheme="majorEastAsia" w:eastAsiaTheme="majorEastAsia"/>
                <w:kern w:val="0"/>
                <w:sz w:val="21"/>
                <w:szCs w:val="21"/>
                <w:highlight w:val="none"/>
                <w:lang w:val="en-US" w:eastAsia="zh-CN" w:bidi="ar-SA"/>
              </w:rPr>
            </w:pPr>
            <w:r>
              <w:rPr>
                <w:rFonts w:hint="eastAsia" w:cs="宋体" w:asciiTheme="majorEastAsia" w:hAnsiTheme="majorEastAsia" w:eastAsiaTheme="majorEastAsia"/>
                <w:kern w:val="0"/>
                <w:szCs w:val="21"/>
                <w:highlight w:val="none"/>
              </w:rPr>
              <w:t>云和县城东幼儿园</w:t>
            </w:r>
          </w:p>
        </w:tc>
        <w:tc>
          <w:tcPr>
            <w:tcW w:w="873" w:type="dxa"/>
            <w:shd w:val="clear" w:color="auto" w:fill="auto"/>
            <w:vAlign w:val="center"/>
          </w:tcPr>
          <w:p>
            <w:pPr>
              <w:widowControl/>
              <w:suppressAutoHyphens w:val="0"/>
              <w:jc w:val="center"/>
              <w:rPr>
                <w:rFonts w:hint="eastAsia" w:cs="宋体" w:asciiTheme="majorEastAsia" w:hAnsiTheme="majorEastAsia" w:eastAsiaTheme="majorEastAsia"/>
                <w:kern w:val="0"/>
                <w:sz w:val="21"/>
                <w:szCs w:val="21"/>
                <w:highlight w:val="none"/>
                <w:lang w:val="en-US" w:eastAsia="zh-CN" w:bidi="ar-SA"/>
              </w:rPr>
            </w:pPr>
            <w:r>
              <w:rPr>
                <w:rFonts w:hint="eastAsia" w:cs="宋体" w:asciiTheme="majorEastAsia" w:hAnsiTheme="majorEastAsia" w:eastAsiaTheme="majorEastAsia"/>
                <w:kern w:val="0"/>
                <w:szCs w:val="21"/>
                <w:highlight w:val="none"/>
              </w:rPr>
              <w:t>云和县教育局</w:t>
            </w:r>
          </w:p>
        </w:tc>
        <w:tc>
          <w:tcPr>
            <w:tcW w:w="682" w:type="dxa"/>
            <w:shd w:val="clear" w:color="auto" w:fill="auto"/>
            <w:vAlign w:val="center"/>
          </w:tcPr>
          <w:p>
            <w:pPr>
              <w:widowControl/>
              <w:suppressAutoHyphens w:val="0"/>
              <w:jc w:val="center"/>
              <w:rPr>
                <w:rFonts w:hint="eastAsia" w:cs="宋体" w:asciiTheme="majorEastAsia" w:hAnsiTheme="majorEastAsia" w:eastAsiaTheme="majorEastAsia"/>
                <w:kern w:val="0"/>
                <w:sz w:val="21"/>
                <w:szCs w:val="21"/>
                <w:highlight w:val="none"/>
                <w:lang w:val="en-US" w:eastAsia="zh-CN" w:bidi="ar-SA"/>
              </w:rPr>
            </w:pPr>
            <w:r>
              <w:rPr>
                <w:rFonts w:hint="eastAsia" w:cs="宋体" w:asciiTheme="majorEastAsia" w:hAnsiTheme="majorEastAsia" w:eastAsiaTheme="majorEastAsia"/>
                <w:kern w:val="0"/>
                <w:szCs w:val="21"/>
                <w:highlight w:val="none"/>
              </w:rPr>
              <w:t>实施类</w:t>
            </w:r>
          </w:p>
        </w:tc>
        <w:tc>
          <w:tcPr>
            <w:tcW w:w="668" w:type="dxa"/>
            <w:shd w:val="clear" w:color="auto" w:fill="auto"/>
            <w:vAlign w:val="center"/>
          </w:tcPr>
          <w:p>
            <w:pPr>
              <w:widowControl/>
              <w:suppressAutoHyphens w:val="0"/>
              <w:jc w:val="center"/>
              <w:rPr>
                <w:rFonts w:hint="eastAsia" w:cs="宋体" w:asciiTheme="majorEastAsia" w:hAnsiTheme="majorEastAsia" w:eastAsiaTheme="majorEastAsia"/>
                <w:kern w:val="0"/>
                <w:sz w:val="21"/>
                <w:szCs w:val="21"/>
                <w:highlight w:val="none"/>
                <w:lang w:val="en-US" w:eastAsia="zh-CN" w:bidi="ar-SA"/>
              </w:rPr>
            </w:pPr>
            <w:r>
              <w:rPr>
                <w:rFonts w:hint="eastAsia" w:cs="宋体" w:asciiTheme="majorEastAsia" w:hAnsiTheme="majorEastAsia" w:eastAsiaTheme="majorEastAsia"/>
                <w:kern w:val="0"/>
                <w:szCs w:val="21"/>
                <w:highlight w:val="none"/>
              </w:rPr>
              <w:t>自建</w:t>
            </w:r>
          </w:p>
        </w:tc>
        <w:tc>
          <w:tcPr>
            <w:tcW w:w="576" w:type="dxa"/>
            <w:shd w:val="clear" w:color="auto" w:fill="auto"/>
            <w:vAlign w:val="center"/>
          </w:tcPr>
          <w:p>
            <w:pPr>
              <w:widowControl/>
              <w:suppressAutoHyphens w:val="0"/>
              <w:jc w:val="center"/>
              <w:rPr>
                <w:rFonts w:hint="eastAsia" w:cs="宋体" w:asciiTheme="majorEastAsia" w:hAnsiTheme="majorEastAsia" w:eastAsiaTheme="majorEastAsia"/>
                <w:b/>
                <w:bCs/>
                <w:kern w:val="0"/>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6" w:hRule="atLeast"/>
          <w:jc w:val="center"/>
        </w:trPr>
        <w:tc>
          <w:tcPr>
            <w:tcW w:w="453"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30</w:t>
            </w:r>
          </w:p>
        </w:tc>
        <w:tc>
          <w:tcPr>
            <w:tcW w:w="1378"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云和县实验小学分校</w:t>
            </w:r>
          </w:p>
        </w:tc>
        <w:tc>
          <w:tcPr>
            <w:tcW w:w="913"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小学</w:t>
            </w:r>
          </w:p>
        </w:tc>
        <w:tc>
          <w:tcPr>
            <w:tcW w:w="3191" w:type="dxa"/>
            <w:shd w:val="clear" w:color="auto" w:fill="auto"/>
            <w:vAlign w:val="center"/>
          </w:tcPr>
          <w:p>
            <w:pPr>
              <w:widowControl/>
              <w:suppressAutoHyphens w:val="0"/>
              <w:jc w:val="left"/>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新建一所36个班三类完全小学用地面积约25726㎡，总建筑面积约27530㎡</w:t>
            </w:r>
          </w:p>
        </w:tc>
        <w:tc>
          <w:tcPr>
            <w:tcW w:w="927"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东山下自然村</w:t>
            </w:r>
          </w:p>
        </w:tc>
        <w:tc>
          <w:tcPr>
            <w:tcW w:w="737"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新建</w:t>
            </w:r>
          </w:p>
        </w:tc>
        <w:tc>
          <w:tcPr>
            <w:tcW w:w="1091"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2020-2022</w:t>
            </w:r>
          </w:p>
        </w:tc>
        <w:tc>
          <w:tcPr>
            <w:tcW w:w="1132"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 xml:space="preserve">1.68 </w:t>
            </w:r>
          </w:p>
        </w:tc>
        <w:tc>
          <w:tcPr>
            <w:tcW w:w="1090"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 xml:space="preserve">1.60 </w:t>
            </w:r>
          </w:p>
        </w:tc>
        <w:tc>
          <w:tcPr>
            <w:tcW w:w="955"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1260</w:t>
            </w:r>
          </w:p>
        </w:tc>
        <w:tc>
          <w:tcPr>
            <w:tcW w:w="750"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云和实验小学</w:t>
            </w:r>
          </w:p>
        </w:tc>
        <w:tc>
          <w:tcPr>
            <w:tcW w:w="873"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云和县教育局</w:t>
            </w:r>
          </w:p>
        </w:tc>
        <w:tc>
          <w:tcPr>
            <w:tcW w:w="682"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实施类</w:t>
            </w:r>
          </w:p>
        </w:tc>
        <w:tc>
          <w:tcPr>
            <w:tcW w:w="668"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自建</w:t>
            </w:r>
          </w:p>
        </w:tc>
        <w:tc>
          <w:tcPr>
            <w:tcW w:w="576"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4" w:hRule="atLeast"/>
          <w:jc w:val="center"/>
        </w:trPr>
        <w:tc>
          <w:tcPr>
            <w:tcW w:w="453" w:type="dxa"/>
            <w:shd w:val="clear" w:color="auto" w:fill="auto"/>
            <w:vAlign w:val="center"/>
          </w:tcPr>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序号</w:t>
            </w:r>
          </w:p>
        </w:tc>
        <w:tc>
          <w:tcPr>
            <w:tcW w:w="1378" w:type="dxa"/>
            <w:shd w:val="clear" w:color="auto" w:fill="auto"/>
            <w:vAlign w:val="center"/>
          </w:tcPr>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项目名称</w:t>
            </w:r>
          </w:p>
        </w:tc>
        <w:tc>
          <w:tcPr>
            <w:tcW w:w="913" w:type="dxa"/>
            <w:shd w:val="clear" w:color="auto" w:fill="auto"/>
            <w:vAlign w:val="center"/>
          </w:tcPr>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学段</w:t>
            </w:r>
          </w:p>
        </w:tc>
        <w:tc>
          <w:tcPr>
            <w:tcW w:w="3191" w:type="dxa"/>
            <w:shd w:val="clear" w:color="auto" w:fill="auto"/>
            <w:vAlign w:val="center"/>
          </w:tcPr>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建设规模和内容</w:t>
            </w:r>
          </w:p>
        </w:tc>
        <w:tc>
          <w:tcPr>
            <w:tcW w:w="927" w:type="dxa"/>
            <w:shd w:val="clear" w:color="auto" w:fill="auto"/>
            <w:vAlign w:val="center"/>
          </w:tcPr>
          <w:p>
            <w:pPr>
              <w:widowControl/>
              <w:suppressAutoHyphens w:val="0"/>
              <w:jc w:val="center"/>
              <w:rPr>
                <w:rFonts w:hint="eastAsia"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建设</w:t>
            </w:r>
          </w:p>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地点</w:t>
            </w:r>
          </w:p>
        </w:tc>
        <w:tc>
          <w:tcPr>
            <w:tcW w:w="737" w:type="dxa"/>
            <w:shd w:val="clear" w:color="auto" w:fill="auto"/>
            <w:vAlign w:val="center"/>
          </w:tcPr>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建设性质</w:t>
            </w:r>
          </w:p>
        </w:tc>
        <w:tc>
          <w:tcPr>
            <w:tcW w:w="1091" w:type="dxa"/>
            <w:shd w:val="clear" w:color="auto" w:fill="auto"/>
            <w:vAlign w:val="center"/>
          </w:tcPr>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起止年限</w:t>
            </w:r>
          </w:p>
        </w:tc>
        <w:tc>
          <w:tcPr>
            <w:tcW w:w="1132" w:type="dxa"/>
            <w:shd w:val="clear" w:color="auto" w:fill="auto"/>
            <w:vAlign w:val="center"/>
          </w:tcPr>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总投资（亿元）</w:t>
            </w:r>
          </w:p>
        </w:tc>
        <w:tc>
          <w:tcPr>
            <w:tcW w:w="1090" w:type="dxa"/>
            <w:shd w:val="clear" w:color="auto" w:fill="auto"/>
            <w:vAlign w:val="center"/>
          </w:tcPr>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计划投资（亿元）</w:t>
            </w:r>
          </w:p>
        </w:tc>
        <w:tc>
          <w:tcPr>
            <w:tcW w:w="955" w:type="dxa"/>
            <w:shd w:val="clear" w:color="auto" w:fill="auto"/>
            <w:vAlign w:val="center"/>
          </w:tcPr>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新增学位（个）</w:t>
            </w:r>
          </w:p>
        </w:tc>
        <w:tc>
          <w:tcPr>
            <w:tcW w:w="750" w:type="dxa"/>
            <w:shd w:val="clear" w:color="auto" w:fill="auto"/>
            <w:vAlign w:val="center"/>
          </w:tcPr>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项目业主</w:t>
            </w:r>
          </w:p>
        </w:tc>
        <w:tc>
          <w:tcPr>
            <w:tcW w:w="873" w:type="dxa"/>
            <w:shd w:val="clear" w:color="auto" w:fill="auto"/>
            <w:vAlign w:val="center"/>
          </w:tcPr>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责任单位</w:t>
            </w:r>
          </w:p>
        </w:tc>
        <w:tc>
          <w:tcPr>
            <w:tcW w:w="682" w:type="dxa"/>
            <w:shd w:val="clear" w:color="auto" w:fill="auto"/>
            <w:vAlign w:val="center"/>
          </w:tcPr>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项目类别</w:t>
            </w:r>
          </w:p>
        </w:tc>
        <w:tc>
          <w:tcPr>
            <w:tcW w:w="668" w:type="dxa"/>
            <w:shd w:val="clear" w:color="auto" w:fill="auto"/>
            <w:vAlign w:val="center"/>
          </w:tcPr>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建设模式</w:t>
            </w:r>
          </w:p>
        </w:tc>
        <w:tc>
          <w:tcPr>
            <w:tcW w:w="576" w:type="dxa"/>
            <w:shd w:val="clear" w:color="auto" w:fill="auto"/>
            <w:vAlign w:val="center"/>
          </w:tcPr>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97" w:hRule="atLeast"/>
          <w:jc w:val="center"/>
        </w:trPr>
        <w:tc>
          <w:tcPr>
            <w:tcW w:w="453" w:type="dxa"/>
            <w:shd w:val="clear" w:color="auto" w:fill="auto"/>
            <w:vAlign w:val="center"/>
          </w:tcPr>
          <w:p>
            <w:pPr>
              <w:widowControl/>
              <w:suppressAutoHyphens w:val="0"/>
              <w:spacing w:line="240" w:lineRule="exact"/>
              <w:jc w:val="center"/>
              <w:rPr>
                <w:rFonts w:hint="default" w:cs="宋体" w:asciiTheme="majorEastAsia" w:hAnsiTheme="majorEastAsia" w:eastAsiaTheme="majorEastAsia"/>
                <w:kern w:val="0"/>
                <w:szCs w:val="21"/>
                <w:highlight w:val="none"/>
                <w:lang w:val="en"/>
              </w:rPr>
            </w:pPr>
            <w:r>
              <w:rPr>
                <w:rFonts w:hint="default" w:cs="宋体" w:asciiTheme="majorEastAsia" w:hAnsiTheme="majorEastAsia" w:eastAsiaTheme="majorEastAsia"/>
                <w:kern w:val="0"/>
                <w:szCs w:val="21"/>
                <w:highlight w:val="none"/>
                <w:lang w:val="en"/>
              </w:rPr>
              <w:t>31</w:t>
            </w:r>
          </w:p>
        </w:tc>
        <w:tc>
          <w:tcPr>
            <w:tcW w:w="1378"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云和县新建住宅小区配套幼儿园建设项目</w:t>
            </w:r>
          </w:p>
        </w:tc>
        <w:tc>
          <w:tcPr>
            <w:tcW w:w="913"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幼儿园</w:t>
            </w:r>
          </w:p>
        </w:tc>
        <w:tc>
          <w:tcPr>
            <w:tcW w:w="3191" w:type="dxa"/>
            <w:shd w:val="clear" w:color="auto" w:fill="auto"/>
            <w:vAlign w:val="center"/>
          </w:tcPr>
          <w:p>
            <w:pPr>
              <w:widowControl/>
              <w:numPr>
                <w:ilvl w:val="0"/>
                <w:numId w:val="1"/>
              </w:numPr>
              <w:suppressAutoHyphens w:val="0"/>
              <w:spacing w:line="240" w:lineRule="exact"/>
              <w:jc w:val="left"/>
              <w:rPr>
                <w:rFonts w:hint="eastAsia"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 xml:space="preserve">大庆寺区块配套幼儿园：按浙江省1级园标准建设，12个班级，总用地面积约6500㎡，建筑面积约4500㎡，估算投资3500万元；                                                二、白水区块配套幼儿园：按浙江省1级园标准建设，15个班级，总用地面积7500㎡左右，建筑面积约4500㎡，估算投资4500万元；                                                三、小徐区块配套幼儿园：15个班级，总用地面积7500㎡左右，建筑面积约4500㎡，估算投资4500万元；            </w:t>
            </w:r>
          </w:p>
          <w:p>
            <w:pPr>
              <w:widowControl/>
              <w:numPr>
                <w:ilvl w:val="0"/>
                <w:numId w:val="0"/>
              </w:numPr>
              <w:suppressAutoHyphens w:val="0"/>
              <w:spacing w:line="240" w:lineRule="exact"/>
              <w:jc w:val="left"/>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 xml:space="preserve">四、南门区块配套幼儿园：按浙江省1级园标准建设，12个班级，总用地面积约6500㎡，建筑面积约4500㎡，估算投资3500万元；                                                                                                  </w:t>
            </w:r>
          </w:p>
        </w:tc>
        <w:tc>
          <w:tcPr>
            <w:tcW w:w="927"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各住宅小区配套幼儿园</w:t>
            </w:r>
          </w:p>
        </w:tc>
        <w:tc>
          <w:tcPr>
            <w:tcW w:w="737"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新建</w:t>
            </w:r>
          </w:p>
        </w:tc>
        <w:tc>
          <w:tcPr>
            <w:tcW w:w="1091"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2022-2025</w:t>
            </w:r>
          </w:p>
        </w:tc>
        <w:tc>
          <w:tcPr>
            <w:tcW w:w="1132"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 xml:space="preserve">1.60 </w:t>
            </w:r>
          </w:p>
        </w:tc>
        <w:tc>
          <w:tcPr>
            <w:tcW w:w="1090"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 xml:space="preserve">1.60 </w:t>
            </w:r>
          </w:p>
        </w:tc>
        <w:tc>
          <w:tcPr>
            <w:tcW w:w="955"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1260</w:t>
            </w:r>
          </w:p>
        </w:tc>
        <w:tc>
          <w:tcPr>
            <w:tcW w:w="750"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待定</w:t>
            </w:r>
          </w:p>
        </w:tc>
        <w:tc>
          <w:tcPr>
            <w:tcW w:w="873"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云和县教育局</w:t>
            </w:r>
          </w:p>
        </w:tc>
        <w:tc>
          <w:tcPr>
            <w:tcW w:w="682"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实施类</w:t>
            </w:r>
          </w:p>
        </w:tc>
        <w:tc>
          <w:tcPr>
            <w:tcW w:w="668"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　</w:t>
            </w:r>
          </w:p>
        </w:tc>
        <w:tc>
          <w:tcPr>
            <w:tcW w:w="576"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2" w:hRule="atLeast"/>
          <w:jc w:val="center"/>
        </w:trPr>
        <w:tc>
          <w:tcPr>
            <w:tcW w:w="453" w:type="dxa"/>
            <w:shd w:val="clear" w:color="auto" w:fill="auto"/>
            <w:vAlign w:val="center"/>
          </w:tcPr>
          <w:p>
            <w:pPr>
              <w:widowControl/>
              <w:suppressAutoHyphens w:val="0"/>
              <w:jc w:val="center"/>
              <w:rPr>
                <w:rFonts w:hint="default" w:cs="宋体" w:asciiTheme="majorEastAsia" w:hAnsiTheme="majorEastAsia" w:eastAsiaTheme="majorEastAsia"/>
                <w:kern w:val="0"/>
                <w:szCs w:val="21"/>
                <w:highlight w:val="none"/>
                <w:lang w:val="en"/>
              </w:rPr>
            </w:pPr>
            <w:r>
              <w:rPr>
                <w:rFonts w:hint="eastAsia" w:cs="宋体" w:asciiTheme="majorEastAsia" w:hAnsiTheme="majorEastAsia" w:eastAsiaTheme="majorEastAsia"/>
                <w:kern w:val="0"/>
                <w:szCs w:val="21"/>
                <w:highlight w:val="none"/>
              </w:rPr>
              <w:t>3</w:t>
            </w:r>
            <w:r>
              <w:rPr>
                <w:rFonts w:hint="default" w:cs="宋体" w:asciiTheme="majorEastAsia" w:hAnsiTheme="majorEastAsia" w:eastAsiaTheme="majorEastAsia"/>
                <w:kern w:val="0"/>
                <w:szCs w:val="21"/>
                <w:highlight w:val="none"/>
                <w:lang w:val="en"/>
              </w:rPr>
              <w:t>2</w:t>
            </w:r>
          </w:p>
        </w:tc>
        <w:tc>
          <w:tcPr>
            <w:tcW w:w="1378"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云和县第四中学</w:t>
            </w:r>
          </w:p>
        </w:tc>
        <w:tc>
          <w:tcPr>
            <w:tcW w:w="913"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初中</w:t>
            </w:r>
          </w:p>
        </w:tc>
        <w:tc>
          <w:tcPr>
            <w:tcW w:w="3191" w:type="dxa"/>
            <w:shd w:val="clear" w:color="auto" w:fill="auto"/>
            <w:vAlign w:val="center"/>
          </w:tcPr>
          <w:p>
            <w:pPr>
              <w:widowControl/>
              <w:suppressAutoHyphens w:val="0"/>
              <w:jc w:val="left"/>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按浙江省九年制义务教育普通学校I类建设标准建设，每个年级12个班，每班40人规模，需用地面积约66700㎡，建筑面积40800㎡</w:t>
            </w:r>
          </w:p>
        </w:tc>
        <w:tc>
          <w:tcPr>
            <w:tcW w:w="927"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待定</w:t>
            </w:r>
          </w:p>
        </w:tc>
        <w:tc>
          <w:tcPr>
            <w:tcW w:w="737"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新建</w:t>
            </w:r>
          </w:p>
        </w:tc>
        <w:tc>
          <w:tcPr>
            <w:tcW w:w="1091"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2022-2024</w:t>
            </w:r>
          </w:p>
        </w:tc>
        <w:tc>
          <w:tcPr>
            <w:tcW w:w="1132"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 xml:space="preserve">2.20 </w:t>
            </w:r>
          </w:p>
        </w:tc>
        <w:tc>
          <w:tcPr>
            <w:tcW w:w="1090"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 xml:space="preserve">2.20 </w:t>
            </w:r>
          </w:p>
        </w:tc>
        <w:tc>
          <w:tcPr>
            <w:tcW w:w="955"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1440</w:t>
            </w:r>
          </w:p>
        </w:tc>
        <w:tc>
          <w:tcPr>
            <w:tcW w:w="750"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待定</w:t>
            </w:r>
          </w:p>
        </w:tc>
        <w:tc>
          <w:tcPr>
            <w:tcW w:w="873"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云和县教育局</w:t>
            </w:r>
          </w:p>
        </w:tc>
        <w:tc>
          <w:tcPr>
            <w:tcW w:w="682"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实施类</w:t>
            </w:r>
          </w:p>
        </w:tc>
        <w:tc>
          <w:tcPr>
            <w:tcW w:w="668"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自建</w:t>
            </w:r>
          </w:p>
        </w:tc>
        <w:tc>
          <w:tcPr>
            <w:tcW w:w="576"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72" w:hRule="atLeast"/>
          <w:jc w:val="center"/>
        </w:trPr>
        <w:tc>
          <w:tcPr>
            <w:tcW w:w="453" w:type="dxa"/>
            <w:shd w:val="clear" w:color="auto" w:fill="auto"/>
            <w:vAlign w:val="center"/>
          </w:tcPr>
          <w:p>
            <w:pPr>
              <w:widowControl/>
              <w:suppressAutoHyphens w:val="0"/>
              <w:jc w:val="center"/>
              <w:rPr>
                <w:rFonts w:hint="default" w:cs="宋体" w:asciiTheme="majorEastAsia" w:hAnsiTheme="majorEastAsia" w:eastAsiaTheme="majorEastAsia"/>
                <w:kern w:val="0"/>
                <w:szCs w:val="21"/>
                <w:highlight w:val="none"/>
                <w:lang w:val="en"/>
              </w:rPr>
            </w:pPr>
            <w:r>
              <w:rPr>
                <w:rFonts w:hint="eastAsia" w:cs="宋体" w:asciiTheme="majorEastAsia" w:hAnsiTheme="majorEastAsia" w:eastAsiaTheme="majorEastAsia"/>
                <w:kern w:val="0"/>
                <w:szCs w:val="21"/>
                <w:highlight w:val="none"/>
              </w:rPr>
              <w:t>3</w:t>
            </w:r>
            <w:r>
              <w:rPr>
                <w:rFonts w:hint="default" w:cs="宋体" w:asciiTheme="majorEastAsia" w:hAnsiTheme="majorEastAsia" w:eastAsiaTheme="majorEastAsia"/>
                <w:kern w:val="0"/>
                <w:szCs w:val="21"/>
                <w:highlight w:val="none"/>
                <w:lang w:val="en"/>
              </w:rPr>
              <w:t>3</w:t>
            </w:r>
          </w:p>
        </w:tc>
        <w:tc>
          <w:tcPr>
            <w:tcW w:w="1378"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云和县中等职业技术学校产教融合中心二期工程</w:t>
            </w:r>
          </w:p>
        </w:tc>
        <w:tc>
          <w:tcPr>
            <w:tcW w:w="913"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高中</w:t>
            </w:r>
          </w:p>
        </w:tc>
        <w:tc>
          <w:tcPr>
            <w:tcW w:w="3191" w:type="dxa"/>
            <w:shd w:val="clear" w:color="auto" w:fill="auto"/>
            <w:vAlign w:val="center"/>
          </w:tcPr>
          <w:p>
            <w:pPr>
              <w:widowControl/>
              <w:suppressAutoHyphens w:val="0"/>
              <w:jc w:val="left"/>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占地面积约14277㎡，新建木玩产教融合大楼，建筑占地面积约3000㎡，建筑面积14000㎡。新建汽修产教融合大楼，建筑占地约1500㎡， 建筑面积4500㎡</w:t>
            </w:r>
          </w:p>
        </w:tc>
        <w:tc>
          <w:tcPr>
            <w:tcW w:w="927"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云和职技校西校区</w:t>
            </w:r>
          </w:p>
        </w:tc>
        <w:tc>
          <w:tcPr>
            <w:tcW w:w="737"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新建</w:t>
            </w:r>
          </w:p>
        </w:tc>
        <w:tc>
          <w:tcPr>
            <w:tcW w:w="1091"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2022-2025</w:t>
            </w:r>
          </w:p>
        </w:tc>
        <w:tc>
          <w:tcPr>
            <w:tcW w:w="1132"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 xml:space="preserve">1.52 </w:t>
            </w:r>
          </w:p>
        </w:tc>
        <w:tc>
          <w:tcPr>
            <w:tcW w:w="1090"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 xml:space="preserve">1.52 </w:t>
            </w:r>
          </w:p>
        </w:tc>
        <w:tc>
          <w:tcPr>
            <w:tcW w:w="955"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120</w:t>
            </w:r>
          </w:p>
        </w:tc>
        <w:tc>
          <w:tcPr>
            <w:tcW w:w="750"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云和县职技校</w:t>
            </w:r>
          </w:p>
        </w:tc>
        <w:tc>
          <w:tcPr>
            <w:tcW w:w="873"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云和县教育局</w:t>
            </w:r>
          </w:p>
        </w:tc>
        <w:tc>
          <w:tcPr>
            <w:tcW w:w="682"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实施类</w:t>
            </w:r>
          </w:p>
        </w:tc>
        <w:tc>
          <w:tcPr>
            <w:tcW w:w="668"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自建</w:t>
            </w:r>
          </w:p>
        </w:tc>
        <w:tc>
          <w:tcPr>
            <w:tcW w:w="576"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41" w:hRule="atLeast"/>
          <w:jc w:val="center"/>
        </w:trPr>
        <w:tc>
          <w:tcPr>
            <w:tcW w:w="453" w:type="dxa"/>
            <w:shd w:val="clear" w:color="auto" w:fill="auto"/>
            <w:vAlign w:val="center"/>
          </w:tcPr>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序号</w:t>
            </w:r>
          </w:p>
        </w:tc>
        <w:tc>
          <w:tcPr>
            <w:tcW w:w="1378" w:type="dxa"/>
            <w:shd w:val="clear" w:color="auto" w:fill="auto"/>
            <w:vAlign w:val="center"/>
          </w:tcPr>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项目名称</w:t>
            </w:r>
          </w:p>
        </w:tc>
        <w:tc>
          <w:tcPr>
            <w:tcW w:w="913" w:type="dxa"/>
            <w:shd w:val="clear" w:color="auto" w:fill="auto"/>
            <w:vAlign w:val="center"/>
          </w:tcPr>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学段</w:t>
            </w:r>
          </w:p>
        </w:tc>
        <w:tc>
          <w:tcPr>
            <w:tcW w:w="3191" w:type="dxa"/>
            <w:shd w:val="clear" w:color="auto" w:fill="auto"/>
            <w:vAlign w:val="center"/>
          </w:tcPr>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建设规模和内容</w:t>
            </w:r>
          </w:p>
        </w:tc>
        <w:tc>
          <w:tcPr>
            <w:tcW w:w="927" w:type="dxa"/>
            <w:shd w:val="clear" w:color="auto" w:fill="auto"/>
            <w:vAlign w:val="center"/>
          </w:tcPr>
          <w:p>
            <w:pPr>
              <w:widowControl/>
              <w:suppressAutoHyphens w:val="0"/>
              <w:jc w:val="center"/>
              <w:rPr>
                <w:rFonts w:hint="eastAsia"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建设</w:t>
            </w:r>
          </w:p>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地点</w:t>
            </w:r>
          </w:p>
        </w:tc>
        <w:tc>
          <w:tcPr>
            <w:tcW w:w="737" w:type="dxa"/>
            <w:shd w:val="clear" w:color="auto" w:fill="auto"/>
            <w:vAlign w:val="center"/>
          </w:tcPr>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建设性质</w:t>
            </w:r>
          </w:p>
        </w:tc>
        <w:tc>
          <w:tcPr>
            <w:tcW w:w="1091" w:type="dxa"/>
            <w:shd w:val="clear" w:color="auto" w:fill="auto"/>
            <w:vAlign w:val="center"/>
          </w:tcPr>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起止年限</w:t>
            </w:r>
          </w:p>
        </w:tc>
        <w:tc>
          <w:tcPr>
            <w:tcW w:w="1132" w:type="dxa"/>
            <w:shd w:val="clear" w:color="auto" w:fill="auto"/>
            <w:vAlign w:val="center"/>
          </w:tcPr>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总投资（亿元）</w:t>
            </w:r>
          </w:p>
        </w:tc>
        <w:tc>
          <w:tcPr>
            <w:tcW w:w="1090" w:type="dxa"/>
            <w:shd w:val="clear" w:color="auto" w:fill="auto"/>
            <w:vAlign w:val="center"/>
          </w:tcPr>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计划投资（亿元）</w:t>
            </w:r>
          </w:p>
        </w:tc>
        <w:tc>
          <w:tcPr>
            <w:tcW w:w="955" w:type="dxa"/>
            <w:shd w:val="clear" w:color="auto" w:fill="auto"/>
            <w:vAlign w:val="center"/>
          </w:tcPr>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新增学位（个）</w:t>
            </w:r>
          </w:p>
        </w:tc>
        <w:tc>
          <w:tcPr>
            <w:tcW w:w="750" w:type="dxa"/>
            <w:shd w:val="clear" w:color="auto" w:fill="auto"/>
            <w:vAlign w:val="center"/>
          </w:tcPr>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项目业主</w:t>
            </w:r>
          </w:p>
        </w:tc>
        <w:tc>
          <w:tcPr>
            <w:tcW w:w="873" w:type="dxa"/>
            <w:shd w:val="clear" w:color="auto" w:fill="auto"/>
            <w:vAlign w:val="center"/>
          </w:tcPr>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责任单位</w:t>
            </w:r>
          </w:p>
        </w:tc>
        <w:tc>
          <w:tcPr>
            <w:tcW w:w="682" w:type="dxa"/>
            <w:shd w:val="clear" w:color="auto" w:fill="auto"/>
            <w:vAlign w:val="center"/>
          </w:tcPr>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项目类别</w:t>
            </w:r>
          </w:p>
        </w:tc>
        <w:tc>
          <w:tcPr>
            <w:tcW w:w="668" w:type="dxa"/>
            <w:shd w:val="clear" w:color="auto" w:fill="auto"/>
            <w:vAlign w:val="center"/>
          </w:tcPr>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建设模式</w:t>
            </w:r>
          </w:p>
        </w:tc>
        <w:tc>
          <w:tcPr>
            <w:tcW w:w="576" w:type="dxa"/>
            <w:shd w:val="clear" w:color="auto" w:fill="auto"/>
            <w:vAlign w:val="center"/>
          </w:tcPr>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28" w:hRule="atLeast"/>
          <w:jc w:val="center"/>
        </w:trPr>
        <w:tc>
          <w:tcPr>
            <w:tcW w:w="453"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34</w:t>
            </w:r>
          </w:p>
        </w:tc>
        <w:tc>
          <w:tcPr>
            <w:tcW w:w="1378"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云和县大坪小区幼儿园</w:t>
            </w:r>
          </w:p>
        </w:tc>
        <w:tc>
          <w:tcPr>
            <w:tcW w:w="913"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幼儿园</w:t>
            </w:r>
          </w:p>
        </w:tc>
        <w:tc>
          <w:tcPr>
            <w:tcW w:w="3191" w:type="dxa"/>
            <w:shd w:val="clear" w:color="auto" w:fill="auto"/>
            <w:vAlign w:val="center"/>
          </w:tcPr>
          <w:p>
            <w:pPr>
              <w:widowControl/>
              <w:suppressAutoHyphens w:val="0"/>
              <w:jc w:val="left"/>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用地面积10195㎡，建设12个班级幼儿园教学用房及配套设施，地上建筑面积6273㎡，地下建筑面积2367㎡。</w:t>
            </w:r>
          </w:p>
        </w:tc>
        <w:tc>
          <w:tcPr>
            <w:tcW w:w="927"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大坪村农民异地搬迁安</w:t>
            </w:r>
            <w:r>
              <w:rPr>
                <w:rFonts w:hint="eastAsia" w:cs="宋体" w:asciiTheme="majorEastAsia" w:hAnsiTheme="majorEastAsia" w:eastAsiaTheme="majorEastAsia"/>
                <w:kern w:val="0"/>
                <w:szCs w:val="21"/>
                <w:highlight w:val="none"/>
              </w:rPr>
              <w:br w:type="textWrapping"/>
            </w:r>
            <w:r>
              <w:rPr>
                <w:rFonts w:hint="eastAsia" w:cs="宋体" w:asciiTheme="majorEastAsia" w:hAnsiTheme="majorEastAsia" w:eastAsiaTheme="majorEastAsia"/>
                <w:kern w:val="0"/>
                <w:szCs w:val="21"/>
                <w:highlight w:val="none"/>
              </w:rPr>
              <w:t>置小区三期东侧</w:t>
            </w:r>
          </w:p>
        </w:tc>
        <w:tc>
          <w:tcPr>
            <w:tcW w:w="737"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新建</w:t>
            </w:r>
          </w:p>
        </w:tc>
        <w:tc>
          <w:tcPr>
            <w:tcW w:w="1091"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2020-2022</w:t>
            </w:r>
          </w:p>
        </w:tc>
        <w:tc>
          <w:tcPr>
            <w:tcW w:w="1132"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 xml:space="preserve">0.66 </w:t>
            </w:r>
          </w:p>
        </w:tc>
        <w:tc>
          <w:tcPr>
            <w:tcW w:w="1090"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 xml:space="preserve">0.50 </w:t>
            </w:r>
          </w:p>
        </w:tc>
        <w:tc>
          <w:tcPr>
            <w:tcW w:w="955"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360</w:t>
            </w:r>
          </w:p>
        </w:tc>
        <w:tc>
          <w:tcPr>
            <w:tcW w:w="750"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云和县新农村公司</w:t>
            </w:r>
          </w:p>
        </w:tc>
        <w:tc>
          <w:tcPr>
            <w:tcW w:w="873"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云和县农业农村局</w:t>
            </w:r>
          </w:p>
        </w:tc>
        <w:tc>
          <w:tcPr>
            <w:tcW w:w="682"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实施类</w:t>
            </w:r>
          </w:p>
        </w:tc>
        <w:tc>
          <w:tcPr>
            <w:tcW w:w="668"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配建</w:t>
            </w:r>
          </w:p>
        </w:tc>
        <w:tc>
          <w:tcPr>
            <w:tcW w:w="576"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99" w:hRule="atLeast"/>
          <w:jc w:val="center"/>
        </w:trPr>
        <w:tc>
          <w:tcPr>
            <w:tcW w:w="453"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35</w:t>
            </w:r>
          </w:p>
        </w:tc>
        <w:tc>
          <w:tcPr>
            <w:tcW w:w="1378"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云和县中小学校舍提升工程</w:t>
            </w:r>
          </w:p>
        </w:tc>
        <w:tc>
          <w:tcPr>
            <w:tcW w:w="913"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其他</w:t>
            </w:r>
          </w:p>
        </w:tc>
        <w:tc>
          <w:tcPr>
            <w:tcW w:w="3191" w:type="dxa"/>
            <w:shd w:val="clear" w:color="auto" w:fill="auto"/>
            <w:vAlign w:val="center"/>
          </w:tcPr>
          <w:p>
            <w:pPr>
              <w:widowControl/>
              <w:suppressAutoHyphens w:val="0"/>
              <w:jc w:val="left"/>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对义务教育学校校舍进行扩建或改造，扩建改造面积约44000平方米，以及其他配套附属工程。</w:t>
            </w:r>
          </w:p>
        </w:tc>
        <w:tc>
          <w:tcPr>
            <w:tcW w:w="927"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各中小学</w:t>
            </w:r>
          </w:p>
        </w:tc>
        <w:tc>
          <w:tcPr>
            <w:tcW w:w="737"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改扩建</w:t>
            </w:r>
          </w:p>
        </w:tc>
        <w:tc>
          <w:tcPr>
            <w:tcW w:w="1091"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2020-2025</w:t>
            </w:r>
          </w:p>
        </w:tc>
        <w:tc>
          <w:tcPr>
            <w:tcW w:w="1132"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 xml:space="preserve">3.30 </w:t>
            </w:r>
          </w:p>
        </w:tc>
        <w:tc>
          <w:tcPr>
            <w:tcW w:w="1090"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 xml:space="preserve">3.23 </w:t>
            </w:r>
          </w:p>
        </w:tc>
        <w:tc>
          <w:tcPr>
            <w:tcW w:w="955"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　</w:t>
            </w:r>
          </w:p>
        </w:tc>
        <w:tc>
          <w:tcPr>
            <w:tcW w:w="750"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各中小学</w:t>
            </w:r>
          </w:p>
        </w:tc>
        <w:tc>
          <w:tcPr>
            <w:tcW w:w="873"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云和县教育局</w:t>
            </w:r>
          </w:p>
        </w:tc>
        <w:tc>
          <w:tcPr>
            <w:tcW w:w="682"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实施类</w:t>
            </w:r>
          </w:p>
        </w:tc>
        <w:tc>
          <w:tcPr>
            <w:tcW w:w="668"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自建</w:t>
            </w:r>
          </w:p>
        </w:tc>
        <w:tc>
          <w:tcPr>
            <w:tcW w:w="576"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70" w:hRule="atLeast"/>
          <w:jc w:val="center"/>
        </w:trPr>
        <w:tc>
          <w:tcPr>
            <w:tcW w:w="453"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36</w:t>
            </w:r>
          </w:p>
        </w:tc>
        <w:tc>
          <w:tcPr>
            <w:tcW w:w="1378"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云和县教育信息化建设工程</w:t>
            </w:r>
          </w:p>
        </w:tc>
        <w:tc>
          <w:tcPr>
            <w:tcW w:w="913"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信息化</w:t>
            </w:r>
          </w:p>
        </w:tc>
        <w:tc>
          <w:tcPr>
            <w:tcW w:w="3191" w:type="dxa"/>
            <w:shd w:val="clear" w:color="auto" w:fill="auto"/>
            <w:vAlign w:val="center"/>
          </w:tcPr>
          <w:p>
            <w:pPr>
              <w:widowControl/>
              <w:suppressAutoHyphens w:val="0"/>
              <w:jc w:val="left"/>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建设中小学及幼儿园智慧校园网络，计算机和多媒体、录播教室，创新实验室和学科教室等信息技术装备、网络学习空间、人工智能教育、智慧课堂和同步课堂、智安校园等</w:t>
            </w:r>
          </w:p>
        </w:tc>
        <w:tc>
          <w:tcPr>
            <w:tcW w:w="927"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各中小学、幼儿园</w:t>
            </w:r>
          </w:p>
        </w:tc>
        <w:tc>
          <w:tcPr>
            <w:tcW w:w="737"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改扩建</w:t>
            </w:r>
          </w:p>
        </w:tc>
        <w:tc>
          <w:tcPr>
            <w:tcW w:w="1091"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2021-2025</w:t>
            </w:r>
          </w:p>
        </w:tc>
        <w:tc>
          <w:tcPr>
            <w:tcW w:w="1132"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 xml:space="preserve">1.00 </w:t>
            </w:r>
          </w:p>
        </w:tc>
        <w:tc>
          <w:tcPr>
            <w:tcW w:w="1090"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 xml:space="preserve">1.00 </w:t>
            </w:r>
          </w:p>
        </w:tc>
        <w:tc>
          <w:tcPr>
            <w:tcW w:w="955"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　</w:t>
            </w:r>
          </w:p>
        </w:tc>
        <w:tc>
          <w:tcPr>
            <w:tcW w:w="750"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各中小学、幼儿园</w:t>
            </w:r>
          </w:p>
        </w:tc>
        <w:tc>
          <w:tcPr>
            <w:tcW w:w="873"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云和县教育局</w:t>
            </w:r>
          </w:p>
        </w:tc>
        <w:tc>
          <w:tcPr>
            <w:tcW w:w="682"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实施类</w:t>
            </w:r>
          </w:p>
        </w:tc>
        <w:tc>
          <w:tcPr>
            <w:tcW w:w="668"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自建</w:t>
            </w:r>
          </w:p>
        </w:tc>
        <w:tc>
          <w:tcPr>
            <w:tcW w:w="576"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1" w:hRule="atLeast"/>
          <w:jc w:val="center"/>
        </w:trPr>
        <w:tc>
          <w:tcPr>
            <w:tcW w:w="453" w:type="dxa"/>
            <w:shd w:val="clear" w:color="auto" w:fill="auto"/>
            <w:vAlign w:val="center"/>
          </w:tcPr>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序号</w:t>
            </w:r>
          </w:p>
        </w:tc>
        <w:tc>
          <w:tcPr>
            <w:tcW w:w="1378" w:type="dxa"/>
            <w:shd w:val="clear" w:color="auto" w:fill="auto"/>
            <w:vAlign w:val="center"/>
          </w:tcPr>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项目名称</w:t>
            </w:r>
          </w:p>
        </w:tc>
        <w:tc>
          <w:tcPr>
            <w:tcW w:w="913" w:type="dxa"/>
            <w:shd w:val="clear" w:color="auto" w:fill="auto"/>
            <w:vAlign w:val="center"/>
          </w:tcPr>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学段</w:t>
            </w:r>
          </w:p>
        </w:tc>
        <w:tc>
          <w:tcPr>
            <w:tcW w:w="3191" w:type="dxa"/>
            <w:shd w:val="clear" w:color="auto" w:fill="auto"/>
            <w:vAlign w:val="center"/>
          </w:tcPr>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建设规模和内容</w:t>
            </w:r>
          </w:p>
        </w:tc>
        <w:tc>
          <w:tcPr>
            <w:tcW w:w="927" w:type="dxa"/>
            <w:shd w:val="clear" w:color="auto" w:fill="auto"/>
            <w:vAlign w:val="center"/>
          </w:tcPr>
          <w:p>
            <w:pPr>
              <w:widowControl/>
              <w:suppressAutoHyphens w:val="0"/>
              <w:jc w:val="center"/>
              <w:rPr>
                <w:rFonts w:hint="eastAsia"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建设</w:t>
            </w:r>
          </w:p>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地点</w:t>
            </w:r>
          </w:p>
        </w:tc>
        <w:tc>
          <w:tcPr>
            <w:tcW w:w="737" w:type="dxa"/>
            <w:shd w:val="clear" w:color="auto" w:fill="auto"/>
            <w:vAlign w:val="center"/>
          </w:tcPr>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建设性质</w:t>
            </w:r>
          </w:p>
        </w:tc>
        <w:tc>
          <w:tcPr>
            <w:tcW w:w="1091" w:type="dxa"/>
            <w:shd w:val="clear" w:color="auto" w:fill="auto"/>
            <w:vAlign w:val="center"/>
          </w:tcPr>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起止年限</w:t>
            </w:r>
          </w:p>
        </w:tc>
        <w:tc>
          <w:tcPr>
            <w:tcW w:w="1132" w:type="dxa"/>
            <w:shd w:val="clear" w:color="auto" w:fill="auto"/>
            <w:vAlign w:val="center"/>
          </w:tcPr>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总投资（亿元）</w:t>
            </w:r>
          </w:p>
        </w:tc>
        <w:tc>
          <w:tcPr>
            <w:tcW w:w="1090" w:type="dxa"/>
            <w:shd w:val="clear" w:color="auto" w:fill="auto"/>
            <w:vAlign w:val="center"/>
          </w:tcPr>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计划投资（亿元）</w:t>
            </w:r>
          </w:p>
        </w:tc>
        <w:tc>
          <w:tcPr>
            <w:tcW w:w="955" w:type="dxa"/>
            <w:shd w:val="clear" w:color="auto" w:fill="auto"/>
            <w:vAlign w:val="center"/>
          </w:tcPr>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新增学位（个）</w:t>
            </w:r>
          </w:p>
        </w:tc>
        <w:tc>
          <w:tcPr>
            <w:tcW w:w="750" w:type="dxa"/>
            <w:shd w:val="clear" w:color="auto" w:fill="auto"/>
            <w:vAlign w:val="center"/>
          </w:tcPr>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项目业主</w:t>
            </w:r>
          </w:p>
        </w:tc>
        <w:tc>
          <w:tcPr>
            <w:tcW w:w="873" w:type="dxa"/>
            <w:shd w:val="clear" w:color="auto" w:fill="auto"/>
            <w:vAlign w:val="center"/>
          </w:tcPr>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责任单位</w:t>
            </w:r>
          </w:p>
        </w:tc>
        <w:tc>
          <w:tcPr>
            <w:tcW w:w="682" w:type="dxa"/>
            <w:shd w:val="clear" w:color="auto" w:fill="auto"/>
            <w:vAlign w:val="center"/>
          </w:tcPr>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项目类别</w:t>
            </w:r>
          </w:p>
        </w:tc>
        <w:tc>
          <w:tcPr>
            <w:tcW w:w="668" w:type="dxa"/>
            <w:shd w:val="clear" w:color="auto" w:fill="auto"/>
            <w:vAlign w:val="center"/>
          </w:tcPr>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建设模式</w:t>
            </w:r>
          </w:p>
        </w:tc>
        <w:tc>
          <w:tcPr>
            <w:tcW w:w="576" w:type="dxa"/>
            <w:shd w:val="clear" w:color="auto" w:fill="auto"/>
            <w:vAlign w:val="center"/>
          </w:tcPr>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2" w:hRule="atLeast"/>
          <w:jc w:val="center"/>
        </w:trPr>
        <w:tc>
          <w:tcPr>
            <w:tcW w:w="2744" w:type="dxa"/>
            <w:gridSpan w:val="3"/>
            <w:shd w:val="clear" w:color="auto" w:fill="auto"/>
            <w:vAlign w:val="center"/>
          </w:tcPr>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庆元县小计</w:t>
            </w:r>
          </w:p>
        </w:tc>
        <w:tc>
          <w:tcPr>
            <w:tcW w:w="3191" w:type="dxa"/>
            <w:shd w:val="clear" w:color="auto" w:fill="auto"/>
            <w:vAlign w:val="center"/>
          </w:tcPr>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 xml:space="preserve">6 </w:t>
            </w:r>
          </w:p>
        </w:tc>
        <w:tc>
          <w:tcPr>
            <w:tcW w:w="927" w:type="dxa"/>
            <w:shd w:val="clear" w:color="auto" w:fill="auto"/>
            <w:vAlign w:val="center"/>
          </w:tcPr>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　</w:t>
            </w:r>
          </w:p>
        </w:tc>
        <w:tc>
          <w:tcPr>
            <w:tcW w:w="737" w:type="dxa"/>
            <w:shd w:val="clear" w:color="auto" w:fill="auto"/>
            <w:vAlign w:val="center"/>
          </w:tcPr>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　</w:t>
            </w:r>
          </w:p>
        </w:tc>
        <w:tc>
          <w:tcPr>
            <w:tcW w:w="1091" w:type="dxa"/>
            <w:shd w:val="clear" w:color="auto" w:fill="auto"/>
            <w:vAlign w:val="center"/>
          </w:tcPr>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　</w:t>
            </w:r>
          </w:p>
        </w:tc>
        <w:tc>
          <w:tcPr>
            <w:tcW w:w="1132" w:type="dxa"/>
            <w:shd w:val="clear" w:color="auto" w:fill="auto"/>
            <w:vAlign w:val="center"/>
          </w:tcPr>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 xml:space="preserve">9.90 </w:t>
            </w:r>
          </w:p>
        </w:tc>
        <w:tc>
          <w:tcPr>
            <w:tcW w:w="1090" w:type="dxa"/>
            <w:shd w:val="clear" w:color="auto" w:fill="auto"/>
            <w:vAlign w:val="center"/>
          </w:tcPr>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 xml:space="preserve">7.45 </w:t>
            </w:r>
          </w:p>
        </w:tc>
        <w:tc>
          <w:tcPr>
            <w:tcW w:w="955" w:type="dxa"/>
            <w:shd w:val="clear" w:color="auto" w:fill="auto"/>
            <w:vAlign w:val="center"/>
          </w:tcPr>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4560</w:t>
            </w:r>
          </w:p>
        </w:tc>
        <w:tc>
          <w:tcPr>
            <w:tcW w:w="750" w:type="dxa"/>
            <w:shd w:val="clear" w:color="auto" w:fill="auto"/>
            <w:vAlign w:val="center"/>
          </w:tcPr>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　</w:t>
            </w:r>
          </w:p>
        </w:tc>
        <w:tc>
          <w:tcPr>
            <w:tcW w:w="873" w:type="dxa"/>
            <w:shd w:val="clear" w:color="auto" w:fill="auto"/>
            <w:vAlign w:val="center"/>
          </w:tcPr>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　</w:t>
            </w:r>
          </w:p>
        </w:tc>
        <w:tc>
          <w:tcPr>
            <w:tcW w:w="682" w:type="dxa"/>
            <w:shd w:val="clear" w:color="auto" w:fill="auto"/>
            <w:vAlign w:val="center"/>
          </w:tcPr>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　</w:t>
            </w:r>
          </w:p>
        </w:tc>
        <w:tc>
          <w:tcPr>
            <w:tcW w:w="668" w:type="dxa"/>
            <w:shd w:val="clear" w:color="auto" w:fill="auto"/>
            <w:vAlign w:val="center"/>
          </w:tcPr>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　</w:t>
            </w:r>
          </w:p>
        </w:tc>
        <w:tc>
          <w:tcPr>
            <w:tcW w:w="576" w:type="dxa"/>
            <w:shd w:val="clear" w:color="auto" w:fill="auto"/>
            <w:vAlign w:val="center"/>
          </w:tcPr>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29" w:hRule="atLeast"/>
          <w:jc w:val="center"/>
        </w:trPr>
        <w:tc>
          <w:tcPr>
            <w:tcW w:w="453"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37</w:t>
            </w:r>
          </w:p>
        </w:tc>
        <w:tc>
          <w:tcPr>
            <w:tcW w:w="1378"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庆元县幼儿园建设工程</w:t>
            </w:r>
          </w:p>
        </w:tc>
        <w:tc>
          <w:tcPr>
            <w:tcW w:w="913"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幼儿园</w:t>
            </w:r>
          </w:p>
        </w:tc>
        <w:tc>
          <w:tcPr>
            <w:tcW w:w="3191"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新建后田等5所幼儿园，每所幼儿园各建12个班级360生规模省二级以上幼儿园</w:t>
            </w:r>
          </w:p>
        </w:tc>
        <w:tc>
          <w:tcPr>
            <w:tcW w:w="927"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各乡镇街道</w:t>
            </w:r>
          </w:p>
        </w:tc>
        <w:tc>
          <w:tcPr>
            <w:tcW w:w="737"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新建</w:t>
            </w:r>
          </w:p>
        </w:tc>
        <w:tc>
          <w:tcPr>
            <w:tcW w:w="1091"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2020—2025</w:t>
            </w:r>
          </w:p>
        </w:tc>
        <w:tc>
          <w:tcPr>
            <w:tcW w:w="1132"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 xml:space="preserve">1.50 </w:t>
            </w:r>
          </w:p>
        </w:tc>
        <w:tc>
          <w:tcPr>
            <w:tcW w:w="1090"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 xml:space="preserve">1.05 </w:t>
            </w:r>
          </w:p>
        </w:tc>
        <w:tc>
          <w:tcPr>
            <w:tcW w:w="955"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1800</w:t>
            </w:r>
          </w:p>
        </w:tc>
        <w:tc>
          <w:tcPr>
            <w:tcW w:w="750"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庆元实验幼儿园</w:t>
            </w:r>
          </w:p>
        </w:tc>
        <w:tc>
          <w:tcPr>
            <w:tcW w:w="873"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庆元县教育局</w:t>
            </w:r>
          </w:p>
        </w:tc>
        <w:tc>
          <w:tcPr>
            <w:tcW w:w="682"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实施类</w:t>
            </w:r>
          </w:p>
        </w:tc>
        <w:tc>
          <w:tcPr>
            <w:tcW w:w="668"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　</w:t>
            </w:r>
          </w:p>
        </w:tc>
        <w:tc>
          <w:tcPr>
            <w:tcW w:w="576"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后田、五都、屏都、黄麻淤、大坑口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6" w:hRule="atLeast"/>
          <w:jc w:val="center"/>
        </w:trPr>
        <w:tc>
          <w:tcPr>
            <w:tcW w:w="453"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38</w:t>
            </w:r>
          </w:p>
        </w:tc>
        <w:tc>
          <w:tcPr>
            <w:tcW w:w="1378"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庆元县实验小学南门洋校区建设工程</w:t>
            </w:r>
          </w:p>
        </w:tc>
        <w:tc>
          <w:tcPr>
            <w:tcW w:w="913"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小学</w:t>
            </w:r>
          </w:p>
        </w:tc>
        <w:tc>
          <w:tcPr>
            <w:tcW w:w="3191"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按省一类学校标准36班1620生规模建设，新增用地面积70亩，建筑面积25000平方米</w:t>
            </w:r>
          </w:p>
        </w:tc>
        <w:tc>
          <w:tcPr>
            <w:tcW w:w="927"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松源街道</w:t>
            </w:r>
          </w:p>
        </w:tc>
        <w:tc>
          <w:tcPr>
            <w:tcW w:w="737"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新建</w:t>
            </w:r>
          </w:p>
        </w:tc>
        <w:tc>
          <w:tcPr>
            <w:tcW w:w="1091"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2021—2023</w:t>
            </w:r>
          </w:p>
        </w:tc>
        <w:tc>
          <w:tcPr>
            <w:tcW w:w="1132"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 xml:space="preserve">1.20 </w:t>
            </w:r>
          </w:p>
        </w:tc>
        <w:tc>
          <w:tcPr>
            <w:tcW w:w="1090"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 xml:space="preserve">1.20 </w:t>
            </w:r>
          </w:p>
        </w:tc>
        <w:tc>
          <w:tcPr>
            <w:tcW w:w="955"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1260</w:t>
            </w:r>
          </w:p>
        </w:tc>
        <w:tc>
          <w:tcPr>
            <w:tcW w:w="750"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庆元实验小学</w:t>
            </w:r>
          </w:p>
        </w:tc>
        <w:tc>
          <w:tcPr>
            <w:tcW w:w="873"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庆元县教育局</w:t>
            </w:r>
          </w:p>
        </w:tc>
        <w:tc>
          <w:tcPr>
            <w:tcW w:w="682"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实施类</w:t>
            </w:r>
          </w:p>
        </w:tc>
        <w:tc>
          <w:tcPr>
            <w:tcW w:w="668"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自建</w:t>
            </w:r>
          </w:p>
        </w:tc>
        <w:tc>
          <w:tcPr>
            <w:tcW w:w="576"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2" w:hRule="atLeast"/>
          <w:jc w:val="center"/>
        </w:trPr>
        <w:tc>
          <w:tcPr>
            <w:tcW w:w="453"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39</w:t>
            </w:r>
          </w:p>
        </w:tc>
        <w:tc>
          <w:tcPr>
            <w:tcW w:w="1378"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庆元县职业高级中学迁建工程</w:t>
            </w:r>
          </w:p>
        </w:tc>
        <w:tc>
          <w:tcPr>
            <w:tcW w:w="913"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高中</w:t>
            </w:r>
          </w:p>
        </w:tc>
        <w:tc>
          <w:tcPr>
            <w:tcW w:w="3191"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 xml:space="preserve"> 按照《中等职业学校建设标准》（建标192-2018）建设，规模75个班/3000人（寄宿制），新增用地面积200亩，建筑面积约9万平方米</w:t>
            </w:r>
          </w:p>
        </w:tc>
        <w:tc>
          <w:tcPr>
            <w:tcW w:w="927"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松源街道</w:t>
            </w:r>
          </w:p>
        </w:tc>
        <w:tc>
          <w:tcPr>
            <w:tcW w:w="737"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新建</w:t>
            </w:r>
          </w:p>
        </w:tc>
        <w:tc>
          <w:tcPr>
            <w:tcW w:w="1091"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2024—2027</w:t>
            </w:r>
          </w:p>
        </w:tc>
        <w:tc>
          <w:tcPr>
            <w:tcW w:w="1132"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 xml:space="preserve">4.00 </w:t>
            </w:r>
          </w:p>
        </w:tc>
        <w:tc>
          <w:tcPr>
            <w:tcW w:w="1090"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 xml:space="preserve">2.00 </w:t>
            </w:r>
          </w:p>
        </w:tc>
        <w:tc>
          <w:tcPr>
            <w:tcW w:w="955"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1500</w:t>
            </w:r>
          </w:p>
        </w:tc>
        <w:tc>
          <w:tcPr>
            <w:tcW w:w="750"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庆元县职业高级中学</w:t>
            </w:r>
          </w:p>
        </w:tc>
        <w:tc>
          <w:tcPr>
            <w:tcW w:w="873"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庆元县教育局</w:t>
            </w:r>
          </w:p>
        </w:tc>
        <w:tc>
          <w:tcPr>
            <w:tcW w:w="682"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谋划类</w:t>
            </w:r>
          </w:p>
        </w:tc>
        <w:tc>
          <w:tcPr>
            <w:tcW w:w="668"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自建</w:t>
            </w:r>
          </w:p>
        </w:tc>
        <w:tc>
          <w:tcPr>
            <w:tcW w:w="576"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4" w:hRule="atLeast"/>
          <w:jc w:val="center"/>
        </w:trPr>
        <w:tc>
          <w:tcPr>
            <w:tcW w:w="453"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40</w:t>
            </w:r>
          </w:p>
        </w:tc>
        <w:tc>
          <w:tcPr>
            <w:tcW w:w="1378"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庆元中学多功能教学楼建设工程</w:t>
            </w:r>
          </w:p>
        </w:tc>
        <w:tc>
          <w:tcPr>
            <w:tcW w:w="913"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高中</w:t>
            </w:r>
          </w:p>
        </w:tc>
        <w:tc>
          <w:tcPr>
            <w:tcW w:w="3191"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新教学楼占地面积约1800平方米，建筑面积约10800平方米，同时完善学校附属设施绿化等</w:t>
            </w:r>
          </w:p>
        </w:tc>
        <w:tc>
          <w:tcPr>
            <w:tcW w:w="927"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濛洲街道</w:t>
            </w:r>
          </w:p>
        </w:tc>
        <w:tc>
          <w:tcPr>
            <w:tcW w:w="737"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新建</w:t>
            </w:r>
          </w:p>
        </w:tc>
        <w:tc>
          <w:tcPr>
            <w:tcW w:w="1091"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2022-2024</w:t>
            </w:r>
          </w:p>
        </w:tc>
        <w:tc>
          <w:tcPr>
            <w:tcW w:w="1132"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 xml:space="preserve">0.30 </w:t>
            </w:r>
          </w:p>
        </w:tc>
        <w:tc>
          <w:tcPr>
            <w:tcW w:w="1090"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 xml:space="preserve">0.30 </w:t>
            </w:r>
          </w:p>
        </w:tc>
        <w:tc>
          <w:tcPr>
            <w:tcW w:w="955"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　</w:t>
            </w:r>
          </w:p>
        </w:tc>
        <w:tc>
          <w:tcPr>
            <w:tcW w:w="750"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庆元中学</w:t>
            </w:r>
          </w:p>
        </w:tc>
        <w:tc>
          <w:tcPr>
            <w:tcW w:w="873"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庆元县教育局</w:t>
            </w:r>
          </w:p>
        </w:tc>
        <w:tc>
          <w:tcPr>
            <w:tcW w:w="682"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谋划类</w:t>
            </w:r>
          </w:p>
        </w:tc>
        <w:tc>
          <w:tcPr>
            <w:tcW w:w="668"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自建</w:t>
            </w:r>
          </w:p>
        </w:tc>
        <w:tc>
          <w:tcPr>
            <w:tcW w:w="576"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1" w:hRule="atLeast"/>
          <w:jc w:val="center"/>
        </w:trPr>
        <w:tc>
          <w:tcPr>
            <w:tcW w:w="453" w:type="dxa"/>
            <w:shd w:val="clear" w:color="auto" w:fill="auto"/>
            <w:vAlign w:val="center"/>
          </w:tcPr>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序号</w:t>
            </w:r>
          </w:p>
        </w:tc>
        <w:tc>
          <w:tcPr>
            <w:tcW w:w="1378" w:type="dxa"/>
            <w:shd w:val="clear" w:color="auto" w:fill="auto"/>
            <w:vAlign w:val="center"/>
          </w:tcPr>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项目名称</w:t>
            </w:r>
          </w:p>
        </w:tc>
        <w:tc>
          <w:tcPr>
            <w:tcW w:w="913" w:type="dxa"/>
            <w:shd w:val="clear" w:color="auto" w:fill="auto"/>
            <w:vAlign w:val="center"/>
          </w:tcPr>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学段</w:t>
            </w:r>
          </w:p>
        </w:tc>
        <w:tc>
          <w:tcPr>
            <w:tcW w:w="3191" w:type="dxa"/>
            <w:shd w:val="clear" w:color="auto" w:fill="auto"/>
            <w:vAlign w:val="center"/>
          </w:tcPr>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建设规模和内容</w:t>
            </w:r>
          </w:p>
        </w:tc>
        <w:tc>
          <w:tcPr>
            <w:tcW w:w="927" w:type="dxa"/>
            <w:shd w:val="clear" w:color="auto" w:fill="auto"/>
            <w:vAlign w:val="center"/>
          </w:tcPr>
          <w:p>
            <w:pPr>
              <w:widowControl/>
              <w:suppressAutoHyphens w:val="0"/>
              <w:jc w:val="center"/>
              <w:rPr>
                <w:rFonts w:hint="eastAsia"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建设</w:t>
            </w:r>
          </w:p>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地点</w:t>
            </w:r>
          </w:p>
        </w:tc>
        <w:tc>
          <w:tcPr>
            <w:tcW w:w="737" w:type="dxa"/>
            <w:shd w:val="clear" w:color="auto" w:fill="auto"/>
            <w:vAlign w:val="center"/>
          </w:tcPr>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建设性质</w:t>
            </w:r>
          </w:p>
        </w:tc>
        <w:tc>
          <w:tcPr>
            <w:tcW w:w="1091" w:type="dxa"/>
            <w:shd w:val="clear" w:color="auto" w:fill="auto"/>
            <w:vAlign w:val="center"/>
          </w:tcPr>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起止年限</w:t>
            </w:r>
          </w:p>
        </w:tc>
        <w:tc>
          <w:tcPr>
            <w:tcW w:w="1132" w:type="dxa"/>
            <w:shd w:val="clear" w:color="auto" w:fill="auto"/>
            <w:vAlign w:val="center"/>
          </w:tcPr>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总投资（亿元）</w:t>
            </w:r>
          </w:p>
        </w:tc>
        <w:tc>
          <w:tcPr>
            <w:tcW w:w="1090" w:type="dxa"/>
            <w:shd w:val="clear" w:color="auto" w:fill="auto"/>
            <w:vAlign w:val="center"/>
          </w:tcPr>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计划投资（亿元）</w:t>
            </w:r>
          </w:p>
        </w:tc>
        <w:tc>
          <w:tcPr>
            <w:tcW w:w="955" w:type="dxa"/>
            <w:shd w:val="clear" w:color="auto" w:fill="auto"/>
            <w:vAlign w:val="center"/>
          </w:tcPr>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新增学位（个）</w:t>
            </w:r>
          </w:p>
        </w:tc>
        <w:tc>
          <w:tcPr>
            <w:tcW w:w="750" w:type="dxa"/>
            <w:shd w:val="clear" w:color="auto" w:fill="auto"/>
            <w:vAlign w:val="center"/>
          </w:tcPr>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项目业主</w:t>
            </w:r>
          </w:p>
        </w:tc>
        <w:tc>
          <w:tcPr>
            <w:tcW w:w="873" w:type="dxa"/>
            <w:shd w:val="clear" w:color="auto" w:fill="auto"/>
            <w:vAlign w:val="center"/>
          </w:tcPr>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责任单位</w:t>
            </w:r>
          </w:p>
        </w:tc>
        <w:tc>
          <w:tcPr>
            <w:tcW w:w="682" w:type="dxa"/>
            <w:shd w:val="clear" w:color="auto" w:fill="auto"/>
            <w:vAlign w:val="center"/>
          </w:tcPr>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项目类别</w:t>
            </w:r>
          </w:p>
        </w:tc>
        <w:tc>
          <w:tcPr>
            <w:tcW w:w="668" w:type="dxa"/>
            <w:shd w:val="clear" w:color="auto" w:fill="auto"/>
            <w:vAlign w:val="center"/>
          </w:tcPr>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建设模式</w:t>
            </w:r>
          </w:p>
        </w:tc>
        <w:tc>
          <w:tcPr>
            <w:tcW w:w="576" w:type="dxa"/>
            <w:shd w:val="clear" w:color="auto" w:fill="auto"/>
            <w:vAlign w:val="center"/>
          </w:tcPr>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8" w:hRule="atLeast"/>
          <w:jc w:val="center"/>
        </w:trPr>
        <w:tc>
          <w:tcPr>
            <w:tcW w:w="453"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41</w:t>
            </w:r>
          </w:p>
        </w:tc>
        <w:tc>
          <w:tcPr>
            <w:tcW w:w="1378"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庆元县菊隆中学迁建工程二期——教师值班用房</w:t>
            </w:r>
          </w:p>
        </w:tc>
        <w:tc>
          <w:tcPr>
            <w:tcW w:w="913"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初中</w:t>
            </w:r>
          </w:p>
        </w:tc>
        <w:tc>
          <w:tcPr>
            <w:tcW w:w="3191"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值班用房占地面积734平方米，建筑面积6662平方米，同步实施校园景观绿化，设备采购等</w:t>
            </w:r>
          </w:p>
        </w:tc>
        <w:tc>
          <w:tcPr>
            <w:tcW w:w="927"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屏都街道</w:t>
            </w:r>
          </w:p>
        </w:tc>
        <w:tc>
          <w:tcPr>
            <w:tcW w:w="737"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新建</w:t>
            </w:r>
          </w:p>
        </w:tc>
        <w:tc>
          <w:tcPr>
            <w:tcW w:w="1091"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2022-2024</w:t>
            </w:r>
          </w:p>
        </w:tc>
        <w:tc>
          <w:tcPr>
            <w:tcW w:w="1132"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 xml:space="preserve">0.40 </w:t>
            </w:r>
          </w:p>
        </w:tc>
        <w:tc>
          <w:tcPr>
            <w:tcW w:w="1090"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 xml:space="preserve">0.40 </w:t>
            </w:r>
          </w:p>
        </w:tc>
        <w:tc>
          <w:tcPr>
            <w:tcW w:w="955"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　</w:t>
            </w:r>
          </w:p>
        </w:tc>
        <w:tc>
          <w:tcPr>
            <w:tcW w:w="750"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菊隆中学</w:t>
            </w:r>
          </w:p>
        </w:tc>
        <w:tc>
          <w:tcPr>
            <w:tcW w:w="873"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庆元县教育局</w:t>
            </w:r>
          </w:p>
        </w:tc>
        <w:tc>
          <w:tcPr>
            <w:tcW w:w="682"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谋划类</w:t>
            </w:r>
          </w:p>
        </w:tc>
        <w:tc>
          <w:tcPr>
            <w:tcW w:w="668"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自建</w:t>
            </w:r>
          </w:p>
        </w:tc>
        <w:tc>
          <w:tcPr>
            <w:tcW w:w="576"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90" w:hRule="atLeast"/>
          <w:jc w:val="center"/>
        </w:trPr>
        <w:tc>
          <w:tcPr>
            <w:tcW w:w="453"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42</w:t>
            </w:r>
          </w:p>
        </w:tc>
        <w:tc>
          <w:tcPr>
            <w:tcW w:w="1378"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庆元县智慧校园建设</w:t>
            </w:r>
          </w:p>
        </w:tc>
        <w:tc>
          <w:tcPr>
            <w:tcW w:w="913"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信息化</w:t>
            </w:r>
          </w:p>
        </w:tc>
        <w:tc>
          <w:tcPr>
            <w:tcW w:w="3191"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教育部信息技术2.0规划，中国信息化建设强国；浙江省十三五规划，数字浙江，智慧城市发展；教育部省厅发文教育重点项目，智慧校园创建100%，并详细颁布创建内容及标准</w:t>
            </w:r>
          </w:p>
        </w:tc>
        <w:tc>
          <w:tcPr>
            <w:tcW w:w="927"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各学校校园内</w:t>
            </w:r>
          </w:p>
        </w:tc>
        <w:tc>
          <w:tcPr>
            <w:tcW w:w="737"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新建</w:t>
            </w:r>
          </w:p>
        </w:tc>
        <w:tc>
          <w:tcPr>
            <w:tcW w:w="1091"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2022—2025</w:t>
            </w:r>
          </w:p>
        </w:tc>
        <w:tc>
          <w:tcPr>
            <w:tcW w:w="1132"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 xml:space="preserve">2.50 </w:t>
            </w:r>
          </w:p>
        </w:tc>
        <w:tc>
          <w:tcPr>
            <w:tcW w:w="1090"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 xml:space="preserve">2.50 </w:t>
            </w:r>
          </w:p>
        </w:tc>
        <w:tc>
          <w:tcPr>
            <w:tcW w:w="955"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　</w:t>
            </w:r>
          </w:p>
        </w:tc>
        <w:tc>
          <w:tcPr>
            <w:tcW w:w="750"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庆元县教育教学研究室</w:t>
            </w:r>
          </w:p>
        </w:tc>
        <w:tc>
          <w:tcPr>
            <w:tcW w:w="873"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庆元县县教育局</w:t>
            </w:r>
          </w:p>
        </w:tc>
        <w:tc>
          <w:tcPr>
            <w:tcW w:w="682"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实施类</w:t>
            </w:r>
          </w:p>
        </w:tc>
        <w:tc>
          <w:tcPr>
            <w:tcW w:w="668"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自建</w:t>
            </w:r>
          </w:p>
        </w:tc>
        <w:tc>
          <w:tcPr>
            <w:tcW w:w="576"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3" w:hRule="atLeast"/>
          <w:jc w:val="center"/>
        </w:trPr>
        <w:tc>
          <w:tcPr>
            <w:tcW w:w="2744" w:type="dxa"/>
            <w:gridSpan w:val="3"/>
            <w:shd w:val="clear" w:color="auto" w:fill="auto"/>
            <w:vAlign w:val="center"/>
          </w:tcPr>
          <w:p>
            <w:pPr>
              <w:widowControl/>
              <w:suppressAutoHyphens w:val="0"/>
              <w:spacing w:line="240" w:lineRule="exact"/>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缙云县小计</w:t>
            </w:r>
          </w:p>
        </w:tc>
        <w:tc>
          <w:tcPr>
            <w:tcW w:w="3191" w:type="dxa"/>
            <w:shd w:val="clear" w:color="auto" w:fill="auto"/>
            <w:vAlign w:val="center"/>
          </w:tcPr>
          <w:p>
            <w:pPr>
              <w:widowControl/>
              <w:suppressAutoHyphens w:val="0"/>
              <w:spacing w:line="240" w:lineRule="exact"/>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 xml:space="preserve">11 </w:t>
            </w:r>
          </w:p>
        </w:tc>
        <w:tc>
          <w:tcPr>
            <w:tcW w:w="927" w:type="dxa"/>
            <w:shd w:val="clear" w:color="auto" w:fill="auto"/>
            <w:vAlign w:val="center"/>
          </w:tcPr>
          <w:p>
            <w:pPr>
              <w:widowControl/>
              <w:suppressAutoHyphens w:val="0"/>
              <w:spacing w:line="240" w:lineRule="exact"/>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　</w:t>
            </w:r>
          </w:p>
        </w:tc>
        <w:tc>
          <w:tcPr>
            <w:tcW w:w="737" w:type="dxa"/>
            <w:shd w:val="clear" w:color="auto" w:fill="auto"/>
            <w:vAlign w:val="center"/>
          </w:tcPr>
          <w:p>
            <w:pPr>
              <w:widowControl/>
              <w:suppressAutoHyphens w:val="0"/>
              <w:spacing w:line="240" w:lineRule="exact"/>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　</w:t>
            </w:r>
          </w:p>
        </w:tc>
        <w:tc>
          <w:tcPr>
            <w:tcW w:w="1091" w:type="dxa"/>
            <w:shd w:val="clear" w:color="auto" w:fill="auto"/>
            <w:vAlign w:val="center"/>
          </w:tcPr>
          <w:p>
            <w:pPr>
              <w:widowControl/>
              <w:suppressAutoHyphens w:val="0"/>
              <w:spacing w:line="240" w:lineRule="exact"/>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　</w:t>
            </w:r>
          </w:p>
        </w:tc>
        <w:tc>
          <w:tcPr>
            <w:tcW w:w="1132" w:type="dxa"/>
            <w:shd w:val="clear" w:color="auto" w:fill="auto"/>
            <w:vAlign w:val="center"/>
          </w:tcPr>
          <w:p>
            <w:pPr>
              <w:widowControl/>
              <w:suppressAutoHyphens w:val="0"/>
              <w:spacing w:line="240" w:lineRule="exact"/>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 xml:space="preserve">13.93 </w:t>
            </w:r>
          </w:p>
        </w:tc>
        <w:tc>
          <w:tcPr>
            <w:tcW w:w="1090" w:type="dxa"/>
            <w:shd w:val="clear" w:color="auto" w:fill="auto"/>
            <w:vAlign w:val="center"/>
          </w:tcPr>
          <w:p>
            <w:pPr>
              <w:widowControl/>
              <w:suppressAutoHyphens w:val="0"/>
              <w:spacing w:line="240" w:lineRule="exact"/>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 xml:space="preserve">13.93 </w:t>
            </w:r>
          </w:p>
        </w:tc>
        <w:tc>
          <w:tcPr>
            <w:tcW w:w="955" w:type="dxa"/>
            <w:shd w:val="clear" w:color="auto" w:fill="auto"/>
            <w:vAlign w:val="center"/>
          </w:tcPr>
          <w:p>
            <w:pPr>
              <w:widowControl/>
              <w:suppressAutoHyphens w:val="0"/>
              <w:spacing w:line="240" w:lineRule="exact"/>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10410</w:t>
            </w:r>
          </w:p>
        </w:tc>
        <w:tc>
          <w:tcPr>
            <w:tcW w:w="750" w:type="dxa"/>
            <w:shd w:val="clear" w:color="auto" w:fill="auto"/>
            <w:vAlign w:val="center"/>
          </w:tcPr>
          <w:p>
            <w:pPr>
              <w:widowControl/>
              <w:suppressAutoHyphens w:val="0"/>
              <w:spacing w:line="240" w:lineRule="exact"/>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　</w:t>
            </w:r>
          </w:p>
        </w:tc>
        <w:tc>
          <w:tcPr>
            <w:tcW w:w="873" w:type="dxa"/>
            <w:shd w:val="clear" w:color="auto" w:fill="auto"/>
            <w:vAlign w:val="center"/>
          </w:tcPr>
          <w:p>
            <w:pPr>
              <w:widowControl/>
              <w:suppressAutoHyphens w:val="0"/>
              <w:spacing w:line="240" w:lineRule="exact"/>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　</w:t>
            </w:r>
          </w:p>
        </w:tc>
        <w:tc>
          <w:tcPr>
            <w:tcW w:w="682" w:type="dxa"/>
            <w:shd w:val="clear" w:color="auto" w:fill="auto"/>
            <w:vAlign w:val="center"/>
          </w:tcPr>
          <w:p>
            <w:pPr>
              <w:widowControl/>
              <w:suppressAutoHyphens w:val="0"/>
              <w:spacing w:line="240" w:lineRule="exact"/>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　</w:t>
            </w:r>
          </w:p>
        </w:tc>
        <w:tc>
          <w:tcPr>
            <w:tcW w:w="668" w:type="dxa"/>
            <w:shd w:val="clear" w:color="auto" w:fill="auto"/>
            <w:vAlign w:val="center"/>
          </w:tcPr>
          <w:p>
            <w:pPr>
              <w:widowControl/>
              <w:suppressAutoHyphens w:val="0"/>
              <w:spacing w:line="240" w:lineRule="exact"/>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　</w:t>
            </w:r>
          </w:p>
        </w:tc>
        <w:tc>
          <w:tcPr>
            <w:tcW w:w="576" w:type="dxa"/>
            <w:shd w:val="clear" w:color="auto" w:fill="auto"/>
            <w:vAlign w:val="center"/>
          </w:tcPr>
          <w:p>
            <w:pPr>
              <w:widowControl/>
              <w:suppressAutoHyphens w:val="0"/>
              <w:spacing w:line="240" w:lineRule="exact"/>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38" w:hRule="atLeast"/>
          <w:jc w:val="center"/>
        </w:trPr>
        <w:tc>
          <w:tcPr>
            <w:tcW w:w="453"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43</w:t>
            </w:r>
          </w:p>
        </w:tc>
        <w:tc>
          <w:tcPr>
            <w:tcW w:w="1378"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缙云县全县幼儿园及小区配套幼儿园建设</w:t>
            </w:r>
          </w:p>
        </w:tc>
        <w:tc>
          <w:tcPr>
            <w:tcW w:w="913"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幼儿园</w:t>
            </w:r>
          </w:p>
        </w:tc>
        <w:tc>
          <w:tcPr>
            <w:tcW w:w="3191"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机关幼儿园泊璟园区、名山未来社区幼儿园、洋泉幼儿园、溶江幼儿园、下双龙幼儿园、江泰名邸幼儿园、移民安置幼儿园、丽缙园幼儿园、东渡镇幼儿园、新建镇幼儿园、七里乡幼儿园</w:t>
            </w:r>
          </w:p>
        </w:tc>
        <w:tc>
          <w:tcPr>
            <w:tcW w:w="927"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缙云县</w:t>
            </w:r>
          </w:p>
        </w:tc>
        <w:tc>
          <w:tcPr>
            <w:tcW w:w="737"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新建</w:t>
            </w:r>
          </w:p>
        </w:tc>
        <w:tc>
          <w:tcPr>
            <w:tcW w:w="1091"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2021-2025</w:t>
            </w:r>
          </w:p>
        </w:tc>
        <w:tc>
          <w:tcPr>
            <w:tcW w:w="1132"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 xml:space="preserve">1.80 </w:t>
            </w:r>
          </w:p>
        </w:tc>
        <w:tc>
          <w:tcPr>
            <w:tcW w:w="1090"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 xml:space="preserve">1.80 </w:t>
            </w:r>
          </w:p>
        </w:tc>
        <w:tc>
          <w:tcPr>
            <w:tcW w:w="955"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3120</w:t>
            </w:r>
          </w:p>
        </w:tc>
        <w:tc>
          <w:tcPr>
            <w:tcW w:w="750"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各项目学校</w:t>
            </w:r>
          </w:p>
        </w:tc>
        <w:tc>
          <w:tcPr>
            <w:tcW w:w="873"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缙云县教育局</w:t>
            </w:r>
          </w:p>
        </w:tc>
        <w:tc>
          <w:tcPr>
            <w:tcW w:w="682"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实施类</w:t>
            </w:r>
          </w:p>
        </w:tc>
        <w:tc>
          <w:tcPr>
            <w:tcW w:w="668"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自建</w:t>
            </w:r>
          </w:p>
        </w:tc>
        <w:tc>
          <w:tcPr>
            <w:tcW w:w="576"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9" w:hRule="atLeast"/>
          <w:jc w:val="center"/>
        </w:trPr>
        <w:tc>
          <w:tcPr>
            <w:tcW w:w="453"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44</w:t>
            </w:r>
          </w:p>
        </w:tc>
        <w:tc>
          <w:tcPr>
            <w:tcW w:w="1378"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缙云县七里学校建设项目</w:t>
            </w:r>
          </w:p>
        </w:tc>
        <w:tc>
          <w:tcPr>
            <w:tcW w:w="913"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小学</w:t>
            </w:r>
          </w:p>
        </w:tc>
        <w:tc>
          <w:tcPr>
            <w:tcW w:w="3191"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建设规模54个班，学生2520人，总用地89亩，建筑面积45000平方米。</w:t>
            </w:r>
          </w:p>
        </w:tc>
        <w:tc>
          <w:tcPr>
            <w:tcW w:w="927"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缙云县</w:t>
            </w:r>
          </w:p>
        </w:tc>
        <w:tc>
          <w:tcPr>
            <w:tcW w:w="737"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新建</w:t>
            </w:r>
          </w:p>
        </w:tc>
        <w:tc>
          <w:tcPr>
            <w:tcW w:w="1091"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2023-2025</w:t>
            </w:r>
          </w:p>
        </w:tc>
        <w:tc>
          <w:tcPr>
            <w:tcW w:w="1132"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 xml:space="preserve">2.00 </w:t>
            </w:r>
          </w:p>
        </w:tc>
        <w:tc>
          <w:tcPr>
            <w:tcW w:w="1090"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 xml:space="preserve">2.00 </w:t>
            </w:r>
          </w:p>
        </w:tc>
        <w:tc>
          <w:tcPr>
            <w:tcW w:w="955"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1890</w:t>
            </w:r>
          </w:p>
        </w:tc>
        <w:tc>
          <w:tcPr>
            <w:tcW w:w="750"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缙云县教育局</w:t>
            </w:r>
          </w:p>
        </w:tc>
        <w:tc>
          <w:tcPr>
            <w:tcW w:w="873"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缙云县教育局</w:t>
            </w:r>
          </w:p>
        </w:tc>
        <w:tc>
          <w:tcPr>
            <w:tcW w:w="682"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实施类</w:t>
            </w:r>
          </w:p>
        </w:tc>
        <w:tc>
          <w:tcPr>
            <w:tcW w:w="668"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自建</w:t>
            </w:r>
          </w:p>
        </w:tc>
        <w:tc>
          <w:tcPr>
            <w:tcW w:w="576"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86" w:hRule="atLeast"/>
          <w:jc w:val="center"/>
        </w:trPr>
        <w:tc>
          <w:tcPr>
            <w:tcW w:w="453"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45</w:t>
            </w:r>
          </w:p>
        </w:tc>
        <w:tc>
          <w:tcPr>
            <w:tcW w:w="1378"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缙云县东渡小学扩建工程</w:t>
            </w:r>
          </w:p>
        </w:tc>
        <w:tc>
          <w:tcPr>
            <w:tcW w:w="913"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小学</w:t>
            </w:r>
          </w:p>
        </w:tc>
        <w:tc>
          <w:tcPr>
            <w:tcW w:w="3191"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建设规模36个班，学生1620人，新增用地面积12193平方米，总建筑面积8200平方米。建设内容：教学楼、食堂及风雨操场、门卫等</w:t>
            </w:r>
          </w:p>
        </w:tc>
        <w:tc>
          <w:tcPr>
            <w:tcW w:w="927"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缙云县</w:t>
            </w:r>
          </w:p>
        </w:tc>
        <w:tc>
          <w:tcPr>
            <w:tcW w:w="737"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改扩建</w:t>
            </w:r>
          </w:p>
        </w:tc>
        <w:tc>
          <w:tcPr>
            <w:tcW w:w="1091"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2020-2022</w:t>
            </w:r>
          </w:p>
        </w:tc>
        <w:tc>
          <w:tcPr>
            <w:tcW w:w="1132"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 xml:space="preserve">0.82 </w:t>
            </w:r>
          </w:p>
        </w:tc>
        <w:tc>
          <w:tcPr>
            <w:tcW w:w="1090"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 xml:space="preserve">0.82 </w:t>
            </w:r>
          </w:p>
        </w:tc>
        <w:tc>
          <w:tcPr>
            <w:tcW w:w="955"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180</w:t>
            </w:r>
          </w:p>
        </w:tc>
        <w:tc>
          <w:tcPr>
            <w:tcW w:w="750"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缙云县东渡小学</w:t>
            </w:r>
          </w:p>
        </w:tc>
        <w:tc>
          <w:tcPr>
            <w:tcW w:w="873"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缙云县教育局</w:t>
            </w:r>
          </w:p>
        </w:tc>
        <w:tc>
          <w:tcPr>
            <w:tcW w:w="682"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实施类</w:t>
            </w:r>
          </w:p>
        </w:tc>
        <w:tc>
          <w:tcPr>
            <w:tcW w:w="668"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自建</w:t>
            </w:r>
          </w:p>
        </w:tc>
        <w:tc>
          <w:tcPr>
            <w:tcW w:w="576"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8" w:hRule="atLeast"/>
          <w:jc w:val="center"/>
        </w:trPr>
        <w:tc>
          <w:tcPr>
            <w:tcW w:w="453" w:type="dxa"/>
            <w:shd w:val="clear" w:color="auto" w:fill="auto"/>
            <w:vAlign w:val="center"/>
          </w:tcPr>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序号</w:t>
            </w:r>
          </w:p>
        </w:tc>
        <w:tc>
          <w:tcPr>
            <w:tcW w:w="1378" w:type="dxa"/>
            <w:shd w:val="clear" w:color="auto" w:fill="auto"/>
            <w:vAlign w:val="center"/>
          </w:tcPr>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项目名称</w:t>
            </w:r>
          </w:p>
        </w:tc>
        <w:tc>
          <w:tcPr>
            <w:tcW w:w="913" w:type="dxa"/>
            <w:shd w:val="clear" w:color="auto" w:fill="auto"/>
            <w:vAlign w:val="center"/>
          </w:tcPr>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学段</w:t>
            </w:r>
          </w:p>
        </w:tc>
        <w:tc>
          <w:tcPr>
            <w:tcW w:w="3191" w:type="dxa"/>
            <w:shd w:val="clear" w:color="auto" w:fill="auto"/>
            <w:vAlign w:val="center"/>
          </w:tcPr>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建设规模和内容</w:t>
            </w:r>
          </w:p>
        </w:tc>
        <w:tc>
          <w:tcPr>
            <w:tcW w:w="927" w:type="dxa"/>
            <w:shd w:val="clear" w:color="auto" w:fill="auto"/>
            <w:vAlign w:val="center"/>
          </w:tcPr>
          <w:p>
            <w:pPr>
              <w:widowControl/>
              <w:suppressAutoHyphens w:val="0"/>
              <w:jc w:val="center"/>
              <w:rPr>
                <w:rFonts w:hint="eastAsia"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建设</w:t>
            </w:r>
          </w:p>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地点</w:t>
            </w:r>
          </w:p>
        </w:tc>
        <w:tc>
          <w:tcPr>
            <w:tcW w:w="737" w:type="dxa"/>
            <w:shd w:val="clear" w:color="auto" w:fill="auto"/>
            <w:vAlign w:val="center"/>
          </w:tcPr>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建设性质</w:t>
            </w:r>
          </w:p>
        </w:tc>
        <w:tc>
          <w:tcPr>
            <w:tcW w:w="1091" w:type="dxa"/>
            <w:shd w:val="clear" w:color="auto" w:fill="auto"/>
            <w:vAlign w:val="center"/>
          </w:tcPr>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起止年限</w:t>
            </w:r>
          </w:p>
        </w:tc>
        <w:tc>
          <w:tcPr>
            <w:tcW w:w="1132" w:type="dxa"/>
            <w:shd w:val="clear" w:color="auto" w:fill="auto"/>
            <w:vAlign w:val="center"/>
          </w:tcPr>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总投资（亿元）</w:t>
            </w:r>
          </w:p>
        </w:tc>
        <w:tc>
          <w:tcPr>
            <w:tcW w:w="1090" w:type="dxa"/>
            <w:shd w:val="clear" w:color="auto" w:fill="auto"/>
            <w:vAlign w:val="center"/>
          </w:tcPr>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计划投资（亿元）</w:t>
            </w:r>
          </w:p>
        </w:tc>
        <w:tc>
          <w:tcPr>
            <w:tcW w:w="955" w:type="dxa"/>
            <w:shd w:val="clear" w:color="auto" w:fill="auto"/>
            <w:vAlign w:val="center"/>
          </w:tcPr>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新增学位（个）</w:t>
            </w:r>
          </w:p>
        </w:tc>
        <w:tc>
          <w:tcPr>
            <w:tcW w:w="750" w:type="dxa"/>
            <w:shd w:val="clear" w:color="auto" w:fill="auto"/>
            <w:vAlign w:val="center"/>
          </w:tcPr>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项目业主</w:t>
            </w:r>
          </w:p>
        </w:tc>
        <w:tc>
          <w:tcPr>
            <w:tcW w:w="873" w:type="dxa"/>
            <w:shd w:val="clear" w:color="auto" w:fill="auto"/>
            <w:vAlign w:val="center"/>
          </w:tcPr>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责任单位</w:t>
            </w:r>
          </w:p>
        </w:tc>
        <w:tc>
          <w:tcPr>
            <w:tcW w:w="682" w:type="dxa"/>
            <w:shd w:val="clear" w:color="auto" w:fill="auto"/>
            <w:vAlign w:val="center"/>
          </w:tcPr>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项目类别</w:t>
            </w:r>
          </w:p>
        </w:tc>
        <w:tc>
          <w:tcPr>
            <w:tcW w:w="668" w:type="dxa"/>
            <w:shd w:val="clear" w:color="auto" w:fill="auto"/>
            <w:vAlign w:val="center"/>
          </w:tcPr>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建设模式</w:t>
            </w:r>
          </w:p>
        </w:tc>
        <w:tc>
          <w:tcPr>
            <w:tcW w:w="576" w:type="dxa"/>
            <w:shd w:val="clear" w:color="auto" w:fill="auto"/>
            <w:vAlign w:val="center"/>
          </w:tcPr>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4" w:hRule="atLeast"/>
          <w:jc w:val="center"/>
        </w:trPr>
        <w:tc>
          <w:tcPr>
            <w:tcW w:w="453"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46</w:t>
            </w:r>
          </w:p>
        </w:tc>
        <w:tc>
          <w:tcPr>
            <w:tcW w:w="1378"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缙云县丽缙园小学新建</w:t>
            </w:r>
          </w:p>
        </w:tc>
        <w:tc>
          <w:tcPr>
            <w:tcW w:w="913"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小学</w:t>
            </w:r>
          </w:p>
        </w:tc>
        <w:tc>
          <w:tcPr>
            <w:tcW w:w="3191"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建设规模36个班，学生1620人，建筑面积27000平方米，用地56亩</w:t>
            </w:r>
          </w:p>
        </w:tc>
        <w:tc>
          <w:tcPr>
            <w:tcW w:w="927"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缙云县</w:t>
            </w:r>
          </w:p>
        </w:tc>
        <w:tc>
          <w:tcPr>
            <w:tcW w:w="737"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新建</w:t>
            </w:r>
          </w:p>
        </w:tc>
        <w:tc>
          <w:tcPr>
            <w:tcW w:w="1091"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2022-2025</w:t>
            </w:r>
          </w:p>
        </w:tc>
        <w:tc>
          <w:tcPr>
            <w:tcW w:w="1132"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 xml:space="preserve">1.20 </w:t>
            </w:r>
          </w:p>
        </w:tc>
        <w:tc>
          <w:tcPr>
            <w:tcW w:w="1090"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 xml:space="preserve">1.20 </w:t>
            </w:r>
          </w:p>
        </w:tc>
        <w:tc>
          <w:tcPr>
            <w:tcW w:w="955"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1260</w:t>
            </w:r>
          </w:p>
        </w:tc>
        <w:tc>
          <w:tcPr>
            <w:tcW w:w="750"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壶镇镇</w:t>
            </w:r>
          </w:p>
        </w:tc>
        <w:tc>
          <w:tcPr>
            <w:tcW w:w="873"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缙云县教育局</w:t>
            </w:r>
          </w:p>
        </w:tc>
        <w:tc>
          <w:tcPr>
            <w:tcW w:w="682"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实施类</w:t>
            </w:r>
          </w:p>
        </w:tc>
        <w:tc>
          <w:tcPr>
            <w:tcW w:w="668"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自建</w:t>
            </w:r>
          </w:p>
        </w:tc>
        <w:tc>
          <w:tcPr>
            <w:tcW w:w="576"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31" w:hRule="atLeast"/>
          <w:jc w:val="center"/>
        </w:trPr>
        <w:tc>
          <w:tcPr>
            <w:tcW w:w="453"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47</w:t>
            </w:r>
          </w:p>
        </w:tc>
        <w:tc>
          <w:tcPr>
            <w:tcW w:w="1378"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缙云县全县中小学基础设施项目</w:t>
            </w:r>
          </w:p>
        </w:tc>
        <w:tc>
          <w:tcPr>
            <w:tcW w:w="913"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其他</w:t>
            </w:r>
          </w:p>
        </w:tc>
        <w:tc>
          <w:tcPr>
            <w:tcW w:w="3191"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新建碧川小学风雨操场、舒洪小学风雨操场、盘溪中学风雨操场、实验小学风雨操场及食堂、实验二小食堂、湖川小学置换等</w:t>
            </w:r>
          </w:p>
        </w:tc>
        <w:tc>
          <w:tcPr>
            <w:tcW w:w="927"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缙云县</w:t>
            </w:r>
          </w:p>
        </w:tc>
        <w:tc>
          <w:tcPr>
            <w:tcW w:w="737"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改扩建</w:t>
            </w:r>
          </w:p>
        </w:tc>
        <w:tc>
          <w:tcPr>
            <w:tcW w:w="1091"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2021-2025</w:t>
            </w:r>
          </w:p>
        </w:tc>
        <w:tc>
          <w:tcPr>
            <w:tcW w:w="1132"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 xml:space="preserve">0.68 </w:t>
            </w:r>
          </w:p>
        </w:tc>
        <w:tc>
          <w:tcPr>
            <w:tcW w:w="1090"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 xml:space="preserve">0.68 </w:t>
            </w:r>
          </w:p>
        </w:tc>
        <w:tc>
          <w:tcPr>
            <w:tcW w:w="955"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　</w:t>
            </w:r>
          </w:p>
        </w:tc>
        <w:tc>
          <w:tcPr>
            <w:tcW w:w="750"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各项目学校</w:t>
            </w:r>
          </w:p>
        </w:tc>
        <w:tc>
          <w:tcPr>
            <w:tcW w:w="873"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缙云县教育局</w:t>
            </w:r>
          </w:p>
        </w:tc>
        <w:tc>
          <w:tcPr>
            <w:tcW w:w="682"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实施类</w:t>
            </w:r>
          </w:p>
        </w:tc>
        <w:tc>
          <w:tcPr>
            <w:tcW w:w="668"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自建</w:t>
            </w:r>
          </w:p>
        </w:tc>
        <w:tc>
          <w:tcPr>
            <w:tcW w:w="576"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42" w:hRule="atLeast"/>
          <w:jc w:val="center"/>
        </w:trPr>
        <w:tc>
          <w:tcPr>
            <w:tcW w:w="453"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48</w:t>
            </w:r>
          </w:p>
        </w:tc>
        <w:tc>
          <w:tcPr>
            <w:tcW w:w="1378"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缙云县丽水开放技师学院</w:t>
            </w:r>
          </w:p>
        </w:tc>
        <w:tc>
          <w:tcPr>
            <w:tcW w:w="913"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高中</w:t>
            </w:r>
          </w:p>
        </w:tc>
        <w:tc>
          <w:tcPr>
            <w:tcW w:w="3191"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项目新增用地90亩，增加招生1800人，建筑面积40000平方米。建设内容：教学楼、综合实训楼、食堂、学生宿舍、风雨操场、塑胶运动场、产学研中心及设备等</w:t>
            </w:r>
          </w:p>
        </w:tc>
        <w:tc>
          <w:tcPr>
            <w:tcW w:w="927"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缙云县</w:t>
            </w:r>
          </w:p>
        </w:tc>
        <w:tc>
          <w:tcPr>
            <w:tcW w:w="737"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新建</w:t>
            </w:r>
          </w:p>
        </w:tc>
        <w:tc>
          <w:tcPr>
            <w:tcW w:w="1091"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2020-2024</w:t>
            </w:r>
          </w:p>
        </w:tc>
        <w:tc>
          <w:tcPr>
            <w:tcW w:w="1132"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 xml:space="preserve">1.80 </w:t>
            </w:r>
          </w:p>
        </w:tc>
        <w:tc>
          <w:tcPr>
            <w:tcW w:w="1090"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 xml:space="preserve">1.80 </w:t>
            </w:r>
          </w:p>
        </w:tc>
        <w:tc>
          <w:tcPr>
            <w:tcW w:w="955"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1800</w:t>
            </w:r>
          </w:p>
        </w:tc>
        <w:tc>
          <w:tcPr>
            <w:tcW w:w="750"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缙云县职业中等技术学校</w:t>
            </w:r>
          </w:p>
        </w:tc>
        <w:tc>
          <w:tcPr>
            <w:tcW w:w="873"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缙云县教育局</w:t>
            </w:r>
          </w:p>
        </w:tc>
        <w:tc>
          <w:tcPr>
            <w:tcW w:w="682"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实施类</w:t>
            </w:r>
          </w:p>
        </w:tc>
        <w:tc>
          <w:tcPr>
            <w:tcW w:w="668"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自建</w:t>
            </w:r>
          </w:p>
        </w:tc>
        <w:tc>
          <w:tcPr>
            <w:tcW w:w="576"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18" w:hRule="atLeast"/>
          <w:jc w:val="center"/>
        </w:trPr>
        <w:tc>
          <w:tcPr>
            <w:tcW w:w="453"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49</w:t>
            </w:r>
          </w:p>
        </w:tc>
        <w:tc>
          <w:tcPr>
            <w:tcW w:w="1378"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缙云县新区初中新建</w:t>
            </w:r>
          </w:p>
        </w:tc>
        <w:tc>
          <w:tcPr>
            <w:tcW w:w="913"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初中</w:t>
            </w:r>
          </w:p>
        </w:tc>
        <w:tc>
          <w:tcPr>
            <w:tcW w:w="3191"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建设规模36班、学生1800人，总用地89亩，建筑面积35000平方米。</w:t>
            </w:r>
          </w:p>
        </w:tc>
        <w:tc>
          <w:tcPr>
            <w:tcW w:w="927"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缙云县</w:t>
            </w:r>
          </w:p>
        </w:tc>
        <w:tc>
          <w:tcPr>
            <w:tcW w:w="737"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新建</w:t>
            </w:r>
          </w:p>
        </w:tc>
        <w:tc>
          <w:tcPr>
            <w:tcW w:w="1091"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2021-2026</w:t>
            </w:r>
          </w:p>
        </w:tc>
        <w:tc>
          <w:tcPr>
            <w:tcW w:w="1132"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 xml:space="preserve">1.60 </w:t>
            </w:r>
          </w:p>
        </w:tc>
        <w:tc>
          <w:tcPr>
            <w:tcW w:w="1090"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 xml:space="preserve">1.60 </w:t>
            </w:r>
          </w:p>
        </w:tc>
        <w:tc>
          <w:tcPr>
            <w:tcW w:w="955"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1440</w:t>
            </w:r>
          </w:p>
        </w:tc>
        <w:tc>
          <w:tcPr>
            <w:tcW w:w="750"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缙云县教育局</w:t>
            </w:r>
          </w:p>
        </w:tc>
        <w:tc>
          <w:tcPr>
            <w:tcW w:w="873"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缙云县教育局</w:t>
            </w:r>
          </w:p>
        </w:tc>
        <w:tc>
          <w:tcPr>
            <w:tcW w:w="682"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谋划类</w:t>
            </w:r>
          </w:p>
        </w:tc>
        <w:tc>
          <w:tcPr>
            <w:tcW w:w="668"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自建</w:t>
            </w:r>
          </w:p>
        </w:tc>
        <w:tc>
          <w:tcPr>
            <w:tcW w:w="576"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6" w:hRule="atLeast"/>
          <w:jc w:val="center"/>
        </w:trPr>
        <w:tc>
          <w:tcPr>
            <w:tcW w:w="453"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50</w:t>
            </w:r>
          </w:p>
        </w:tc>
        <w:tc>
          <w:tcPr>
            <w:tcW w:w="1378"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缙云县水南小学食堂及风雨操场项目</w:t>
            </w:r>
          </w:p>
        </w:tc>
        <w:tc>
          <w:tcPr>
            <w:tcW w:w="913"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小学</w:t>
            </w:r>
          </w:p>
        </w:tc>
        <w:tc>
          <w:tcPr>
            <w:tcW w:w="3191"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新增用地15亩，拆迁安置7700平方米。食堂、风雨操场建筑面积5400平方米、木雕厂厂房安置</w:t>
            </w:r>
          </w:p>
        </w:tc>
        <w:tc>
          <w:tcPr>
            <w:tcW w:w="927"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缙云县</w:t>
            </w:r>
          </w:p>
        </w:tc>
        <w:tc>
          <w:tcPr>
            <w:tcW w:w="737"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改扩建</w:t>
            </w:r>
          </w:p>
        </w:tc>
        <w:tc>
          <w:tcPr>
            <w:tcW w:w="1091"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2022-2025</w:t>
            </w:r>
          </w:p>
        </w:tc>
        <w:tc>
          <w:tcPr>
            <w:tcW w:w="1132"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 xml:space="preserve">0.82 </w:t>
            </w:r>
          </w:p>
        </w:tc>
        <w:tc>
          <w:tcPr>
            <w:tcW w:w="1090"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 xml:space="preserve">0.82 </w:t>
            </w:r>
          </w:p>
        </w:tc>
        <w:tc>
          <w:tcPr>
            <w:tcW w:w="955"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　</w:t>
            </w:r>
          </w:p>
        </w:tc>
        <w:tc>
          <w:tcPr>
            <w:tcW w:w="750"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缙云县水南小学</w:t>
            </w:r>
          </w:p>
        </w:tc>
        <w:tc>
          <w:tcPr>
            <w:tcW w:w="873"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缙云县教育局</w:t>
            </w:r>
          </w:p>
        </w:tc>
        <w:tc>
          <w:tcPr>
            <w:tcW w:w="682"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实施类</w:t>
            </w:r>
          </w:p>
        </w:tc>
        <w:tc>
          <w:tcPr>
            <w:tcW w:w="668"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自建</w:t>
            </w:r>
          </w:p>
        </w:tc>
        <w:tc>
          <w:tcPr>
            <w:tcW w:w="576"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84" w:hRule="atLeast"/>
          <w:jc w:val="center"/>
        </w:trPr>
        <w:tc>
          <w:tcPr>
            <w:tcW w:w="453"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51</w:t>
            </w:r>
          </w:p>
        </w:tc>
        <w:tc>
          <w:tcPr>
            <w:tcW w:w="1378"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缙云县下小溪小学扩建</w:t>
            </w:r>
          </w:p>
        </w:tc>
        <w:tc>
          <w:tcPr>
            <w:tcW w:w="913"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小学</w:t>
            </w:r>
          </w:p>
        </w:tc>
        <w:tc>
          <w:tcPr>
            <w:tcW w:w="3191"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建设规模36班，学生1620人，新增用地面积20亩，总建筑面积8000平方米，包括教学楼等</w:t>
            </w:r>
          </w:p>
        </w:tc>
        <w:tc>
          <w:tcPr>
            <w:tcW w:w="927"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缙云县</w:t>
            </w:r>
          </w:p>
        </w:tc>
        <w:tc>
          <w:tcPr>
            <w:tcW w:w="737"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改扩建</w:t>
            </w:r>
          </w:p>
        </w:tc>
        <w:tc>
          <w:tcPr>
            <w:tcW w:w="1091"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2022-2026</w:t>
            </w:r>
          </w:p>
        </w:tc>
        <w:tc>
          <w:tcPr>
            <w:tcW w:w="1132"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 xml:space="preserve">0.88 </w:t>
            </w:r>
          </w:p>
        </w:tc>
        <w:tc>
          <w:tcPr>
            <w:tcW w:w="1090"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 xml:space="preserve">0.88 </w:t>
            </w:r>
          </w:p>
        </w:tc>
        <w:tc>
          <w:tcPr>
            <w:tcW w:w="955"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720</w:t>
            </w:r>
          </w:p>
        </w:tc>
        <w:tc>
          <w:tcPr>
            <w:tcW w:w="750"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缙云县下小溪小学</w:t>
            </w:r>
          </w:p>
        </w:tc>
        <w:tc>
          <w:tcPr>
            <w:tcW w:w="873"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缙云县教育局</w:t>
            </w:r>
          </w:p>
        </w:tc>
        <w:tc>
          <w:tcPr>
            <w:tcW w:w="682"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谋划类</w:t>
            </w:r>
          </w:p>
        </w:tc>
        <w:tc>
          <w:tcPr>
            <w:tcW w:w="668"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自建</w:t>
            </w:r>
          </w:p>
        </w:tc>
        <w:tc>
          <w:tcPr>
            <w:tcW w:w="576"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0" w:hRule="atLeast"/>
          <w:jc w:val="center"/>
        </w:trPr>
        <w:tc>
          <w:tcPr>
            <w:tcW w:w="453" w:type="dxa"/>
            <w:shd w:val="clear" w:color="auto" w:fill="auto"/>
            <w:vAlign w:val="center"/>
          </w:tcPr>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序号</w:t>
            </w:r>
          </w:p>
        </w:tc>
        <w:tc>
          <w:tcPr>
            <w:tcW w:w="1378" w:type="dxa"/>
            <w:shd w:val="clear" w:color="auto" w:fill="auto"/>
            <w:vAlign w:val="center"/>
          </w:tcPr>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项目名称</w:t>
            </w:r>
          </w:p>
        </w:tc>
        <w:tc>
          <w:tcPr>
            <w:tcW w:w="913" w:type="dxa"/>
            <w:shd w:val="clear" w:color="auto" w:fill="auto"/>
            <w:vAlign w:val="center"/>
          </w:tcPr>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学段</w:t>
            </w:r>
          </w:p>
        </w:tc>
        <w:tc>
          <w:tcPr>
            <w:tcW w:w="3191" w:type="dxa"/>
            <w:shd w:val="clear" w:color="auto" w:fill="auto"/>
            <w:vAlign w:val="center"/>
          </w:tcPr>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建设规模和内容</w:t>
            </w:r>
          </w:p>
        </w:tc>
        <w:tc>
          <w:tcPr>
            <w:tcW w:w="927" w:type="dxa"/>
            <w:shd w:val="clear" w:color="auto" w:fill="auto"/>
            <w:vAlign w:val="center"/>
          </w:tcPr>
          <w:p>
            <w:pPr>
              <w:widowControl/>
              <w:suppressAutoHyphens w:val="0"/>
              <w:jc w:val="center"/>
              <w:rPr>
                <w:rFonts w:hint="eastAsia"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建设</w:t>
            </w:r>
          </w:p>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地点</w:t>
            </w:r>
          </w:p>
        </w:tc>
        <w:tc>
          <w:tcPr>
            <w:tcW w:w="737" w:type="dxa"/>
            <w:shd w:val="clear" w:color="auto" w:fill="auto"/>
            <w:vAlign w:val="center"/>
          </w:tcPr>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建设性质</w:t>
            </w:r>
          </w:p>
        </w:tc>
        <w:tc>
          <w:tcPr>
            <w:tcW w:w="1091" w:type="dxa"/>
            <w:shd w:val="clear" w:color="auto" w:fill="auto"/>
            <w:vAlign w:val="center"/>
          </w:tcPr>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起止年限</w:t>
            </w:r>
          </w:p>
        </w:tc>
        <w:tc>
          <w:tcPr>
            <w:tcW w:w="1132" w:type="dxa"/>
            <w:shd w:val="clear" w:color="auto" w:fill="auto"/>
            <w:vAlign w:val="center"/>
          </w:tcPr>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总投资（亿元）</w:t>
            </w:r>
          </w:p>
        </w:tc>
        <w:tc>
          <w:tcPr>
            <w:tcW w:w="1090" w:type="dxa"/>
            <w:shd w:val="clear" w:color="auto" w:fill="auto"/>
            <w:vAlign w:val="center"/>
          </w:tcPr>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计划投资（亿元）</w:t>
            </w:r>
          </w:p>
        </w:tc>
        <w:tc>
          <w:tcPr>
            <w:tcW w:w="955" w:type="dxa"/>
            <w:shd w:val="clear" w:color="auto" w:fill="auto"/>
            <w:vAlign w:val="center"/>
          </w:tcPr>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新增学位（个）</w:t>
            </w:r>
          </w:p>
        </w:tc>
        <w:tc>
          <w:tcPr>
            <w:tcW w:w="750" w:type="dxa"/>
            <w:shd w:val="clear" w:color="auto" w:fill="auto"/>
            <w:vAlign w:val="center"/>
          </w:tcPr>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项目业主</w:t>
            </w:r>
          </w:p>
        </w:tc>
        <w:tc>
          <w:tcPr>
            <w:tcW w:w="873" w:type="dxa"/>
            <w:shd w:val="clear" w:color="auto" w:fill="auto"/>
            <w:vAlign w:val="center"/>
          </w:tcPr>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责任单位</w:t>
            </w:r>
          </w:p>
        </w:tc>
        <w:tc>
          <w:tcPr>
            <w:tcW w:w="682" w:type="dxa"/>
            <w:shd w:val="clear" w:color="auto" w:fill="auto"/>
            <w:vAlign w:val="center"/>
          </w:tcPr>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项目类别</w:t>
            </w:r>
          </w:p>
        </w:tc>
        <w:tc>
          <w:tcPr>
            <w:tcW w:w="668" w:type="dxa"/>
            <w:shd w:val="clear" w:color="auto" w:fill="auto"/>
            <w:vAlign w:val="center"/>
          </w:tcPr>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建设模式</w:t>
            </w:r>
          </w:p>
        </w:tc>
        <w:tc>
          <w:tcPr>
            <w:tcW w:w="576" w:type="dxa"/>
            <w:shd w:val="clear" w:color="auto" w:fill="auto"/>
            <w:vAlign w:val="center"/>
          </w:tcPr>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1" w:hRule="atLeast"/>
          <w:jc w:val="center"/>
        </w:trPr>
        <w:tc>
          <w:tcPr>
            <w:tcW w:w="453"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52</w:t>
            </w:r>
          </w:p>
        </w:tc>
        <w:tc>
          <w:tcPr>
            <w:tcW w:w="1378"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缙云县工艺美校体艺楼</w:t>
            </w:r>
          </w:p>
        </w:tc>
        <w:tc>
          <w:tcPr>
            <w:tcW w:w="913"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高中</w:t>
            </w:r>
          </w:p>
        </w:tc>
        <w:tc>
          <w:tcPr>
            <w:tcW w:w="3191"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体艺楼建筑面积3000平方米，运动场及附属配套设施</w:t>
            </w:r>
          </w:p>
        </w:tc>
        <w:tc>
          <w:tcPr>
            <w:tcW w:w="927"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缙云县</w:t>
            </w:r>
          </w:p>
        </w:tc>
        <w:tc>
          <w:tcPr>
            <w:tcW w:w="737"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改扩建</w:t>
            </w:r>
          </w:p>
        </w:tc>
        <w:tc>
          <w:tcPr>
            <w:tcW w:w="1091"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2022-2026</w:t>
            </w:r>
          </w:p>
        </w:tc>
        <w:tc>
          <w:tcPr>
            <w:tcW w:w="1132"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 xml:space="preserve">0.33 </w:t>
            </w:r>
          </w:p>
        </w:tc>
        <w:tc>
          <w:tcPr>
            <w:tcW w:w="1090"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 xml:space="preserve">0.33 </w:t>
            </w:r>
          </w:p>
        </w:tc>
        <w:tc>
          <w:tcPr>
            <w:tcW w:w="955"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　</w:t>
            </w:r>
          </w:p>
        </w:tc>
        <w:tc>
          <w:tcPr>
            <w:tcW w:w="750"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缙云县工艺美校</w:t>
            </w:r>
          </w:p>
        </w:tc>
        <w:tc>
          <w:tcPr>
            <w:tcW w:w="873"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缙云县教育局</w:t>
            </w:r>
          </w:p>
        </w:tc>
        <w:tc>
          <w:tcPr>
            <w:tcW w:w="682"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实施类</w:t>
            </w:r>
          </w:p>
        </w:tc>
        <w:tc>
          <w:tcPr>
            <w:tcW w:w="668"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自建</w:t>
            </w:r>
          </w:p>
        </w:tc>
        <w:tc>
          <w:tcPr>
            <w:tcW w:w="576"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08" w:hRule="atLeast"/>
          <w:jc w:val="center"/>
        </w:trPr>
        <w:tc>
          <w:tcPr>
            <w:tcW w:w="453"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53</w:t>
            </w:r>
          </w:p>
        </w:tc>
        <w:tc>
          <w:tcPr>
            <w:tcW w:w="1378"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缙云县智慧校园建设</w:t>
            </w:r>
          </w:p>
        </w:tc>
        <w:tc>
          <w:tcPr>
            <w:tcW w:w="913"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信息化</w:t>
            </w:r>
          </w:p>
        </w:tc>
        <w:tc>
          <w:tcPr>
            <w:tcW w:w="3191"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教育部信息技术2.0规划，中国信息化建设强国；浙江省十三五规划，数字浙江，智慧城市发展；教育部省厅发文教育重点项目，智慧校园创建100%，并详细颁布创建内容及标准</w:t>
            </w:r>
          </w:p>
        </w:tc>
        <w:tc>
          <w:tcPr>
            <w:tcW w:w="927"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缙云县</w:t>
            </w:r>
          </w:p>
        </w:tc>
        <w:tc>
          <w:tcPr>
            <w:tcW w:w="737"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改扩建</w:t>
            </w:r>
          </w:p>
        </w:tc>
        <w:tc>
          <w:tcPr>
            <w:tcW w:w="1091"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2021-2025</w:t>
            </w:r>
          </w:p>
        </w:tc>
        <w:tc>
          <w:tcPr>
            <w:tcW w:w="1132"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 xml:space="preserve">2.00 </w:t>
            </w:r>
          </w:p>
        </w:tc>
        <w:tc>
          <w:tcPr>
            <w:tcW w:w="1090"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 xml:space="preserve">2.00 </w:t>
            </w:r>
          </w:p>
        </w:tc>
        <w:tc>
          <w:tcPr>
            <w:tcW w:w="955"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　</w:t>
            </w:r>
          </w:p>
        </w:tc>
        <w:tc>
          <w:tcPr>
            <w:tcW w:w="750"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缙云县教育局</w:t>
            </w:r>
          </w:p>
        </w:tc>
        <w:tc>
          <w:tcPr>
            <w:tcW w:w="873"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缙云县教育局</w:t>
            </w:r>
          </w:p>
        </w:tc>
        <w:tc>
          <w:tcPr>
            <w:tcW w:w="682"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实施类</w:t>
            </w:r>
          </w:p>
        </w:tc>
        <w:tc>
          <w:tcPr>
            <w:tcW w:w="668"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自建</w:t>
            </w:r>
          </w:p>
        </w:tc>
        <w:tc>
          <w:tcPr>
            <w:tcW w:w="576"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3" w:hRule="atLeast"/>
          <w:jc w:val="center"/>
        </w:trPr>
        <w:tc>
          <w:tcPr>
            <w:tcW w:w="2744" w:type="dxa"/>
            <w:gridSpan w:val="3"/>
            <w:shd w:val="clear" w:color="auto" w:fill="auto"/>
            <w:vAlign w:val="center"/>
          </w:tcPr>
          <w:p>
            <w:pPr>
              <w:widowControl/>
              <w:suppressAutoHyphens w:val="0"/>
              <w:spacing w:line="240" w:lineRule="exact"/>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遂昌县小计</w:t>
            </w:r>
          </w:p>
        </w:tc>
        <w:tc>
          <w:tcPr>
            <w:tcW w:w="3191" w:type="dxa"/>
            <w:shd w:val="clear" w:color="auto" w:fill="auto"/>
            <w:vAlign w:val="center"/>
          </w:tcPr>
          <w:p>
            <w:pPr>
              <w:widowControl/>
              <w:suppressAutoHyphens w:val="0"/>
              <w:spacing w:line="240" w:lineRule="exact"/>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 xml:space="preserve">7 </w:t>
            </w:r>
          </w:p>
        </w:tc>
        <w:tc>
          <w:tcPr>
            <w:tcW w:w="927" w:type="dxa"/>
            <w:shd w:val="clear" w:color="auto" w:fill="auto"/>
            <w:vAlign w:val="center"/>
          </w:tcPr>
          <w:p>
            <w:pPr>
              <w:widowControl/>
              <w:suppressAutoHyphens w:val="0"/>
              <w:spacing w:line="240" w:lineRule="exact"/>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　</w:t>
            </w:r>
          </w:p>
        </w:tc>
        <w:tc>
          <w:tcPr>
            <w:tcW w:w="737" w:type="dxa"/>
            <w:shd w:val="clear" w:color="auto" w:fill="auto"/>
            <w:vAlign w:val="center"/>
          </w:tcPr>
          <w:p>
            <w:pPr>
              <w:widowControl/>
              <w:suppressAutoHyphens w:val="0"/>
              <w:spacing w:line="240" w:lineRule="exact"/>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　</w:t>
            </w:r>
          </w:p>
        </w:tc>
        <w:tc>
          <w:tcPr>
            <w:tcW w:w="1091" w:type="dxa"/>
            <w:shd w:val="clear" w:color="auto" w:fill="auto"/>
            <w:vAlign w:val="center"/>
          </w:tcPr>
          <w:p>
            <w:pPr>
              <w:widowControl/>
              <w:suppressAutoHyphens w:val="0"/>
              <w:spacing w:line="240" w:lineRule="exact"/>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　</w:t>
            </w:r>
          </w:p>
        </w:tc>
        <w:tc>
          <w:tcPr>
            <w:tcW w:w="1132" w:type="dxa"/>
            <w:shd w:val="clear" w:color="auto" w:fill="auto"/>
            <w:vAlign w:val="center"/>
          </w:tcPr>
          <w:p>
            <w:pPr>
              <w:widowControl/>
              <w:suppressAutoHyphens w:val="0"/>
              <w:spacing w:line="240" w:lineRule="exact"/>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 xml:space="preserve">10.88 </w:t>
            </w:r>
          </w:p>
        </w:tc>
        <w:tc>
          <w:tcPr>
            <w:tcW w:w="1090" w:type="dxa"/>
            <w:shd w:val="clear" w:color="auto" w:fill="auto"/>
            <w:vAlign w:val="center"/>
          </w:tcPr>
          <w:p>
            <w:pPr>
              <w:widowControl/>
              <w:suppressAutoHyphens w:val="0"/>
              <w:spacing w:line="240" w:lineRule="exact"/>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 xml:space="preserve">6.48 </w:t>
            </w:r>
          </w:p>
        </w:tc>
        <w:tc>
          <w:tcPr>
            <w:tcW w:w="955" w:type="dxa"/>
            <w:shd w:val="clear" w:color="auto" w:fill="auto"/>
            <w:vAlign w:val="center"/>
          </w:tcPr>
          <w:p>
            <w:pPr>
              <w:widowControl/>
              <w:suppressAutoHyphens w:val="0"/>
              <w:spacing w:line="240" w:lineRule="exact"/>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6420</w:t>
            </w:r>
          </w:p>
        </w:tc>
        <w:tc>
          <w:tcPr>
            <w:tcW w:w="750" w:type="dxa"/>
            <w:shd w:val="clear" w:color="auto" w:fill="auto"/>
            <w:vAlign w:val="center"/>
          </w:tcPr>
          <w:p>
            <w:pPr>
              <w:widowControl/>
              <w:suppressAutoHyphens w:val="0"/>
              <w:spacing w:line="240" w:lineRule="exact"/>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　</w:t>
            </w:r>
          </w:p>
        </w:tc>
        <w:tc>
          <w:tcPr>
            <w:tcW w:w="873" w:type="dxa"/>
            <w:shd w:val="clear" w:color="auto" w:fill="auto"/>
            <w:vAlign w:val="center"/>
          </w:tcPr>
          <w:p>
            <w:pPr>
              <w:widowControl/>
              <w:suppressAutoHyphens w:val="0"/>
              <w:spacing w:line="240" w:lineRule="exact"/>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　</w:t>
            </w:r>
          </w:p>
        </w:tc>
        <w:tc>
          <w:tcPr>
            <w:tcW w:w="682" w:type="dxa"/>
            <w:shd w:val="clear" w:color="auto" w:fill="auto"/>
            <w:vAlign w:val="center"/>
          </w:tcPr>
          <w:p>
            <w:pPr>
              <w:widowControl/>
              <w:suppressAutoHyphens w:val="0"/>
              <w:spacing w:line="240" w:lineRule="exact"/>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　</w:t>
            </w:r>
          </w:p>
        </w:tc>
        <w:tc>
          <w:tcPr>
            <w:tcW w:w="668" w:type="dxa"/>
            <w:shd w:val="clear" w:color="auto" w:fill="auto"/>
            <w:vAlign w:val="center"/>
          </w:tcPr>
          <w:p>
            <w:pPr>
              <w:widowControl/>
              <w:suppressAutoHyphens w:val="0"/>
              <w:spacing w:line="240" w:lineRule="exact"/>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　</w:t>
            </w:r>
          </w:p>
        </w:tc>
        <w:tc>
          <w:tcPr>
            <w:tcW w:w="576" w:type="dxa"/>
            <w:shd w:val="clear" w:color="auto" w:fill="auto"/>
            <w:vAlign w:val="center"/>
          </w:tcPr>
          <w:p>
            <w:pPr>
              <w:widowControl/>
              <w:suppressAutoHyphens w:val="0"/>
              <w:spacing w:line="240" w:lineRule="exact"/>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19" w:hRule="atLeast"/>
          <w:jc w:val="center"/>
        </w:trPr>
        <w:tc>
          <w:tcPr>
            <w:tcW w:w="453"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54</w:t>
            </w:r>
          </w:p>
        </w:tc>
        <w:tc>
          <w:tcPr>
            <w:tcW w:w="1378"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遂昌县幼儿园建设项目</w:t>
            </w:r>
          </w:p>
        </w:tc>
        <w:tc>
          <w:tcPr>
            <w:tcW w:w="913"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幼儿园</w:t>
            </w:r>
          </w:p>
        </w:tc>
        <w:tc>
          <w:tcPr>
            <w:tcW w:w="3191" w:type="dxa"/>
            <w:shd w:val="clear" w:color="auto" w:fill="auto"/>
            <w:vAlign w:val="center"/>
          </w:tcPr>
          <w:p>
            <w:pPr>
              <w:widowControl/>
              <w:suppressAutoHyphens w:val="0"/>
              <w:spacing w:line="240" w:lineRule="exact"/>
              <w:jc w:val="left"/>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本项目主要建设金岸中心幼儿园和王村口镇中心幼儿园。金岸中心幼儿园扩建工程建设规模为12班幼儿园，总用地6000平方米，新增用地面积 2571平方米，总建筑面积6927.5平方米，新建建筑面积4509.9平方米，投资3700万元。王村口镇中心幼儿园扩建工程规划总用地面积3125平方米，总建筑面积 2138.8平方米。共设置4个班级，可容纳学生120人，建设内容包括教学用房、食堂、运动场、道路、围墙等，投资1500万元。</w:t>
            </w:r>
          </w:p>
        </w:tc>
        <w:tc>
          <w:tcPr>
            <w:tcW w:w="927"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妙高街道、王村口镇</w:t>
            </w:r>
          </w:p>
        </w:tc>
        <w:tc>
          <w:tcPr>
            <w:tcW w:w="737"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改扩建</w:t>
            </w:r>
          </w:p>
        </w:tc>
        <w:tc>
          <w:tcPr>
            <w:tcW w:w="1091"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2020-2022</w:t>
            </w:r>
          </w:p>
        </w:tc>
        <w:tc>
          <w:tcPr>
            <w:tcW w:w="1132"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 xml:space="preserve">0.52 </w:t>
            </w:r>
          </w:p>
        </w:tc>
        <w:tc>
          <w:tcPr>
            <w:tcW w:w="1090"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 xml:space="preserve">0.32 </w:t>
            </w:r>
          </w:p>
        </w:tc>
        <w:tc>
          <w:tcPr>
            <w:tcW w:w="955"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90</w:t>
            </w:r>
          </w:p>
        </w:tc>
        <w:tc>
          <w:tcPr>
            <w:tcW w:w="750"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遂昌县教育局</w:t>
            </w:r>
          </w:p>
        </w:tc>
        <w:tc>
          <w:tcPr>
            <w:tcW w:w="873"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遂昌县教育局</w:t>
            </w:r>
          </w:p>
        </w:tc>
        <w:tc>
          <w:tcPr>
            <w:tcW w:w="682"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实施类</w:t>
            </w:r>
          </w:p>
        </w:tc>
        <w:tc>
          <w:tcPr>
            <w:tcW w:w="668"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自建</w:t>
            </w:r>
          </w:p>
        </w:tc>
        <w:tc>
          <w:tcPr>
            <w:tcW w:w="576"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9" w:hRule="atLeast"/>
          <w:jc w:val="center"/>
        </w:trPr>
        <w:tc>
          <w:tcPr>
            <w:tcW w:w="453" w:type="dxa"/>
            <w:shd w:val="clear" w:color="auto" w:fill="auto"/>
            <w:vAlign w:val="center"/>
          </w:tcPr>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序号</w:t>
            </w:r>
          </w:p>
        </w:tc>
        <w:tc>
          <w:tcPr>
            <w:tcW w:w="1378" w:type="dxa"/>
            <w:shd w:val="clear" w:color="auto" w:fill="auto"/>
            <w:vAlign w:val="center"/>
          </w:tcPr>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项目名称</w:t>
            </w:r>
          </w:p>
        </w:tc>
        <w:tc>
          <w:tcPr>
            <w:tcW w:w="913" w:type="dxa"/>
            <w:shd w:val="clear" w:color="auto" w:fill="auto"/>
            <w:vAlign w:val="center"/>
          </w:tcPr>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学段</w:t>
            </w:r>
          </w:p>
        </w:tc>
        <w:tc>
          <w:tcPr>
            <w:tcW w:w="3191" w:type="dxa"/>
            <w:shd w:val="clear" w:color="auto" w:fill="auto"/>
            <w:vAlign w:val="center"/>
          </w:tcPr>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建设规模和内容</w:t>
            </w:r>
          </w:p>
        </w:tc>
        <w:tc>
          <w:tcPr>
            <w:tcW w:w="927" w:type="dxa"/>
            <w:shd w:val="clear" w:color="auto" w:fill="auto"/>
            <w:vAlign w:val="center"/>
          </w:tcPr>
          <w:p>
            <w:pPr>
              <w:widowControl/>
              <w:suppressAutoHyphens w:val="0"/>
              <w:jc w:val="center"/>
              <w:rPr>
                <w:rFonts w:hint="eastAsia"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建设</w:t>
            </w:r>
          </w:p>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地点</w:t>
            </w:r>
          </w:p>
        </w:tc>
        <w:tc>
          <w:tcPr>
            <w:tcW w:w="737" w:type="dxa"/>
            <w:shd w:val="clear" w:color="auto" w:fill="auto"/>
            <w:vAlign w:val="center"/>
          </w:tcPr>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建设性质</w:t>
            </w:r>
          </w:p>
        </w:tc>
        <w:tc>
          <w:tcPr>
            <w:tcW w:w="1091" w:type="dxa"/>
            <w:shd w:val="clear" w:color="auto" w:fill="auto"/>
            <w:vAlign w:val="center"/>
          </w:tcPr>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起止年限</w:t>
            </w:r>
          </w:p>
        </w:tc>
        <w:tc>
          <w:tcPr>
            <w:tcW w:w="1132" w:type="dxa"/>
            <w:shd w:val="clear" w:color="auto" w:fill="auto"/>
            <w:vAlign w:val="center"/>
          </w:tcPr>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总投资（亿元）</w:t>
            </w:r>
          </w:p>
        </w:tc>
        <w:tc>
          <w:tcPr>
            <w:tcW w:w="1090" w:type="dxa"/>
            <w:shd w:val="clear" w:color="auto" w:fill="auto"/>
            <w:vAlign w:val="center"/>
          </w:tcPr>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计划投资（亿元）</w:t>
            </w:r>
          </w:p>
        </w:tc>
        <w:tc>
          <w:tcPr>
            <w:tcW w:w="955" w:type="dxa"/>
            <w:shd w:val="clear" w:color="auto" w:fill="auto"/>
            <w:vAlign w:val="center"/>
          </w:tcPr>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新增学位（个）</w:t>
            </w:r>
          </w:p>
        </w:tc>
        <w:tc>
          <w:tcPr>
            <w:tcW w:w="750" w:type="dxa"/>
            <w:shd w:val="clear" w:color="auto" w:fill="auto"/>
            <w:vAlign w:val="center"/>
          </w:tcPr>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项目业主</w:t>
            </w:r>
          </w:p>
        </w:tc>
        <w:tc>
          <w:tcPr>
            <w:tcW w:w="873" w:type="dxa"/>
            <w:shd w:val="clear" w:color="auto" w:fill="auto"/>
            <w:vAlign w:val="center"/>
          </w:tcPr>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责任单位</w:t>
            </w:r>
          </w:p>
        </w:tc>
        <w:tc>
          <w:tcPr>
            <w:tcW w:w="682" w:type="dxa"/>
            <w:shd w:val="clear" w:color="auto" w:fill="auto"/>
            <w:vAlign w:val="center"/>
          </w:tcPr>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项目类别</w:t>
            </w:r>
          </w:p>
        </w:tc>
        <w:tc>
          <w:tcPr>
            <w:tcW w:w="668" w:type="dxa"/>
            <w:shd w:val="clear" w:color="auto" w:fill="auto"/>
            <w:vAlign w:val="center"/>
          </w:tcPr>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建设模式</w:t>
            </w:r>
          </w:p>
        </w:tc>
        <w:tc>
          <w:tcPr>
            <w:tcW w:w="576" w:type="dxa"/>
            <w:shd w:val="clear" w:color="auto" w:fill="auto"/>
            <w:vAlign w:val="center"/>
          </w:tcPr>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95" w:hRule="atLeast"/>
          <w:jc w:val="center"/>
        </w:trPr>
        <w:tc>
          <w:tcPr>
            <w:tcW w:w="453"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55</w:t>
            </w:r>
          </w:p>
        </w:tc>
        <w:tc>
          <w:tcPr>
            <w:tcW w:w="1378"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遂昌县学前教育补短提升工程</w:t>
            </w:r>
          </w:p>
        </w:tc>
        <w:tc>
          <w:tcPr>
            <w:tcW w:w="913"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幼儿园</w:t>
            </w:r>
          </w:p>
        </w:tc>
        <w:tc>
          <w:tcPr>
            <w:tcW w:w="3191"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后江幼儿园18个班规模（15班幼儿园、3个班托育所），规划用地面积12244㎡，新建教学及辅助用房9300㎡，投资6200万元；腾龙幼儿园9班规模幼儿园，规划用地面积6820㎡，新建教学及辅助用房4767㎡，投资3400万元，新建校园连接道路1300米4200万元；石练幼儿园15班规模，规划用地面积10006㎡（其中培训用地2000㎡），新建教学及辅助用房8100㎡（其中培训楼2000㎡），投资5300万元；示范幼儿园扩建工程新增用地6301㎡，新建教学辅助用房5300㎡（地下建筑面积2000㎡），投资4500万元。</w:t>
            </w:r>
          </w:p>
        </w:tc>
        <w:tc>
          <w:tcPr>
            <w:tcW w:w="927"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妙高、石练</w:t>
            </w:r>
          </w:p>
        </w:tc>
        <w:tc>
          <w:tcPr>
            <w:tcW w:w="737"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新建</w:t>
            </w:r>
          </w:p>
        </w:tc>
        <w:tc>
          <w:tcPr>
            <w:tcW w:w="1091"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2020-2025</w:t>
            </w:r>
          </w:p>
        </w:tc>
        <w:tc>
          <w:tcPr>
            <w:tcW w:w="1132"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 xml:space="preserve">2.36 </w:t>
            </w:r>
          </w:p>
        </w:tc>
        <w:tc>
          <w:tcPr>
            <w:tcW w:w="1090"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 xml:space="preserve">2.36 </w:t>
            </w:r>
          </w:p>
        </w:tc>
        <w:tc>
          <w:tcPr>
            <w:tcW w:w="955"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1170</w:t>
            </w:r>
          </w:p>
        </w:tc>
        <w:tc>
          <w:tcPr>
            <w:tcW w:w="750"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遂昌县教育局</w:t>
            </w:r>
          </w:p>
        </w:tc>
        <w:tc>
          <w:tcPr>
            <w:tcW w:w="873"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教育局</w:t>
            </w:r>
          </w:p>
        </w:tc>
        <w:tc>
          <w:tcPr>
            <w:tcW w:w="682"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实施类</w:t>
            </w:r>
          </w:p>
        </w:tc>
        <w:tc>
          <w:tcPr>
            <w:tcW w:w="668"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自建</w:t>
            </w:r>
          </w:p>
        </w:tc>
        <w:tc>
          <w:tcPr>
            <w:tcW w:w="576"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89" w:hRule="atLeast"/>
          <w:jc w:val="center"/>
        </w:trPr>
        <w:tc>
          <w:tcPr>
            <w:tcW w:w="453"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56</w:t>
            </w:r>
          </w:p>
        </w:tc>
        <w:tc>
          <w:tcPr>
            <w:tcW w:w="1378"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遂昌中学运动场基础设施工程</w:t>
            </w:r>
          </w:p>
        </w:tc>
        <w:tc>
          <w:tcPr>
            <w:tcW w:w="913"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高中</w:t>
            </w:r>
          </w:p>
        </w:tc>
        <w:tc>
          <w:tcPr>
            <w:tcW w:w="3191"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建400米环形塑胶跑道运动场及辅助用房900平方米。</w:t>
            </w:r>
          </w:p>
        </w:tc>
        <w:tc>
          <w:tcPr>
            <w:tcW w:w="927"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妙高</w:t>
            </w:r>
          </w:p>
        </w:tc>
        <w:tc>
          <w:tcPr>
            <w:tcW w:w="737"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改扩建</w:t>
            </w:r>
          </w:p>
        </w:tc>
        <w:tc>
          <w:tcPr>
            <w:tcW w:w="1091"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2021-2023</w:t>
            </w:r>
          </w:p>
        </w:tc>
        <w:tc>
          <w:tcPr>
            <w:tcW w:w="1132"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 xml:space="preserve">0.45 </w:t>
            </w:r>
          </w:p>
        </w:tc>
        <w:tc>
          <w:tcPr>
            <w:tcW w:w="1090"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 xml:space="preserve">0.45 </w:t>
            </w:r>
          </w:p>
        </w:tc>
        <w:tc>
          <w:tcPr>
            <w:tcW w:w="955"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　</w:t>
            </w:r>
          </w:p>
        </w:tc>
        <w:tc>
          <w:tcPr>
            <w:tcW w:w="750"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遂昌中学</w:t>
            </w:r>
          </w:p>
        </w:tc>
        <w:tc>
          <w:tcPr>
            <w:tcW w:w="873"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教育局</w:t>
            </w:r>
          </w:p>
        </w:tc>
        <w:tc>
          <w:tcPr>
            <w:tcW w:w="682"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实施类</w:t>
            </w:r>
          </w:p>
        </w:tc>
        <w:tc>
          <w:tcPr>
            <w:tcW w:w="668"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自建</w:t>
            </w:r>
          </w:p>
        </w:tc>
        <w:tc>
          <w:tcPr>
            <w:tcW w:w="576"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5" w:hRule="atLeast"/>
          <w:jc w:val="center"/>
        </w:trPr>
        <w:tc>
          <w:tcPr>
            <w:tcW w:w="453"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57</w:t>
            </w:r>
          </w:p>
        </w:tc>
        <w:tc>
          <w:tcPr>
            <w:tcW w:w="1378"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遂昌县腾龙小学项目</w:t>
            </w:r>
          </w:p>
        </w:tc>
        <w:tc>
          <w:tcPr>
            <w:tcW w:w="913"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小学</w:t>
            </w:r>
          </w:p>
        </w:tc>
        <w:tc>
          <w:tcPr>
            <w:tcW w:w="3191"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用地面积34373平方米，建筑面积22976平方米，建成24个教学班共容纳1080人</w:t>
            </w:r>
          </w:p>
        </w:tc>
        <w:tc>
          <w:tcPr>
            <w:tcW w:w="927"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妙高街道腾龙区块</w:t>
            </w:r>
          </w:p>
        </w:tc>
        <w:tc>
          <w:tcPr>
            <w:tcW w:w="737"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新建</w:t>
            </w:r>
          </w:p>
        </w:tc>
        <w:tc>
          <w:tcPr>
            <w:tcW w:w="1091"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2020-2023</w:t>
            </w:r>
          </w:p>
        </w:tc>
        <w:tc>
          <w:tcPr>
            <w:tcW w:w="1132"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 xml:space="preserve">1.25 </w:t>
            </w:r>
          </w:p>
        </w:tc>
        <w:tc>
          <w:tcPr>
            <w:tcW w:w="1090"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 xml:space="preserve">1.25 </w:t>
            </w:r>
          </w:p>
        </w:tc>
        <w:tc>
          <w:tcPr>
            <w:tcW w:w="955"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840</w:t>
            </w:r>
          </w:p>
        </w:tc>
        <w:tc>
          <w:tcPr>
            <w:tcW w:w="750"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遂昌县教育局</w:t>
            </w:r>
          </w:p>
        </w:tc>
        <w:tc>
          <w:tcPr>
            <w:tcW w:w="873"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教育局</w:t>
            </w:r>
          </w:p>
        </w:tc>
        <w:tc>
          <w:tcPr>
            <w:tcW w:w="682"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实施类</w:t>
            </w:r>
          </w:p>
        </w:tc>
        <w:tc>
          <w:tcPr>
            <w:tcW w:w="668"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自建</w:t>
            </w:r>
          </w:p>
        </w:tc>
        <w:tc>
          <w:tcPr>
            <w:tcW w:w="576"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76" w:hRule="atLeast"/>
          <w:jc w:val="center"/>
        </w:trPr>
        <w:tc>
          <w:tcPr>
            <w:tcW w:w="453" w:type="dxa"/>
            <w:shd w:val="clear" w:color="auto" w:fill="auto"/>
            <w:vAlign w:val="center"/>
          </w:tcPr>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序号</w:t>
            </w:r>
          </w:p>
        </w:tc>
        <w:tc>
          <w:tcPr>
            <w:tcW w:w="1378" w:type="dxa"/>
            <w:shd w:val="clear" w:color="auto" w:fill="auto"/>
            <w:vAlign w:val="center"/>
          </w:tcPr>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项目名称</w:t>
            </w:r>
          </w:p>
        </w:tc>
        <w:tc>
          <w:tcPr>
            <w:tcW w:w="913" w:type="dxa"/>
            <w:shd w:val="clear" w:color="auto" w:fill="auto"/>
            <w:vAlign w:val="center"/>
          </w:tcPr>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学段</w:t>
            </w:r>
          </w:p>
        </w:tc>
        <w:tc>
          <w:tcPr>
            <w:tcW w:w="3191" w:type="dxa"/>
            <w:shd w:val="clear" w:color="auto" w:fill="auto"/>
            <w:vAlign w:val="center"/>
          </w:tcPr>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建设规模和内容</w:t>
            </w:r>
          </w:p>
        </w:tc>
        <w:tc>
          <w:tcPr>
            <w:tcW w:w="927" w:type="dxa"/>
            <w:shd w:val="clear" w:color="auto" w:fill="auto"/>
            <w:vAlign w:val="center"/>
          </w:tcPr>
          <w:p>
            <w:pPr>
              <w:widowControl/>
              <w:suppressAutoHyphens w:val="0"/>
              <w:jc w:val="center"/>
              <w:rPr>
                <w:rFonts w:hint="eastAsia"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建设</w:t>
            </w:r>
          </w:p>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地点</w:t>
            </w:r>
          </w:p>
        </w:tc>
        <w:tc>
          <w:tcPr>
            <w:tcW w:w="737" w:type="dxa"/>
            <w:shd w:val="clear" w:color="auto" w:fill="auto"/>
            <w:vAlign w:val="center"/>
          </w:tcPr>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建设性质</w:t>
            </w:r>
          </w:p>
        </w:tc>
        <w:tc>
          <w:tcPr>
            <w:tcW w:w="1091" w:type="dxa"/>
            <w:shd w:val="clear" w:color="auto" w:fill="auto"/>
            <w:vAlign w:val="center"/>
          </w:tcPr>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起止年限</w:t>
            </w:r>
          </w:p>
        </w:tc>
        <w:tc>
          <w:tcPr>
            <w:tcW w:w="1132" w:type="dxa"/>
            <w:shd w:val="clear" w:color="auto" w:fill="auto"/>
            <w:vAlign w:val="center"/>
          </w:tcPr>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总投资（亿元）</w:t>
            </w:r>
          </w:p>
        </w:tc>
        <w:tc>
          <w:tcPr>
            <w:tcW w:w="1090" w:type="dxa"/>
            <w:shd w:val="clear" w:color="auto" w:fill="auto"/>
            <w:vAlign w:val="center"/>
          </w:tcPr>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计划投资（亿元）</w:t>
            </w:r>
          </w:p>
        </w:tc>
        <w:tc>
          <w:tcPr>
            <w:tcW w:w="955" w:type="dxa"/>
            <w:shd w:val="clear" w:color="auto" w:fill="auto"/>
            <w:vAlign w:val="center"/>
          </w:tcPr>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新增学位（个）</w:t>
            </w:r>
          </w:p>
        </w:tc>
        <w:tc>
          <w:tcPr>
            <w:tcW w:w="750" w:type="dxa"/>
            <w:shd w:val="clear" w:color="auto" w:fill="auto"/>
            <w:vAlign w:val="center"/>
          </w:tcPr>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项目业主</w:t>
            </w:r>
          </w:p>
        </w:tc>
        <w:tc>
          <w:tcPr>
            <w:tcW w:w="873" w:type="dxa"/>
            <w:shd w:val="clear" w:color="auto" w:fill="auto"/>
            <w:vAlign w:val="center"/>
          </w:tcPr>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责任单位</w:t>
            </w:r>
          </w:p>
        </w:tc>
        <w:tc>
          <w:tcPr>
            <w:tcW w:w="682" w:type="dxa"/>
            <w:shd w:val="clear" w:color="auto" w:fill="auto"/>
            <w:vAlign w:val="center"/>
          </w:tcPr>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项目类别</w:t>
            </w:r>
          </w:p>
        </w:tc>
        <w:tc>
          <w:tcPr>
            <w:tcW w:w="668" w:type="dxa"/>
            <w:shd w:val="clear" w:color="auto" w:fill="auto"/>
            <w:vAlign w:val="center"/>
          </w:tcPr>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建设模式</w:t>
            </w:r>
          </w:p>
        </w:tc>
        <w:tc>
          <w:tcPr>
            <w:tcW w:w="576" w:type="dxa"/>
            <w:shd w:val="clear" w:color="auto" w:fill="auto"/>
            <w:vAlign w:val="center"/>
          </w:tcPr>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80" w:hRule="atLeast"/>
          <w:jc w:val="center"/>
        </w:trPr>
        <w:tc>
          <w:tcPr>
            <w:tcW w:w="453"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58</w:t>
            </w:r>
          </w:p>
        </w:tc>
        <w:tc>
          <w:tcPr>
            <w:tcW w:w="1378"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遂昌县第三中学迁建工程</w:t>
            </w:r>
          </w:p>
        </w:tc>
        <w:tc>
          <w:tcPr>
            <w:tcW w:w="913"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初中</w:t>
            </w:r>
          </w:p>
        </w:tc>
        <w:tc>
          <w:tcPr>
            <w:tcW w:w="3191"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规划用地135亩，总建筑面积5.088万平方米，办学规模48个班2400名学生</w:t>
            </w:r>
          </w:p>
        </w:tc>
        <w:tc>
          <w:tcPr>
            <w:tcW w:w="927"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妙高街道源口村</w:t>
            </w:r>
          </w:p>
        </w:tc>
        <w:tc>
          <w:tcPr>
            <w:tcW w:w="737"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新建</w:t>
            </w:r>
          </w:p>
        </w:tc>
        <w:tc>
          <w:tcPr>
            <w:tcW w:w="1091"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2019-2021</w:t>
            </w:r>
          </w:p>
        </w:tc>
        <w:tc>
          <w:tcPr>
            <w:tcW w:w="1132"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 xml:space="preserve">2.30 </w:t>
            </w:r>
          </w:p>
        </w:tc>
        <w:tc>
          <w:tcPr>
            <w:tcW w:w="1090"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 xml:space="preserve">0.70 </w:t>
            </w:r>
          </w:p>
        </w:tc>
        <w:tc>
          <w:tcPr>
            <w:tcW w:w="955"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1920</w:t>
            </w:r>
          </w:p>
        </w:tc>
        <w:tc>
          <w:tcPr>
            <w:tcW w:w="750"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遂昌县第三中学</w:t>
            </w:r>
          </w:p>
        </w:tc>
        <w:tc>
          <w:tcPr>
            <w:tcW w:w="873"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教育局</w:t>
            </w:r>
          </w:p>
        </w:tc>
        <w:tc>
          <w:tcPr>
            <w:tcW w:w="682"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实施类</w:t>
            </w:r>
          </w:p>
        </w:tc>
        <w:tc>
          <w:tcPr>
            <w:tcW w:w="668"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自建</w:t>
            </w:r>
          </w:p>
        </w:tc>
        <w:tc>
          <w:tcPr>
            <w:tcW w:w="576"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95" w:hRule="atLeast"/>
          <w:jc w:val="center"/>
        </w:trPr>
        <w:tc>
          <w:tcPr>
            <w:tcW w:w="453"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59</w:t>
            </w:r>
          </w:p>
        </w:tc>
        <w:tc>
          <w:tcPr>
            <w:tcW w:w="1378"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遂昌县职业中专迁建工程</w:t>
            </w:r>
          </w:p>
        </w:tc>
        <w:tc>
          <w:tcPr>
            <w:tcW w:w="913"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高中</w:t>
            </w:r>
          </w:p>
        </w:tc>
        <w:tc>
          <w:tcPr>
            <w:tcW w:w="3191"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60个班规模3000人，规划总用地面积169000平方米，建筑面积78170平方米</w:t>
            </w:r>
          </w:p>
        </w:tc>
        <w:tc>
          <w:tcPr>
            <w:tcW w:w="927"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妙高或云峰</w:t>
            </w:r>
          </w:p>
        </w:tc>
        <w:tc>
          <w:tcPr>
            <w:tcW w:w="737"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新建</w:t>
            </w:r>
          </w:p>
        </w:tc>
        <w:tc>
          <w:tcPr>
            <w:tcW w:w="1091"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2023-2027</w:t>
            </w:r>
          </w:p>
        </w:tc>
        <w:tc>
          <w:tcPr>
            <w:tcW w:w="1132"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 xml:space="preserve">3.60 </w:t>
            </w:r>
          </w:p>
        </w:tc>
        <w:tc>
          <w:tcPr>
            <w:tcW w:w="1090"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 xml:space="preserve">1.00 </w:t>
            </w:r>
          </w:p>
        </w:tc>
        <w:tc>
          <w:tcPr>
            <w:tcW w:w="955"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2400</w:t>
            </w:r>
          </w:p>
        </w:tc>
        <w:tc>
          <w:tcPr>
            <w:tcW w:w="750"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遂昌县职业中等专业学校</w:t>
            </w:r>
          </w:p>
        </w:tc>
        <w:tc>
          <w:tcPr>
            <w:tcW w:w="873"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教育局</w:t>
            </w:r>
          </w:p>
        </w:tc>
        <w:tc>
          <w:tcPr>
            <w:tcW w:w="682"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谋划类</w:t>
            </w:r>
          </w:p>
        </w:tc>
        <w:tc>
          <w:tcPr>
            <w:tcW w:w="668"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自建</w:t>
            </w:r>
          </w:p>
        </w:tc>
        <w:tc>
          <w:tcPr>
            <w:tcW w:w="576"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06" w:hRule="atLeast"/>
          <w:jc w:val="center"/>
        </w:trPr>
        <w:tc>
          <w:tcPr>
            <w:tcW w:w="453"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60</w:t>
            </w:r>
          </w:p>
        </w:tc>
        <w:tc>
          <w:tcPr>
            <w:tcW w:w="1378"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遂昌县信息化建设工程</w:t>
            </w:r>
          </w:p>
        </w:tc>
        <w:tc>
          <w:tcPr>
            <w:tcW w:w="913"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信息化</w:t>
            </w:r>
          </w:p>
        </w:tc>
        <w:tc>
          <w:tcPr>
            <w:tcW w:w="3191"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建设Ipv6和等保2.0工程，全面提高校园网接入带宽和网速，提升网络安保水平。通过人工智能实验校创建，推进全县智慧校园建设水平，更新校园信息化设备，确保十四五期间智慧校园创建率为100%</w:t>
            </w:r>
          </w:p>
        </w:tc>
        <w:tc>
          <w:tcPr>
            <w:tcW w:w="927"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各学校校园内</w:t>
            </w:r>
          </w:p>
        </w:tc>
        <w:tc>
          <w:tcPr>
            <w:tcW w:w="737"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新建</w:t>
            </w:r>
          </w:p>
        </w:tc>
        <w:tc>
          <w:tcPr>
            <w:tcW w:w="1091"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2021-2025</w:t>
            </w:r>
          </w:p>
        </w:tc>
        <w:tc>
          <w:tcPr>
            <w:tcW w:w="1132"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 xml:space="preserve">0.40 </w:t>
            </w:r>
          </w:p>
        </w:tc>
        <w:tc>
          <w:tcPr>
            <w:tcW w:w="1090"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 xml:space="preserve">0.40 </w:t>
            </w:r>
          </w:p>
        </w:tc>
        <w:tc>
          <w:tcPr>
            <w:tcW w:w="955"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　</w:t>
            </w:r>
          </w:p>
        </w:tc>
        <w:tc>
          <w:tcPr>
            <w:tcW w:w="750"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各有关学校</w:t>
            </w:r>
          </w:p>
        </w:tc>
        <w:tc>
          <w:tcPr>
            <w:tcW w:w="873"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教育局</w:t>
            </w:r>
          </w:p>
        </w:tc>
        <w:tc>
          <w:tcPr>
            <w:tcW w:w="682"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实施类</w:t>
            </w:r>
          </w:p>
        </w:tc>
        <w:tc>
          <w:tcPr>
            <w:tcW w:w="668"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自建</w:t>
            </w:r>
          </w:p>
        </w:tc>
        <w:tc>
          <w:tcPr>
            <w:tcW w:w="576"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44" w:hRule="atLeast"/>
          <w:jc w:val="center"/>
        </w:trPr>
        <w:tc>
          <w:tcPr>
            <w:tcW w:w="453" w:type="dxa"/>
            <w:shd w:val="clear" w:color="auto" w:fill="auto"/>
            <w:vAlign w:val="center"/>
          </w:tcPr>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序号</w:t>
            </w:r>
          </w:p>
        </w:tc>
        <w:tc>
          <w:tcPr>
            <w:tcW w:w="1378" w:type="dxa"/>
            <w:shd w:val="clear" w:color="auto" w:fill="auto"/>
            <w:vAlign w:val="center"/>
          </w:tcPr>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项目名称</w:t>
            </w:r>
          </w:p>
        </w:tc>
        <w:tc>
          <w:tcPr>
            <w:tcW w:w="913" w:type="dxa"/>
            <w:shd w:val="clear" w:color="auto" w:fill="auto"/>
            <w:vAlign w:val="center"/>
          </w:tcPr>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学段</w:t>
            </w:r>
          </w:p>
        </w:tc>
        <w:tc>
          <w:tcPr>
            <w:tcW w:w="3191" w:type="dxa"/>
            <w:shd w:val="clear" w:color="auto" w:fill="auto"/>
            <w:vAlign w:val="center"/>
          </w:tcPr>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建设规模和内容</w:t>
            </w:r>
          </w:p>
        </w:tc>
        <w:tc>
          <w:tcPr>
            <w:tcW w:w="927" w:type="dxa"/>
            <w:shd w:val="clear" w:color="auto" w:fill="auto"/>
            <w:vAlign w:val="center"/>
          </w:tcPr>
          <w:p>
            <w:pPr>
              <w:widowControl/>
              <w:suppressAutoHyphens w:val="0"/>
              <w:jc w:val="center"/>
              <w:rPr>
                <w:rFonts w:hint="eastAsia"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建设</w:t>
            </w:r>
          </w:p>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地点</w:t>
            </w:r>
          </w:p>
        </w:tc>
        <w:tc>
          <w:tcPr>
            <w:tcW w:w="737" w:type="dxa"/>
            <w:shd w:val="clear" w:color="auto" w:fill="auto"/>
            <w:vAlign w:val="center"/>
          </w:tcPr>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建设性质</w:t>
            </w:r>
          </w:p>
        </w:tc>
        <w:tc>
          <w:tcPr>
            <w:tcW w:w="1091" w:type="dxa"/>
            <w:shd w:val="clear" w:color="auto" w:fill="auto"/>
            <w:vAlign w:val="center"/>
          </w:tcPr>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起止年限</w:t>
            </w:r>
          </w:p>
        </w:tc>
        <w:tc>
          <w:tcPr>
            <w:tcW w:w="1132" w:type="dxa"/>
            <w:shd w:val="clear" w:color="auto" w:fill="auto"/>
            <w:vAlign w:val="center"/>
          </w:tcPr>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总投资（亿元）</w:t>
            </w:r>
          </w:p>
        </w:tc>
        <w:tc>
          <w:tcPr>
            <w:tcW w:w="1090" w:type="dxa"/>
            <w:shd w:val="clear" w:color="auto" w:fill="auto"/>
            <w:vAlign w:val="center"/>
          </w:tcPr>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计划投资（亿元）</w:t>
            </w:r>
          </w:p>
        </w:tc>
        <w:tc>
          <w:tcPr>
            <w:tcW w:w="955" w:type="dxa"/>
            <w:shd w:val="clear" w:color="auto" w:fill="auto"/>
            <w:vAlign w:val="center"/>
          </w:tcPr>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新增学位（个）</w:t>
            </w:r>
          </w:p>
        </w:tc>
        <w:tc>
          <w:tcPr>
            <w:tcW w:w="750" w:type="dxa"/>
            <w:shd w:val="clear" w:color="auto" w:fill="auto"/>
            <w:vAlign w:val="center"/>
          </w:tcPr>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项目业主</w:t>
            </w:r>
          </w:p>
        </w:tc>
        <w:tc>
          <w:tcPr>
            <w:tcW w:w="873" w:type="dxa"/>
            <w:shd w:val="clear" w:color="auto" w:fill="auto"/>
            <w:vAlign w:val="center"/>
          </w:tcPr>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责任单位</w:t>
            </w:r>
          </w:p>
        </w:tc>
        <w:tc>
          <w:tcPr>
            <w:tcW w:w="682" w:type="dxa"/>
            <w:shd w:val="clear" w:color="auto" w:fill="auto"/>
            <w:vAlign w:val="center"/>
          </w:tcPr>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项目类别</w:t>
            </w:r>
          </w:p>
        </w:tc>
        <w:tc>
          <w:tcPr>
            <w:tcW w:w="668" w:type="dxa"/>
            <w:shd w:val="clear" w:color="auto" w:fill="auto"/>
            <w:vAlign w:val="center"/>
          </w:tcPr>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建设模式</w:t>
            </w:r>
          </w:p>
        </w:tc>
        <w:tc>
          <w:tcPr>
            <w:tcW w:w="576" w:type="dxa"/>
            <w:shd w:val="clear" w:color="auto" w:fill="auto"/>
            <w:vAlign w:val="center"/>
          </w:tcPr>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7" w:hRule="atLeast"/>
          <w:jc w:val="center"/>
        </w:trPr>
        <w:tc>
          <w:tcPr>
            <w:tcW w:w="2744" w:type="dxa"/>
            <w:gridSpan w:val="3"/>
            <w:shd w:val="clear" w:color="auto" w:fill="auto"/>
            <w:vAlign w:val="center"/>
          </w:tcPr>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松阳县小计</w:t>
            </w:r>
          </w:p>
        </w:tc>
        <w:tc>
          <w:tcPr>
            <w:tcW w:w="3191" w:type="dxa"/>
            <w:shd w:val="clear" w:color="auto" w:fill="auto"/>
            <w:vAlign w:val="center"/>
          </w:tcPr>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 xml:space="preserve">10 </w:t>
            </w:r>
          </w:p>
        </w:tc>
        <w:tc>
          <w:tcPr>
            <w:tcW w:w="927" w:type="dxa"/>
            <w:shd w:val="clear" w:color="auto" w:fill="auto"/>
            <w:vAlign w:val="center"/>
          </w:tcPr>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　</w:t>
            </w:r>
          </w:p>
        </w:tc>
        <w:tc>
          <w:tcPr>
            <w:tcW w:w="737" w:type="dxa"/>
            <w:shd w:val="clear" w:color="auto" w:fill="auto"/>
            <w:vAlign w:val="center"/>
          </w:tcPr>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　</w:t>
            </w:r>
          </w:p>
        </w:tc>
        <w:tc>
          <w:tcPr>
            <w:tcW w:w="1091" w:type="dxa"/>
            <w:shd w:val="clear" w:color="auto" w:fill="auto"/>
            <w:vAlign w:val="center"/>
          </w:tcPr>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　</w:t>
            </w:r>
          </w:p>
        </w:tc>
        <w:tc>
          <w:tcPr>
            <w:tcW w:w="1132" w:type="dxa"/>
            <w:shd w:val="clear" w:color="auto" w:fill="auto"/>
            <w:vAlign w:val="center"/>
          </w:tcPr>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 xml:space="preserve">20.18 </w:t>
            </w:r>
          </w:p>
        </w:tc>
        <w:tc>
          <w:tcPr>
            <w:tcW w:w="1090" w:type="dxa"/>
            <w:shd w:val="clear" w:color="auto" w:fill="auto"/>
            <w:vAlign w:val="center"/>
          </w:tcPr>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 xml:space="preserve">13.77 </w:t>
            </w:r>
          </w:p>
        </w:tc>
        <w:tc>
          <w:tcPr>
            <w:tcW w:w="955" w:type="dxa"/>
            <w:shd w:val="clear" w:color="auto" w:fill="auto"/>
            <w:vAlign w:val="center"/>
          </w:tcPr>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5050</w:t>
            </w:r>
          </w:p>
        </w:tc>
        <w:tc>
          <w:tcPr>
            <w:tcW w:w="750" w:type="dxa"/>
            <w:shd w:val="clear" w:color="auto" w:fill="auto"/>
            <w:vAlign w:val="center"/>
          </w:tcPr>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　</w:t>
            </w:r>
          </w:p>
        </w:tc>
        <w:tc>
          <w:tcPr>
            <w:tcW w:w="873" w:type="dxa"/>
            <w:shd w:val="clear" w:color="auto" w:fill="auto"/>
            <w:vAlign w:val="center"/>
          </w:tcPr>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　</w:t>
            </w:r>
          </w:p>
        </w:tc>
        <w:tc>
          <w:tcPr>
            <w:tcW w:w="682" w:type="dxa"/>
            <w:shd w:val="clear" w:color="auto" w:fill="auto"/>
            <w:vAlign w:val="center"/>
          </w:tcPr>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　</w:t>
            </w:r>
          </w:p>
        </w:tc>
        <w:tc>
          <w:tcPr>
            <w:tcW w:w="668" w:type="dxa"/>
            <w:shd w:val="clear" w:color="auto" w:fill="auto"/>
            <w:vAlign w:val="center"/>
          </w:tcPr>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　</w:t>
            </w:r>
          </w:p>
        </w:tc>
        <w:tc>
          <w:tcPr>
            <w:tcW w:w="576" w:type="dxa"/>
            <w:shd w:val="clear" w:color="auto" w:fill="auto"/>
            <w:vAlign w:val="center"/>
          </w:tcPr>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42" w:hRule="atLeast"/>
          <w:jc w:val="center"/>
        </w:trPr>
        <w:tc>
          <w:tcPr>
            <w:tcW w:w="453"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61</w:t>
            </w:r>
          </w:p>
        </w:tc>
        <w:tc>
          <w:tcPr>
            <w:tcW w:w="1378"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松阳县幼儿园项目</w:t>
            </w:r>
          </w:p>
        </w:tc>
        <w:tc>
          <w:tcPr>
            <w:tcW w:w="913"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幼儿园</w:t>
            </w:r>
          </w:p>
        </w:tc>
        <w:tc>
          <w:tcPr>
            <w:tcW w:w="3191"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新建松阳县城区幼儿园，办学规模15个班，总用地面积 7511 平方米，总建筑面积 6335 平方米（含地下室设备用房200平方米）；松阳县文教园区幼儿园，规模15个班，总用地面积 7894.9平方米，总建筑面积约6400平方米（含地下室设备用房300平方米）</w:t>
            </w:r>
          </w:p>
        </w:tc>
        <w:tc>
          <w:tcPr>
            <w:tcW w:w="927"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县城内</w:t>
            </w:r>
          </w:p>
        </w:tc>
        <w:tc>
          <w:tcPr>
            <w:tcW w:w="737"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新建</w:t>
            </w:r>
          </w:p>
        </w:tc>
        <w:tc>
          <w:tcPr>
            <w:tcW w:w="1091"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2021-2023</w:t>
            </w:r>
          </w:p>
        </w:tc>
        <w:tc>
          <w:tcPr>
            <w:tcW w:w="1132"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 xml:space="preserve">0.63 </w:t>
            </w:r>
          </w:p>
        </w:tc>
        <w:tc>
          <w:tcPr>
            <w:tcW w:w="1090"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 xml:space="preserve">0.63 </w:t>
            </w:r>
          </w:p>
        </w:tc>
        <w:tc>
          <w:tcPr>
            <w:tcW w:w="955"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900</w:t>
            </w:r>
          </w:p>
        </w:tc>
        <w:tc>
          <w:tcPr>
            <w:tcW w:w="750"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松阳县教育发展有限公司</w:t>
            </w:r>
          </w:p>
        </w:tc>
        <w:tc>
          <w:tcPr>
            <w:tcW w:w="873"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松阳县教育局</w:t>
            </w:r>
          </w:p>
        </w:tc>
        <w:tc>
          <w:tcPr>
            <w:tcW w:w="682"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实施类</w:t>
            </w:r>
          </w:p>
        </w:tc>
        <w:tc>
          <w:tcPr>
            <w:tcW w:w="668"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自建</w:t>
            </w:r>
          </w:p>
        </w:tc>
        <w:tc>
          <w:tcPr>
            <w:tcW w:w="576"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88" w:hRule="atLeast"/>
          <w:jc w:val="center"/>
        </w:trPr>
        <w:tc>
          <w:tcPr>
            <w:tcW w:w="453"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62</w:t>
            </w:r>
          </w:p>
        </w:tc>
        <w:tc>
          <w:tcPr>
            <w:tcW w:w="1378"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松阳县新兴镇集团小学扩建工程</w:t>
            </w:r>
          </w:p>
        </w:tc>
        <w:tc>
          <w:tcPr>
            <w:tcW w:w="913"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小学</w:t>
            </w:r>
          </w:p>
        </w:tc>
        <w:tc>
          <w:tcPr>
            <w:tcW w:w="3191"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办学规模24个班，一期用地面积总面积13731平方米，新增建筑总面积9239平方米，包括教学楼、宿舍楼。二期用地总面积18262平方米，新增建筑面积5419平方米。</w:t>
            </w:r>
          </w:p>
        </w:tc>
        <w:tc>
          <w:tcPr>
            <w:tcW w:w="927"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松阳县新兴镇</w:t>
            </w:r>
          </w:p>
        </w:tc>
        <w:tc>
          <w:tcPr>
            <w:tcW w:w="737"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改扩建</w:t>
            </w:r>
          </w:p>
        </w:tc>
        <w:tc>
          <w:tcPr>
            <w:tcW w:w="1091"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2019-2021</w:t>
            </w:r>
          </w:p>
        </w:tc>
        <w:tc>
          <w:tcPr>
            <w:tcW w:w="1132"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 xml:space="preserve">0.65 </w:t>
            </w:r>
          </w:p>
        </w:tc>
        <w:tc>
          <w:tcPr>
            <w:tcW w:w="1090"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 xml:space="preserve">0.17 </w:t>
            </w:r>
          </w:p>
        </w:tc>
        <w:tc>
          <w:tcPr>
            <w:tcW w:w="955"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420</w:t>
            </w:r>
          </w:p>
        </w:tc>
        <w:tc>
          <w:tcPr>
            <w:tcW w:w="750"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松阳县新兴镇小学集团学校</w:t>
            </w:r>
          </w:p>
        </w:tc>
        <w:tc>
          <w:tcPr>
            <w:tcW w:w="873"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松阳县教育局</w:t>
            </w:r>
          </w:p>
        </w:tc>
        <w:tc>
          <w:tcPr>
            <w:tcW w:w="682"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实施类</w:t>
            </w:r>
          </w:p>
        </w:tc>
        <w:tc>
          <w:tcPr>
            <w:tcW w:w="668"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自建</w:t>
            </w:r>
          </w:p>
        </w:tc>
        <w:tc>
          <w:tcPr>
            <w:tcW w:w="576"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6" w:hRule="atLeast"/>
          <w:jc w:val="center"/>
        </w:trPr>
        <w:tc>
          <w:tcPr>
            <w:tcW w:w="453"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63</w:t>
            </w:r>
          </w:p>
        </w:tc>
        <w:tc>
          <w:tcPr>
            <w:tcW w:w="1378"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松阳县古市第二小学</w:t>
            </w:r>
          </w:p>
        </w:tc>
        <w:tc>
          <w:tcPr>
            <w:tcW w:w="913"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小学</w:t>
            </w:r>
          </w:p>
        </w:tc>
        <w:tc>
          <w:tcPr>
            <w:tcW w:w="3191"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办学规模24个班，用地总面积30000平方米，建筑面积18000平方米</w:t>
            </w:r>
          </w:p>
        </w:tc>
        <w:tc>
          <w:tcPr>
            <w:tcW w:w="927"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松阳县古市镇</w:t>
            </w:r>
          </w:p>
        </w:tc>
        <w:tc>
          <w:tcPr>
            <w:tcW w:w="737"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新建</w:t>
            </w:r>
          </w:p>
        </w:tc>
        <w:tc>
          <w:tcPr>
            <w:tcW w:w="1091"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2024-2026</w:t>
            </w:r>
          </w:p>
        </w:tc>
        <w:tc>
          <w:tcPr>
            <w:tcW w:w="1132"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 xml:space="preserve">1.00 </w:t>
            </w:r>
          </w:p>
        </w:tc>
        <w:tc>
          <w:tcPr>
            <w:tcW w:w="1090"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 xml:space="preserve">0.80 </w:t>
            </w:r>
          </w:p>
        </w:tc>
        <w:tc>
          <w:tcPr>
            <w:tcW w:w="955"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840</w:t>
            </w:r>
          </w:p>
        </w:tc>
        <w:tc>
          <w:tcPr>
            <w:tcW w:w="750"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松阳县教育发展有限公司</w:t>
            </w:r>
          </w:p>
        </w:tc>
        <w:tc>
          <w:tcPr>
            <w:tcW w:w="873"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松阳县教育局</w:t>
            </w:r>
          </w:p>
        </w:tc>
        <w:tc>
          <w:tcPr>
            <w:tcW w:w="682"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谋划类</w:t>
            </w:r>
          </w:p>
        </w:tc>
        <w:tc>
          <w:tcPr>
            <w:tcW w:w="668"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自建</w:t>
            </w:r>
          </w:p>
        </w:tc>
        <w:tc>
          <w:tcPr>
            <w:tcW w:w="576"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4" w:hRule="atLeast"/>
          <w:jc w:val="center"/>
        </w:trPr>
        <w:tc>
          <w:tcPr>
            <w:tcW w:w="453" w:type="dxa"/>
            <w:shd w:val="clear" w:color="auto" w:fill="auto"/>
            <w:vAlign w:val="center"/>
          </w:tcPr>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序号</w:t>
            </w:r>
          </w:p>
        </w:tc>
        <w:tc>
          <w:tcPr>
            <w:tcW w:w="1378" w:type="dxa"/>
            <w:shd w:val="clear" w:color="auto" w:fill="auto"/>
            <w:vAlign w:val="center"/>
          </w:tcPr>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项目名称</w:t>
            </w:r>
          </w:p>
        </w:tc>
        <w:tc>
          <w:tcPr>
            <w:tcW w:w="913" w:type="dxa"/>
            <w:shd w:val="clear" w:color="auto" w:fill="auto"/>
            <w:vAlign w:val="center"/>
          </w:tcPr>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学段</w:t>
            </w:r>
          </w:p>
        </w:tc>
        <w:tc>
          <w:tcPr>
            <w:tcW w:w="3191" w:type="dxa"/>
            <w:shd w:val="clear" w:color="auto" w:fill="auto"/>
            <w:vAlign w:val="center"/>
          </w:tcPr>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建设规模和内容</w:t>
            </w:r>
          </w:p>
        </w:tc>
        <w:tc>
          <w:tcPr>
            <w:tcW w:w="927" w:type="dxa"/>
            <w:shd w:val="clear" w:color="auto" w:fill="auto"/>
            <w:vAlign w:val="center"/>
          </w:tcPr>
          <w:p>
            <w:pPr>
              <w:widowControl/>
              <w:suppressAutoHyphens w:val="0"/>
              <w:jc w:val="center"/>
              <w:rPr>
                <w:rFonts w:hint="eastAsia"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建设</w:t>
            </w:r>
          </w:p>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地点</w:t>
            </w:r>
          </w:p>
        </w:tc>
        <w:tc>
          <w:tcPr>
            <w:tcW w:w="737" w:type="dxa"/>
            <w:shd w:val="clear" w:color="auto" w:fill="auto"/>
            <w:vAlign w:val="center"/>
          </w:tcPr>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建设性质</w:t>
            </w:r>
          </w:p>
        </w:tc>
        <w:tc>
          <w:tcPr>
            <w:tcW w:w="1091" w:type="dxa"/>
            <w:shd w:val="clear" w:color="auto" w:fill="auto"/>
            <w:vAlign w:val="center"/>
          </w:tcPr>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起止年限</w:t>
            </w:r>
          </w:p>
        </w:tc>
        <w:tc>
          <w:tcPr>
            <w:tcW w:w="1132" w:type="dxa"/>
            <w:shd w:val="clear" w:color="auto" w:fill="auto"/>
            <w:vAlign w:val="center"/>
          </w:tcPr>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总投资（亿元）</w:t>
            </w:r>
          </w:p>
        </w:tc>
        <w:tc>
          <w:tcPr>
            <w:tcW w:w="1090" w:type="dxa"/>
            <w:shd w:val="clear" w:color="auto" w:fill="auto"/>
            <w:vAlign w:val="center"/>
          </w:tcPr>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计划投资（亿元）</w:t>
            </w:r>
          </w:p>
        </w:tc>
        <w:tc>
          <w:tcPr>
            <w:tcW w:w="955" w:type="dxa"/>
            <w:shd w:val="clear" w:color="auto" w:fill="auto"/>
            <w:vAlign w:val="center"/>
          </w:tcPr>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新增学位（个）</w:t>
            </w:r>
          </w:p>
        </w:tc>
        <w:tc>
          <w:tcPr>
            <w:tcW w:w="750" w:type="dxa"/>
            <w:shd w:val="clear" w:color="auto" w:fill="auto"/>
            <w:vAlign w:val="center"/>
          </w:tcPr>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项目业主</w:t>
            </w:r>
          </w:p>
        </w:tc>
        <w:tc>
          <w:tcPr>
            <w:tcW w:w="873" w:type="dxa"/>
            <w:shd w:val="clear" w:color="auto" w:fill="auto"/>
            <w:vAlign w:val="center"/>
          </w:tcPr>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责任单位</w:t>
            </w:r>
          </w:p>
        </w:tc>
        <w:tc>
          <w:tcPr>
            <w:tcW w:w="682" w:type="dxa"/>
            <w:shd w:val="clear" w:color="auto" w:fill="auto"/>
            <w:vAlign w:val="center"/>
          </w:tcPr>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项目类别</w:t>
            </w:r>
          </w:p>
        </w:tc>
        <w:tc>
          <w:tcPr>
            <w:tcW w:w="668" w:type="dxa"/>
            <w:shd w:val="clear" w:color="auto" w:fill="auto"/>
            <w:vAlign w:val="center"/>
          </w:tcPr>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建设模式</w:t>
            </w:r>
          </w:p>
        </w:tc>
        <w:tc>
          <w:tcPr>
            <w:tcW w:w="576" w:type="dxa"/>
            <w:shd w:val="clear" w:color="auto" w:fill="auto"/>
            <w:vAlign w:val="center"/>
          </w:tcPr>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4" w:hRule="atLeast"/>
          <w:jc w:val="center"/>
        </w:trPr>
        <w:tc>
          <w:tcPr>
            <w:tcW w:w="453"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64</w:t>
            </w:r>
          </w:p>
        </w:tc>
        <w:tc>
          <w:tcPr>
            <w:tcW w:w="1378"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松阳县水南小学扩建工程</w:t>
            </w:r>
          </w:p>
        </w:tc>
        <w:tc>
          <w:tcPr>
            <w:tcW w:w="913"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小学</w:t>
            </w:r>
          </w:p>
        </w:tc>
        <w:tc>
          <w:tcPr>
            <w:tcW w:w="3191"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原30个班扩至36个班，征地10亩,新建综合楼（4175平方米）、新建风雨操场4800平方米及校门道路改造工程</w:t>
            </w:r>
          </w:p>
        </w:tc>
        <w:tc>
          <w:tcPr>
            <w:tcW w:w="927"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松阳县水南街道</w:t>
            </w:r>
          </w:p>
        </w:tc>
        <w:tc>
          <w:tcPr>
            <w:tcW w:w="737"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改扩建</w:t>
            </w:r>
          </w:p>
        </w:tc>
        <w:tc>
          <w:tcPr>
            <w:tcW w:w="1091"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2023-2025</w:t>
            </w:r>
          </w:p>
        </w:tc>
        <w:tc>
          <w:tcPr>
            <w:tcW w:w="1132"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 xml:space="preserve">0.50 </w:t>
            </w:r>
          </w:p>
        </w:tc>
        <w:tc>
          <w:tcPr>
            <w:tcW w:w="1090"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 xml:space="preserve">0.50 </w:t>
            </w:r>
          </w:p>
        </w:tc>
        <w:tc>
          <w:tcPr>
            <w:tcW w:w="955"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210</w:t>
            </w:r>
          </w:p>
        </w:tc>
        <w:tc>
          <w:tcPr>
            <w:tcW w:w="750"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松阳县水南小学</w:t>
            </w:r>
          </w:p>
        </w:tc>
        <w:tc>
          <w:tcPr>
            <w:tcW w:w="873"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松阳县教育局</w:t>
            </w:r>
          </w:p>
        </w:tc>
        <w:tc>
          <w:tcPr>
            <w:tcW w:w="682"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谋划类</w:t>
            </w:r>
          </w:p>
        </w:tc>
        <w:tc>
          <w:tcPr>
            <w:tcW w:w="668"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自建</w:t>
            </w:r>
          </w:p>
        </w:tc>
        <w:tc>
          <w:tcPr>
            <w:tcW w:w="576"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4" w:hRule="atLeast"/>
          <w:jc w:val="center"/>
        </w:trPr>
        <w:tc>
          <w:tcPr>
            <w:tcW w:w="453"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65</w:t>
            </w:r>
          </w:p>
        </w:tc>
        <w:tc>
          <w:tcPr>
            <w:tcW w:w="1378" w:type="dxa"/>
            <w:shd w:val="clear" w:color="auto" w:fill="auto"/>
            <w:vAlign w:val="center"/>
          </w:tcPr>
          <w:p>
            <w:pPr>
              <w:widowControl/>
              <w:suppressAutoHyphens w:val="0"/>
              <w:spacing w:line="26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松阳县育英小学</w:t>
            </w:r>
          </w:p>
        </w:tc>
        <w:tc>
          <w:tcPr>
            <w:tcW w:w="913" w:type="dxa"/>
            <w:shd w:val="clear" w:color="auto" w:fill="auto"/>
            <w:vAlign w:val="center"/>
          </w:tcPr>
          <w:p>
            <w:pPr>
              <w:widowControl/>
              <w:suppressAutoHyphens w:val="0"/>
              <w:spacing w:line="26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小学</w:t>
            </w:r>
          </w:p>
        </w:tc>
        <w:tc>
          <w:tcPr>
            <w:tcW w:w="3191" w:type="dxa"/>
            <w:shd w:val="clear" w:color="auto" w:fill="auto"/>
            <w:vAlign w:val="center"/>
          </w:tcPr>
          <w:p>
            <w:pPr>
              <w:widowControl/>
              <w:suppressAutoHyphens w:val="0"/>
              <w:spacing w:line="26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办学规模48个班，用地面积50000平方米，建筑面积40000平方米</w:t>
            </w:r>
          </w:p>
        </w:tc>
        <w:tc>
          <w:tcPr>
            <w:tcW w:w="927" w:type="dxa"/>
            <w:shd w:val="clear" w:color="auto" w:fill="auto"/>
            <w:vAlign w:val="center"/>
          </w:tcPr>
          <w:p>
            <w:pPr>
              <w:widowControl/>
              <w:suppressAutoHyphens w:val="0"/>
              <w:spacing w:line="26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松阳县西屏街道</w:t>
            </w:r>
          </w:p>
        </w:tc>
        <w:tc>
          <w:tcPr>
            <w:tcW w:w="737" w:type="dxa"/>
            <w:shd w:val="clear" w:color="auto" w:fill="auto"/>
            <w:vAlign w:val="center"/>
          </w:tcPr>
          <w:p>
            <w:pPr>
              <w:widowControl/>
              <w:suppressAutoHyphens w:val="0"/>
              <w:spacing w:line="26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新建</w:t>
            </w:r>
          </w:p>
        </w:tc>
        <w:tc>
          <w:tcPr>
            <w:tcW w:w="1091" w:type="dxa"/>
            <w:shd w:val="clear" w:color="auto" w:fill="auto"/>
            <w:vAlign w:val="center"/>
          </w:tcPr>
          <w:p>
            <w:pPr>
              <w:widowControl/>
              <w:suppressAutoHyphens w:val="0"/>
              <w:spacing w:line="26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2021--2023</w:t>
            </w:r>
          </w:p>
        </w:tc>
        <w:tc>
          <w:tcPr>
            <w:tcW w:w="1132" w:type="dxa"/>
            <w:shd w:val="clear" w:color="auto" w:fill="auto"/>
            <w:vAlign w:val="center"/>
          </w:tcPr>
          <w:p>
            <w:pPr>
              <w:widowControl/>
              <w:suppressAutoHyphens w:val="0"/>
              <w:spacing w:line="26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 xml:space="preserve">1.95 </w:t>
            </w:r>
          </w:p>
        </w:tc>
        <w:tc>
          <w:tcPr>
            <w:tcW w:w="1090" w:type="dxa"/>
            <w:shd w:val="clear" w:color="auto" w:fill="auto"/>
            <w:vAlign w:val="center"/>
          </w:tcPr>
          <w:p>
            <w:pPr>
              <w:widowControl/>
              <w:suppressAutoHyphens w:val="0"/>
              <w:spacing w:line="26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 xml:space="preserve">1.95 </w:t>
            </w:r>
          </w:p>
        </w:tc>
        <w:tc>
          <w:tcPr>
            <w:tcW w:w="955" w:type="dxa"/>
            <w:shd w:val="clear" w:color="auto" w:fill="auto"/>
            <w:vAlign w:val="center"/>
          </w:tcPr>
          <w:p>
            <w:pPr>
              <w:widowControl/>
              <w:suppressAutoHyphens w:val="0"/>
              <w:spacing w:line="26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1680</w:t>
            </w:r>
          </w:p>
        </w:tc>
        <w:tc>
          <w:tcPr>
            <w:tcW w:w="750" w:type="dxa"/>
            <w:shd w:val="clear" w:color="auto" w:fill="auto"/>
            <w:vAlign w:val="center"/>
          </w:tcPr>
          <w:p>
            <w:pPr>
              <w:widowControl/>
              <w:suppressAutoHyphens w:val="0"/>
              <w:spacing w:line="26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松阳县教育发展有限公司</w:t>
            </w:r>
          </w:p>
        </w:tc>
        <w:tc>
          <w:tcPr>
            <w:tcW w:w="873" w:type="dxa"/>
            <w:shd w:val="clear" w:color="auto" w:fill="auto"/>
            <w:vAlign w:val="center"/>
          </w:tcPr>
          <w:p>
            <w:pPr>
              <w:widowControl/>
              <w:suppressAutoHyphens w:val="0"/>
              <w:spacing w:line="26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松阳县教育局</w:t>
            </w:r>
          </w:p>
        </w:tc>
        <w:tc>
          <w:tcPr>
            <w:tcW w:w="682" w:type="dxa"/>
            <w:shd w:val="clear" w:color="auto" w:fill="auto"/>
            <w:vAlign w:val="center"/>
          </w:tcPr>
          <w:p>
            <w:pPr>
              <w:widowControl/>
              <w:suppressAutoHyphens w:val="0"/>
              <w:spacing w:line="26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实施类</w:t>
            </w:r>
          </w:p>
        </w:tc>
        <w:tc>
          <w:tcPr>
            <w:tcW w:w="668" w:type="dxa"/>
            <w:shd w:val="clear" w:color="auto" w:fill="auto"/>
            <w:vAlign w:val="center"/>
          </w:tcPr>
          <w:p>
            <w:pPr>
              <w:widowControl/>
              <w:suppressAutoHyphens w:val="0"/>
              <w:spacing w:line="26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代建</w:t>
            </w:r>
          </w:p>
        </w:tc>
        <w:tc>
          <w:tcPr>
            <w:tcW w:w="576"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2" w:hRule="atLeast"/>
          <w:jc w:val="center"/>
        </w:trPr>
        <w:tc>
          <w:tcPr>
            <w:tcW w:w="453"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66</w:t>
            </w:r>
          </w:p>
        </w:tc>
        <w:tc>
          <w:tcPr>
            <w:tcW w:w="1378" w:type="dxa"/>
            <w:shd w:val="clear" w:color="auto" w:fill="auto"/>
            <w:vAlign w:val="center"/>
          </w:tcPr>
          <w:p>
            <w:pPr>
              <w:widowControl/>
              <w:suppressAutoHyphens w:val="0"/>
              <w:spacing w:line="26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松阳中学创新实验楼</w:t>
            </w:r>
          </w:p>
        </w:tc>
        <w:tc>
          <w:tcPr>
            <w:tcW w:w="913" w:type="dxa"/>
            <w:shd w:val="clear" w:color="auto" w:fill="auto"/>
            <w:vAlign w:val="center"/>
          </w:tcPr>
          <w:p>
            <w:pPr>
              <w:widowControl/>
              <w:suppressAutoHyphens w:val="0"/>
              <w:spacing w:line="26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高中</w:t>
            </w:r>
          </w:p>
        </w:tc>
        <w:tc>
          <w:tcPr>
            <w:tcW w:w="3191" w:type="dxa"/>
            <w:shd w:val="clear" w:color="auto" w:fill="auto"/>
            <w:vAlign w:val="center"/>
          </w:tcPr>
          <w:p>
            <w:pPr>
              <w:widowControl/>
              <w:suppressAutoHyphens w:val="0"/>
              <w:spacing w:line="26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新建松阳一中创新实验楼、松阳二中创新实验楼、松阳第三中学创新实验楼</w:t>
            </w:r>
          </w:p>
        </w:tc>
        <w:tc>
          <w:tcPr>
            <w:tcW w:w="927" w:type="dxa"/>
            <w:shd w:val="clear" w:color="auto" w:fill="auto"/>
            <w:vAlign w:val="center"/>
          </w:tcPr>
          <w:p>
            <w:pPr>
              <w:widowControl/>
              <w:suppressAutoHyphens w:val="0"/>
              <w:spacing w:line="26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县城内</w:t>
            </w:r>
          </w:p>
        </w:tc>
        <w:tc>
          <w:tcPr>
            <w:tcW w:w="737" w:type="dxa"/>
            <w:shd w:val="clear" w:color="auto" w:fill="auto"/>
            <w:vAlign w:val="center"/>
          </w:tcPr>
          <w:p>
            <w:pPr>
              <w:widowControl/>
              <w:suppressAutoHyphens w:val="0"/>
              <w:spacing w:line="26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改扩建</w:t>
            </w:r>
          </w:p>
        </w:tc>
        <w:tc>
          <w:tcPr>
            <w:tcW w:w="1091" w:type="dxa"/>
            <w:shd w:val="clear" w:color="auto" w:fill="auto"/>
            <w:vAlign w:val="center"/>
          </w:tcPr>
          <w:p>
            <w:pPr>
              <w:widowControl/>
              <w:suppressAutoHyphens w:val="0"/>
              <w:spacing w:line="26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2023-2026</w:t>
            </w:r>
          </w:p>
        </w:tc>
        <w:tc>
          <w:tcPr>
            <w:tcW w:w="1132" w:type="dxa"/>
            <w:shd w:val="clear" w:color="auto" w:fill="auto"/>
            <w:vAlign w:val="center"/>
          </w:tcPr>
          <w:p>
            <w:pPr>
              <w:widowControl/>
              <w:suppressAutoHyphens w:val="0"/>
              <w:spacing w:line="26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 xml:space="preserve">0.90 </w:t>
            </w:r>
          </w:p>
        </w:tc>
        <w:tc>
          <w:tcPr>
            <w:tcW w:w="1090" w:type="dxa"/>
            <w:shd w:val="clear" w:color="auto" w:fill="auto"/>
            <w:vAlign w:val="center"/>
          </w:tcPr>
          <w:p>
            <w:pPr>
              <w:widowControl/>
              <w:suppressAutoHyphens w:val="0"/>
              <w:spacing w:line="26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 xml:space="preserve">0.90 </w:t>
            </w:r>
          </w:p>
        </w:tc>
        <w:tc>
          <w:tcPr>
            <w:tcW w:w="955" w:type="dxa"/>
            <w:shd w:val="clear" w:color="auto" w:fill="auto"/>
            <w:vAlign w:val="center"/>
          </w:tcPr>
          <w:p>
            <w:pPr>
              <w:widowControl/>
              <w:suppressAutoHyphens w:val="0"/>
              <w:spacing w:line="26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　</w:t>
            </w:r>
          </w:p>
        </w:tc>
        <w:tc>
          <w:tcPr>
            <w:tcW w:w="750" w:type="dxa"/>
            <w:shd w:val="clear" w:color="auto" w:fill="auto"/>
            <w:vAlign w:val="center"/>
          </w:tcPr>
          <w:p>
            <w:pPr>
              <w:widowControl/>
              <w:suppressAutoHyphens w:val="0"/>
              <w:spacing w:line="26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松阳县第一中学、第二中学、第三中学</w:t>
            </w:r>
          </w:p>
        </w:tc>
        <w:tc>
          <w:tcPr>
            <w:tcW w:w="873" w:type="dxa"/>
            <w:shd w:val="clear" w:color="auto" w:fill="auto"/>
            <w:vAlign w:val="center"/>
          </w:tcPr>
          <w:p>
            <w:pPr>
              <w:widowControl/>
              <w:suppressAutoHyphens w:val="0"/>
              <w:spacing w:line="26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松阳县教育局</w:t>
            </w:r>
          </w:p>
        </w:tc>
        <w:tc>
          <w:tcPr>
            <w:tcW w:w="682" w:type="dxa"/>
            <w:shd w:val="clear" w:color="auto" w:fill="auto"/>
            <w:vAlign w:val="center"/>
          </w:tcPr>
          <w:p>
            <w:pPr>
              <w:widowControl/>
              <w:suppressAutoHyphens w:val="0"/>
              <w:spacing w:line="26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谋划类</w:t>
            </w:r>
          </w:p>
        </w:tc>
        <w:tc>
          <w:tcPr>
            <w:tcW w:w="668" w:type="dxa"/>
            <w:shd w:val="clear" w:color="auto" w:fill="auto"/>
            <w:vAlign w:val="center"/>
          </w:tcPr>
          <w:p>
            <w:pPr>
              <w:widowControl/>
              <w:suppressAutoHyphens w:val="0"/>
              <w:spacing w:line="26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自建</w:t>
            </w:r>
          </w:p>
        </w:tc>
        <w:tc>
          <w:tcPr>
            <w:tcW w:w="576"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57" w:hRule="atLeast"/>
          <w:jc w:val="center"/>
        </w:trPr>
        <w:tc>
          <w:tcPr>
            <w:tcW w:w="453"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67</w:t>
            </w:r>
          </w:p>
        </w:tc>
        <w:tc>
          <w:tcPr>
            <w:tcW w:w="1378" w:type="dxa"/>
            <w:shd w:val="clear" w:color="auto" w:fill="auto"/>
            <w:vAlign w:val="center"/>
          </w:tcPr>
          <w:p>
            <w:pPr>
              <w:widowControl/>
              <w:suppressAutoHyphens w:val="0"/>
              <w:spacing w:line="26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松阳县职业中等专业学校迁建工程</w:t>
            </w:r>
          </w:p>
        </w:tc>
        <w:tc>
          <w:tcPr>
            <w:tcW w:w="913" w:type="dxa"/>
            <w:shd w:val="clear" w:color="auto" w:fill="auto"/>
            <w:vAlign w:val="center"/>
          </w:tcPr>
          <w:p>
            <w:pPr>
              <w:widowControl/>
              <w:suppressAutoHyphens w:val="0"/>
              <w:spacing w:line="26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高中</w:t>
            </w:r>
          </w:p>
        </w:tc>
        <w:tc>
          <w:tcPr>
            <w:tcW w:w="3191" w:type="dxa"/>
            <w:shd w:val="clear" w:color="auto" w:fill="auto"/>
            <w:vAlign w:val="center"/>
          </w:tcPr>
          <w:p>
            <w:pPr>
              <w:widowControl/>
              <w:suppressAutoHyphens w:val="0"/>
              <w:spacing w:line="26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办学规模75个班，用地面积170亩，建筑面积78281平方米</w:t>
            </w:r>
          </w:p>
        </w:tc>
        <w:tc>
          <w:tcPr>
            <w:tcW w:w="927" w:type="dxa"/>
            <w:shd w:val="clear" w:color="auto" w:fill="auto"/>
            <w:vAlign w:val="center"/>
          </w:tcPr>
          <w:p>
            <w:pPr>
              <w:widowControl/>
              <w:suppressAutoHyphens w:val="0"/>
              <w:spacing w:line="26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松阳县南城文教园区</w:t>
            </w:r>
          </w:p>
        </w:tc>
        <w:tc>
          <w:tcPr>
            <w:tcW w:w="737" w:type="dxa"/>
            <w:shd w:val="clear" w:color="auto" w:fill="auto"/>
            <w:vAlign w:val="center"/>
          </w:tcPr>
          <w:p>
            <w:pPr>
              <w:widowControl/>
              <w:suppressAutoHyphens w:val="0"/>
              <w:spacing w:line="26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新建</w:t>
            </w:r>
          </w:p>
        </w:tc>
        <w:tc>
          <w:tcPr>
            <w:tcW w:w="1091" w:type="dxa"/>
            <w:shd w:val="clear" w:color="auto" w:fill="auto"/>
            <w:vAlign w:val="center"/>
          </w:tcPr>
          <w:p>
            <w:pPr>
              <w:widowControl/>
              <w:suppressAutoHyphens w:val="0"/>
              <w:spacing w:line="26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2019-2021</w:t>
            </w:r>
          </w:p>
        </w:tc>
        <w:tc>
          <w:tcPr>
            <w:tcW w:w="1132" w:type="dxa"/>
            <w:shd w:val="clear" w:color="auto" w:fill="auto"/>
            <w:vAlign w:val="center"/>
          </w:tcPr>
          <w:p>
            <w:pPr>
              <w:widowControl/>
              <w:suppressAutoHyphens w:val="0"/>
              <w:spacing w:line="26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 xml:space="preserve">3.70 </w:t>
            </w:r>
          </w:p>
        </w:tc>
        <w:tc>
          <w:tcPr>
            <w:tcW w:w="1090" w:type="dxa"/>
            <w:shd w:val="clear" w:color="auto" w:fill="auto"/>
            <w:vAlign w:val="center"/>
          </w:tcPr>
          <w:p>
            <w:pPr>
              <w:widowControl/>
              <w:suppressAutoHyphens w:val="0"/>
              <w:spacing w:line="26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 xml:space="preserve">0.57 </w:t>
            </w:r>
          </w:p>
        </w:tc>
        <w:tc>
          <w:tcPr>
            <w:tcW w:w="955" w:type="dxa"/>
            <w:shd w:val="clear" w:color="auto" w:fill="auto"/>
            <w:vAlign w:val="center"/>
          </w:tcPr>
          <w:p>
            <w:pPr>
              <w:widowControl/>
              <w:suppressAutoHyphens w:val="0"/>
              <w:spacing w:line="26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1000</w:t>
            </w:r>
          </w:p>
        </w:tc>
        <w:tc>
          <w:tcPr>
            <w:tcW w:w="750" w:type="dxa"/>
            <w:shd w:val="clear" w:color="auto" w:fill="auto"/>
            <w:vAlign w:val="center"/>
          </w:tcPr>
          <w:p>
            <w:pPr>
              <w:widowControl/>
              <w:suppressAutoHyphens w:val="0"/>
              <w:spacing w:line="26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松阳县职专迁建工程管理有限公司</w:t>
            </w:r>
          </w:p>
        </w:tc>
        <w:tc>
          <w:tcPr>
            <w:tcW w:w="873" w:type="dxa"/>
            <w:shd w:val="clear" w:color="auto" w:fill="auto"/>
            <w:vAlign w:val="center"/>
          </w:tcPr>
          <w:p>
            <w:pPr>
              <w:widowControl/>
              <w:suppressAutoHyphens w:val="0"/>
              <w:spacing w:line="26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松阳县教育局</w:t>
            </w:r>
          </w:p>
        </w:tc>
        <w:tc>
          <w:tcPr>
            <w:tcW w:w="682" w:type="dxa"/>
            <w:shd w:val="clear" w:color="auto" w:fill="auto"/>
            <w:vAlign w:val="center"/>
          </w:tcPr>
          <w:p>
            <w:pPr>
              <w:widowControl/>
              <w:suppressAutoHyphens w:val="0"/>
              <w:spacing w:line="26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实施类</w:t>
            </w:r>
          </w:p>
        </w:tc>
        <w:tc>
          <w:tcPr>
            <w:tcW w:w="668" w:type="dxa"/>
            <w:shd w:val="clear" w:color="auto" w:fill="auto"/>
            <w:vAlign w:val="center"/>
          </w:tcPr>
          <w:p>
            <w:pPr>
              <w:widowControl/>
              <w:suppressAutoHyphens w:val="0"/>
              <w:spacing w:line="26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代建</w:t>
            </w:r>
          </w:p>
        </w:tc>
        <w:tc>
          <w:tcPr>
            <w:tcW w:w="576"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2" w:hRule="atLeast"/>
          <w:jc w:val="center"/>
        </w:trPr>
        <w:tc>
          <w:tcPr>
            <w:tcW w:w="453" w:type="dxa"/>
            <w:shd w:val="clear" w:color="auto" w:fill="auto"/>
            <w:vAlign w:val="center"/>
          </w:tcPr>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序号</w:t>
            </w:r>
          </w:p>
        </w:tc>
        <w:tc>
          <w:tcPr>
            <w:tcW w:w="1378" w:type="dxa"/>
            <w:shd w:val="clear" w:color="auto" w:fill="auto"/>
            <w:vAlign w:val="center"/>
          </w:tcPr>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项目名称</w:t>
            </w:r>
          </w:p>
        </w:tc>
        <w:tc>
          <w:tcPr>
            <w:tcW w:w="913" w:type="dxa"/>
            <w:shd w:val="clear" w:color="auto" w:fill="auto"/>
            <w:vAlign w:val="center"/>
          </w:tcPr>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学段</w:t>
            </w:r>
          </w:p>
        </w:tc>
        <w:tc>
          <w:tcPr>
            <w:tcW w:w="3191" w:type="dxa"/>
            <w:shd w:val="clear" w:color="auto" w:fill="auto"/>
            <w:vAlign w:val="center"/>
          </w:tcPr>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建设规模和内容</w:t>
            </w:r>
          </w:p>
        </w:tc>
        <w:tc>
          <w:tcPr>
            <w:tcW w:w="927" w:type="dxa"/>
            <w:shd w:val="clear" w:color="auto" w:fill="auto"/>
            <w:vAlign w:val="center"/>
          </w:tcPr>
          <w:p>
            <w:pPr>
              <w:widowControl/>
              <w:suppressAutoHyphens w:val="0"/>
              <w:jc w:val="center"/>
              <w:rPr>
                <w:rFonts w:hint="eastAsia"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建设</w:t>
            </w:r>
          </w:p>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地点</w:t>
            </w:r>
          </w:p>
        </w:tc>
        <w:tc>
          <w:tcPr>
            <w:tcW w:w="737" w:type="dxa"/>
            <w:shd w:val="clear" w:color="auto" w:fill="auto"/>
            <w:vAlign w:val="center"/>
          </w:tcPr>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建设性质</w:t>
            </w:r>
          </w:p>
        </w:tc>
        <w:tc>
          <w:tcPr>
            <w:tcW w:w="1091" w:type="dxa"/>
            <w:shd w:val="clear" w:color="auto" w:fill="auto"/>
            <w:vAlign w:val="center"/>
          </w:tcPr>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起止年限</w:t>
            </w:r>
          </w:p>
        </w:tc>
        <w:tc>
          <w:tcPr>
            <w:tcW w:w="1132" w:type="dxa"/>
            <w:shd w:val="clear" w:color="auto" w:fill="auto"/>
            <w:vAlign w:val="center"/>
          </w:tcPr>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总投资（亿元）</w:t>
            </w:r>
          </w:p>
        </w:tc>
        <w:tc>
          <w:tcPr>
            <w:tcW w:w="1090" w:type="dxa"/>
            <w:shd w:val="clear" w:color="auto" w:fill="auto"/>
            <w:vAlign w:val="center"/>
          </w:tcPr>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计划投资（亿元）</w:t>
            </w:r>
          </w:p>
        </w:tc>
        <w:tc>
          <w:tcPr>
            <w:tcW w:w="955" w:type="dxa"/>
            <w:shd w:val="clear" w:color="auto" w:fill="auto"/>
            <w:vAlign w:val="center"/>
          </w:tcPr>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新增学位（个）</w:t>
            </w:r>
          </w:p>
        </w:tc>
        <w:tc>
          <w:tcPr>
            <w:tcW w:w="750" w:type="dxa"/>
            <w:shd w:val="clear" w:color="auto" w:fill="auto"/>
            <w:vAlign w:val="center"/>
          </w:tcPr>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项目业主</w:t>
            </w:r>
          </w:p>
        </w:tc>
        <w:tc>
          <w:tcPr>
            <w:tcW w:w="873" w:type="dxa"/>
            <w:shd w:val="clear" w:color="auto" w:fill="auto"/>
            <w:vAlign w:val="center"/>
          </w:tcPr>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责任单位</w:t>
            </w:r>
          </w:p>
        </w:tc>
        <w:tc>
          <w:tcPr>
            <w:tcW w:w="682" w:type="dxa"/>
            <w:shd w:val="clear" w:color="auto" w:fill="auto"/>
            <w:vAlign w:val="center"/>
          </w:tcPr>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项目类别</w:t>
            </w:r>
          </w:p>
        </w:tc>
        <w:tc>
          <w:tcPr>
            <w:tcW w:w="668" w:type="dxa"/>
            <w:shd w:val="clear" w:color="auto" w:fill="auto"/>
            <w:vAlign w:val="center"/>
          </w:tcPr>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建设模式</w:t>
            </w:r>
          </w:p>
        </w:tc>
        <w:tc>
          <w:tcPr>
            <w:tcW w:w="576" w:type="dxa"/>
            <w:shd w:val="clear" w:color="auto" w:fill="auto"/>
            <w:vAlign w:val="center"/>
          </w:tcPr>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16" w:hRule="atLeast"/>
          <w:jc w:val="center"/>
        </w:trPr>
        <w:tc>
          <w:tcPr>
            <w:tcW w:w="453"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68</w:t>
            </w:r>
          </w:p>
        </w:tc>
        <w:tc>
          <w:tcPr>
            <w:tcW w:w="1378" w:type="dxa"/>
            <w:shd w:val="clear" w:color="auto" w:fill="auto"/>
            <w:vAlign w:val="center"/>
          </w:tcPr>
          <w:p>
            <w:pPr>
              <w:widowControl/>
              <w:suppressAutoHyphens w:val="0"/>
              <w:spacing w:line="26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丽水学院松阳校区</w:t>
            </w:r>
          </w:p>
        </w:tc>
        <w:tc>
          <w:tcPr>
            <w:tcW w:w="913" w:type="dxa"/>
            <w:shd w:val="clear" w:color="auto" w:fill="auto"/>
            <w:vAlign w:val="center"/>
          </w:tcPr>
          <w:p>
            <w:pPr>
              <w:widowControl/>
              <w:suppressAutoHyphens w:val="0"/>
              <w:spacing w:line="26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高中</w:t>
            </w:r>
          </w:p>
        </w:tc>
        <w:tc>
          <w:tcPr>
            <w:tcW w:w="3191" w:type="dxa"/>
            <w:shd w:val="clear" w:color="auto" w:fill="auto"/>
            <w:vAlign w:val="center"/>
          </w:tcPr>
          <w:p>
            <w:pPr>
              <w:widowControl/>
              <w:suppressAutoHyphens w:val="0"/>
              <w:spacing w:line="26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办学规模36个班，用地面积200亩，建筑面积68022平方米</w:t>
            </w:r>
          </w:p>
        </w:tc>
        <w:tc>
          <w:tcPr>
            <w:tcW w:w="927" w:type="dxa"/>
            <w:shd w:val="clear" w:color="auto" w:fill="auto"/>
            <w:vAlign w:val="center"/>
          </w:tcPr>
          <w:p>
            <w:pPr>
              <w:widowControl/>
              <w:suppressAutoHyphens w:val="0"/>
              <w:spacing w:line="26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松阳县南城文教园区</w:t>
            </w:r>
          </w:p>
        </w:tc>
        <w:tc>
          <w:tcPr>
            <w:tcW w:w="737" w:type="dxa"/>
            <w:shd w:val="clear" w:color="auto" w:fill="auto"/>
            <w:vAlign w:val="center"/>
          </w:tcPr>
          <w:p>
            <w:pPr>
              <w:widowControl/>
              <w:suppressAutoHyphens w:val="0"/>
              <w:spacing w:line="26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新建</w:t>
            </w:r>
          </w:p>
        </w:tc>
        <w:tc>
          <w:tcPr>
            <w:tcW w:w="1091" w:type="dxa"/>
            <w:shd w:val="clear" w:color="auto" w:fill="auto"/>
            <w:vAlign w:val="center"/>
          </w:tcPr>
          <w:p>
            <w:pPr>
              <w:widowControl/>
              <w:suppressAutoHyphens w:val="0"/>
              <w:spacing w:line="26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2019-2022</w:t>
            </w:r>
          </w:p>
        </w:tc>
        <w:tc>
          <w:tcPr>
            <w:tcW w:w="1132" w:type="dxa"/>
            <w:shd w:val="clear" w:color="auto" w:fill="auto"/>
            <w:vAlign w:val="center"/>
          </w:tcPr>
          <w:p>
            <w:pPr>
              <w:widowControl/>
              <w:suppressAutoHyphens w:val="0"/>
              <w:spacing w:line="26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 xml:space="preserve">3.37 </w:t>
            </w:r>
          </w:p>
        </w:tc>
        <w:tc>
          <w:tcPr>
            <w:tcW w:w="1090" w:type="dxa"/>
            <w:shd w:val="clear" w:color="auto" w:fill="auto"/>
            <w:vAlign w:val="center"/>
          </w:tcPr>
          <w:p>
            <w:pPr>
              <w:widowControl/>
              <w:suppressAutoHyphens w:val="0"/>
              <w:spacing w:line="26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 xml:space="preserve">0.77 </w:t>
            </w:r>
          </w:p>
        </w:tc>
        <w:tc>
          <w:tcPr>
            <w:tcW w:w="955" w:type="dxa"/>
            <w:shd w:val="clear" w:color="auto" w:fill="auto"/>
            <w:vAlign w:val="center"/>
          </w:tcPr>
          <w:p>
            <w:pPr>
              <w:widowControl/>
              <w:suppressAutoHyphens w:val="0"/>
              <w:spacing w:line="26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　</w:t>
            </w:r>
          </w:p>
        </w:tc>
        <w:tc>
          <w:tcPr>
            <w:tcW w:w="750" w:type="dxa"/>
            <w:shd w:val="clear" w:color="auto" w:fill="auto"/>
            <w:vAlign w:val="center"/>
          </w:tcPr>
          <w:p>
            <w:pPr>
              <w:widowControl/>
              <w:suppressAutoHyphens w:val="0"/>
              <w:spacing w:line="26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松阳县丽院校区项目管理有限公司</w:t>
            </w:r>
          </w:p>
        </w:tc>
        <w:tc>
          <w:tcPr>
            <w:tcW w:w="873" w:type="dxa"/>
            <w:shd w:val="clear" w:color="auto" w:fill="auto"/>
            <w:vAlign w:val="center"/>
          </w:tcPr>
          <w:p>
            <w:pPr>
              <w:widowControl/>
              <w:suppressAutoHyphens w:val="0"/>
              <w:spacing w:line="26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松阳县教育局</w:t>
            </w:r>
          </w:p>
        </w:tc>
        <w:tc>
          <w:tcPr>
            <w:tcW w:w="682" w:type="dxa"/>
            <w:shd w:val="clear" w:color="auto" w:fill="auto"/>
            <w:vAlign w:val="center"/>
          </w:tcPr>
          <w:p>
            <w:pPr>
              <w:widowControl/>
              <w:suppressAutoHyphens w:val="0"/>
              <w:spacing w:line="26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实施类</w:t>
            </w:r>
          </w:p>
        </w:tc>
        <w:tc>
          <w:tcPr>
            <w:tcW w:w="668" w:type="dxa"/>
            <w:shd w:val="clear" w:color="auto" w:fill="auto"/>
            <w:vAlign w:val="center"/>
          </w:tcPr>
          <w:p>
            <w:pPr>
              <w:widowControl/>
              <w:suppressAutoHyphens w:val="0"/>
              <w:spacing w:line="26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代建</w:t>
            </w:r>
          </w:p>
        </w:tc>
        <w:tc>
          <w:tcPr>
            <w:tcW w:w="576"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87" w:hRule="atLeast"/>
          <w:jc w:val="center"/>
        </w:trPr>
        <w:tc>
          <w:tcPr>
            <w:tcW w:w="453"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69</w:t>
            </w:r>
          </w:p>
        </w:tc>
        <w:tc>
          <w:tcPr>
            <w:tcW w:w="1378" w:type="dxa"/>
            <w:shd w:val="clear" w:color="auto" w:fill="auto"/>
            <w:vAlign w:val="center"/>
          </w:tcPr>
          <w:p>
            <w:pPr>
              <w:widowControl/>
              <w:suppressAutoHyphens w:val="0"/>
              <w:spacing w:line="26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丽水学院松阳校区（二期）工程</w:t>
            </w:r>
          </w:p>
        </w:tc>
        <w:tc>
          <w:tcPr>
            <w:tcW w:w="913" w:type="dxa"/>
            <w:shd w:val="clear" w:color="auto" w:fill="auto"/>
            <w:vAlign w:val="center"/>
          </w:tcPr>
          <w:p>
            <w:pPr>
              <w:widowControl/>
              <w:suppressAutoHyphens w:val="0"/>
              <w:spacing w:line="26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高中</w:t>
            </w:r>
          </w:p>
        </w:tc>
        <w:tc>
          <w:tcPr>
            <w:tcW w:w="3191" w:type="dxa"/>
            <w:shd w:val="clear" w:color="auto" w:fill="auto"/>
            <w:vAlign w:val="center"/>
          </w:tcPr>
          <w:p>
            <w:pPr>
              <w:widowControl/>
              <w:suppressAutoHyphens w:val="0"/>
              <w:spacing w:line="26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总用地167066.65平方米（250.6亩），总建筑面积11.19万平方米（其中地上建筑面积10.19万平方米），主要建设内容为实训大楼、产学研及创业用房、学术交流用房、学生宿舍、食堂及配套附属工程等。</w:t>
            </w:r>
          </w:p>
        </w:tc>
        <w:tc>
          <w:tcPr>
            <w:tcW w:w="927" w:type="dxa"/>
            <w:shd w:val="clear" w:color="auto" w:fill="auto"/>
            <w:vAlign w:val="center"/>
          </w:tcPr>
          <w:p>
            <w:pPr>
              <w:widowControl/>
              <w:suppressAutoHyphens w:val="0"/>
              <w:spacing w:line="26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松阳县南城文教园区</w:t>
            </w:r>
          </w:p>
        </w:tc>
        <w:tc>
          <w:tcPr>
            <w:tcW w:w="737" w:type="dxa"/>
            <w:shd w:val="clear" w:color="auto" w:fill="auto"/>
            <w:vAlign w:val="center"/>
          </w:tcPr>
          <w:p>
            <w:pPr>
              <w:widowControl/>
              <w:suppressAutoHyphens w:val="0"/>
              <w:spacing w:line="26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改扩建</w:t>
            </w:r>
          </w:p>
        </w:tc>
        <w:tc>
          <w:tcPr>
            <w:tcW w:w="1091" w:type="dxa"/>
            <w:shd w:val="clear" w:color="auto" w:fill="auto"/>
            <w:vAlign w:val="center"/>
          </w:tcPr>
          <w:p>
            <w:pPr>
              <w:widowControl/>
              <w:suppressAutoHyphens w:val="0"/>
              <w:spacing w:line="26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2022-2026</w:t>
            </w:r>
          </w:p>
        </w:tc>
        <w:tc>
          <w:tcPr>
            <w:tcW w:w="1132" w:type="dxa"/>
            <w:shd w:val="clear" w:color="auto" w:fill="auto"/>
            <w:vAlign w:val="center"/>
          </w:tcPr>
          <w:p>
            <w:pPr>
              <w:widowControl/>
              <w:suppressAutoHyphens w:val="0"/>
              <w:spacing w:line="26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 xml:space="preserve">6.88 </w:t>
            </w:r>
          </w:p>
        </w:tc>
        <w:tc>
          <w:tcPr>
            <w:tcW w:w="1090" w:type="dxa"/>
            <w:shd w:val="clear" w:color="auto" w:fill="auto"/>
            <w:vAlign w:val="center"/>
          </w:tcPr>
          <w:p>
            <w:pPr>
              <w:widowControl/>
              <w:suppressAutoHyphens w:val="0"/>
              <w:spacing w:line="26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 xml:space="preserve">6.88 </w:t>
            </w:r>
          </w:p>
        </w:tc>
        <w:tc>
          <w:tcPr>
            <w:tcW w:w="955" w:type="dxa"/>
            <w:shd w:val="clear" w:color="auto" w:fill="auto"/>
            <w:vAlign w:val="center"/>
          </w:tcPr>
          <w:p>
            <w:pPr>
              <w:widowControl/>
              <w:suppressAutoHyphens w:val="0"/>
              <w:spacing w:line="26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　</w:t>
            </w:r>
          </w:p>
        </w:tc>
        <w:tc>
          <w:tcPr>
            <w:tcW w:w="750" w:type="dxa"/>
            <w:shd w:val="clear" w:color="auto" w:fill="auto"/>
            <w:vAlign w:val="center"/>
          </w:tcPr>
          <w:p>
            <w:pPr>
              <w:widowControl/>
              <w:suppressAutoHyphens w:val="0"/>
              <w:spacing w:line="26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丽水学院幼儿与师范学院</w:t>
            </w:r>
          </w:p>
        </w:tc>
        <w:tc>
          <w:tcPr>
            <w:tcW w:w="873" w:type="dxa"/>
            <w:shd w:val="clear" w:color="auto" w:fill="auto"/>
            <w:vAlign w:val="center"/>
          </w:tcPr>
          <w:p>
            <w:pPr>
              <w:widowControl/>
              <w:suppressAutoHyphens w:val="0"/>
              <w:spacing w:line="26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丽水市教育局</w:t>
            </w:r>
          </w:p>
        </w:tc>
        <w:tc>
          <w:tcPr>
            <w:tcW w:w="682" w:type="dxa"/>
            <w:shd w:val="clear" w:color="auto" w:fill="auto"/>
            <w:vAlign w:val="center"/>
          </w:tcPr>
          <w:p>
            <w:pPr>
              <w:widowControl/>
              <w:suppressAutoHyphens w:val="0"/>
              <w:spacing w:line="26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实施类</w:t>
            </w:r>
          </w:p>
        </w:tc>
        <w:tc>
          <w:tcPr>
            <w:tcW w:w="668" w:type="dxa"/>
            <w:shd w:val="clear" w:color="auto" w:fill="auto"/>
            <w:vAlign w:val="center"/>
          </w:tcPr>
          <w:p>
            <w:pPr>
              <w:widowControl/>
              <w:suppressAutoHyphens w:val="0"/>
              <w:spacing w:line="26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自建</w:t>
            </w:r>
          </w:p>
        </w:tc>
        <w:tc>
          <w:tcPr>
            <w:tcW w:w="576"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72" w:hRule="atLeast"/>
          <w:jc w:val="center"/>
        </w:trPr>
        <w:tc>
          <w:tcPr>
            <w:tcW w:w="453"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70</w:t>
            </w:r>
          </w:p>
        </w:tc>
        <w:tc>
          <w:tcPr>
            <w:tcW w:w="1378" w:type="dxa"/>
            <w:shd w:val="clear" w:color="auto" w:fill="auto"/>
            <w:vAlign w:val="center"/>
          </w:tcPr>
          <w:p>
            <w:pPr>
              <w:widowControl/>
              <w:suppressAutoHyphens w:val="0"/>
              <w:spacing w:line="26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松阳信息化建设工程</w:t>
            </w:r>
          </w:p>
        </w:tc>
        <w:tc>
          <w:tcPr>
            <w:tcW w:w="913" w:type="dxa"/>
            <w:shd w:val="clear" w:color="auto" w:fill="auto"/>
            <w:vAlign w:val="center"/>
          </w:tcPr>
          <w:p>
            <w:pPr>
              <w:widowControl/>
              <w:suppressAutoHyphens w:val="0"/>
              <w:spacing w:line="26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信息化</w:t>
            </w:r>
          </w:p>
        </w:tc>
        <w:tc>
          <w:tcPr>
            <w:tcW w:w="3191" w:type="dxa"/>
            <w:shd w:val="clear" w:color="auto" w:fill="auto"/>
            <w:vAlign w:val="center"/>
          </w:tcPr>
          <w:p>
            <w:pPr>
              <w:widowControl/>
              <w:suppressAutoHyphens w:val="0"/>
              <w:spacing w:line="26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改造全县学校的IPV6及有线网络和IP广播，更新1500台计算机，多媒体300余套；录播教学系统，学校管理应用平台，建设创新实验室等</w:t>
            </w:r>
          </w:p>
        </w:tc>
        <w:tc>
          <w:tcPr>
            <w:tcW w:w="927" w:type="dxa"/>
            <w:shd w:val="clear" w:color="auto" w:fill="auto"/>
            <w:vAlign w:val="center"/>
          </w:tcPr>
          <w:p>
            <w:pPr>
              <w:widowControl/>
              <w:suppressAutoHyphens w:val="0"/>
              <w:spacing w:line="26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各校园内</w:t>
            </w:r>
          </w:p>
        </w:tc>
        <w:tc>
          <w:tcPr>
            <w:tcW w:w="737" w:type="dxa"/>
            <w:shd w:val="clear" w:color="auto" w:fill="auto"/>
            <w:vAlign w:val="center"/>
          </w:tcPr>
          <w:p>
            <w:pPr>
              <w:widowControl/>
              <w:suppressAutoHyphens w:val="0"/>
              <w:spacing w:line="26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新建</w:t>
            </w:r>
          </w:p>
        </w:tc>
        <w:tc>
          <w:tcPr>
            <w:tcW w:w="1091" w:type="dxa"/>
            <w:shd w:val="clear" w:color="auto" w:fill="auto"/>
            <w:vAlign w:val="center"/>
          </w:tcPr>
          <w:p>
            <w:pPr>
              <w:widowControl/>
              <w:suppressAutoHyphens w:val="0"/>
              <w:spacing w:line="26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2021-2022</w:t>
            </w:r>
          </w:p>
        </w:tc>
        <w:tc>
          <w:tcPr>
            <w:tcW w:w="1132" w:type="dxa"/>
            <w:shd w:val="clear" w:color="auto" w:fill="auto"/>
            <w:vAlign w:val="center"/>
          </w:tcPr>
          <w:p>
            <w:pPr>
              <w:widowControl/>
              <w:suppressAutoHyphens w:val="0"/>
              <w:spacing w:line="26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 xml:space="preserve">0.60 </w:t>
            </w:r>
          </w:p>
        </w:tc>
        <w:tc>
          <w:tcPr>
            <w:tcW w:w="1090" w:type="dxa"/>
            <w:shd w:val="clear" w:color="auto" w:fill="auto"/>
            <w:vAlign w:val="center"/>
          </w:tcPr>
          <w:p>
            <w:pPr>
              <w:widowControl/>
              <w:suppressAutoHyphens w:val="0"/>
              <w:spacing w:line="26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 xml:space="preserve">0.60 </w:t>
            </w:r>
          </w:p>
        </w:tc>
        <w:tc>
          <w:tcPr>
            <w:tcW w:w="955" w:type="dxa"/>
            <w:shd w:val="clear" w:color="auto" w:fill="auto"/>
            <w:vAlign w:val="center"/>
          </w:tcPr>
          <w:p>
            <w:pPr>
              <w:widowControl/>
              <w:suppressAutoHyphens w:val="0"/>
              <w:spacing w:line="26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　</w:t>
            </w:r>
          </w:p>
        </w:tc>
        <w:tc>
          <w:tcPr>
            <w:tcW w:w="750" w:type="dxa"/>
            <w:shd w:val="clear" w:color="auto" w:fill="auto"/>
            <w:vAlign w:val="center"/>
          </w:tcPr>
          <w:p>
            <w:pPr>
              <w:widowControl/>
              <w:suppressAutoHyphens w:val="0"/>
              <w:spacing w:line="26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相关学校</w:t>
            </w:r>
          </w:p>
        </w:tc>
        <w:tc>
          <w:tcPr>
            <w:tcW w:w="873" w:type="dxa"/>
            <w:shd w:val="clear" w:color="auto" w:fill="auto"/>
            <w:vAlign w:val="center"/>
          </w:tcPr>
          <w:p>
            <w:pPr>
              <w:widowControl/>
              <w:suppressAutoHyphens w:val="0"/>
              <w:spacing w:line="26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松阳县教育局</w:t>
            </w:r>
          </w:p>
        </w:tc>
        <w:tc>
          <w:tcPr>
            <w:tcW w:w="682" w:type="dxa"/>
            <w:shd w:val="clear" w:color="auto" w:fill="auto"/>
            <w:vAlign w:val="center"/>
          </w:tcPr>
          <w:p>
            <w:pPr>
              <w:widowControl/>
              <w:suppressAutoHyphens w:val="0"/>
              <w:spacing w:line="26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实施类</w:t>
            </w:r>
          </w:p>
        </w:tc>
        <w:tc>
          <w:tcPr>
            <w:tcW w:w="668" w:type="dxa"/>
            <w:shd w:val="clear" w:color="auto" w:fill="auto"/>
            <w:vAlign w:val="center"/>
          </w:tcPr>
          <w:p>
            <w:pPr>
              <w:widowControl/>
              <w:suppressAutoHyphens w:val="0"/>
              <w:spacing w:line="26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自建</w:t>
            </w:r>
          </w:p>
        </w:tc>
        <w:tc>
          <w:tcPr>
            <w:tcW w:w="576"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45" w:hRule="atLeast"/>
          <w:jc w:val="center"/>
        </w:trPr>
        <w:tc>
          <w:tcPr>
            <w:tcW w:w="453" w:type="dxa"/>
            <w:shd w:val="clear" w:color="auto" w:fill="auto"/>
            <w:vAlign w:val="center"/>
          </w:tcPr>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序号</w:t>
            </w:r>
          </w:p>
        </w:tc>
        <w:tc>
          <w:tcPr>
            <w:tcW w:w="1378" w:type="dxa"/>
            <w:shd w:val="clear" w:color="auto" w:fill="auto"/>
            <w:vAlign w:val="center"/>
          </w:tcPr>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项目名称</w:t>
            </w:r>
          </w:p>
        </w:tc>
        <w:tc>
          <w:tcPr>
            <w:tcW w:w="913" w:type="dxa"/>
            <w:shd w:val="clear" w:color="auto" w:fill="auto"/>
            <w:vAlign w:val="center"/>
          </w:tcPr>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学段</w:t>
            </w:r>
          </w:p>
        </w:tc>
        <w:tc>
          <w:tcPr>
            <w:tcW w:w="3191" w:type="dxa"/>
            <w:shd w:val="clear" w:color="auto" w:fill="auto"/>
            <w:vAlign w:val="center"/>
          </w:tcPr>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建设规模和内容</w:t>
            </w:r>
          </w:p>
        </w:tc>
        <w:tc>
          <w:tcPr>
            <w:tcW w:w="927" w:type="dxa"/>
            <w:shd w:val="clear" w:color="auto" w:fill="auto"/>
            <w:vAlign w:val="center"/>
          </w:tcPr>
          <w:p>
            <w:pPr>
              <w:widowControl/>
              <w:suppressAutoHyphens w:val="0"/>
              <w:jc w:val="center"/>
              <w:rPr>
                <w:rFonts w:hint="eastAsia"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建设</w:t>
            </w:r>
          </w:p>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地点</w:t>
            </w:r>
          </w:p>
        </w:tc>
        <w:tc>
          <w:tcPr>
            <w:tcW w:w="737" w:type="dxa"/>
            <w:shd w:val="clear" w:color="auto" w:fill="auto"/>
            <w:vAlign w:val="center"/>
          </w:tcPr>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建设性质</w:t>
            </w:r>
          </w:p>
        </w:tc>
        <w:tc>
          <w:tcPr>
            <w:tcW w:w="1091" w:type="dxa"/>
            <w:shd w:val="clear" w:color="auto" w:fill="auto"/>
            <w:vAlign w:val="center"/>
          </w:tcPr>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起止年限</w:t>
            </w:r>
          </w:p>
        </w:tc>
        <w:tc>
          <w:tcPr>
            <w:tcW w:w="1132" w:type="dxa"/>
            <w:shd w:val="clear" w:color="auto" w:fill="auto"/>
            <w:vAlign w:val="center"/>
          </w:tcPr>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总投资（亿元）</w:t>
            </w:r>
          </w:p>
        </w:tc>
        <w:tc>
          <w:tcPr>
            <w:tcW w:w="1090" w:type="dxa"/>
            <w:shd w:val="clear" w:color="auto" w:fill="auto"/>
            <w:vAlign w:val="center"/>
          </w:tcPr>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计划投资（亿元）</w:t>
            </w:r>
          </w:p>
        </w:tc>
        <w:tc>
          <w:tcPr>
            <w:tcW w:w="955" w:type="dxa"/>
            <w:shd w:val="clear" w:color="auto" w:fill="auto"/>
            <w:vAlign w:val="center"/>
          </w:tcPr>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新增学位（个）</w:t>
            </w:r>
          </w:p>
        </w:tc>
        <w:tc>
          <w:tcPr>
            <w:tcW w:w="750" w:type="dxa"/>
            <w:shd w:val="clear" w:color="auto" w:fill="auto"/>
            <w:vAlign w:val="center"/>
          </w:tcPr>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项目业主</w:t>
            </w:r>
          </w:p>
        </w:tc>
        <w:tc>
          <w:tcPr>
            <w:tcW w:w="873" w:type="dxa"/>
            <w:shd w:val="clear" w:color="auto" w:fill="auto"/>
            <w:vAlign w:val="center"/>
          </w:tcPr>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责任单位</w:t>
            </w:r>
          </w:p>
        </w:tc>
        <w:tc>
          <w:tcPr>
            <w:tcW w:w="682" w:type="dxa"/>
            <w:shd w:val="clear" w:color="auto" w:fill="auto"/>
            <w:vAlign w:val="center"/>
          </w:tcPr>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项目类别</w:t>
            </w:r>
          </w:p>
        </w:tc>
        <w:tc>
          <w:tcPr>
            <w:tcW w:w="668" w:type="dxa"/>
            <w:shd w:val="clear" w:color="auto" w:fill="auto"/>
            <w:vAlign w:val="center"/>
          </w:tcPr>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建设模式</w:t>
            </w:r>
          </w:p>
        </w:tc>
        <w:tc>
          <w:tcPr>
            <w:tcW w:w="576" w:type="dxa"/>
            <w:shd w:val="clear" w:color="auto" w:fill="auto"/>
            <w:vAlign w:val="center"/>
          </w:tcPr>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1" w:hRule="atLeast"/>
          <w:jc w:val="center"/>
        </w:trPr>
        <w:tc>
          <w:tcPr>
            <w:tcW w:w="2744" w:type="dxa"/>
            <w:gridSpan w:val="3"/>
            <w:shd w:val="clear" w:color="auto" w:fill="auto"/>
            <w:vAlign w:val="center"/>
          </w:tcPr>
          <w:p>
            <w:pPr>
              <w:widowControl/>
              <w:suppressAutoHyphens w:val="0"/>
              <w:spacing w:line="240" w:lineRule="exact"/>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景宁县小计</w:t>
            </w:r>
          </w:p>
        </w:tc>
        <w:tc>
          <w:tcPr>
            <w:tcW w:w="3191" w:type="dxa"/>
            <w:shd w:val="clear" w:color="auto" w:fill="auto"/>
            <w:vAlign w:val="center"/>
          </w:tcPr>
          <w:p>
            <w:pPr>
              <w:widowControl/>
              <w:suppressAutoHyphens w:val="0"/>
              <w:spacing w:line="240" w:lineRule="exact"/>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 xml:space="preserve">19 </w:t>
            </w:r>
          </w:p>
        </w:tc>
        <w:tc>
          <w:tcPr>
            <w:tcW w:w="927" w:type="dxa"/>
            <w:shd w:val="clear" w:color="auto" w:fill="auto"/>
            <w:vAlign w:val="center"/>
          </w:tcPr>
          <w:p>
            <w:pPr>
              <w:widowControl/>
              <w:suppressAutoHyphens w:val="0"/>
              <w:spacing w:line="240" w:lineRule="exact"/>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　</w:t>
            </w:r>
          </w:p>
        </w:tc>
        <w:tc>
          <w:tcPr>
            <w:tcW w:w="737" w:type="dxa"/>
            <w:shd w:val="clear" w:color="auto" w:fill="auto"/>
            <w:vAlign w:val="center"/>
          </w:tcPr>
          <w:p>
            <w:pPr>
              <w:widowControl/>
              <w:suppressAutoHyphens w:val="0"/>
              <w:spacing w:line="240" w:lineRule="exact"/>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　</w:t>
            </w:r>
          </w:p>
        </w:tc>
        <w:tc>
          <w:tcPr>
            <w:tcW w:w="1091" w:type="dxa"/>
            <w:shd w:val="clear" w:color="auto" w:fill="auto"/>
            <w:vAlign w:val="center"/>
          </w:tcPr>
          <w:p>
            <w:pPr>
              <w:widowControl/>
              <w:suppressAutoHyphens w:val="0"/>
              <w:spacing w:line="240" w:lineRule="exact"/>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　</w:t>
            </w:r>
          </w:p>
        </w:tc>
        <w:tc>
          <w:tcPr>
            <w:tcW w:w="1132" w:type="dxa"/>
            <w:shd w:val="clear" w:color="auto" w:fill="auto"/>
            <w:vAlign w:val="center"/>
          </w:tcPr>
          <w:p>
            <w:pPr>
              <w:widowControl/>
              <w:suppressAutoHyphens w:val="0"/>
              <w:spacing w:line="240" w:lineRule="exact"/>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 xml:space="preserve">22.44 </w:t>
            </w:r>
          </w:p>
        </w:tc>
        <w:tc>
          <w:tcPr>
            <w:tcW w:w="1090" w:type="dxa"/>
            <w:shd w:val="clear" w:color="auto" w:fill="auto"/>
            <w:vAlign w:val="center"/>
          </w:tcPr>
          <w:p>
            <w:pPr>
              <w:widowControl/>
              <w:suppressAutoHyphens w:val="0"/>
              <w:spacing w:line="240" w:lineRule="exact"/>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 xml:space="preserve">22.41 </w:t>
            </w:r>
          </w:p>
        </w:tc>
        <w:tc>
          <w:tcPr>
            <w:tcW w:w="955" w:type="dxa"/>
            <w:shd w:val="clear" w:color="auto" w:fill="auto"/>
            <w:vAlign w:val="center"/>
          </w:tcPr>
          <w:p>
            <w:pPr>
              <w:widowControl/>
              <w:suppressAutoHyphens w:val="0"/>
              <w:spacing w:line="240" w:lineRule="exact"/>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5292</w:t>
            </w:r>
          </w:p>
        </w:tc>
        <w:tc>
          <w:tcPr>
            <w:tcW w:w="750" w:type="dxa"/>
            <w:shd w:val="clear" w:color="auto" w:fill="auto"/>
            <w:vAlign w:val="center"/>
          </w:tcPr>
          <w:p>
            <w:pPr>
              <w:widowControl/>
              <w:suppressAutoHyphens w:val="0"/>
              <w:spacing w:line="240" w:lineRule="exact"/>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　</w:t>
            </w:r>
          </w:p>
        </w:tc>
        <w:tc>
          <w:tcPr>
            <w:tcW w:w="873" w:type="dxa"/>
            <w:shd w:val="clear" w:color="auto" w:fill="auto"/>
            <w:vAlign w:val="center"/>
          </w:tcPr>
          <w:p>
            <w:pPr>
              <w:widowControl/>
              <w:suppressAutoHyphens w:val="0"/>
              <w:spacing w:line="240" w:lineRule="exact"/>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　</w:t>
            </w:r>
          </w:p>
        </w:tc>
        <w:tc>
          <w:tcPr>
            <w:tcW w:w="682" w:type="dxa"/>
            <w:shd w:val="clear" w:color="auto" w:fill="auto"/>
            <w:vAlign w:val="center"/>
          </w:tcPr>
          <w:p>
            <w:pPr>
              <w:widowControl/>
              <w:suppressAutoHyphens w:val="0"/>
              <w:spacing w:line="240" w:lineRule="exact"/>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　</w:t>
            </w:r>
          </w:p>
        </w:tc>
        <w:tc>
          <w:tcPr>
            <w:tcW w:w="668" w:type="dxa"/>
            <w:shd w:val="clear" w:color="auto" w:fill="auto"/>
            <w:vAlign w:val="center"/>
          </w:tcPr>
          <w:p>
            <w:pPr>
              <w:widowControl/>
              <w:suppressAutoHyphens w:val="0"/>
              <w:spacing w:line="240" w:lineRule="exact"/>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　</w:t>
            </w:r>
          </w:p>
        </w:tc>
        <w:tc>
          <w:tcPr>
            <w:tcW w:w="576" w:type="dxa"/>
            <w:shd w:val="clear" w:color="auto" w:fill="auto"/>
            <w:vAlign w:val="center"/>
          </w:tcPr>
          <w:p>
            <w:pPr>
              <w:widowControl/>
              <w:suppressAutoHyphens w:val="0"/>
              <w:spacing w:line="240" w:lineRule="exact"/>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6" w:hRule="atLeast"/>
          <w:jc w:val="center"/>
        </w:trPr>
        <w:tc>
          <w:tcPr>
            <w:tcW w:w="453"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71</w:t>
            </w:r>
          </w:p>
        </w:tc>
        <w:tc>
          <w:tcPr>
            <w:tcW w:w="1378"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景宁县幼儿园工程</w:t>
            </w:r>
          </w:p>
        </w:tc>
        <w:tc>
          <w:tcPr>
            <w:tcW w:w="913"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幼儿园</w:t>
            </w:r>
          </w:p>
        </w:tc>
        <w:tc>
          <w:tcPr>
            <w:tcW w:w="3191"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建设城西等8个幼儿园</w:t>
            </w:r>
          </w:p>
        </w:tc>
        <w:tc>
          <w:tcPr>
            <w:tcW w:w="927"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　</w:t>
            </w:r>
          </w:p>
        </w:tc>
        <w:tc>
          <w:tcPr>
            <w:tcW w:w="737"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新建</w:t>
            </w:r>
          </w:p>
        </w:tc>
        <w:tc>
          <w:tcPr>
            <w:tcW w:w="1091"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2021—2025</w:t>
            </w:r>
          </w:p>
        </w:tc>
        <w:tc>
          <w:tcPr>
            <w:tcW w:w="1132"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 xml:space="preserve">1.80 </w:t>
            </w:r>
          </w:p>
        </w:tc>
        <w:tc>
          <w:tcPr>
            <w:tcW w:w="1090"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 xml:space="preserve">1.77 </w:t>
            </w:r>
          </w:p>
        </w:tc>
        <w:tc>
          <w:tcPr>
            <w:tcW w:w="955"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1440</w:t>
            </w:r>
          </w:p>
        </w:tc>
        <w:tc>
          <w:tcPr>
            <w:tcW w:w="750"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小区开发商</w:t>
            </w:r>
          </w:p>
        </w:tc>
        <w:tc>
          <w:tcPr>
            <w:tcW w:w="873"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景宁县教育局</w:t>
            </w:r>
          </w:p>
        </w:tc>
        <w:tc>
          <w:tcPr>
            <w:tcW w:w="682"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实施类</w:t>
            </w:r>
          </w:p>
        </w:tc>
        <w:tc>
          <w:tcPr>
            <w:tcW w:w="668"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自建</w:t>
            </w:r>
          </w:p>
        </w:tc>
        <w:tc>
          <w:tcPr>
            <w:tcW w:w="576"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33" w:hRule="atLeast"/>
          <w:jc w:val="center"/>
        </w:trPr>
        <w:tc>
          <w:tcPr>
            <w:tcW w:w="453"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72</w:t>
            </w:r>
          </w:p>
        </w:tc>
        <w:tc>
          <w:tcPr>
            <w:tcW w:w="1378"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景宁县澄照小学</w:t>
            </w:r>
          </w:p>
        </w:tc>
        <w:tc>
          <w:tcPr>
            <w:tcW w:w="913"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小学</w:t>
            </w:r>
          </w:p>
        </w:tc>
        <w:tc>
          <w:tcPr>
            <w:tcW w:w="3191"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在澄照创业园区块，征地15100平方米，按省二类学校建设标准建设澄照小学一所，12个班级，建筑面积6000平方米。现澄照学校与职业高中互相置换办学后，小学部独立搬迁该校教学。投资估算0.8亿，增加学位540个。</w:t>
            </w:r>
          </w:p>
        </w:tc>
        <w:tc>
          <w:tcPr>
            <w:tcW w:w="927"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澄照农民创业园</w:t>
            </w:r>
          </w:p>
        </w:tc>
        <w:tc>
          <w:tcPr>
            <w:tcW w:w="737"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新建</w:t>
            </w:r>
          </w:p>
        </w:tc>
        <w:tc>
          <w:tcPr>
            <w:tcW w:w="1091"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2022-2024</w:t>
            </w:r>
          </w:p>
        </w:tc>
        <w:tc>
          <w:tcPr>
            <w:tcW w:w="1132"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 xml:space="preserve">0.80 </w:t>
            </w:r>
          </w:p>
        </w:tc>
        <w:tc>
          <w:tcPr>
            <w:tcW w:w="1090"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 xml:space="preserve">0.80 </w:t>
            </w:r>
          </w:p>
        </w:tc>
        <w:tc>
          <w:tcPr>
            <w:tcW w:w="955"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420</w:t>
            </w:r>
          </w:p>
        </w:tc>
        <w:tc>
          <w:tcPr>
            <w:tcW w:w="750"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澄照学校</w:t>
            </w:r>
          </w:p>
        </w:tc>
        <w:tc>
          <w:tcPr>
            <w:tcW w:w="873"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景宁县教育局</w:t>
            </w:r>
          </w:p>
        </w:tc>
        <w:tc>
          <w:tcPr>
            <w:tcW w:w="682"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实施类</w:t>
            </w:r>
          </w:p>
        </w:tc>
        <w:tc>
          <w:tcPr>
            <w:tcW w:w="668"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自建</w:t>
            </w:r>
          </w:p>
        </w:tc>
        <w:tc>
          <w:tcPr>
            <w:tcW w:w="576"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49" w:hRule="atLeast"/>
          <w:jc w:val="center"/>
        </w:trPr>
        <w:tc>
          <w:tcPr>
            <w:tcW w:w="453"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73</w:t>
            </w:r>
          </w:p>
        </w:tc>
        <w:tc>
          <w:tcPr>
            <w:tcW w:w="1378"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景宁县县城小学提升工程</w:t>
            </w:r>
          </w:p>
        </w:tc>
        <w:tc>
          <w:tcPr>
            <w:tcW w:w="913"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小学</w:t>
            </w:r>
          </w:p>
        </w:tc>
        <w:tc>
          <w:tcPr>
            <w:tcW w:w="3191"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实验一小、二小、民族小学、鹤溪小学、红星小学、启文、澄照七所县城小学进行专用室、食堂、体育馆、游泳馆、文化建设、灯光等改造提升。主要有：实验一小扩建食堂体育楼，实验二小食堂改造，民族小学游泳馆，红星小学、启文小学、澄照小学文化建设，灯光改造等</w:t>
            </w:r>
          </w:p>
        </w:tc>
        <w:tc>
          <w:tcPr>
            <w:tcW w:w="927"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县城各小学</w:t>
            </w:r>
          </w:p>
        </w:tc>
        <w:tc>
          <w:tcPr>
            <w:tcW w:w="737"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改扩建</w:t>
            </w:r>
          </w:p>
        </w:tc>
        <w:tc>
          <w:tcPr>
            <w:tcW w:w="1091"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2022-2023</w:t>
            </w:r>
          </w:p>
        </w:tc>
        <w:tc>
          <w:tcPr>
            <w:tcW w:w="1132"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 xml:space="preserve">0.10 </w:t>
            </w:r>
          </w:p>
        </w:tc>
        <w:tc>
          <w:tcPr>
            <w:tcW w:w="1090"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 xml:space="preserve">0.10 </w:t>
            </w:r>
          </w:p>
        </w:tc>
        <w:tc>
          <w:tcPr>
            <w:tcW w:w="955"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　</w:t>
            </w:r>
          </w:p>
        </w:tc>
        <w:tc>
          <w:tcPr>
            <w:tcW w:w="750"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各县城学校</w:t>
            </w:r>
          </w:p>
        </w:tc>
        <w:tc>
          <w:tcPr>
            <w:tcW w:w="873"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景宁县教育局</w:t>
            </w:r>
          </w:p>
        </w:tc>
        <w:tc>
          <w:tcPr>
            <w:tcW w:w="682"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实施类</w:t>
            </w:r>
          </w:p>
        </w:tc>
        <w:tc>
          <w:tcPr>
            <w:tcW w:w="668"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自建</w:t>
            </w:r>
          </w:p>
        </w:tc>
        <w:tc>
          <w:tcPr>
            <w:tcW w:w="576"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29" w:hRule="atLeast"/>
          <w:jc w:val="center"/>
        </w:trPr>
        <w:tc>
          <w:tcPr>
            <w:tcW w:w="453" w:type="dxa"/>
            <w:shd w:val="clear" w:color="auto" w:fill="auto"/>
            <w:vAlign w:val="center"/>
          </w:tcPr>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序号</w:t>
            </w:r>
          </w:p>
        </w:tc>
        <w:tc>
          <w:tcPr>
            <w:tcW w:w="1378" w:type="dxa"/>
            <w:shd w:val="clear" w:color="auto" w:fill="auto"/>
            <w:vAlign w:val="center"/>
          </w:tcPr>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项目名称</w:t>
            </w:r>
          </w:p>
        </w:tc>
        <w:tc>
          <w:tcPr>
            <w:tcW w:w="913" w:type="dxa"/>
            <w:shd w:val="clear" w:color="auto" w:fill="auto"/>
            <w:vAlign w:val="center"/>
          </w:tcPr>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学段</w:t>
            </w:r>
          </w:p>
        </w:tc>
        <w:tc>
          <w:tcPr>
            <w:tcW w:w="3191" w:type="dxa"/>
            <w:shd w:val="clear" w:color="auto" w:fill="auto"/>
            <w:vAlign w:val="center"/>
          </w:tcPr>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建设规模和内容</w:t>
            </w:r>
          </w:p>
        </w:tc>
        <w:tc>
          <w:tcPr>
            <w:tcW w:w="927" w:type="dxa"/>
            <w:shd w:val="clear" w:color="auto" w:fill="auto"/>
            <w:vAlign w:val="center"/>
          </w:tcPr>
          <w:p>
            <w:pPr>
              <w:widowControl/>
              <w:suppressAutoHyphens w:val="0"/>
              <w:jc w:val="center"/>
              <w:rPr>
                <w:rFonts w:hint="eastAsia"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建设</w:t>
            </w:r>
          </w:p>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地点</w:t>
            </w:r>
          </w:p>
        </w:tc>
        <w:tc>
          <w:tcPr>
            <w:tcW w:w="737" w:type="dxa"/>
            <w:shd w:val="clear" w:color="auto" w:fill="auto"/>
            <w:vAlign w:val="center"/>
          </w:tcPr>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建设性质</w:t>
            </w:r>
          </w:p>
        </w:tc>
        <w:tc>
          <w:tcPr>
            <w:tcW w:w="1091" w:type="dxa"/>
            <w:shd w:val="clear" w:color="auto" w:fill="auto"/>
            <w:vAlign w:val="center"/>
          </w:tcPr>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起止年限</w:t>
            </w:r>
          </w:p>
        </w:tc>
        <w:tc>
          <w:tcPr>
            <w:tcW w:w="1132" w:type="dxa"/>
            <w:shd w:val="clear" w:color="auto" w:fill="auto"/>
            <w:vAlign w:val="center"/>
          </w:tcPr>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总投资（亿元）</w:t>
            </w:r>
          </w:p>
        </w:tc>
        <w:tc>
          <w:tcPr>
            <w:tcW w:w="1090" w:type="dxa"/>
            <w:shd w:val="clear" w:color="auto" w:fill="auto"/>
            <w:vAlign w:val="center"/>
          </w:tcPr>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计划投资（亿元）</w:t>
            </w:r>
          </w:p>
        </w:tc>
        <w:tc>
          <w:tcPr>
            <w:tcW w:w="955" w:type="dxa"/>
            <w:shd w:val="clear" w:color="auto" w:fill="auto"/>
            <w:vAlign w:val="center"/>
          </w:tcPr>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新增学位（个）</w:t>
            </w:r>
          </w:p>
        </w:tc>
        <w:tc>
          <w:tcPr>
            <w:tcW w:w="750" w:type="dxa"/>
            <w:shd w:val="clear" w:color="auto" w:fill="auto"/>
            <w:vAlign w:val="center"/>
          </w:tcPr>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项目业主</w:t>
            </w:r>
          </w:p>
        </w:tc>
        <w:tc>
          <w:tcPr>
            <w:tcW w:w="873" w:type="dxa"/>
            <w:shd w:val="clear" w:color="auto" w:fill="auto"/>
            <w:vAlign w:val="center"/>
          </w:tcPr>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责任单位</w:t>
            </w:r>
          </w:p>
        </w:tc>
        <w:tc>
          <w:tcPr>
            <w:tcW w:w="682" w:type="dxa"/>
            <w:shd w:val="clear" w:color="auto" w:fill="auto"/>
            <w:vAlign w:val="center"/>
          </w:tcPr>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项目类别</w:t>
            </w:r>
          </w:p>
        </w:tc>
        <w:tc>
          <w:tcPr>
            <w:tcW w:w="668" w:type="dxa"/>
            <w:shd w:val="clear" w:color="auto" w:fill="auto"/>
            <w:vAlign w:val="center"/>
          </w:tcPr>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建设模式</w:t>
            </w:r>
          </w:p>
        </w:tc>
        <w:tc>
          <w:tcPr>
            <w:tcW w:w="576" w:type="dxa"/>
            <w:shd w:val="clear" w:color="auto" w:fill="auto"/>
            <w:vAlign w:val="center"/>
          </w:tcPr>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9" w:hRule="atLeast"/>
          <w:jc w:val="center"/>
        </w:trPr>
        <w:tc>
          <w:tcPr>
            <w:tcW w:w="453"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74</w:t>
            </w:r>
          </w:p>
        </w:tc>
        <w:tc>
          <w:tcPr>
            <w:tcW w:w="1378"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景宁县乡镇中心学校提升工程</w:t>
            </w:r>
          </w:p>
        </w:tc>
        <w:tc>
          <w:tcPr>
            <w:tcW w:w="913"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小学</w:t>
            </w:r>
          </w:p>
        </w:tc>
        <w:tc>
          <w:tcPr>
            <w:tcW w:w="3191"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对沙湾镇校、九龙乡校、鸬鹚乡校、东坑乡校、景南等乡镇中心学校校园校舍进行提升改造</w:t>
            </w:r>
          </w:p>
        </w:tc>
        <w:tc>
          <w:tcPr>
            <w:tcW w:w="927"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各乡镇中心学校校园</w:t>
            </w:r>
          </w:p>
        </w:tc>
        <w:tc>
          <w:tcPr>
            <w:tcW w:w="737"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改扩建</w:t>
            </w:r>
          </w:p>
        </w:tc>
        <w:tc>
          <w:tcPr>
            <w:tcW w:w="1091"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2022-2023</w:t>
            </w:r>
          </w:p>
        </w:tc>
        <w:tc>
          <w:tcPr>
            <w:tcW w:w="1132"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 xml:space="preserve">0.10 </w:t>
            </w:r>
          </w:p>
        </w:tc>
        <w:tc>
          <w:tcPr>
            <w:tcW w:w="1090"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 xml:space="preserve">0.10 </w:t>
            </w:r>
          </w:p>
        </w:tc>
        <w:tc>
          <w:tcPr>
            <w:tcW w:w="955"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　</w:t>
            </w:r>
          </w:p>
        </w:tc>
        <w:tc>
          <w:tcPr>
            <w:tcW w:w="750"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各乡镇学校</w:t>
            </w:r>
          </w:p>
        </w:tc>
        <w:tc>
          <w:tcPr>
            <w:tcW w:w="873"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景宁县教育局</w:t>
            </w:r>
          </w:p>
        </w:tc>
        <w:tc>
          <w:tcPr>
            <w:tcW w:w="682"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实施类</w:t>
            </w:r>
          </w:p>
        </w:tc>
        <w:tc>
          <w:tcPr>
            <w:tcW w:w="668"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自建</w:t>
            </w:r>
          </w:p>
        </w:tc>
        <w:tc>
          <w:tcPr>
            <w:tcW w:w="576"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82" w:hRule="atLeast"/>
          <w:jc w:val="center"/>
        </w:trPr>
        <w:tc>
          <w:tcPr>
            <w:tcW w:w="453"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75</w:t>
            </w:r>
          </w:p>
        </w:tc>
        <w:tc>
          <w:tcPr>
            <w:tcW w:w="1378"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景宁县第二高级中学新建工程</w:t>
            </w:r>
          </w:p>
        </w:tc>
        <w:tc>
          <w:tcPr>
            <w:tcW w:w="913"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初中</w:t>
            </w:r>
          </w:p>
        </w:tc>
        <w:tc>
          <w:tcPr>
            <w:tcW w:w="3191"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在景宁中学校园旁旱塔村征地 76 亩新建景宁二中。学校规模为30个班，一期24个班，二期新增6个班。新建食堂、宿舍楼、教工宿舍楼、综合楼、行政图书楼及篮球场，总建筑面积 42000平方米，同时将原先启文教学楼改为二中教学楼，与景宁中学共用运动场、体艺馆、报告厅从而节约成本，提高场所设备使用效率</w:t>
            </w:r>
          </w:p>
        </w:tc>
        <w:tc>
          <w:tcPr>
            <w:tcW w:w="927"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景宁一东北侧围墙外旱塔村</w:t>
            </w:r>
          </w:p>
        </w:tc>
        <w:tc>
          <w:tcPr>
            <w:tcW w:w="737"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新建</w:t>
            </w:r>
          </w:p>
        </w:tc>
        <w:tc>
          <w:tcPr>
            <w:tcW w:w="1091"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2022-2024</w:t>
            </w:r>
          </w:p>
        </w:tc>
        <w:tc>
          <w:tcPr>
            <w:tcW w:w="1132"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 xml:space="preserve">5.00 </w:t>
            </w:r>
          </w:p>
        </w:tc>
        <w:tc>
          <w:tcPr>
            <w:tcW w:w="1090"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 xml:space="preserve">5.00 </w:t>
            </w:r>
          </w:p>
        </w:tc>
        <w:tc>
          <w:tcPr>
            <w:tcW w:w="955"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1440</w:t>
            </w:r>
          </w:p>
        </w:tc>
        <w:tc>
          <w:tcPr>
            <w:tcW w:w="750"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景宁中学</w:t>
            </w:r>
          </w:p>
        </w:tc>
        <w:tc>
          <w:tcPr>
            <w:tcW w:w="873"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景宁县教育局</w:t>
            </w:r>
          </w:p>
        </w:tc>
        <w:tc>
          <w:tcPr>
            <w:tcW w:w="682"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实施类</w:t>
            </w:r>
          </w:p>
        </w:tc>
        <w:tc>
          <w:tcPr>
            <w:tcW w:w="668"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自建</w:t>
            </w:r>
          </w:p>
        </w:tc>
        <w:tc>
          <w:tcPr>
            <w:tcW w:w="576" w:type="dxa"/>
            <w:shd w:val="clear" w:color="auto" w:fill="auto"/>
            <w:vAlign w:val="center"/>
          </w:tcPr>
          <w:p>
            <w:pPr>
              <w:widowControl/>
              <w:suppressAutoHyphens w:val="0"/>
              <w:spacing w:line="24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5" w:hRule="atLeast"/>
          <w:jc w:val="center"/>
        </w:trPr>
        <w:tc>
          <w:tcPr>
            <w:tcW w:w="453"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76</w:t>
            </w:r>
          </w:p>
        </w:tc>
        <w:tc>
          <w:tcPr>
            <w:tcW w:w="1378" w:type="dxa"/>
            <w:shd w:val="clear" w:color="auto" w:fill="auto"/>
            <w:vAlign w:val="center"/>
          </w:tcPr>
          <w:p>
            <w:pPr>
              <w:widowControl/>
              <w:suppressAutoHyphens w:val="0"/>
              <w:spacing w:line="26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景宁县中学段学校提升工程</w:t>
            </w:r>
          </w:p>
        </w:tc>
        <w:tc>
          <w:tcPr>
            <w:tcW w:w="913" w:type="dxa"/>
            <w:shd w:val="clear" w:color="auto" w:fill="auto"/>
            <w:vAlign w:val="center"/>
          </w:tcPr>
          <w:p>
            <w:pPr>
              <w:widowControl/>
              <w:suppressAutoHyphens w:val="0"/>
              <w:spacing w:line="26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初中</w:t>
            </w:r>
          </w:p>
        </w:tc>
        <w:tc>
          <w:tcPr>
            <w:tcW w:w="3191" w:type="dxa"/>
            <w:shd w:val="clear" w:color="auto" w:fill="auto"/>
            <w:vAlign w:val="center"/>
          </w:tcPr>
          <w:p>
            <w:pPr>
              <w:widowControl/>
              <w:suppressAutoHyphens w:val="0"/>
              <w:spacing w:line="26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对全县中学段学校进行全面提升，主要建设内容有：对景中、民中、城北、启文、沙湾中学等中学段学校进行体育设施、文化建设、宿舍食堂等</w:t>
            </w:r>
          </w:p>
        </w:tc>
        <w:tc>
          <w:tcPr>
            <w:tcW w:w="927" w:type="dxa"/>
            <w:shd w:val="clear" w:color="auto" w:fill="auto"/>
            <w:vAlign w:val="center"/>
          </w:tcPr>
          <w:p>
            <w:pPr>
              <w:widowControl/>
              <w:suppressAutoHyphens w:val="0"/>
              <w:spacing w:line="26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中学学段学校校园内</w:t>
            </w:r>
          </w:p>
        </w:tc>
        <w:tc>
          <w:tcPr>
            <w:tcW w:w="737" w:type="dxa"/>
            <w:shd w:val="clear" w:color="auto" w:fill="auto"/>
            <w:vAlign w:val="center"/>
          </w:tcPr>
          <w:p>
            <w:pPr>
              <w:widowControl/>
              <w:suppressAutoHyphens w:val="0"/>
              <w:spacing w:line="26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改扩建</w:t>
            </w:r>
          </w:p>
        </w:tc>
        <w:tc>
          <w:tcPr>
            <w:tcW w:w="1091" w:type="dxa"/>
            <w:shd w:val="clear" w:color="auto" w:fill="auto"/>
            <w:vAlign w:val="center"/>
          </w:tcPr>
          <w:p>
            <w:pPr>
              <w:widowControl/>
              <w:suppressAutoHyphens w:val="0"/>
              <w:spacing w:line="26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2022-2025</w:t>
            </w:r>
          </w:p>
        </w:tc>
        <w:tc>
          <w:tcPr>
            <w:tcW w:w="1132" w:type="dxa"/>
            <w:shd w:val="clear" w:color="auto" w:fill="auto"/>
            <w:vAlign w:val="center"/>
          </w:tcPr>
          <w:p>
            <w:pPr>
              <w:widowControl/>
              <w:suppressAutoHyphens w:val="0"/>
              <w:spacing w:line="26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 xml:space="preserve">0.50 </w:t>
            </w:r>
          </w:p>
        </w:tc>
        <w:tc>
          <w:tcPr>
            <w:tcW w:w="1090" w:type="dxa"/>
            <w:shd w:val="clear" w:color="auto" w:fill="auto"/>
            <w:vAlign w:val="center"/>
          </w:tcPr>
          <w:p>
            <w:pPr>
              <w:widowControl/>
              <w:suppressAutoHyphens w:val="0"/>
              <w:spacing w:line="26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 xml:space="preserve">0.50 </w:t>
            </w:r>
          </w:p>
        </w:tc>
        <w:tc>
          <w:tcPr>
            <w:tcW w:w="955" w:type="dxa"/>
            <w:shd w:val="clear" w:color="auto" w:fill="auto"/>
            <w:vAlign w:val="center"/>
          </w:tcPr>
          <w:p>
            <w:pPr>
              <w:widowControl/>
              <w:suppressAutoHyphens w:val="0"/>
              <w:spacing w:line="26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　</w:t>
            </w:r>
          </w:p>
        </w:tc>
        <w:tc>
          <w:tcPr>
            <w:tcW w:w="750" w:type="dxa"/>
            <w:shd w:val="clear" w:color="auto" w:fill="auto"/>
            <w:vAlign w:val="center"/>
          </w:tcPr>
          <w:p>
            <w:pPr>
              <w:widowControl/>
              <w:suppressAutoHyphens w:val="0"/>
              <w:spacing w:line="26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各中学学校</w:t>
            </w:r>
          </w:p>
        </w:tc>
        <w:tc>
          <w:tcPr>
            <w:tcW w:w="873" w:type="dxa"/>
            <w:shd w:val="clear" w:color="auto" w:fill="auto"/>
            <w:vAlign w:val="center"/>
          </w:tcPr>
          <w:p>
            <w:pPr>
              <w:widowControl/>
              <w:suppressAutoHyphens w:val="0"/>
              <w:spacing w:line="26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景宁县教育局</w:t>
            </w:r>
          </w:p>
        </w:tc>
        <w:tc>
          <w:tcPr>
            <w:tcW w:w="682" w:type="dxa"/>
            <w:shd w:val="clear" w:color="auto" w:fill="auto"/>
            <w:vAlign w:val="center"/>
          </w:tcPr>
          <w:p>
            <w:pPr>
              <w:widowControl/>
              <w:suppressAutoHyphens w:val="0"/>
              <w:spacing w:line="26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实施类</w:t>
            </w:r>
          </w:p>
        </w:tc>
        <w:tc>
          <w:tcPr>
            <w:tcW w:w="668" w:type="dxa"/>
            <w:shd w:val="clear" w:color="auto" w:fill="auto"/>
            <w:vAlign w:val="center"/>
          </w:tcPr>
          <w:p>
            <w:pPr>
              <w:widowControl/>
              <w:suppressAutoHyphens w:val="0"/>
              <w:spacing w:line="26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自建</w:t>
            </w:r>
          </w:p>
        </w:tc>
        <w:tc>
          <w:tcPr>
            <w:tcW w:w="576"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27" w:hRule="atLeast"/>
          <w:jc w:val="center"/>
        </w:trPr>
        <w:tc>
          <w:tcPr>
            <w:tcW w:w="453"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77</w:t>
            </w:r>
          </w:p>
        </w:tc>
        <w:tc>
          <w:tcPr>
            <w:tcW w:w="1378" w:type="dxa"/>
            <w:shd w:val="clear" w:color="auto" w:fill="auto"/>
            <w:vAlign w:val="center"/>
          </w:tcPr>
          <w:p>
            <w:pPr>
              <w:widowControl/>
              <w:suppressAutoHyphens w:val="0"/>
              <w:spacing w:line="30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景宁县全国少数民族职业技能培训中心暨景宁职业高级中学整体迁建工程</w:t>
            </w:r>
          </w:p>
        </w:tc>
        <w:tc>
          <w:tcPr>
            <w:tcW w:w="913" w:type="dxa"/>
            <w:shd w:val="clear" w:color="auto" w:fill="auto"/>
            <w:vAlign w:val="center"/>
          </w:tcPr>
          <w:p>
            <w:pPr>
              <w:widowControl/>
              <w:suppressAutoHyphens w:val="0"/>
              <w:spacing w:line="20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高中</w:t>
            </w:r>
          </w:p>
        </w:tc>
        <w:tc>
          <w:tcPr>
            <w:tcW w:w="3191" w:type="dxa"/>
            <w:shd w:val="clear" w:color="auto" w:fill="auto"/>
            <w:vAlign w:val="center"/>
          </w:tcPr>
          <w:p>
            <w:pPr>
              <w:widowControl/>
              <w:suppressAutoHyphens w:val="0"/>
              <w:spacing w:line="22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在澄照创业园学校东北面征地100亩，新建实训楼、宿舍楼及食堂等教学用房，改造原澄照创业园学校校舍，（澄照创业园学校与职高置换）按省一级重点职高建设标准建设，全国少数民族职业技能培训中心暨景宁职业高级中学，规模为48个教学班，可容纳学生2200名；总用地面积116667平方米，建筑面积54000平方米</w:t>
            </w:r>
          </w:p>
        </w:tc>
        <w:tc>
          <w:tcPr>
            <w:tcW w:w="927" w:type="dxa"/>
            <w:shd w:val="clear" w:color="auto" w:fill="auto"/>
            <w:vAlign w:val="center"/>
          </w:tcPr>
          <w:p>
            <w:pPr>
              <w:widowControl/>
              <w:suppressAutoHyphens w:val="0"/>
              <w:spacing w:line="20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未定</w:t>
            </w:r>
          </w:p>
        </w:tc>
        <w:tc>
          <w:tcPr>
            <w:tcW w:w="737" w:type="dxa"/>
            <w:shd w:val="clear" w:color="auto" w:fill="auto"/>
            <w:vAlign w:val="center"/>
          </w:tcPr>
          <w:p>
            <w:pPr>
              <w:widowControl/>
              <w:suppressAutoHyphens w:val="0"/>
              <w:spacing w:line="20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新建</w:t>
            </w:r>
          </w:p>
        </w:tc>
        <w:tc>
          <w:tcPr>
            <w:tcW w:w="1091" w:type="dxa"/>
            <w:shd w:val="clear" w:color="auto" w:fill="auto"/>
            <w:vAlign w:val="center"/>
          </w:tcPr>
          <w:p>
            <w:pPr>
              <w:widowControl/>
              <w:suppressAutoHyphens w:val="0"/>
              <w:spacing w:line="20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2021-2025</w:t>
            </w:r>
          </w:p>
        </w:tc>
        <w:tc>
          <w:tcPr>
            <w:tcW w:w="1132" w:type="dxa"/>
            <w:shd w:val="clear" w:color="auto" w:fill="auto"/>
            <w:vAlign w:val="center"/>
          </w:tcPr>
          <w:p>
            <w:pPr>
              <w:widowControl/>
              <w:suppressAutoHyphens w:val="0"/>
              <w:spacing w:line="20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 xml:space="preserve">4.50 </w:t>
            </w:r>
          </w:p>
        </w:tc>
        <w:tc>
          <w:tcPr>
            <w:tcW w:w="1090" w:type="dxa"/>
            <w:shd w:val="clear" w:color="auto" w:fill="auto"/>
            <w:vAlign w:val="center"/>
          </w:tcPr>
          <w:p>
            <w:pPr>
              <w:widowControl/>
              <w:suppressAutoHyphens w:val="0"/>
              <w:spacing w:line="20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 xml:space="preserve">4.50 </w:t>
            </w:r>
          </w:p>
        </w:tc>
        <w:tc>
          <w:tcPr>
            <w:tcW w:w="955" w:type="dxa"/>
            <w:shd w:val="clear" w:color="auto" w:fill="auto"/>
            <w:vAlign w:val="center"/>
          </w:tcPr>
          <w:p>
            <w:pPr>
              <w:widowControl/>
              <w:suppressAutoHyphens w:val="0"/>
              <w:spacing w:line="20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1920</w:t>
            </w:r>
          </w:p>
        </w:tc>
        <w:tc>
          <w:tcPr>
            <w:tcW w:w="750" w:type="dxa"/>
            <w:shd w:val="clear" w:color="auto" w:fill="auto"/>
            <w:vAlign w:val="center"/>
          </w:tcPr>
          <w:p>
            <w:pPr>
              <w:widowControl/>
              <w:suppressAutoHyphens w:val="0"/>
              <w:spacing w:line="20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景宁职业高级中学</w:t>
            </w:r>
          </w:p>
        </w:tc>
        <w:tc>
          <w:tcPr>
            <w:tcW w:w="873" w:type="dxa"/>
            <w:shd w:val="clear" w:color="auto" w:fill="auto"/>
            <w:vAlign w:val="center"/>
          </w:tcPr>
          <w:p>
            <w:pPr>
              <w:widowControl/>
              <w:suppressAutoHyphens w:val="0"/>
              <w:spacing w:line="20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景宁县教育局</w:t>
            </w:r>
          </w:p>
        </w:tc>
        <w:tc>
          <w:tcPr>
            <w:tcW w:w="682" w:type="dxa"/>
            <w:shd w:val="clear" w:color="auto" w:fill="auto"/>
            <w:vAlign w:val="center"/>
          </w:tcPr>
          <w:p>
            <w:pPr>
              <w:widowControl/>
              <w:suppressAutoHyphens w:val="0"/>
              <w:spacing w:line="20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实施类</w:t>
            </w:r>
          </w:p>
        </w:tc>
        <w:tc>
          <w:tcPr>
            <w:tcW w:w="668" w:type="dxa"/>
            <w:shd w:val="clear" w:color="auto" w:fill="auto"/>
            <w:vAlign w:val="center"/>
          </w:tcPr>
          <w:p>
            <w:pPr>
              <w:widowControl/>
              <w:suppressAutoHyphens w:val="0"/>
              <w:spacing w:line="20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自建</w:t>
            </w:r>
          </w:p>
        </w:tc>
        <w:tc>
          <w:tcPr>
            <w:tcW w:w="576"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4" w:hRule="atLeast"/>
          <w:jc w:val="center"/>
        </w:trPr>
        <w:tc>
          <w:tcPr>
            <w:tcW w:w="453" w:type="dxa"/>
            <w:shd w:val="clear" w:color="auto" w:fill="auto"/>
            <w:vAlign w:val="center"/>
          </w:tcPr>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序号</w:t>
            </w:r>
          </w:p>
        </w:tc>
        <w:tc>
          <w:tcPr>
            <w:tcW w:w="1378" w:type="dxa"/>
            <w:shd w:val="clear" w:color="auto" w:fill="auto"/>
            <w:vAlign w:val="center"/>
          </w:tcPr>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项目名称</w:t>
            </w:r>
          </w:p>
        </w:tc>
        <w:tc>
          <w:tcPr>
            <w:tcW w:w="913" w:type="dxa"/>
            <w:shd w:val="clear" w:color="auto" w:fill="auto"/>
            <w:vAlign w:val="center"/>
          </w:tcPr>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学段</w:t>
            </w:r>
          </w:p>
        </w:tc>
        <w:tc>
          <w:tcPr>
            <w:tcW w:w="3191" w:type="dxa"/>
            <w:shd w:val="clear" w:color="auto" w:fill="auto"/>
            <w:vAlign w:val="center"/>
          </w:tcPr>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建设规模和内容</w:t>
            </w:r>
          </w:p>
        </w:tc>
        <w:tc>
          <w:tcPr>
            <w:tcW w:w="927" w:type="dxa"/>
            <w:shd w:val="clear" w:color="auto" w:fill="auto"/>
            <w:vAlign w:val="center"/>
          </w:tcPr>
          <w:p>
            <w:pPr>
              <w:widowControl/>
              <w:suppressAutoHyphens w:val="0"/>
              <w:jc w:val="center"/>
              <w:rPr>
                <w:rFonts w:hint="eastAsia"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建设</w:t>
            </w:r>
          </w:p>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地点</w:t>
            </w:r>
          </w:p>
        </w:tc>
        <w:tc>
          <w:tcPr>
            <w:tcW w:w="737" w:type="dxa"/>
            <w:shd w:val="clear" w:color="auto" w:fill="auto"/>
            <w:vAlign w:val="center"/>
          </w:tcPr>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建设性质</w:t>
            </w:r>
          </w:p>
        </w:tc>
        <w:tc>
          <w:tcPr>
            <w:tcW w:w="1091" w:type="dxa"/>
            <w:shd w:val="clear" w:color="auto" w:fill="auto"/>
            <w:vAlign w:val="center"/>
          </w:tcPr>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起止年限</w:t>
            </w:r>
          </w:p>
        </w:tc>
        <w:tc>
          <w:tcPr>
            <w:tcW w:w="1132" w:type="dxa"/>
            <w:shd w:val="clear" w:color="auto" w:fill="auto"/>
            <w:vAlign w:val="center"/>
          </w:tcPr>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总投资（亿元）</w:t>
            </w:r>
          </w:p>
        </w:tc>
        <w:tc>
          <w:tcPr>
            <w:tcW w:w="1090" w:type="dxa"/>
            <w:shd w:val="clear" w:color="auto" w:fill="auto"/>
            <w:vAlign w:val="center"/>
          </w:tcPr>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计划投资（亿元）</w:t>
            </w:r>
          </w:p>
        </w:tc>
        <w:tc>
          <w:tcPr>
            <w:tcW w:w="955" w:type="dxa"/>
            <w:shd w:val="clear" w:color="auto" w:fill="auto"/>
            <w:vAlign w:val="center"/>
          </w:tcPr>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新增学位（个）</w:t>
            </w:r>
          </w:p>
        </w:tc>
        <w:tc>
          <w:tcPr>
            <w:tcW w:w="750" w:type="dxa"/>
            <w:shd w:val="clear" w:color="auto" w:fill="auto"/>
            <w:vAlign w:val="center"/>
          </w:tcPr>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项目业主</w:t>
            </w:r>
          </w:p>
        </w:tc>
        <w:tc>
          <w:tcPr>
            <w:tcW w:w="873" w:type="dxa"/>
            <w:shd w:val="clear" w:color="auto" w:fill="auto"/>
            <w:vAlign w:val="center"/>
          </w:tcPr>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责任单位</w:t>
            </w:r>
          </w:p>
        </w:tc>
        <w:tc>
          <w:tcPr>
            <w:tcW w:w="682" w:type="dxa"/>
            <w:shd w:val="clear" w:color="auto" w:fill="auto"/>
            <w:vAlign w:val="center"/>
          </w:tcPr>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项目类别</w:t>
            </w:r>
          </w:p>
        </w:tc>
        <w:tc>
          <w:tcPr>
            <w:tcW w:w="668" w:type="dxa"/>
            <w:shd w:val="clear" w:color="auto" w:fill="auto"/>
            <w:vAlign w:val="center"/>
          </w:tcPr>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建设模式</w:t>
            </w:r>
          </w:p>
        </w:tc>
        <w:tc>
          <w:tcPr>
            <w:tcW w:w="576" w:type="dxa"/>
            <w:shd w:val="clear" w:color="auto" w:fill="auto"/>
            <w:vAlign w:val="center"/>
          </w:tcPr>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4" w:hRule="atLeast"/>
          <w:jc w:val="center"/>
        </w:trPr>
        <w:tc>
          <w:tcPr>
            <w:tcW w:w="453"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78</w:t>
            </w:r>
          </w:p>
        </w:tc>
        <w:tc>
          <w:tcPr>
            <w:tcW w:w="1378" w:type="dxa"/>
            <w:shd w:val="clear" w:color="auto" w:fill="auto"/>
            <w:vAlign w:val="center"/>
          </w:tcPr>
          <w:p>
            <w:pPr>
              <w:widowControl/>
              <w:suppressAutoHyphens w:val="0"/>
              <w:spacing w:line="26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景宁县资源教室扩容工程</w:t>
            </w:r>
          </w:p>
        </w:tc>
        <w:tc>
          <w:tcPr>
            <w:tcW w:w="913" w:type="dxa"/>
            <w:shd w:val="clear" w:color="auto" w:fill="auto"/>
            <w:vAlign w:val="center"/>
          </w:tcPr>
          <w:p>
            <w:pPr>
              <w:widowControl/>
              <w:suppressAutoHyphens w:val="0"/>
              <w:spacing w:line="26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其他</w:t>
            </w:r>
          </w:p>
        </w:tc>
        <w:tc>
          <w:tcPr>
            <w:tcW w:w="3191" w:type="dxa"/>
            <w:shd w:val="clear" w:color="auto" w:fill="auto"/>
            <w:vAlign w:val="center"/>
          </w:tcPr>
          <w:p>
            <w:pPr>
              <w:widowControl/>
              <w:suppressAutoHyphens w:val="0"/>
              <w:spacing w:line="26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为全县各中小学校扩容资源教室，配置足够的教育资源，促进学校的可持续发展，提升内涵式发展品质</w:t>
            </w:r>
          </w:p>
        </w:tc>
        <w:tc>
          <w:tcPr>
            <w:tcW w:w="927" w:type="dxa"/>
            <w:shd w:val="clear" w:color="auto" w:fill="auto"/>
            <w:vAlign w:val="center"/>
          </w:tcPr>
          <w:p>
            <w:pPr>
              <w:widowControl/>
              <w:suppressAutoHyphens w:val="0"/>
              <w:spacing w:line="26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全县各中小学</w:t>
            </w:r>
          </w:p>
        </w:tc>
        <w:tc>
          <w:tcPr>
            <w:tcW w:w="737" w:type="dxa"/>
            <w:shd w:val="clear" w:color="auto" w:fill="auto"/>
            <w:vAlign w:val="center"/>
          </w:tcPr>
          <w:p>
            <w:pPr>
              <w:widowControl/>
              <w:suppressAutoHyphens w:val="0"/>
              <w:spacing w:line="26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改扩建</w:t>
            </w:r>
          </w:p>
        </w:tc>
        <w:tc>
          <w:tcPr>
            <w:tcW w:w="1091" w:type="dxa"/>
            <w:shd w:val="clear" w:color="auto" w:fill="auto"/>
            <w:vAlign w:val="center"/>
          </w:tcPr>
          <w:p>
            <w:pPr>
              <w:widowControl/>
              <w:suppressAutoHyphens w:val="0"/>
              <w:spacing w:line="26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2021—2025</w:t>
            </w:r>
          </w:p>
        </w:tc>
        <w:tc>
          <w:tcPr>
            <w:tcW w:w="1132" w:type="dxa"/>
            <w:shd w:val="clear" w:color="auto" w:fill="auto"/>
            <w:vAlign w:val="center"/>
          </w:tcPr>
          <w:p>
            <w:pPr>
              <w:widowControl/>
              <w:suppressAutoHyphens w:val="0"/>
              <w:spacing w:line="26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 xml:space="preserve">2.00 </w:t>
            </w:r>
          </w:p>
        </w:tc>
        <w:tc>
          <w:tcPr>
            <w:tcW w:w="1090" w:type="dxa"/>
            <w:shd w:val="clear" w:color="auto" w:fill="auto"/>
            <w:vAlign w:val="center"/>
          </w:tcPr>
          <w:p>
            <w:pPr>
              <w:widowControl/>
              <w:suppressAutoHyphens w:val="0"/>
              <w:spacing w:line="26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 xml:space="preserve">2.00 </w:t>
            </w:r>
          </w:p>
        </w:tc>
        <w:tc>
          <w:tcPr>
            <w:tcW w:w="955" w:type="dxa"/>
            <w:shd w:val="clear" w:color="auto" w:fill="auto"/>
            <w:vAlign w:val="center"/>
          </w:tcPr>
          <w:p>
            <w:pPr>
              <w:widowControl/>
              <w:suppressAutoHyphens w:val="0"/>
              <w:spacing w:line="26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　</w:t>
            </w:r>
          </w:p>
        </w:tc>
        <w:tc>
          <w:tcPr>
            <w:tcW w:w="750" w:type="dxa"/>
            <w:shd w:val="clear" w:color="auto" w:fill="auto"/>
            <w:vAlign w:val="center"/>
          </w:tcPr>
          <w:p>
            <w:pPr>
              <w:widowControl/>
              <w:suppressAutoHyphens w:val="0"/>
              <w:spacing w:line="26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各学校</w:t>
            </w:r>
          </w:p>
        </w:tc>
        <w:tc>
          <w:tcPr>
            <w:tcW w:w="873" w:type="dxa"/>
            <w:shd w:val="clear" w:color="auto" w:fill="auto"/>
            <w:vAlign w:val="center"/>
          </w:tcPr>
          <w:p>
            <w:pPr>
              <w:widowControl/>
              <w:suppressAutoHyphens w:val="0"/>
              <w:spacing w:line="26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景宁县教育局</w:t>
            </w:r>
          </w:p>
        </w:tc>
        <w:tc>
          <w:tcPr>
            <w:tcW w:w="682" w:type="dxa"/>
            <w:shd w:val="clear" w:color="auto" w:fill="auto"/>
            <w:vAlign w:val="center"/>
          </w:tcPr>
          <w:p>
            <w:pPr>
              <w:widowControl/>
              <w:suppressAutoHyphens w:val="0"/>
              <w:spacing w:line="26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实施类</w:t>
            </w:r>
          </w:p>
        </w:tc>
        <w:tc>
          <w:tcPr>
            <w:tcW w:w="668" w:type="dxa"/>
            <w:shd w:val="clear" w:color="auto" w:fill="auto"/>
            <w:vAlign w:val="center"/>
          </w:tcPr>
          <w:p>
            <w:pPr>
              <w:widowControl/>
              <w:suppressAutoHyphens w:val="0"/>
              <w:spacing w:line="26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自建</w:t>
            </w:r>
          </w:p>
        </w:tc>
        <w:tc>
          <w:tcPr>
            <w:tcW w:w="576"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6" w:hRule="atLeast"/>
          <w:jc w:val="center"/>
        </w:trPr>
        <w:tc>
          <w:tcPr>
            <w:tcW w:w="453"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79</w:t>
            </w:r>
          </w:p>
        </w:tc>
        <w:tc>
          <w:tcPr>
            <w:tcW w:w="1378" w:type="dxa"/>
            <w:shd w:val="clear" w:color="auto" w:fill="auto"/>
            <w:vAlign w:val="center"/>
          </w:tcPr>
          <w:p>
            <w:pPr>
              <w:widowControl/>
              <w:suppressAutoHyphens w:val="0"/>
              <w:spacing w:line="26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景宁县青少年科技教育中心</w:t>
            </w:r>
          </w:p>
        </w:tc>
        <w:tc>
          <w:tcPr>
            <w:tcW w:w="913" w:type="dxa"/>
            <w:shd w:val="clear" w:color="auto" w:fill="auto"/>
            <w:vAlign w:val="center"/>
          </w:tcPr>
          <w:p>
            <w:pPr>
              <w:widowControl/>
              <w:suppressAutoHyphens w:val="0"/>
              <w:spacing w:line="26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信息化</w:t>
            </w:r>
          </w:p>
        </w:tc>
        <w:tc>
          <w:tcPr>
            <w:tcW w:w="3191" w:type="dxa"/>
            <w:shd w:val="clear" w:color="auto" w:fill="auto"/>
            <w:vAlign w:val="center"/>
          </w:tcPr>
          <w:p>
            <w:pPr>
              <w:widowControl/>
              <w:suppressAutoHyphens w:val="0"/>
              <w:spacing w:line="26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新征地50亩，新建青少年科技教育中心</w:t>
            </w:r>
          </w:p>
        </w:tc>
        <w:tc>
          <w:tcPr>
            <w:tcW w:w="927" w:type="dxa"/>
            <w:shd w:val="clear" w:color="auto" w:fill="auto"/>
            <w:vAlign w:val="center"/>
          </w:tcPr>
          <w:p>
            <w:pPr>
              <w:widowControl/>
              <w:suppressAutoHyphens w:val="0"/>
              <w:spacing w:line="26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规划</w:t>
            </w:r>
          </w:p>
        </w:tc>
        <w:tc>
          <w:tcPr>
            <w:tcW w:w="737" w:type="dxa"/>
            <w:shd w:val="clear" w:color="auto" w:fill="auto"/>
            <w:vAlign w:val="center"/>
          </w:tcPr>
          <w:p>
            <w:pPr>
              <w:widowControl/>
              <w:suppressAutoHyphens w:val="0"/>
              <w:spacing w:line="26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新建</w:t>
            </w:r>
          </w:p>
        </w:tc>
        <w:tc>
          <w:tcPr>
            <w:tcW w:w="1091" w:type="dxa"/>
            <w:shd w:val="clear" w:color="auto" w:fill="auto"/>
            <w:vAlign w:val="center"/>
          </w:tcPr>
          <w:p>
            <w:pPr>
              <w:widowControl/>
              <w:suppressAutoHyphens w:val="0"/>
              <w:spacing w:line="26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2023—2025</w:t>
            </w:r>
          </w:p>
        </w:tc>
        <w:tc>
          <w:tcPr>
            <w:tcW w:w="1132" w:type="dxa"/>
            <w:shd w:val="clear" w:color="auto" w:fill="auto"/>
            <w:vAlign w:val="center"/>
          </w:tcPr>
          <w:p>
            <w:pPr>
              <w:widowControl/>
              <w:suppressAutoHyphens w:val="0"/>
              <w:spacing w:line="26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 xml:space="preserve">0.70 </w:t>
            </w:r>
          </w:p>
        </w:tc>
        <w:tc>
          <w:tcPr>
            <w:tcW w:w="1090" w:type="dxa"/>
            <w:shd w:val="clear" w:color="auto" w:fill="auto"/>
            <w:vAlign w:val="center"/>
          </w:tcPr>
          <w:p>
            <w:pPr>
              <w:widowControl/>
              <w:suppressAutoHyphens w:val="0"/>
              <w:spacing w:line="26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 xml:space="preserve">0.70 </w:t>
            </w:r>
          </w:p>
        </w:tc>
        <w:tc>
          <w:tcPr>
            <w:tcW w:w="955" w:type="dxa"/>
            <w:shd w:val="clear" w:color="auto" w:fill="auto"/>
            <w:vAlign w:val="center"/>
          </w:tcPr>
          <w:p>
            <w:pPr>
              <w:widowControl/>
              <w:suppressAutoHyphens w:val="0"/>
              <w:spacing w:line="26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　</w:t>
            </w:r>
          </w:p>
        </w:tc>
        <w:tc>
          <w:tcPr>
            <w:tcW w:w="750" w:type="dxa"/>
            <w:shd w:val="clear" w:color="auto" w:fill="auto"/>
            <w:vAlign w:val="center"/>
          </w:tcPr>
          <w:p>
            <w:pPr>
              <w:widowControl/>
              <w:suppressAutoHyphens w:val="0"/>
              <w:spacing w:line="26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景宁县教育局</w:t>
            </w:r>
          </w:p>
        </w:tc>
        <w:tc>
          <w:tcPr>
            <w:tcW w:w="873" w:type="dxa"/>
            <w:shd w:val="clear" w:color="auto" w:fill="auto"/>
            <w:vAlign w:val="center"/>
          </w:tcPr>
          <w:p>
            <w:pPr>
              <w:widowControl/>
              <w:suppressAutoHyphens w:val="0"/>
              <w:spacing w:line="26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景宁县教育局</w:t>
            </w:r>
          </w:p>
        </w:tc>
        <w:tc>
          <w:tcPr>
            <w:tcW w:w="682" w:type="dxa"/>
            <w:shd w:val="clear" w:color="auto" w:fill="auto"/>
            <w:vAlign w:val="center"/>
          </w:tcPr>
          <w:p>
            <w:pPr>
              <w:widowControl/>
              <w:suppressAutoHyphens w:val="0"/>
              <w:spacing w:line="26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实施类</w:t>
            </w:r>
          </w:p>
        </w:tc>
        <w:tc>
          <w:tcPr>
            <w:tcW w:w="668" w:type="dxa"/>
            <w:shd w:val="clear" w:color="auto" w:fill="auto"/>
            <w:vAlign w:val="center"/>
          </w:tcPr>
          <w:p>
            <w:pPr>
              <w:widowControl/>
              <w:suppressAutoHyphens w:val="0"/>
              <w:spacing w:line="26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自建</w:t>
            </w:r>
          </w:p>
        </w:tc>
        <w:tc>
          <w:tcPr>
            <w:tcW w:w="576"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69" w:hRule="atLeast"/>
          <w:jc w:val="center"/>
        </w:trPr>
        <w:tc>
          <w:tcPr>
            <w:tcW w:w="453"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80</w:t>
            </w:r>
          </w:p>
        </w:tc>
        <w:tc>
          <w:tcPr>
            <w:tcW w:w="1378" w:type="dxa"/>
            <w:shd w:val="clear" w:color="auto" w:fill="auto"/>
            <w:vAlign w:val="center"/>
          </w:tcPr>
          <w:p>
            <w:pPr>
              <w:widowControl/>
              <w:suppressAutoHyphens w:val="0"/>
              <w:spacing w:line="26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景宁县中小学生劳动教育中心</w:t>
            </w:r>
          </w:p>
        </w:tc>
        <w:tc>
          <w:tcPr>
            <w:tcW w:w="913" w:type="dxa"/>
            <w:shd w:val="clear" w:color="auto" w:fill="auto"/>
            <w:vAlign w:val="center"/>
          </w:tcPr>
          <w:p>
            <w:pPr>
              <w:widowControl/>
              <w:suppressAutoHyphens w:val="0"/>
              <w:spacing w:line="26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其他</w:t>
            </w:r>
          </w:p>
        </w:tc>
        <w:tc>
          <w:tcPr>
            <w:tcW w:w="3191" w:type="dxa"/>
            <w:shd w:val="clear" w:color="auto" w:fill="auto"/>
            <w:vAlign w:val="center"/>
          </w:tcPr>
          <w:p>
            <w:pPr>
              <w:widowControl/>
              <w:suppressAutoHyphens w:val="0"/>
              <w:spacing w:line="26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通过土流转、征（租）用等方式，获取田园山地100亩，建设教育、生活用房，购置劳动工具，新建中小学生劳动教育中心</w:t>
            </w:r>
          </w:p>
        </w:tc>
        <w:tc>
          <w:tcPr>
            <w:tcW w:w="927" w:type="dxa"/>
            <w:shd w:val="clear" w:color="auto" w:fill="auto"/>
            <w:vAlign w:val="center"/>
          </w:tcPr>
          <w:p>
            <w:pPr>
              <w:widowControl/>
              <w:suppressAutoHyphens w:val="0"/>
              <w:spacing w:line="26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各学校校园内</w:t>
            </w:r>
          </w:p>
        </w:tc>
        <w:tc>
          <w:tcPr>
            <w:tcW w:w="737" w:type="dxa"/>
            <w:shd w:val="clear" w:color="auto" w:fill="auto"/>
            <w:vAlign w:val="center"/>
          </w:tcPr>
          <w:p>
            <w:pPr>
              <w:widowControl/>
              <w:suppressAutoHyphens w:val="0"/>
              <w:spacing w:line="26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新建</w:t>
            </w:r>
          </w:p>
        </w:tc>
        <w:tc>
          <w:tcPr>
            <w:tcW w:w="1091" w:type="dxa"/>
            <w:shd w:val="clear" w:color="auto" w:fill="auto"/>
            <w:vAlign w:val="center"/>
          </w:tcPr>
          <w:p>
            <w:pPr>
              <w:widowControl/>
              <w:suppressAutoHyphens w:val="0"/>
              <w:spacing w:line="26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2022-2025</w:t>
            </w:r>
          </w:p>
        </w:tc>
        <w:tc>
          <w:tcPr>
            <w:tcW w:w="1132" w:type="dxa"/>
            <w:shd w:val="clear" w:color="auto" w:fill="auto"/>
            <w:vAlign w:val="center"/>
          </w:tcPr>
          <w:p>
            <w:pPr>
              <w:widowControl/>
              <w:suppressAutoHyphens w:val="0"/>
              <w:spacing w:line="26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 xml:space="preserve">1.50 </w:t>
            </w:r>
          </w:p>
        </w:tc>
        <w:tc>
          <w:tcPr>
            <w:tcW w:w="1090" w:type="dxa"/>
            <w:shd w:val="clear" w:color="auto" w:fill="auto"/>
            <w:vAlign w:val="center"/>
          </w:tcPr>
          <w:p>
            <w:pPr>
              <w:widowControl/>
              <w:suppressAutoHyphens w:val="0"/>
              <w:spacing w:line="26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 xml:space="preserve">1.50 </w:t>
            </w:r>
          </w:p>
        </w:tc>
        <w:tc>
          <w:tcPr>
            <w:tcW w:w="955" w:type="dxa"/>
            <w:shd w:val="clear" w:color="auto" w:fill="auto"/>
            <w:vAlign w:val="center"/>
          </w:tcPr>
          <w:p>
            <w:pPr>
              <w:widowControl/>
              <w:suppressAutoHyphens w:val="0"/>
              <w:spacing w:line="26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　</w:t>
            </w:r>
          </w:p>
        </w:tc>
        <w:tc>
          <w:tcPr>
            <w:tcW w:w="750" w:type="dxa"/>
            <w:shd w:val="clear" w:color="auto" w:fill="auto"/>
            <w:vAlign w:val="center"/>
          </w:tcPr>
          <w:p>
            <w:pPr>
              <w:widowControl/>
              <w:suppressAutoHyphens w:val="0"/>
              <w:spacing w:line="26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景宁县教育局</w:t>
            </w:r>
          </w:p>
        </w:tc>
        <w:tc>
          <w:tcPr>
            <w:tcW w:w="873" w:type="dxa"/>
            <w:shd w:val="clear" w:color="auto" w:fill="auto"/>
            <w:vAlign w:val="center"/>
          </w:tcPr>
          <w:p>
            <w:pPr>
              <w:widowControl/>
              <w:suppressAutoHyphens w:val="0"/>
              <w:spacing w:line="26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景宁县教育局</w:t>
            </w:r>
          </w:p>
        </w:tc>
        <w:tc>
          <w:tcPr>
            <w:tcW w:w="682" w:type="dxa"/>
            <w:shd w:val="clear" w:color="auto" w:fill="auto"/>
            <w:vAlign w:val="center"/>
          </w:tcPr>
          <w:p>
            <w:pPr>
              <w:widowControl/>
              <w:suppressAutoHyphens w:val="0"/>
              <w:spacing w:line="26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实施类</w:t>
            </w:r>
          </w:p>
        </w:tc>
        <w:tc>
          <w:tcPr>
            <w:tcW w:w="668" w:type="dxa"/>
            <w:shd w:val="clear" w:color="auto" w:fill="auto"/>
            <w:vAlign w:val="center"/>
          </w:tcPr>
          <w:p>
            <w:pPr>
              <w:widowControl/>
              <w:suppressAutoHyphens w:val="0"/>
              <w:spacing w:line="26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自建</w:t>
            </w:r>
          </w:p>
        </w:tc>
        <w:tc>
          <w:tcPr>
            <w:tcW w:w="576"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28" w:hRule="atLeast"/>
          <w:jc w:val="center"/>
        </w:trPr>
        <w:tc>
          <w:tcPr>
            <w:tcW w:w="453"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81</w:t>
            </w:r>
          </w:p>
        </w:tc>
        <w:tc>
          <w:tcPr>
            <w:tcW w:w="1378" w:type="dxa"/>
            <w:shd w:val="clear" w:color="auto" w:fill="auto"/>
            <w:vAlign w:val="center"/>
          </w:tcPr>
          <w:p>
            <w:pPr>
              <w:widowControl/>
              <w:suppressAutoHyphens w:val="0"/>
              <w:spacing w:line="26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景宁县浙西南野生动物科教中心</w:t>
            </w:r>
          </w:p>
        </w:tc>
        <w:tc>
          <w:tcPr>
            <w:tcW w:w="913" w:type="dxa"/>
            <w:shd w:val="clear" w:color="auto" w:fill="auto"/>
            <w:vAlign w:val="center"/>
          </w:tcPr>
          <w:p>
            <w:pPr>
              <w:widowControl/>
              <w:suppressAutoHyphens w:val="0"/>
              <w:spacing w:line="26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其他</w:t>
            </w:r>
          </w:p>
        </w:tc>
        <w:tc>
          <w:tcPr>
            <w:tcW w:w="3191" w:type="dxa"/>
            <w:shd w:val="clear" w:color="auto" w:fill="auto"/>
            <w:vAlign w:val="center"/>
          </w:tcPr>
          <w:p>
            <w:pPr>
              <w:widowControl/>
              <w:suppressAutoHyphens w:val="0"/>
              <w:spacing w:line="26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新征地10亩，对景宁中学生物馆进行整体搬迁，新建浙西南野生动物科教中心</w:t>
            </w:r>
          </w:p>
        </w:tc>
        <w:tc>
          <w:tcPr>
            <w:tcW w:w="927" w:type="dxa"/>
            <w:shd w:val="clear" w:color="auto" w:fill="auto"/>
            <w:vAlign w:val="center"/>
          </w:tcPr>
          <w:p>
            <w:pPr>
              <w:widowControl/>
              <w:suppressAutoHyphens w:val="0"/>
              <w:spacing w:line="26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未定</w:t>
            </w:r>
          </w:p>
        </w:tc>
        <w:tc>
          <w:tcPr>
            <w:tcW w:w="737" w:type="dxa"/>
            <w:shd w:val="clear" w:color="auto" w:fill="auto"/>
            <w:vAlign w:val="center"/>
          </w:tcPr>
          <w:p>
            <w:pPr>
              <w:widowControl/>
              <w:suppressAutoHyphens w:val="0"/>
              <w:spacing w:line="26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新建</w:t>
            </w:r>
          </w:p>
        </w:tc>
        <w:tc>
          <w:tcPr>
            <w:tcW w:w="1091" w:type="dxa"/>
            <w:shd w:val="clear" w:color="auto" w:fill="auto"/>
            <w:vAlign w:val="center"/>
          </w:tcPr>
          <w:p>
            <w:pPr>
              <w:widowControl/>
              <w:suppressAutoHyphens w:val="0"/>
              <w:spacing w:line="26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2022-2025</w:t>
            </w:r>
          </w:p>
        </w:tc>
        <w:tc>
          <w:tcPr>
            <w:tcW w:w="1132" w:type="dxa"/>
            <w:shd w:val="clear" w:color="auto" w:fill="auto"/>
            <w:vAlign w:val="center"/>
          </w:tcPr>
          <w:p>
            <w:pPr>
              <w:widowControl/>
              <w:suppressAutoHyphens w:val="0"/>
              <w:spacing w:line="26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 xml:space="preserve">1.00 </w:t>
            </w:r>
          </w:p>
        </w:tc>
        <w:tc>
          <w:tcPr>
            <w:tcW w:w="1090" w:type="dxa"/>
            <w:shd w:val="clear" w:color="auto" w:fill="auto"/>
            <w:vAlign w:val="center"/>
          </w:tcPr>
          <w:p>
            <w:pPr>
              <w:widowControl/>
              <w:suppressAutoHyphens w:val="0"/>
              <w:spacing w:line="26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 xml:space="preserve">1.00 </w:t>
            </w:r>
          </w:p>
        </w:tc>
        <w:tc>
          <w:tcPr>
            <w:tcW w:w="955" w:type="dxa"/>
            <w:shd w:val="clear" w:color="auto" w:fill="auto"/>
            <w:vAlign w:val="center"/>
          </w:tcPr>
          <w:p>
            <w:pPr>
              <w:widowControl/>
              <w:suppressAutoHyphens w:val="0"/>
              <w:spacing w:line="26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　</w:t>
            </w:r>
          </w:p>
        </w:tc>
        <w:tc>
          <w:tcPr>
            <w:tcW w:w="750" w:type="dxa"/>
            <w:shd w:val="clear" w:color="auto" w:fill="auto"/>
            <w:vAlign w:val="center"/>
          </w:tcPr>
          <w:p>
            <w:pPr>
              <w:widowControl/>
              <w:suppressAutoHyphens w:val="0"/>
              <w:spacing w:line="26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景宁县教育局</w:t>
            </w:r>
          </w:p>
        </w:tc>
        <w:tc>
          <w:tcPr>
            <w:tcW w:w="873" w:type="dxa"/>
            <w:shd w:val="clear" w:color="auto" w:fill="auto"/>
            <w:vAlign w:val="center"/>
          </w:tcPr>
          <w:p>
            <w:pPr>
              <w:widowControl/>
              <w:suppressAutoHyphens w:val="0"/>
              <w:spacing w:line="26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景宁县教育局</w:t>
            </w:r>
          </w:p>
        </w:tc>
        <w:tc>
          <w:tcPr>
            <w:tcW w:w="682" w:type="dxa"/>
            <w:shd w:val="clear" w:color="auto" w:fill="auto"/>
            <w:vAlign w:val="center"/>
          </w:tcPr>
          <w:p>
            <w:pPr>
              <w:widowControl/>
              <w:suppressAutoHyphens w:val="0"/>
              <w:spacing w:line="26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实施类</w:t>
            </w:r>
          </w:p>
        </w:tc>
        <w:tc>
          <w:tcPr>
            <w:tcW w:w="668" w:type="dxa"/>
            <w:shd w:val="clear" w:color="auto" w:fill="auto"/>
            <w:vAlign w:val="center"/>
          </w:tcPr>
          <w:p>
            <w:pPr>
              <w:widowControl/>
              <w:suppressAutoHyphens w:val="0"/>
              <w:spacing w:line="26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自建</w:t>
            </w:r>
          </w:p>
        </w:tc>
        <w:tc>
          <w:tcPr>
            <w:tcW w:w="576"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81" w:hRule="atLeast"/>
          <w:jc w:val="center"/>
        </w:trPr>
        <w:tc>
          <w:tcPr>
            <w:tcW w:w="453"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82</w:t>
            </w:r>
          </w:p>
        </w:tc>
        <w:tc>
          <w:tcPr>
            <w:tcW w:w="1378" w:type="dxa"/>
            <w:shd w:val="clear" w:color="auto" w:fill="auto"/>
            <w:vAlign w:val="center"/>
          </w:tcPr>
          <w:p>
            <w:pPr>
              <w:widowControl/>
              <w:suppressAutoHyphens w:val="0"/>
              <w:spacing w:line="20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景宁县成教中心</w:t>
            </w:r>
          </w:p>
        </w:tc>
        <w:tc>
          <w:tcPr>
            <w:tcW w:w="913" w:type="dxa"/>
            <w:shd w:val="clear" w:color="auto" w:fill="auto"/>
            <w:vAlign w:val="center"/>
          </w:tcPr>
          <w:p>
            <w:pPr>
              <w:widowControl/>
              <w:suppressAutoHyphens w:val="0"/>
              <w:spacing w:line="20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其他</w:t>
            </w:r>
          </w:p>
        </w:tc>
        <w:tc>
          <w:tcPr>
            <w:tcW w:w="3191" w:type="dxa"/>
            <w:shd w:val="clear" w:color="auto" w:fill="auto"/>
            <w:vAlign w:val="center"/>
          </w:tcPr>
          <w:p>
            <w:pPr>
              <w:widowControl/>
              <w:suppressAutoHyphens w:val="0"/>
              <w:spacing w:line="36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新征地30亩，新建景宁成教中心，改善景宁电大、成人文化技术学校、教育研训中心、社区学院无办公用房问题</w:t>
            </w:r>
          </w:p>
        </w:tc>
        <w:tc>
          <w:tcPr>
            <w:tcW w:w="927" w:type="dxa"/>
            <w:shd w:val="clear" w:color="auto" w:fill="auto"/>
            <w:vAlign w:val="center"/>
          </w:tcPr>
          <w:p>
            <w:pPr>
              <w:widowControl/>
              <w:suppressAutoHyphens w:val="0"/>
              <w:spacing w:line="20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未定</w:t>
            </w:r>
          </w:p>
        </w:tc>
        <w:tc>
          <w:tcPr>
            <w:tcW w:w="737" w:type="dxa"/>
            <w:shd w:val="clear" w:color="auto" w:fill="auto"/>
            <w:vAlign w:val="center"/>
          </w:tcPr>
          <w:p>
            <w:pPr>
              <w:widowControl/>
              <w:suppressAutoHyphens w:val="0"/>
              <w:spacing w:line="20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新建</w:t>
            </w:r>
          </w:p>
        </w:tc>
        <w:tc>
          <w:tcPr>
            <w:tcW w:w="1091" w:type="dxa"/>
            <w:shd w:val="clear" w:color="auto" w:fill="auto"/>
            <w:vAlign w:val="center"/>
          </w:tcPr>
          <w:p>
            <w:pPr>
              <w:widowControl/>
              <w:suppressAutoHyphens w:val="0"/>
              <w:spacing w:line="20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2022-2025</w:t>
            </w:r>
          </w:p>
        </w:tc>
        <w:tc>
          <w:tcPr>
            <w:tcW w:w="1132" w:type="dxa"/>
            <w:shd w:val="clear" w:color="auto" w:fill="auto"/>
            <w:vAlign w:val="center"/>
          </w:tcPr>
          <w:p>
            <w:pPr>
              <w:widowControl/>
              <w:suppressAutoHyphens w:val="0"/>
              <w:spacing w:line="20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 xml:space="preserve">1.80 </w:t>
            </w:r>
          </w:p>
        </w:tc>
        <w:tc>
          <w:tcPr>
            <w:tcW w:w="1090" w:type="dxa"/>
            <w:shd w:val="clear" w:color="auto" w:fill="auto"/>
            <w:vAlign w:val="center"/>
          </w:tcPr>
          <w:p>
            <w:pPr>
              <w:widowControl/>
              <w:suppressAutoHyphens w:val="0"/>
              <w:spacing w:line="20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 xml:space="preserve">1.80 </w:t>
            </w:r>
          </w:p>
        </w:tc>
        <w:tc>
          <w:tcPr>
            <w:tcW w:w="955" w:type="dxa"/>
            <w:shd w:val="clear" w:color="auto" w:fill="auto"/>
            <w:vAlign w:val="center"/>
          </w:tcPr>
          <w:p>
            <w:pPr>
              <w:widowControl/>
              <w:suppressAutoHyphens w:val="0"/>
              <w:spacing w:line="20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　</w:t>
            </w:r>
          </w:p>
        </w:tc>
        <w:tc>
          <w:tcPr>
            <w:tcW w:w="750" w:type="dxa"/>
            <w:shd w:val="clear" w:color="auto" w:fill="auto"/>
            <w:vAlign w:val="center"/>
          </w:tcPr>
          <w:p>
            <w:pPr>
              <w:widowControl/>
              <w:suppressAutoHyphens w:val="0"/>
              <w:spacing w:line="20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景宁县成技校</w:t>
            </w:r>
          </w:p>
        </w:tc>
        <w:tc>
          <w:tcPr>
            <w:tcW w:w="873" w:type="dxa"/>
            <w:shd w:val="clear" w:color="auto" w:fill="auto"/>
            <w:vAlign w:val="center"/>
          </w:tcPr>
          <w:p>
            <w:pPr>
              <w:widowControl/>
              <w:suppressAutoHyphens w:val="0"/>
              <w:spacing w:line="20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景宁县教育局</w:t>
            </w:r>
          </w:p>
        </w:tc>
        <w:tc>
          <w:tcPr>
            <w:tcW w:w="682" w:type="dxa"/>
            <w:shd w:val="clear" w:color="auto" w:fill="auto"/>
            <w:vAlign w:val="center"/>
          </w:tcPr>
          <w:p>
            <w:pPr>
              <w:widowControl/>
              <w:suppressAutoHyphens w:val="0"/>
              <w:spacing w:line="26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实施类</w:t>
            </w:r>
          </w:p>
        </w:tc>
        <w:tc>
          <w:tcPr>
            <w:tcW w:w="668" w:type="dxa"/>
            <w:shd w:val="clear" w:color="auto" w:fill="auto"/>
            <w:vAlign w:val="center"/>
          </w:tcPr>
          <w:p>
            <w:pPr>
              <w:widowControl/>
              <w:suppressAutoHyphens w:val="0"/>
              <w:spacing w:line="260" w:lineRule="exact"/>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自建</w:t>
            </w:r>
          </w:p>
        </w:tc>
        <w:tc>
          <w:tcPr>
            <w:tcW w:w="576"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1" w:hRule="atLeast"/>
          <w:jc w:val="center"/>
        </w:trPr>
        <w:tc>
          <w:tcPr>
            <w:tcW w:w="453" w:type="dxa"/>
            <w:shd w:val="clear" w:color="auto" w:fill="auto"/>
            <w:vAlign w:val="center"/>
          </w:tcPr>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序号</w:t>
            </w:r>
          </w:p>
        </w:tc>
        <w:tc>
          <w:tcPr>
            <w:tcW w:w="1378" w:type="dxa"/>
            <w:shd w:val="clear" w:color="auto" w:fill="auto"/>
            <w:vAlign w:val="center"/>
          </w:tcPr>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项目名称</w:t>
            </w:r>
          </w:p>
        </w:tc>
        <w:tc>
          <w:tcPr>
            <w:tcW w:w="913" w:type="dxa"/>
            <w:shd w:val="clear" w:color="auto" w:fill="auto"/>
            <w:vAlign w:val="center"/>
          </w:tcPr>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学段</w:t>
            </w:r>
          </w:p>
        </w:tc>
        <w:tc>
          <w:tcPr>
            <w:tcW w:w="3191" w:type="dxa"/>
            <w:shd w:val="clear" w:color="auto" w:fill="auto"/>
            <w:vAlign w:val="center"/>
          </w:tcPr>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建设规模和内容</w:t>
            </w:r>
          </w:p>
        </w:tc>
        <w:tc>
          <w:tcPr>
            <w:tcW w:w="927" w:type="dxa"/>
            <w:shd w:val="clear" w:color="auto" w:fill="auto"/>
            <w:vAlign w:val="center"/>
          </w:tcPr>
          <w:p>
            <w:pPr>
              <w:widowControl/>
              <w:suppressAutoHyphens w:val="0"/>
              <w:jc w:val="center"/>
              <w:rPr>
                <w:rFonts w:hint="eastAsia"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建设</w:t>
            </w:r>
          </w:p>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地点</w:t>
            </w:r>
          </w:p>
        </w:tc>
        <w:tc>
          <w:tcPr>
            <w:tcW w:w="737" w:type="dxa"/>
            <w:shd w:val="clear" w:color="auto" w:fill="auto"/>
            <w:vAlign w:val="center"/>
          </w:tcPr>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建设性质</w:t>
            </w:r>
          </w:p>
        </w:tc>
        <w:tc>
          <w:tcPr>
            <w:tcW w:w="1091" w:type="dxa"/>
            <w:shd w:val="clear" w:color="auto" w:fill="auto"/>
            <w:vAlign w:val="center"/>
          </w:tcPr>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起止年限</w:t>
            </w:r>
          </w:p>
        </w:tc>
        <w:tc>
          <w:tcPr>
            <w:tcW w:w="1132" w:type="dxa"/>
            <w:shd w:val="clear" w:color="auto" w:fill="auto"/>
            <w:vAlign w:val="center"/>
          </w:tcPr>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总投资（亿元）</w:t>
            </w:r>
          </w:p>
        </w:tc>
        <w:tc>
          <w:tcPr>
            <w:tcW w:w="1090" w:type="dxa"/>
            <w:shd w:val="clear" w:color="auto" w:fill="auto"/>
            <w:vAlign w:val="center"/>
          </w:tcPr>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计划投资（亿元）</w:t>
            </w:r>
          </w:p>
        </w:tc>
        <w:tc>
          <w:tcPr>
            <w:tcW w:w="955" w:type="dxa"/>
            <w:shd w:val="clear" w:color="auto" w:fill="auto"/>
            <w:vAlign w:val="center"/>
          </w:tcPr>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新增学位（个）</w:t>
            </w:r>
          </w:p>
        </w:tc>
        <w:tc>
          <w:tcPr>
            <w:tcW w:w="750" w:type="dxa"/>
            <w:shd w:val="clear" w:color="auto" w:fill="auto"/>
            <w:vAlign w:val="center"/>
          </w:tcPr>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项目业主</w:t>
            </w:r>
          </w:p>
        </w:tc>
        <w:tc>
          <w:tcPr>
            <w:tcW w:w="873" w:type="dxa"/>
            <w:shd w:val="clear" w:color="auto" w:fill="auto"/>
            <w:vAlign w:val="center"/>
          </w:tcPr>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责任单位</w:t>
            </w:r>
          </w:p>
        </w:tc>
        <w:tc>
          <w:tcPr>
            <w:tcW w:w="682" w:type="dxa"/>
            <w:shd w:val="clear" w:color="auto" w:fill="auto"/>
            <w:vAlign w:val="center"/>
          </w:tcPr>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项目类别</w:t>
            </w:r>
          </w:p>
        </w:tc>
        <w:tc>
          <w:tcPr>
            <w:tcW w:w="668" w:type="dxa"/>
            <w:shd w:val="clear" w:color="auto" w:fill="auto"/>
            <w:vAlign w:val="center"/>
          </w:tcPr>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建设模式</w:t>
            </w:r>
          </w:p>
        </w:tc>
        <w:tc>
          <w:tcPr>
            <w:tcW w:w="576" w:type="dxa"/>
            <w:shd w:val="clear" w:color="auto" w:fill="auto"/>
            <w:vAlign w:val="center"/>
          </w:tcPr>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9" w:hRule="atLeast"/>
          <w:jc w:val="center"/>
        </w:trPr>
        <w:tc>
          <w:tcPr>
            <w:tcW w:w="453"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83</w:t>
            </w:r>
          </w:p>
        </w:tc>
        <w:tc>
          <w:tcPr>
            <w:tcW w:w="1378"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景宁县培智学校迁建</w:t>
            </w:r>
          </w:p>
        </w:tc>
        <w:tc>
          <w:tcPr>
            <w:tcW w:w="913"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其他</w:t>
            </w:r>
          </w:p>
        </w:tc>
        <w:tc>
          <w:tcPr>
            <w:tcW w:w="3191"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新征地或选址，对培智进行整体搬迁。解决培智学校用房紧缺问题</w:t>
            </w:r>
          </w:p>
        </w:tc>
        <w:tc>
          <w:tcPr>
            <w:tcW w:w="927"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未定</w:t>
            </w:r>
          </w:p>
        </w:tc>
        <w:tc>
          <w:tcPr>
            <w:tcW w:w="737"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新建</w:t>
            </w:r>
          </w:p>
        </w:tc>
        <w:tc>
          <w:tcPr>
            <w:tcW w:w="1091"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2022-2025</w:t>
            </w:r>
          </w:p>
        </w:tc>
        <w:tc>
          <w:tcPr>
            <w:tcW w:w="1132"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 xml:space="preserve">0.80 </w:t>
            </w:r>
          </w:p>
        </w:tc>
        <w:tc>
          <w:tcPr>
            <w:tcW w:w="1090"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 xml:space="preserve">0.80 </w:t>
            </w:r>
          </w:p>
        </w:tc>
        <w:tc>
          <w:tcPr>
            <w:tcW w:w="955"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72</w:t>
            </w:r>
          </w:p>
        </w:tc>
        <w:tc>
          <w:tcPr>
            <w:tcW w:w="750"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景宁县培智学校</w:t>
            </w:r>
          </w:p>
        </w:tc>
        <w:tc>
          <w:tcPr>
            <w:tcW w:w="873"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景宁县教育局</w:t>
            </w:r>
          </w:p>
        </w:tc>
        <w:tc>
          <w:tcPr>
            <w:tcW w:w="682"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实施类</w:t>
            </w:r>
          </w:p>
        </w:tc>
        <w:tc>
          <w:tcPr>
            <w:tcW w:w="668"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自建</w:t>
            </w:r>
          </w:p>
        </w:tc>
        <w:tc>
          <w:tcPr>
            <w:tcW w:w="576"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81" w:hRule="atLeast"/>
          <w:jc w:val="center"/>
        </w:trPr>
        <w:tc>
          <w:tcPr>
            <w:tcW w:w="453"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84</w:t>
            </w:r>
          </w:p>
        </w:tc>
        <w:tc>
          <w:tcPr>
            <w:tcW w:w="1378"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景宁县教育部民族教育智能化试验区</w:t>
            </w:r>
          </w:p>
        </w:tc>
        <w:tc>
          <w:tcPr>
            <w:tcW w:w="913"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其他</w:t>
            </w:r>
          </w:p>
        </w:tc>
        <w:tc>
          <w:tcPr>
            <w:tcW w:w="3191"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国家教育部民族教育发展部的项目，大办发展民族地区教育教育智能化建设，景宁县作为浙江省唯一民族县，申报立项创建</w:t>
            </w:r>
          </w:p>
        </w:tc>
        <w:tc>
          <w:tcPr>
            <w:tcW w:w="927" w:type="dxa"/>
            <w:shd w:val="clear" w:color="auto" w:fill="auto"/>
            <w:vAlign w:val="center"/>
          </w:tcPr>
          <w:p>
            <w:pPr>
              <w:widowControl/>
              <w:suppressAutoHyphens w:val="0"/>
              <w:jc w:val="center"/>
              <w:rPr>
                <w:rFonts w:cs="宋体" w:asciiTheme="majorEastAsia" w:hAnsiTheme="majorEastAsia" w:eastAsiaTheme="majorEastAsia"/>
                <w:spacing w:val="-20"/>
                <w:kern w:val="0"/>
                <w:szCs w:val="21"/>
                <w:highlight w:val="none"/>
              </w:rPr>
            </w:pPr>
            <w:r>
              <w:rPr>
                <w:rFonts w:hint="eastAsia" w:cs="宋体" w:asciiTheme="majorEastAsia" w:hAnsiTheme="majorEastAsia" w:eastAsiaTheme="majorEastAsia"/>
                <w:spacing w:val="-20"/>
                <w:kern w:val="0"/>
                <w:szCs w:val="21"/>
                <w:highlight w:val="none"/>
              </w:rPr>
              <w:t>全县中小学幼儿园及成技校、电大、社区学校点等</w:t>
            </w:r>
          </w:p>
        </w:tc>
        <w:tc>
          <w:tcPr>
            <w:tcW w:w="737"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改扩建</w:t>
            </w:r>
          </w:p>
        </w:tc>
        <w:tc>
          <w:tcPr>
            <w:tcW w:w="1091"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2020-2021</w:t>
            </w:r>
          </w:p>
        </w:tc>
        <w:tc>
          <w:tcPr>
            <w:tcW w:w="1132"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 xml:space="preserve">0.60 </w:t>
            </w:r>
          </w:p>
        </w:tc>
        <w:tc>
          <w:tcPr>
            <w:tcW w:w="1090"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 xml:space="preserve">0.60 </w:t>
            </w:r>
          </w:p>
        </w:tc>
        <w:tc>
          <w:tcPr>
            <w:tcW w:w="955"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　</w:t>
            </w:r>
          </w:p>
        </w:tc>
        <w:tc>
          <w:tcPr>
            <w:tcW w:w="750"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景宁县教育局</w:t>
            </w:r>
          </w:p>
        </w:tc>
        <w:tc>
          <w:tcPr>
            <w:tcW w:w="873"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景宁县教育局</w:t>
            </w:r>
          </w:p>
        </w:tc>
        <w:tc>
          <w:tcPr>
            <w:tcW w:w="682"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实施类</w:t>
            </w:r>
          </w:p>
        </w:tc>
        <w:tc>
          <w:tcPr>
            <w:tcW w:w="668"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自建</w:t>
            </w:r>
          </w:p>
        </w:tc>
        <w:tc>
          <w:tcPr>
            <w:tcW w:w="576"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33" w:hRule="atLeast"/>
          <w:jc w:val="center"/>
        </w:trPr>
        <w:tc>
          <w:tcPr>
            <w:tcW w:w="453"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85</w:t>
            </w:r>
          </w:p>
        </w:tc>
        <w:tc>
          <w:tcPr>
            <w:tcW w:w="1378"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景宁县教育数据中心（教育魔方建设）</w:t>
            </w:r>
          </w:p>
        </w:tc>
        <w:tc>
          <w:tcPr>
            <w:tcW w:w="913"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信息化</w:t>
            </w:r>
          </w:p>
        </w:tc>
        <w:tc>
          <w:tcPr>
            <w:tcW w:w="3191"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结合教育“区县云”项目，建设数据治理和管理平台；提供数据服务交换与共享平台；建设教育业务应用的信息化平台，充分利用“大数据”及“云计算”技术，建成一个能够解决教育局业务工作开展的项目体系平台。</w:t>
            </w:r>
          </w:p>
        </w:tc>
        <w:tc>
          <w:tcPr>
            <w:tcW w:w="927"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景宁县域</w:t>
            </w:r>
          </w:p>
        </w:tc>
        <w:tc>
          <w:tcPr>
            <w:tcW w:w="737"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新建</w:t>
            </w:r>
          </w:p>
        </w:tc>
        <w:tc>
          <w:tcPr>
            <w:tcW w:w="1091"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2021-2023</w:t>
            </w:r>
          </w:p>
        </w:tc>
        <w:tc>
          <w:tcPr>
            <w:tcW w:w="1132"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 xml:space="preserve">0.28 </w:t>
            </w:r>
          </w:p>
        </w:tc>
        <w:tc>
          <w:tcPr>
            <w:tcW w:w="1090"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 xml:space="preserve">0.28 </w:t>
            </w:r>
          </w:p>
        </w:tc>
        <w:tc>
          <w:tcPr>
            <w:tcW w:w="955"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　</w:t>
            </w:r>
          </w:p>
        </w:tc>
        <w:tc>
          <w:tcPr>
            <w:tcW w:w="750"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景宁县教育局</w:t>
            </w:r>
          </w:p>
        </w:tc>
        <w:tc>
          <w:tcPr>
            <w:tcW w:w="873"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景宁县教育局</w:t>
            </w:r>
          </w:p>
        </w:tc>
        <w:tc>
          <w:tcPr>
            <w:tcW w:w="682"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实施类</w:t>
            </w:r>
          </w:p>
        </w:tc>
        <w:tc>
          <w:tcPr>
            <w:tcW w:w="668"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自建</w:t>
            </w:r>
          </w:p>
        </w:tc>
        <w:tc>
          <w:tcPr>
            <w:tcW w:w="576"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46" w:hRule="atLeast"/>
          <w:jc w:val="center"/>
        </w:trPr>
        <w:tc>
          <w:tcPr>
            <w:tcW w:w="453"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86</w:t>
            </w:r>
          </w:p>
        </w:tc>
        <w:tc>
          <w:tcPr>
            <w:tcW w:w="1378"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景宁县城北中学食堂宿舍综合楼扩建工程</w:t>
            </w:r>
          </w:p>
        </w:tc>
        <w:tc>
          <w:tcPr>
            <w:tcW w:w="913"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初中</w:t>
            </w:r>
          </w:p>
        </w:tc>
        <w:tc>
          <w:tcPr>
            <w:tcW w:w="3191"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拆除原食堂楼，新建一幢食堂宿舍综合楼，五层框架结构，用地面积4899平方米，建筑占地面积2070平方米；建筑面积9500平方米。同时对原男女生宿舍楼进行维修及更换床铺，并新建教学楼间的风雨连廊。</w:t>
            </w:r>
          </w:p>
        </w:tc>
        <w:tc>
          <w:tcPr>
            <w:tcW w:w="927"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城北中学</w:t>
            </w:r>
          </w:p>
        </w:tc>
        <w:tc>
          <w:tcPr>
            <w:tcW w:w="737"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改扩建</w:t>
            </w:r>
          </w:p>
        </w:tc>
        <w:tc>
          <w:tcPr>
            <w:tcW w:w="1091"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2021-2022</w:t>
            </w:r>
          </w:p>
        </w:tc>
        <w:tc>
          <w:tcPr>
            <w:tcW w:w="1132"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 xml:space="preserve">0.50 </w:t>
            </w:r>
          </w:p>
        </w:tc>
        <w:tc>
          <w:tcPr>
            <w:tcW w:w="1090"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 xml:space="preserve">0.50 </w:t>
            </w:r>
          </w:p>
        </w:tc>
        <w:tc>
          <w:tcPr>
            <w:tcW w:w="955"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　</w:t>
            </w:r>
          </w:p>
        </w:tc>
        <w:tc>
          <w:tcPr>
            <w:tcW w:w="750"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城北中学</w:t>
            </w:r>
          </w:p>
        </w:tc>
        <w:tc>
          <w:tcPr>
            <w:tcW w:w="873"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景宁县教育局</w:t>
            </w:r>
          </w:p>
        </w:tc>
        <w:tc>
          <w:tcPr>
            <w:tcW w:w="682"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实施类</w:t>
            </w:r>
          </w:p>
        </w:tc>
        <w:tc>
          <w:tcPr>
            <w:tcW w:w="668"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自建</w:t>
            </w:r>
          </w:p>
        </w:tc>
        <w:tc>
          <w:tcPr>
            <w:tcW w:w="576"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4" w:hRule="atLeast"/>
          <w:jc w:val="center"/>
        </w:trPr>
        <w:tc>
          <w:tcPr>
            <w:tcW w:w="453" w:type="dxa"/>
            <w:shd w:val="clear" w:color="auto" w:fill="auto"/>
            <w:vAlign w:val="center"/>
          </w:tcPr>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序号</w:t>
            </w:r>
          </w:p>
        </w:tc>
        <w:tc>
          <w:tcPr>
            <w:tcW w:w="1378" w:type="dxa"/>
            <w:shd w:val="clear" w:color="auto" w:fill="auto"/>
            <w:vAlign w:val="center"/>
          </w:tcPr>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项目名称</w:t>
            </w:r>
          </w:p>
        </w:tc>
        <w:tc>
          <w:tcPr>
            <w:tcW w:w="913" w:type="dxa"/>
            <w:shd w:val="clear" w:color="auto" w:fill="auto"/>
            <w:vAlign w:val="center"/>
          </w:tcPr>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学段</w:t>
            </w:r>
          </w:p>
        </w:tc>
        <w:tc>
          <w:tcPr>
            <w:tcW w:w="3191" w:type="dxa"/>
            <w:shd w:val="clear" w:color="auto" w:fill="auto"/>
            <w:vAlign w:val="center"/>
          </w:tcPr>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建设规模和内容</w:t>
            </w:r>
          </w:p>
        </w:tc>
        <w:tc>
          <w:tcPr>
            <w:tcW w:w="927" w:type="dxa"/>
            <w:shd w:val="clear" w:color="auto" w:fill="auto"/>
            <w:vAlign w:val="center"/>
          </w:tcPr>
          <w:p>
            <w:pPr>
              <w:widowControl/>
              <w:suppressAutoHyphens w:val="0"/>
              <w:jc w:val="center"/>
              <w:rPr>
                <w:rFonts w:hint="eastAsia"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建设</w:t>
            </w:r>
          </w:p>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地点</w:t>
            </w:r>
          </w:p>
        </w:tc>
        <w:tc>
          <w:tcPr>
            <w:tcW w:w="737" w:type="dxa"/>
            <w:shd w:val="clear" w:color="auto" w:fill="auto"/>
            <w:vAlign w:val="center"/>
          </w:tcPr>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建设性质</w:t>
            </w:r>
          </w:p>
        </w:tc>
        <w:tc>
          <w:tcPr>
            <w:tcW w:w="1091" w:type="dxa"/>
            <w:shd w:val="clear" w:color="auto" w:fill="auto"/>
            <w:vAlign w:val="center"/>
          </w:tcPr>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起止年限</w:t>
            </w:r>
          </w:p>
        </w:tc>
        <w:tc>
          <w:tcPr>
            <w:tcW w:w="1132" w:type="dxa"/>
            <w:shd w:val="clear" w:color="auto" w:fill="auto"/>
            <w:vAlign w:val="center"/>
          </w:tcPr>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总投资（亿元）</w:t>
            </w:r>
          </w:p>
        </w:tc>
        <w:tc>
          <w:tcPr>
            <w:tcW w:w="1090" w:type="dxa"/>
            <w:shd w:val="clear" w:color="auto" w:fill="auto"/>
            <w:vAlign w:val="center"/>
          </w:tcPr>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计划投资（亿元）</w:t>
            </w:r>
          </w:p>
        </w:tc>
        <w:tc>
          <w:tcPr>
            <w:tcW w:w="955" w:type="dxa"/>
            <w:shd w:val="clear" w:color="auto" w:fill="auto"/>
            <w:vAlign w:val="center"/>
          </w:tcPr>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新增学位（个）</w:t>
            </w:r>
          </w:p>
        </w:tc>
        <w:tc>
          <w:tcPr>
            <w:tcW w:w="750" w:type="dxa"/>
            <w:shd w:val="clear" w:color="auto" w:fill="auto"/>
            <w:vAlign w:val="center"/>
          </w:tcPr>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项目业主</w:t>
            </w:r>
          </w:p>
        </w:tc>
        <w:tc>
          <w:tcPr>
            <w:tcW w:w="873" w:type="dxa"/>
            <w:shd w:val="clear" w:color="auto" w:fill="auto"/>
            <w:vAlign w:val="center"/>
          </w:tcPr>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责任单位</w:t>
            </w:r>
          </w:p>
        </w:tc>
        <w:tc>
          <w:tcPr>
            <w:tcW w:w="682" w:type="dxa"/>
            <w:shd w:val="clear" w:color="auto" w:fill="auto"/>
            <w:vAlign w:val="center"/>
          </w:tcPr>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项目类别</w:t>
            </w:r>
          </w:p>
        </w:tc>
        <w:tc>
          <w:tcPr>
            <w:tcW w:w="668" w:type="dxa"/>
            <w:shd w:val="clear" w:color="auto" w:fill="auto"/>
            <w:vAlign w:val="center"/>
          </w:tcPr>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建设模式</w:t>
            </w:r>
          </w:p>
        </w:tc>
        <w:tc>
          <w:tcPr>
            <w:tcW w:w="576" w:type="dxa"/>
            <w:shd w:val="clear" w:color="auto" w:fill="auto"/>
            <w:vAlign w:val="center"/>
          </w:tcPr>
          <w:p>
            <w:pPr>
              <w:widowControl/>
              <w:suppressAutoHyphens w:val="0"/>
              <w:jc w:val="center"/>
              <w:rPr>
                <w:rFonts w:cs="宋体" w:asciiTheme="majorEastAsia" w:hAnsiTheme="majorEastAsia" w:eastAsiaTheme="majorEastAsia"/>
                <w:b/>
                <w:bCs/>
                <w:kern w:val="0"/>
                <w:szCs w:val="21"/>
                <w:highlight w:val="none"/>
              </w:rPr>
            </w:pPr>
            <w:r>
              <w:rPr>
                <w:rFonts w:hint="eastAsia" w:cs="宋体" w:asciiTheme="majorEastAsia" w:hAnsiTheme="majorEastAsia" w:eastAsiaTheme="majorEastAsia"/>
                <w:b/>
                <w:bCs/>
                <w:kern w:val="0"/>
                <w:szCs w:val="21"/>
                <w:highlight w:val="none"/>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81" w:hRule="atLeast"/>
          <w:jc w:val="center"/>
        </w:trPr>
        <w:tc>
          <w:tcPr>
            <w:tcW w:w="453"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87</w:t>
            </w:r>
          </w:p>
        </w:tc>
        <w:tc>
          <w:tcPr>
            <w:tcW w:w="1378"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景宁县英华实验学校同心楼拆建工程</w:t>
            </w:r>
          </w:p>
        </w:tc>
        <w:tc>
          <w:tcPr>
            <w:tcW w:w="913"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小学</w:t>
            </w:r>
          </w:p>
        </w:tc>
        <w:tc>
          <w:tcPr>
            <w:tcW w:w="3191"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拆建校园内学生宿舍楼（同心楼），新建50个学生宿舍房间的综合宿舍楼一幢，总建筑面积约2000平方米，同时对操场扩建、博爱楼修缮等。</w:t>
            </w:r>
          </w:p>
        </w:tc>
        <w:tc>
          <w:tcPr>
            <w:tcW w:w="927"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英华实验学校</w:t>
            </w:r>
          </w:p>
        </w:tc>
        <w:tc>
          <w:tcPr>
            <w:tcW w:w="737"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改扩建</w:t>
            </w:r>
          </w:p>
        </w:tc>
        <w:tc>
          <w:tcPr>
            <w:tcW w:w="1091"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2021-2022</w:t>
            </w:r>
          </w:p>
        </w:tc>
        <w:tc>
          <w:tcPr>
            <w:tcW w:w="1132"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 xml:space="preserve">0.12 </w:t>
            </w:r>
          </w:p>
        </w:tc>
        <w:tc>
          <w:tcPr>
            <w:tcW w:w="1090"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 xml:space="preserve">0.12 </w:t>
            </w:r>
          </w:p>
        </w:tc>
        <w:tc>
          <w:tcPr>
            <w:tcW w:w="955"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　</w:t>
            </w:r>
          </w:p>
        </w:tc>
        <w:tc>
          <w:tcPr>
            <w:tcW w:w="750"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景宁县教育局</w:t>
            </w:r>
          </w:p>
        </w:tc>
        <w:tc>
          <w:tcPr>
            <w:tcW w:w="873"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景宁县教育局</w:t>
            </w:r>
          </w:p>
        </w:tc>
        <w:tc>
          <w:tcPr>
            <w:tcW w:w="682"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实施类</w:t>
            </w:r>
          </w:p>
        </w:tc>
        <w:tc>
          <w:tcPr>
            <w:tcW w:w="668"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自建</w:t>
            </w:r>
          </w:p>
        </w:tc>
        <w:tc>
          <w:tcPr>
            <w:tcW w:w="576"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91" w:hRule="atLeast"/>
          <w:jc w:val="center"/>
        </w:trPr>
        <w:tc>
          <w:tcPr>
            <w:tcW w:w="453"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88</w:t>
            </w:r>
          </w:p>
        </w:tc>
        <w:tc>
          <w:tcPr>
            <w:tcW w:w="1378"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景宁县景宁中学基础设施提升及专用教学场所设施添置工程</w:t>
            </w:r>
          </w:p>
        </w:tc>
        <w:tc>
          <w:tcPr>
            <w:tcW w:w="913"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高中</w:t>
            </w:r>
          </w:p>
        </w:tc>
        <w:tc>
          <w:tcPr>
            <w:tcW w:w="3191"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校史教育中心建设及路灯改造、自来水改造、消除通道路面铺设沥青、行政楼维修改造。</w:t>
            </w:r>
          </w:p>
        </w:tc>
        <w:tc>
          <w:tcPr>
            <w:tcW w:w="927"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景宁中学</w:t>
            </w:r>
          </w:p>
        </w:tc>
        <w:tc>
          <w:tcPr>
            <w:tcW w:w="737"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改扩建</w:t>
            </w:r>
          </w:p>
        </w:tc>
        <w:tc>
          <w:tcPr>
            <w:tcW w:w="1091"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2021-2022</w:t>
            </w:r>
          </w:p>
        </w:tc>
        <w:tc>
          <w:tcPr>
            <w:tcW w:w="1132"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 xml:space="preserve">0.15 </w:t>
            </w:r>
          </w:p>
        </w:tc>
        <w:tc>
          <w:tcPr>
            <w:tcW w:w="1090"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 xml:space="preserve">0.15 </w:t>
            </w:r>
          </w:p>
        </w:tc>
        <w:tc>
          <w:tcPr>
            <w:tcW w:w="955"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　</w:t>
            </w:r>
          </w:p>
        </w:tc>
        <w:tc>
          <w:tcPr>
            <w:tcW w:w="750"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景宁中学</w:t>
            </w:r>
          </w:p>
        </w:tc>
        <w:tc>
          <w:tcPr>
            <w:tcW w:w="873"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景宁县教育局</w:t>
            </w:r>
          </w:p>
        </w:tc>
        <w:tc>
          <w:tcPr>
            <w:tcW w:w="682"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实施类</w:t>
            </w:r>
          </w:p>
        </w:tc>
        <w:tc>
          <w:tcPr>
            <w:tcW w:w="668"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自建</w:t>
            </w:r>
          </w:p>
        </w:tc>
        <w:tc>
          <w:tcPr>
            <w:tcW w:w="576"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4" w:hRule="atLeast"/>
          <w:jc w:val="center"/>
        </w:trPr>
        <w:tc>
          <w:tcPr>
            <w:tcW w:w="453"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89</w:t>
            </w:r>
          </w:p>
        </w:tc>
        <w:tc>
          <w:tcPr>
            <w:tcW w:w="1378"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景宁县民族中学专用教室楼扩建工程</w:t>
            </w:r>
          </w:p>
        </w:tc>
        <w:tc>
          <w:tcPr>
            <w:tcW w:w="913"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初中</w:t>
            </w:r>
          </w:p>
        </w:tc>
        <w:tc>
          <w:tcPr>
            <w:tcW w:w="3191"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增加教工休息室、办公室、会议室、开放书吧、微格听课教室、数字化地理星球功能室1个、功能教室4个、走班选课教室2个、办公室6个、国学古典文化功能室1个，建筑面积约1800平方米。并对校园内道路等进行改造。</w:t>
            </w:r>
          </w:p>
        </w:tc>
        <w:tc>
          <w:tcPr>
            <w:tcW w:w="927"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民族中学</w:t>
            </w:r>
          </w:p>
        </w:tc>
        <w:tc>
          <w:tcPr>
            <w:tcW w:w="737"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改扩建</w:t>
            </w:r>
          </w:p>
        </w:tc>
        <w:tc>
          <w:tcPr>
            <w:tcW w:w="1091"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2021-2022</w:t>
            </w:r>
          </w:p>
        </w:tc>
        <w:tc>
          <w:tcPr>
            <w:tcW w:w="1132"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 xml:space="preserve">0.19 </w:t>
            </w:r>
          </w:p>
        </w:tc>
        <w:tc>
          <w:tcPr>
            <w:tcW w:w="1090"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 xml:space="preserve">0.19 </w:t>
            </w:r>
          </w:p>
        </w:tc>
        <w:tc>
          <w:tcPr>
            <w:tcW w:w="955"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　</w:t>
            </w:r>
          </w:p>
        </w:tc>
        <w:tc>
          <w:tcPr>
            <w:tcW w:w="750"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民族中学</w:t>
            </w:r>
          </w:p>
        </w:tc>
        <w:tc>
          <w:tcPr>
            <w:tcW w:w="873"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景宁县教育局</w:t>
            </w:r>
          </w:p>
        </w:tc>
        <w:tc>
          <w:tcPr>
            <w:tcW w:w="682"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实施类</w:t>
            </w:r>
          </w:p>
        </w:tc>
        <w:tc>
          <w:tcPr>
            <w:tcW w:w="668"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自建</w:t>
            </w:r>
          </w:p>
        </w:tc>
        <w:tc>
          <w:tcPr>
            <w:tcW w:w="576" w:type="dxa"/>
            <w:shd w:val="clear" w:color="auto" w:fill="auto"/>
            <w:vAlign w:val="center"/>
          </w:tcPr>
          <w:p>
            <w:pPr>
              <w:widowControl/>
              <w:suppressAutoHyphens w:val="0"/>
              <w:jc w:val="center"/>
              <w:rPr>
                <w:rFonts w:cs="宋体" w:asciiTheme="majorEastAsia" w:hAnsiTheme="majorEastAsia" w:eastAsiaTheme="majorEastAsia"/>
                <w:kern w:val="0"/>
                <w:szCs w:val="21"/>
                <w:highlight w:val="none"/>
              </w:rPr>
            </w:pPr>
            <w:r>
              <w:rPr>
                <w:rFonts w:hint="eastAsia" w:cs="宋体" w:asciiTheme="majorEastAsia" w:hAnsiTheme="majorEastAsia" w:eastAsiaTheme="majorEastAsia"/>
                <w:kern w:val="0"/>
                <w:szCs w:val="21"/>
                <w:highlight w:val="none"/>
              </w:rPr>
              <w:t>　</w:t>
            </w:r>
          </w:p>
        </w:tc>
      </w:tr>
    </w:tbl>
    <w:p>
      <w:pPr>
        <w:pStyle w:val="27"/>
        <w:spacing w:line="240" w:lineRule="exact"/>
        <w:ind w:firstLine="627" w:firstLineChars="196"/>
        <w:rPr>
          <w:rFonts w:ascii="Times New Roman" w:hAnsi="Times New Roman" w:eastAsia="仿宋_GB2312"/>
          <w:sz w:val="32"/>
          <w:szCs w:val="32"/>
          <w:highlight w:val="none"/>
        </w:rPr>
      </w:pPr>
    </w:p>
    <w:sectPr>
      <w:pgSz w:w="16838" w:h="11906" w:orient="landscape"/>
      <w:pgMar w:top="1797" w:right="1440" w:bottom="1797" w:left="1440" w:header="851" w:footer="992" w:gutter="0"/>
      <w:cols w:space="425" w:num="1"/>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仿宋_GB2312">
    <w:panose1 w:val="02010609030101010101"/>
    <w:charset w:val="86"/>
    <w:family w:val="modern"/>
    <w:pitch w:val="default"/>
    <w:sig w:usb0="00000001" w:usb1="080E0000" w:usb2="00000000" w:usb3="00000000" w:csb0="00040000" w:csb1="00000000"/>
  </w:font>
  <w:font w:name="仿宋">
    <w:panose1 w:val="02010609060101010101"/>
    <w:charset w:val="86"/>
    <w:family w:val="modern"/>
    <w:pitch w:val="default"/>
    <w:sig w:usb0="800002BF" w:usb1="38CF7CFA" w:usb2="00000016" w:usb3="00000000" w:csb0="00040001" w:csb1="00000000"/>
  </w:font>
  <w:font w:name="方正小标宋简体">
    <w:panose1 w:val="02000000000000000000"/>
    <w:charset w:val="86"/>
    <w:family w:val="script"/>
    <w:pitch w:val="default"/>
    <w:sig w:usb0="A00002BF" w:usb1="184F6CFA" w:usb2="00000012" w:usb3="00000000" w:csb0="00040001" w:csb1="00000000"/>
  </w:font>
  <w:font w:name="楷体_GB2312">
    <w:panose1 w:val="02010609030101010101"/>
    <w:charset w:val="86"/>
    <w:family w:val="modern"/>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ind w:right="360"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framePr w:wrap="around" w:vAnchor="text" w:hAnchor="margin" w:xAlign="center" w:y="1"/>
      <w:rPr>
        <w:rStyle w:val="17"/>
      </w:rPr>
    </w:pPr>
    <w:r>
      <w:rPr>
        <w:rStyle w:val="17"/>
      </w:rPr>
      <w:fldChar w:fldCharType="begin"/>
    </w:r>
    <w:r>
      <w:rPr>
        <w:rStyle w:val="17"/>
      </w:rPr>
      <w:instrText xml:space="preserve">PAGE  </w:instrText>
    </w:r>
    <w:r>
      <w:rPr>
        <w:rStyle w:val="17"/>
      </w:rPr>
      <w:fldChar w:fldCharType="end"/>
    </w:r>
  </w:p>
  <w:p>
    <w:pPr>
      <w:pStyle w:val="9"/>
      <w:ind w:right="360"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jc w:val="center"/>
    </w:pPr>
    <w:r>
      <w:fldChar w:fldCharType="begin"/>
    </w:r>
    <w:r>
      <w:instrText xml:space="preserve">PAGE   \* MERGEFORMAT</w:instrText>
    </w:r>
    <w:r>
      <w:fldChar w:fldCharType="separate"/>
    </w:r>
    <w:r>
      <w:rPr>
        <w:lang w:val="zh-CN"/>
      </w:rPr>
      <w:t>75</w:t>
    </w:r>
    <w:r>
      <w:fldChar w:fldCharType="end"/>
    </w:r>
  </w:p>
  <w:p>
    <w:pPr>
      <w:pStyle w:val="9"/>
      <w:ind w:right="360" w:firstLine="360"/>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7FC1D37"/>
    <w:multiLevelType w:val="singleLevel"/>
    <w:tmpl w:val="B7FC1D37"/>
    <w:lvl w:ilvl="0" w:tentative="0">
      <w:start w:val="1"/>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true"/>
  <w:bordersDoNotSurroundFooter w:val="true"/>
  <w:hideSpellingErrors/>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0241F"/>
    <w:rsid w:val="00010B5A"/>
    <w:rsid w:val="00014AC2"/>
    <w:rsid w:val="0003045C"/>
    <w:rsid w:val="00030D41"/>
    <w:rsid w:val="00044D73"/>
    <w:rsid w:val="0004575F"/>
    <w:rsid w:val="000465A7"/>
    <w:rsid w:val="000537E7"/>
    <w:rsid w:val="00063C92"/>
    <w:rsid w:val="000763E7"/>
    <w:rsid w:val="00080959"/>
    <w:rsid w:val="00081EA6"/>
    <w:rsid w:val="00085218"/>
    <w:rsid w:val="000C6EB1"/>
    <w:rsid w:val="000D66D9"/>
    <w:rsid w:val="0010320E"/>
    <w:rsid w:val="00104D3B"/>
    <w:rsid w:val="00132D00"/>
    <w:rsid w:val="00134BAB"/>
    <w:rsid w:val="00167D59"/>
    <w:rsid w:val="001A2AD1"/>
    <w:rsid w:val="001B2821"/>
    <w:rsid w:val="001C1E9D"/>
    <w:rsid w:val="001C26E2"/>
    <w:rsid w:val="001F3C51"/>
    <w:rsid w:val="0021188F"/>
    <w:rsid w:val="0022439F"/>
    <w:rsid w:val="00230CED"/>
    <w:rsid w:val="00235535"/>
    <w:rsid w:val="00241BE8"/>
    <w:rsid w:val="00244AC7"/>
    <w:rsid w:val="00252305"/>
    <w:rsid w:val="002527AD"/>
    <w:rsid w:val="002614BB"/>
    <w:rsid w:val="00272E59"/>
    <w:rsid w:val="00290954"/>
    <w:rsid w:val="002A1288"/>
    <w:rsid w:val="002A39DA"/>
    <w:rsid w:val="002B4FE0"/>
    <w:rsid w:val="002B7E0B"/>
    <w:rsid w:val="002B7FB9"/>
    <w:rsid w:val="002C017E"/>
    <w:rsid w:val="002C3451"/>
    <w:rsid w:val="002D5DEF"/>
    <w:rsid w:val="002F51C4"/>
    <w:rsid w:val="002F5CD4"/>
    <w:rsid w:val="00301339"/>
    <w:rsid w:val="00301C76"/>
    <w:rsid w:val="0030735D"/>
    <w:rsid w:val="00310131"/>
    <w:rsid w:val="00313C2F"/>
    <w:rsid w:val="00313DB0"/>
    <w:rsid w:val="00316359"/>
    <w:rsid w:val="00322754"/>
    <w:rsid w:val="003336D3"/>
    <w:rsid w:val="00337547"/>
    <w:rsid w:val="00337F28"/>
    <w:rsid w:val="003428DF"/>
    <w:rsid w:val="00344C95"/>
    <w:rsid w:val="003504C9"/>
    <w:rsid w:val="003561F2"/>
    <w:rsid w:val="0038086D"/>
    <w:rsid w:val="00390A63"/>
    <w:rsid w:val="003A5260"/>
    <w:rsid w:val="003B02D0"/>
    <w:rsid w:val="003B1933"/>
    <w:rsid w:val="003C560E"/>
    <w:rsid w:val="003C68F1"/>
    <w:rsid w:val="003C7851"/>
    <w:rsid w:val="003D4B58"/>
    <w:rsid w:val="003E22A0"/>
    <w:rsid w:val="003E2B8B"/>
    <w:rsid w:val="003E41C7"/>
    <w:rsid w:val="003F65F6"/>
    <w:rsid w:val="0040574C"/>
    <w:rsid w:val="0040717D"/>
    <w:rsid w:val="00413A3E"/>
    <w:rsid w:val="00437478"/>
    <w:rsid w:val="00437E89"/>
    <w:rsid w:val="00440644"/>
    <w:rsid w:val="00446BD2"/>
    <w:rsid w:val="00452628"/>
    <w:rsid w:val="00452B6A"/>
    <w:rsid w:val="00463F8D"/>
    <w:rsid w:val="0048570E"/>
    <w:rsid w:val="0049399E"/>
    <w:rsid w:val="004A1B35"/>
    <w:rsid w:val="004A2FF4"/>
    <w:rsid w:val="004A3A83"/>
    <w:rsid w:val="004A7AF7"/>
    <w:rsid w:val="004B249B"/>
    <w:rsid w:val="004E48C5"/>
    <w:rsid w:val="004E5537"/>
    <w:rsid w:val="004E6BA1"/>
    <w:rsid w:val="004F052D"/>
    <w:rsid w:val="004F6FAD"/>
    <w:rsid w:val="004F7E28"/>
    <w:rsid w:val="005061C7"/>
    <w:rsid w:val="00513152"/>
    <w:rsid w:val="00516C46"/>
    <w:rsid w:val="00520AB6"/>
    <w:rsid w:val="00525DAB"/>
    <w:rsid w:val="00532911"/>
    <w:rsid w:val="00534EAA"/>
    <w:rsid w:val="00574D3B"/>
    <w:rsid w:val="00582596"/>
    <w:rsid w:val="00591D06"/>
    <w:rsid w:val="005955D3"/>
    <w:rsid w:val="005A0E76"/>
    <w:rsid w:val="005A6A45"/>
    <w:rsid w:val="005B1BF1"/>
    <w:rsid w:val="005B445C"/>
    <w:rsid w:val="005B5391"/>
    <w:rsid w:val="005C18BF"/>
    <w:rsid w:val="005C34AC"/>
    <w:rsid w:val="005C73A8"/>
    <w:rsid w:val="005D1BF0"/>
    <w:rsid w:val="00612D40"/>
    <w:rsid w:val="006130BE"/>
    <w:rsid w:val="00615EC5"/>
    <w:rsid w:val="006178EE"/>
    <w:rsid w:val="00617DF9"/>
    <w:rsid w:val="006205DA"/>
    <w:rsid w:val="006218D9"/>
    <w:rsid w:val="00645D93"/>
    <w:rsid w:val="0065346D"/>
    <w:rsid w:val="00654F5A"/>
    <w:rsid w:val="00662C16"/>
    <w:rsid w:val="0066683E"/>
    <w:rsid w:val="00672794"/>
    <w:rsid w:val="00673FDA"/>
    <w:rsid w:val="00680CBB"/>
    <w:rsid w:val="0068110D"/>
    <w:rsid w:val="00683267"/>
    <w:rsid w:val="006A2C15"/>
    <w:rsid w:val="006D1488"/>
    <w:rsid w:val="006E6AE7"/>
    <w:rsid w:val="006E7463"/>
    <w:rsid w:val="006F6AAE"/>
    <w:rsid w:val="00716D0D"/>
    <w:rsid w:val="007321B3"/>
    <w:rsid w:val="00736FD9"/>
    <w:rsid w:val="00737530"/>
    <w:rsid w:val="00747083"/>
    <w:rsid w:val="00752A5F"/>
    <w:rsid w:val="007546EA"/>
    <w:rsid w:val="00770225"/>
    <w:rsid w:val="00776BAD"/>
    <w:rsid w:val="00780F1B"/>
    <w:rsid w:val="0078715A"/>
    <w:rsid w:val="0078727C"/>
    <w:rsid w:val="00791322"/>
    <w:rsid w:val="007A15F0"/>
    <w:rsid w:val="007A30E7"/>
    <w:rsid w:val="007B25B2"/>
    <w:rsid w:val="007B65FD"/>
    <w:rsid w:val="007C1F54"/>
    <w:rsid w:val="007E3084"/>
    <w:rsid w:val="007E489A"/>
    <w:rsid w:val="007F662A"/>
    <w:rsid w:val="00806266"/>
    <w:rsid w:val="00807AD0"/>
    <w:rsid w:val="00810A4D"/>
    <w:rsid w:val="008154CC"/>
    <w:rsid w:val="00817D73"/>
    <w:rsid w:val="0083376F"/>
    <w:rsid w:val="00833A35"/>
    <w:rsid w:val="008409EF"/>
    <w:rsid w:val="00844D83"/>
    <w:rsid w:val="008523E9"/>
    <w:rsid w:val="008527DD"/>
    <w:rsid w:val="0085537D"/>
    <w:rsid w:val="00865497"/>
    <w:rsid w:val="0086703C"/>
    <w:rsid w:val="00872821"/>
    <w:rsid w:val="00875BC8"/>
    <w:rsid w:val="00876B5B"/>
    <w:rsid w:val="00876E0E"/>
    <w:rsid w:val="0089396C"/>
    <w:rsid w:val="008A2C74"/>
    <w:rsid w:val="008A3A4C"/>
    <w:rsid w:val="008B739C"/>
    <w:rsid w:val="008C1951"/>
    <w:rsid w:val="008E301E"/>
    <w:rsid w:val="008E5A39"/>
    <w:rsid w:val="008F59A7"/>
    <w:rsid w:val="0090663E"/>
    <w:rsid w:val="0091165F"/>
    <w:rsid w:val="00913BA2"/>
    <w:rsid w:val="00916045"/>
    <w:rsid w:val="00917587"/>
    <w:rsid w:val="00924D85"/>
    <w:rsid w:val="0093020C"/>
    <w:rsid w:val="00933DC8"/>
    <w:rsid w:val="0094068E"/>
    <w:rsid w:val="009553C9"/>
    <w:rsid w:val="0096130E"/>
    <w:rsid w:val="00965DD6"/>
    <w:rsid w:val="00970C79"/>
    <w:rsid w:val="009759EC"/>
    <w:rsid w:val="00981D37"/>
    <w:rsid w:val="00992597"/>
    <w:rsid w:val="009A542C"/>
    <w:rsid w:val="009B0A3E"/>
    <w:rsid w:val="009B23D0"/>
    <w:rsid w:val="009C2D9A"/>
    <w:rsid w:val="009C6CA1"/>
    <w:rsid w:val="009C740C"/>
    <w:rsid w:val="009D243F"/>
    <w:rsid w:val="009E2E2A"/>
    <w:rsid w:val="00A079A9"/>
    <w:rsid w:val="00A14683"/>
    <w:rsid w:val="00A171F8"/>
    <w:rsid w:val="00A2022B"/>
    <w:rsid w:val="00A20901"/>
    <w:rsid w:val="00A2442B"/>
    <w:rsid w:val="00A34C3E"/>
    <w:rsid w:val="00A367CA"/>
    <w:rsid w:val="00A42D7C"/>
    <w:rsid w:val="00A51BB6"/>
    <w:rsid w:val="00A52A63"/>
    <w:rsid w:val="00A56948"/>
    <w:rsid w:val="00A573A1"/>
    <w:rsid w:val="00A62A0A"/>
    <w:rsid w:val="00A65B7C"/>
    <w:rsid w:val="00A76066"/>
    <w:rsid w:val="00A82977"/>
    <w:rsid w:val="00AA127F"/>
    <w:rsid w:val="00AA5B26"/>
    <w:rsid w:val="00AC1FF4"/>
    <w:rsid w:val="00AC22DD"/>
    <w:rsid w:val="00AC29DF"/>
    <w:rsid w:val="00AD072F"/>
    <w:rsid w:val="00AD27FE"/>
    <w:rsid w:val="00AD49F4"/>
    <w:rsid w:val="00AE0DF5"/>
    <w:rsid w:val="00AE2739"/>
    <w:rsid w:val="00AE555D"/>
    <w:rsid w:val="00AE7CD6"/>
    <w:rsid w:val="00AF5E0A"/>
    <w:rsid w:val="00AF663E"/>
    <w:rsid w:val="00AF6BF9"/>
    <w:rsid w:val="00B0094E"/>
    <w:rsid w:val="00B0241F"/>
    <w:rsid w:val="00B10C36"/>
    <w:rsid w:val="00B1697C"/>
    <w:rsid w:val="00B17609"/>
    <w:rsid w:val="00B207CF"/>
    <w:rsid w:val="00B36334"/>
    <w:rsid w:val="00B42292"/>
    <w:rsid w:val="00B427E9"/>
    <w:rsid w:val="00B45FDF"/>
    <w:rsid w:val="00B5159E"/>
    <w:rsid w:val="00B54398"/>
    <w:rsid w:val="00B8377B"/>
    <w:rsid w:val="00B91E81"/>
    <w:rsid w:val="00B975CF"/>
    <w:rsid w:val="00BA320F"/>
    <w:rsid w:val="00BC6569"/>
    <w:rsid w:val="00BC7FE7"/>
    <w:rsid w:val="00BD1A5F"/>
    <w:rsid w:val="00BF097A"/>
    <w:rsid w:val="00C13C5A"/>
    <w:rsid w:val="00C22705"/>
    <w:rsid w:val="00C30507"/>
    <w:rsid w:val="00C31F09"/>
    <w:rsid w:val="00C3640F"/>
    <w:rsid w:val="00C47F2F"/>
    <w:rsid w:val="00C50A33"/>
    <w:rsid w:val="00C543AE"/>
    <w:rsid w:val="00C55632"/>
    <w:rsid w:val="00C62D8A"/>
    <w:rsid w:val="00C765A8"/>
    <w:rsid w:val="00C8316B"/>
    <w:rsid w:val="00C940D2"/>
    <w:rsid w:val="00C95B2D"/>
    <w:rsid w:val="00CA3B9F"/>
    <w:rsid w:val="00CB1A21"/>
    <w:rsid w:val="00CC7FEB"/>
    <w:rsid w:val="00CD1112"/>
    <w:rsid w:val="00CD4F51"/>
    <w:rsid w:val="00CE0C74"/>
    <w:rsid w:val="00CE7158"/>
    <w:rsid w:val="00CF5FDA"/>
    <w:rsid w:val="00CF61D2"/>
    <w:rsid w:val="00D06B89"/>
    <w:rsid w:val="00D155D4"/>
    <w:rsid w:val="00D26DF0"/>
    <w:rsid w:val="00D43743"/>
    <w:rsid w:val="00D56680"/>
    <w:rsid w:val="00D63AC9"/>
    <w:rsid w:val="00D647B7"/>
    <w:rsid w:val="00D6555B"/>
    <w:rsid w:val="00D678CD"/>
    <w:rsid w:val="00D7274C"/>
    <w:rsid w:val="00D80B7C"/>
    <w:rsid w:val="00D94A1F"/>
    <w:rsid w:val="00DA3566"/>
    <w:rsid w:val="00DA4715"/>
    <w:rsid w:val="00DB32C8"/>
    <w:rsid w:val="00DC3E33"/>
    <w:rsid w:val="00DC5088"/>
    <w:rsid w:val="00DD2870"/>
    <w:rsid w:val="00DD68E0"/>
    <w:rsid w:val="00DD6DDA"/>
    <w:rsid w:val="00DE5468"/>
    <w:rsid w:val="00DE603F"/>
    <w:rsid w:val="00DE7A74"/>
    <w:rsid w:val="00DF1422"/>
    <w:rsid w:val="00E03020"/>
    <w:rsid w:val="00E06496"/>
    <w:rsid w:val="00E07117"/>
    <w:rsid w:val="00E13260"/>
    <w:rsid w:val="00E34261"/>
    <w:rsid w:val="00E52A5E"/>
    <w:rsid w:val="00E70EB9"/>
    <w:rsid w:val="00E907BE"/>
    <w:rsid w:val="00E93FC9"/>
    <w:rsid w:val="00EB23CC"/>
    <w:rsid w:val="00EB39B7"/>
    <w:rsid w:val="00EC5A84"/>
    <w:rsid w:val="00EC6758"/>
    <w:rsid w:val="00ED1ABB"/>
    <w:rsid w:val="00ED23A9"/>
    <w:rsid w:val="00EE3EFF"/>
    <w:rsid w:val="00EE7062"/>
    <w:rsid w:val="00EF557E"/>
    <w:rsid w:val="00F22FB5"/>
    <w:rsid w:val="00F260EB"/>
    <w:rsid w:val="00F30853"/>
    <w:rsid w:val="00F313CB"/>
    <w:rsid w:val="00F412AB"/>
    <w:rsid w:val="00F45FD7"/>
    <w:rsid w:val="00F53595"/>
    <w:rsid w:val="00F76CE6"/>
    <w:rsid w:val="00F8252C"/>
    <w:rsid w:val="00F90B85"/>
    <w:rsid w:val="00F94A22"/>
    <w:rsid w:val="00F969CC"/>
    <w:rsid w:val="00FA7761"/>
    <w:rsid w:val="00FB39B9"/>
    <w:rsid w:val="00FC62AA"/>
    <w:rsid w:val="00FE6E87"/>
    <w:rsid w:val="01E237E7"/>
    <w:rsid w:val="05185BED"/>
    <w:rsid w:val="053834C6"/>
    <w:rsid w:val="06171A39"/>
    <w:rsid w:val="07950389"/>
    <w:rsid w:val="09CB6D65"/>
    <w:rsid w:val="09E1257E"/>
    <w:rsid w:val="0A976CA9"/>
    <w:rsid w:val="0B226C04"/>
    <w:rsid w:val="0B557FA2"/>
    <w:rsid w:val="0B9C4B7D"/>
    <w:rsid w:val="0C8F30E4"/>
    <w:rsid w:val="0CCB57A0"/>
    <w:rsid w:val="0CFB52A3"/>
    <w:rsid w:val="0DE451D1"/>
    <w:rsid w:val="0EFB4CE1"/>
    <w:rsid w:val="102357A2"/>
    <w:rsid w:val="108136BF"/>
    <w:rsid w:val="11AF15F3"/>
    <w:rsid w:val="12E325F9"/>
    <w:rsid w:val="131E03C7"/>
    <w:rsid w:val="13D23E6E"/>
    <w:rsid w:val="14081F96"/>
    <w:rsid w:val="14D46C00"/>
    <w:rsid w:val="15F822EC"/>
    <w:rsid w:val="167728F5"/>
    <w:rsid w:val="16B01733"/>
    <w:rsid w:val="16B31650"/>
    <w:rsid w:val="17863FE1"/>
    <w:rsid w:val="18361E96"/>
    <w:rsid w:val="18D23571"/>
    <w:rsid w:val="19B66DEC"/>
    <w:rsid w:val="19C834C3"/>
    <w:rsid w:val="1A093F9A"/>
    <w:rsid w:val="1A3D2660"/>
    <w:rsid w:val="1B0437A3"/>
    <w:rsid w:val="1B2EA23B"/>
    <w:rsid w:val="1B472EEB"/>
    <w:rsid w:val="1B4935E1"/>
    <w:rsid w:val="1C0E1730"/>
    <w:rsid w:val="1CA7FE89"/>
    <w:rsid w:val="1D3F5916"/>
    <w:rsid w:val="1D3F6F4E"/>
    <w:rsid w:val="1DB87475"/>
    <w:rsid w:val="1DFFA119"/>
    <w:rsid w:val="1EE40BC7"/>
    <w:rsid w:val="1FA71395"/>
    <w:rsid w:val="221A38FA"/>
    <w:rsid w:val="22A505D5"/>
    <w:rsid w:val="232D2F3A"/>
    <w:rsid w:val="237FE7BA"/>
    <w:rsid w:val="23AA3E6F"/>
    <w:rsid w:val="23ED3087"/>
    <w:rsid w:val="24561BD1"/>
    <w:rsid w:val="246729F4"/>
    <w:rsid w:val="24A452B9"/>
    <w:rsid w:val="29CE0CBD"/>
    <w:rsid w:val="2A086A03"/>
    <w:rsid w:val="2B0B1100"/>
    <w:rsid w:val="2B142323"/>
    <w:rsid w:val="2C7729D8"/>
    <w:rsid w:val="2CFF01DD"/>
    <w:rsid w:val="2D14174E"/>
    <w:rsid w:val="2D616E8E"/>
    <w:rsid w:val="2FE7079B"/>
    <w:rsid w:val="3144442F"/>
    <w:rsid w:val="344133B8"/>
    <w:rsid w:val="3502096C"/>
    <w:rsid w:val="37FF7027"/>
    <w:rsid w:val="39E40657"/>
    <w:rsid w:val="3B700578"/>
    <w:rsid w:val="3BF94A56"/>
    <w:rsid w:val="3E7E073C"/>
    <w:rsid w:val="3E8B7937"/>
    <w:rsid w:val="3F226E65"/>
    <w:rsid w:val="40545342"/>
    <w:rsid w:val="415B13C7"/>
    <w:rsid w:val="42A6272D"/>
    <w:rsid w:val="430428B6"/>
    <w:rsid w:val="446554E2"/>
    <w:rsid w:val="447577FD"/>
    <w:rsid w:val="44B12C92"/>
    <w:rsid w:val="455747C0"/>
    <w:rsid w:val="45E90249"/>
    <w:rsid w:val="46966D51"/>
    <w:rsid w:val="46C8652C"/>
    <w:rsid w:val="47263958"/>
    <w:rsid w:val="47E62F72"/>
    <w:rsid w:val="48B4531A"/>
    <w:rsid w:val="498475D8"/>
    <w:rsid w:val="498B079A"/>
    <w:rsid w:val="4A8924AF"/>
    <w:rsid w:val="4CB07811"/>
    <w:rsid w:val="4ECD2399"/>
    <w:rsid w:val="4FFF1D10"/>
    <w:rsid w:val="521808DF"/>
    <w:rsid w:val="52774AE0"/>
    <w:rsid w:val="53802286"/>
    <w:rsid w:val="53FEF5E5"/>
    <w:rsid w:val="56526DE6"/>
    <w:rsid w:val="57B31BFA"/>
    <w:rsid w:val="57DFEB04"/>
    <w:rsid w:val="58D31AED"/>
    <w:rsid w:val="5A2F7B69"/>
    <w:rsid w:val="5ACA25FF"/>
    <w:rsid w:val="5AE33B8E"/>
    <w:rsid w:val="5AFB0FB2"/>
    <w:rsid w:val="5B011E6A"/>
    <w:rsid w:val="5B915748"/>
    <w:rsid w:val="5BAFF9C2"/>
    <w:rsid w:val="5BEB1171"/>
    <w:rsid w:val="5C952D17"/>
    <w:rsid w:val="5D8E25D0"/>
    <w:rsid w:val="5DC20CF4"/>
    <w:rsid w:val="5E92698F"/>
    <w:rsid w:val="5ED93331"/>
    <w:rsid w:val="5F475BAC"/>
    <w:rsid w:val="5F739405"/>
    <w:rsid w:val="5FEF4F23"/>
    <w:rsid w:val="5FFEE4BA"/>
    <w:rsid w:val="62066ED4"/>
    <w:rsid w:val="62241E05"/>
    <w:rsid w:val="623A7596"/>
    <w:rsid w:val="62580587"/>
    <w:rsid w:val="62A60860"/>
    <w:rsid w:val="62DE1316"/>
    <w:rsid w:val="62EB5320"/>
    <w:rsid w:val="634D4195"/>
    <w:rsid w:val="63631D53"/>
    <w:rsid w:val="637587BD"/>
    <w:rsid w:val="63D5544A"/>
    <w:rsid w:val="64055571"/>
    <w:rsid w:val="64853DBB"/>
    <w:rsid w:val="64CD1A9C"/>
    <w:rsid w:val="656E7163"/>
    <w:rsid w:val="65FF6247"/>
    <w:rsid w:val="66145F64"/>
    <w:rsid w:val="67972A86"/>
    <w:rsid w:val="67B9424F"/>
    <w:rsid w:val="6821047F"/>
    <w:rsid w:val="69AC223C"/>
    <w:rsid w:val="69D45E86"/>
    <w:rsid w:val="6AB70D04"/>
    <w:rsid w:val="6ACE3956"/>
    <w:rsid w:val="6BD906C2"/>
    <w:rsid w:val="6DB567A1"/>
    <w:rsid w:val="6E7D5F4F"/>
    <w:rsid w:val="6E887A54"/>
    <w:rsid w:val="6EFAB534"/>
    <w:rsid w:val="6F1145AD"/>
    <w:rsid w:val="6F615DD6"/>
    <w:rsid w:val="6FDF109D"/>
    <w:rsid w:val="6FFBAA9E"/>
    <w:rsid w:val="6FFBD560"/>
    <w:rsid w:val="704B75B0"/>
    <w:rsid w:val="73014C09"/>
    <w:rsid w:val="73A5023D"/>
    <w:rsid w:val="7484708B"/>
    <w:rsid w:val="75A14C94"/>
    <w:rsid w:val="76CB6426"/>
    <w:rsid w:val="775765C2"/>
    <w:rsid w:val="77FDFF92"/>
    <w:rsid w:val="781357DB"/>
    <w:rsid w:val="799C81EB"/>
    <w:rsid w:val="79F4688F"/>
    <w:rsid w:val="7B72E0A6"/>
    <w:rsid w:val="7BDC3DEB"/>
    <w:rsid w:val="7C520BA2"/>
    <w:rsid w:val="7CA83D45"/>
    <w:rsid w:val="7CAF2E59"/>
    <w:rsid w:val="7CBD12EE"/>
    <w:rsid w:val="7CF41B64"/>
    <w:rsid w:val="7D4E033D"/>
    <w:rsid w:val="7DD50FBB"/>
    <w:rsid w:val="7DDB4A92"/>
    <w:rsid w:val="7DDF633B"/>
    <w:rsid w:val="7EAF3D32"/>
    <w:rsid w:val="7EE41C1F"/>
    <w:rsid w:val="7F6B8D24"/>
    <w:rsid w:val="7FEBF0B2"/>
    <w:rsid w:val="7FF72B6B"/>
    <w:rsid w:val="7FF74FB9"/>
    <w:rsid w:val="7FFF15A0"/>
    <w:rsid w:val="9BFFB8F3"/>
    <w:rsid w:val="9E876C3F"/>
    <w:rsid w:val="9FBF287D"/>
    <w:rsid w:val="B579F90D"/>
    <w:rsid w:val="B7D57A3E"/>
    <w:rsid w:val="BFFE7FA8"/>
    <w:rsid w:val="C67DEC39"/>
    <w:rsid w:val="D91E2BE4"/>
    <w:rsid w:val="DCFBCA58"/>
    <w:rsid w:val="DFC68553"/>
    <w:rsid w:val="E7EF45EE"/>
    <w:rsid w:val="E9BB9B2E"/>
    <w:rsid w:val="ED7BD7B2"/>
    <w:rsid w:val="EE379F8B"/>
    <w:rsid w:val="EE615E2D"/>
    <w:rsid w:val="EFAEECBF"/>
    <w:rsid w:val="EFDBF1B4"/>
    <w:rsid w:val="F3FF7FBE"/>
    <w:rsid w:val="F5CF23B5"/>
    <w:rsid w:val="F5DBE986"/>
    <w:rsid w:val="F7FD7EF7"/>
    <w:rsid w:val="FDA7F879"/>
    <w:rsid w:val="FE7C3941"/>
    <w:rsid w:val="FF2FF94E"/>
    <w:rsid w:val="FF9F4C4E"/>
    <w:rsid w:val="FFB9CD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name="heading 2"/>
    <w:lsdException w:qFormat="1"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qFormat="1" w:unhideWhenUsed="0" w:uiPriority="99" w:semiHidden="0" w:name="Normal Indent"/>
    <w:lsdException w:uiPriority="99" w:name="footnote text"/>
    <w:lsdException w:uiPriority="99" w:name="annotation text"/>
    <w:lsdException w:qFormat="1" w:unhideWhenUsed="0" w:uiPriority="0" w:semiHidden="0" w:name="header"/>
    <w:lsdException w:qFormat="1" w:unhideWhenUsed="0" w:uiPriority="99" w:semiHidden="0" w:name="footer"/>
    <w:lsdException w:uiPriority="99" w:name="index heading"/>
    <w:lsdException w:qFormat="1" w:uiPriority="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uiPriority="99" w:name="Body Text"/>
    <w:lsdException w:qFormat="1" w:unhideWhenUsed="0"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nhideWhenUsed="0" w:uiPriority="99" w:semiHidden="0" w:name="FollowedHyperlink"/>
    <w:lsdException w:qFormat="1" w:unhideWhenUsed="0" w:uiPriority="0" w:semiHidden="0" w:name="Strong"/>
    <w:lsdException w:qFormat="1" w:unhideWhenUsed="0" w:uiPriority="0" w:semiHidden="0" w:name="Emphasis"/>
    <w:lsdException w:uiPriority="99" w:name="Document Map"/>
    <w:lsdException w:uiPriority="99" w:name="Plain Text"/>
    <w:lsdException w:uiPriority="99" w:name="E-mail Signature"/>
    <w:lsdException w:qFormat="1" w:unhideWhenUsed="0"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uppressAutoHyphens/>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21"/>
    <w:qFormat/>
    <w:uiPriority w:val="0"/>
    <w:pPr>
      <w:suppressAutoHyphens w:val="0"/>
      <w:spacing w:beforeAutospacing="1" w:afterAutospacing="1"/>
      <w:jc w:val="left"/>
      <w:outlineLvl w:val="0"/>
    </w:pPr>
    <w:rPr>
      <w:rFonts w:hint="eastAsia" w:ascii="宋体" w:hAnsi="宋体"/>
      <w:b/>
      <w:kern w:val="44"/>
      <w:sz w:val="48"/>
      <w:szCs w:val="48"/>
    </w:rPr>
  </w:style>
  <w:style w:type="paragraph" w:styleId="3">
    <w:name w:val="heading 2"/>
    <w:basedOn w:val="1"/>
    <w:next w:val="1"/>
    <w:link w:val="22"/>
    <w:semiHidden/>
    <w:unhideWhenUsed/>
    <w:qFormat/>
    <w:uiPriority w:val="9"/>
    <w:pPr>
      <w:keepNext/>
      <w:keepLines/>
      <w:spacing w:before="260" w:after="260" w:line="416" w:lineRule="auto"/>
      <w:outlineLvl w:val="1"/>
    </w:pPr>
    <w:rPr>
      <w:rFonts w:ascii="Cambria" w:hAnsi="Cambria"/>
      <w:b/>
      <w:bCs/>
      <w:sz w:val="32"/>
      <w:szCs w:val="32"/>
    </w:rPr>
  </w:style>
  <w:style w:type="paragraph" w:styleId="4">
    <w:name w:val="heading 3"/>
    <w:basedOn w:val="1"/>
    <w:next w:val="1"/>
    <w:link w:val="23"/>
    <w:unhideWhenUsed/>
    <w:qFormat/>
    <w:uiPriority w:val="9"/>
    <w:pPr>
      <w:keepNext/>
      <w:keepLines/>
      <w:suppressAutoHyphens w:val="0"/>
      <w:spacing w:before="260" w:after="260" w:line="413" w:lineRule="auto"/>
      <w:ind w:firstLine="643" w:firstLineChars="200"/>
      <w:outlineLvl w:val="2"/>
    </w:pPr>
    <w:rPr>
      <w:rFonts w:eastAsia="仿宋_GB2312"/>
      <w:b/>
      <w:sz w:val="32"/>
      <w:szCs w:val="22"/>
    </w:rPr>
  </w:style>
  <w:style w:type="character" w:default="1" w:styleId="15">
    <w:name w:val="Default Paragraph Font"/>
    <w:semiHidden/>
    <w:unhideWhenUsed/>
    <w:qFormat/>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5">
    <w:name w:val="Normal Indent"/>
    <w:basedOn w:val="1"/>
    <w:qFormat/>
    <w:uiPriority w:val="99"/>
    <w:pPr>
      <w:suppressAutoHyphens w:val="0"/>
      <w:ind w:firstLine="420" w:firstLineChars="200"/>
    </w:pPr>
    <w:rPr>
      <w:rFonts w:eastAsia="仿宋"/>
      <w:sz w:val="32"/>
    </w:rPr>
  </w:style>
  <w:style w:type="paragraph" w:styleId="6">
    <w:name w:val="Body Text Indent"/>
    <w:basedOn w:val="1"/>
    <w:next w:val="5"/>
    <w:link w:val="24"/>
    <w:qFormat/>
    <w:uiPriority w:val="99"/>
    <w:pPr>
      <w:suppressAutoHyphens w:val="0"/>
      <w:ind w:firstLine="435"/>
    </w:pPr>
    <w:rPr>
      <w:rFonts w:ascii="仿宋_GB2312" w:eastAsia="仿宋_GB2312"/>
      <w:sz w:val="28"/>
    </w:rPr>
  </w:style>
  <w:style w:type="paragraph" w:styleId="7">
    <w:name w:val="toc 3"/>
    <w:basedOn w:val="1"/>
    <w:next w:val="1"/>
    <w:unhideWhenUsed/>
    <w:qFormat/>
    <w:uiPriority w:val="39"/>
    <w:pPr>
      <w:ind w:left="840" w:leftChars="400"/>
    </w:pPr>
  </w:style>
  <w:style w:type="paragraph" w:styleId="8">
    <w:name w:val="Balloon Text"/>
    <w:basedOn w:val="1"/>
    <w:link w:val="77"/>
    <w:semiHidden/>
    <w:unhideWhenUsed/>
    <w:qFormat/>
    <w:uiPriority w:val="99"/>
    <w:rPr>
      <w:sz w:val="18"/>
      <w:szCs w:val="18"/>
    </w:rPr>
  </w:style>
  <w:style w:type="paragraph" w:styleId="9">
    <w:name w:val="footer"/>
    <w:basedOn w:val="1"/>
    <w:link w:val="25"/>
    <w:qFormat/>
    <w:uiPriority w:val="99"/>
    <w:pPr>
      <w:tabs>
        <w:tab w:val="center" w:pos="4153"/>
        <w:tab w:val="right" w:pos="8306"/>
      </w:tabs>
      <w:suppressAutoHyphens w:val="0"/>
      <w:snapToGrid w:val="0"/>
      <w:jc w:val="left"/>
    </w:pPr>
    <w:rPr>
      <w:sz w:val="18"/>
      <w:szCs w:val="18"/>
    </w:rPr>
  </w:style>
  <w:style w:type="paragraph" w:styleId="10">
    <w:name w:val="header"/>
    <w:basedOn w:val="1"/>
    <w:link w:val="26"/>
    <w:qFormat/>
    <w:uiPriority w:val="0"/>
    <w:pPr>
      <w:pBdr>
        <w:bottom w:val="single" w:color="auto" w:sz="6" w:space="1"/>
      </w:pBdr>
      <w:tabs>
        <w:tab w:val="center" w:pos="4153"/>
        <w:tab w:val="right" w:pos="8306"/>
      </w:tabs>
      <w:suppressAutoHyphens w:val="0"/>
      <w:snapToGrid w:val="0"/>
      <w:jc w:val="center"/>
    </w:pPr>
    <w:rPr>
      <w:sz w:val="18"/>
      <w:szCs w:val="18"/>
    </w:rPr>
  </w:style>
  <w:style w:type="paragraph" w:styleId="11">
    <w:name w:val="toc 1"/>
    <w:basedOn w:val="1"/>
    <w:next w:val="1"/>
    <w:unhideWhenUsed/>
    <w:qFormat/>
    <w:uiPriority w:val="39"/>
  </w:style>
  <w:style w:type="paragraph" w:styleId="12">
    <w:name w:val="toc 2"/>
    <w:basedOn w:val="1"/>
    <w:next w:val="1"/>
    <w:unhideWhenUsed/>
    <w:qFormat/>
    <w:uiPriority w:val="39"/>
    <w:pPr>
      <w:ind w:left="420" w:leftChars="200"/>
    </w:pPr>
  </w:style>
  <w:style w:type="paragraph" w:styleId="13">
    <w:name w:val="Normal (Web)"/>
    <w:basedOn w:val="1"/>
    <w:qFormat/>
    <w:uiPriority w:val="99"/>
    <w:pPr>
      <w:suppressAutoHyphens w:val="0"/>
      <w:spacing w:beforeAutospacing="1" w:afterAutospacing="1"/>
      <w:jc w:val="left"/>
    </w:pPr>
    <w:rPr>
      <w:kern w:val="0"/>
      <w:sz w:val="24"/>
    </w:rPr>
  </w:style>
  <w:style w:type="character" w:styleId="16">
    <w:name w:val="Strong"/>
    <w:basedOn w:val="15"/>
    <w:qFormat/>
    <w:uiPriority w:val="0"/>
    <w:rPr>
      <w:b/>
    </w:rPr>
  </w:style>
  <w:style w:type="character" w:styleId="17">
    <w:name w:val="page number"/>
    <w:basedOn w:val="15"/>
    <w:qFormat/>
    <w:uiPriority w:val="0"/>
  </w:style>
  <w:style w:type="character" w:styleId="18">
    <w:name w:val="FollowedHyperlink"/>
    <w:basedOn w:val="15"/>
    <w:qFormat/>
    <w:uiPriority w:val="99"/>
    <w:rPr>
      <w:color w:val="800080"/>
      <w:u w:val="single"/>
    </w:rPr>
  </w:style>
  <w:style w:type="character" w:styleId="19">
    <w:name w:val="Emphasis"/>
    <w:basedOn w:val="15"/>
    <w:qFormat/>
    <w:uiPriority w:val="0"/>
    <w:rPr>
      <w:i/>
      <w:iCs/>
    </w:rPr>
  </w:style>
  <w:style w:type="character" w:styleId="20">
    <w:name w:val="Hyperlink"/>
    <w:basedOn w:val="15"/>
    <w:qFormat/>
    <w:uiPriority w:val="99"/>
    <w:rPr>
      <w:color w:val="0000FF"/>
      <w:u w:val="single"/>
    </w:rPr>
  </w:style>
  <w:style w:type="character" w:customStyle="1" w:styleId="21">
    <w:name w:val="标题 1 Char"/>
    <w:basedOn w:val="15"/>
    <w:link w:val="2"/>
    <w:qFormat/>
    <w:uiPriority w:val="0"/>
    <w:rPr>
      <w:rFonts w:ascii="宋体" w:hAnsi="宋体"/>
      <w:b/>
      <w:kern w:val="44"/>
      <w:sz w:val="48"/>
      <w:szCs w:val="48"/>
    </w:rPr>
  </w:style>
  <w:style w:type="character" w:customStyle="1" w:styleId="22">
    <w:name w:val="标题 2 Char"/>
    <w:basedOn w:val="15"/>
    <w:link w:val="3"/>
    <w:semiHidden/>
    <w:qFormat/>
    <w:uiPriority w:val="9"/>
    <w:rPr>
      <w:rFonts w:ascii="Cambria" w:hAnsi="Cambria"/>
      <w:b/>
      <w:bCs/>
      <w:kern w:val="2"/>
      <w:sz w:val="32"/>
      <w:szCs w:val="32"/>
    </w:rPr>
  </w:style>
  <w:style w:type="character" w:customStyle="1" w:styleId="23">
    <w:name w:val="标题 3 Char"/>
    <w:basedOn w:val="15"/>
    <w:link w:val="4"/>
    <w:qFormat/>
    <w:uiPriority w:val="9"/>
    <w:rPr>
      <w:rFonts w:eastAsia="仿宋_GB2312"/>
      <w:b/>
      <w:kern w:val="2"/>
      <w:sz w:val="32"/>
      <w:szCs w:val="22"/>
    </w:rPr>
  </w:style>
  <w:style w:type="character" w:customStyle="1" w:styleId="24">
    <w:name w:val="正文文本缩进 Char"/>
    <w:basedOn w:val="15"/>
    <w:link w:val="6"/>
    <w:qFormat/>
    <w:uiPriority w:val="99"/>
    <w:rPr>
      <w:rFonts w:ascii="仿宋_GB2312" w:eastAsia="仿宋_GB2312"/>
      <w:kern w:val="2"/>
      <w:sz w:val="28"/>
      <w:szCs w:val="24"/>
    </w:rPr>
  </w:style>
  <w:style w:type="character" w:customStyle="1" w:styleId="25">
    <w:name w:val="页脚 Char"/>
    <w:basedOn w:val="15"/>
    <w:link w:val="9"/>
    <w:qFormat/>
    <w:uiPriority w:val="99"/>
    <w:rPr>
      <w:kern w:val="2"/>
      <w:sz w:val="18"/>
      <w:szCs w:val="18"/>
    </w:rPr>
  </w:style>
  <w:style w:type="character" w:customStyle="1" w:styleId="26">
    <w:name w:val="页眉 Char"/>
    <w:basedOn w:val="15"/>
    <w:link w:val="10"/>
    <w:qFormat/>
    <w:uiPriority w:val="0"/>
    <w:rPr>
      <w:kern w:val="2"/>
      <w:sz w:val="18"/>
      <w:szCs w:val="18"/>
    </w:rPr>
  </w:style>
  <w:style w:type="paragraph" w:customStyle="1" w:styleId="27">
    <w:name w:val="无间隔1"/>
    <w:basedOn w:val="1"/>
    <w:qFormat/>
    <w:uiPriority w:val="0"/>
    <w:pPr>
      <w:suppressAutoHyphens w:val="0"/>
    </w:pPr>
    <w:rPr>
      <w:rFonts w:ascii="Calibri" w:hAnsi="Calibri"/>
      <w:szCs w:val="21"/>
    </w:rPr>
  </w:style>
  <w:style w:type="paragraph" w:styleId="28">
    <w:name w:val="List Paragraph"/>
    <w:basedOn w:val="1"/>
    <w:qFormat/>
    <w:uiPriority w:val="34"/>
    <w:pPr>
      <w:ind w:firstLine="420" w:firstLineChars="200"/>
    </w:pPr>
  </w:style>
  <w:style w:type="paragraph" w:customStyle="1" w:styleId="29">
    <w:name w:val="xl67"/>
    <w:basedOn w:val="1"/>
    <w:qFormat/>
    <w:uiPriority w:val="0"/>
    <w:pPr>
      <w:widowControl/>
      <w:suppressAutoHyphens w:val="0"/>
      <w:spacing w:before="100" w:beforeAutospacing="1" w:after="100" w:afterAutospacing="1"/>
      <w:jc w:val="center"/>
      <w:textAlignment w:val="center"/>
    </w:pPr>
    <w:rPr>
      <w:rFonts w:ascii="宋体" w:hAnsi="宋体" w:cs="宋体"/>
      <w:b/>
      <w:bCs/>
      <w:kern w:val="0"/>
      <w:sz w:val="24"/>
    </w:rPr>
  </w:style>
  <w:style w:type="paragraph" w:customStyle="1" w:styleId="30">
    <w:name w:val="xl68"/>
    <w:basedOn w:val="1"/>
    <w:qFormat/>
    <w:uiPriority w:val="0"/>
    <w:pPr>
      <w:widowControl/>
      <w:suppressAutoHyphens w:val="0"/>
      <w:spacing w:before="100" w:beforeAutospacing="1" w:after="100" w:afterAutospacing="1"/>
      <w:jc w:val="center"/>
      <w:textAlignment w:val="center"/>
    </w:pPr>
    <w:rPr>
      <w:rFonts w:ascii="宋体" w:hAnsi="宋体" w:cs="宋体"/>
      <w:b/>
      <w:bCs/>
      <w:kern w:val="0"/>
      <w:sz w:val="24"/>
    </w:rPr>
  </w:style>
  <w:style w:type="paragraph" w:customStyle="1" w:styleId="31">
    <w:name w:val="xl69"/>
    <w:basedOn w:val="1"/>
    <w:qFormat/>
    <w:uiPriority w:val="0"/>
    <w:pPr>
      <w:widowControl/>
      <w:suppressAutoHyphens w:val="0"/>
      <w:spacing w:before="100" w:beforeAutospacing="1" w:after="100" w:afterAutospacing="1"/>
      <w:jc w:val="center"/>
      <w:textAlignment w:val="center"/>
    </w:pPr>
    <w:rPr>
      <w:rFonts w:ascii="宋体" w:hAnsi="宋体" w:cs="宋体"/>
      <w:kern w:val="0"/>
      <w:sz w:val="24"/>
    </w:rPr>
  </w:style>
  <w:style w:type="paragraph" w:customStyle="1" w:styleId="32">
    <w:name w:val="xl70"/>
    <w:basedOn w:val="1"/>
    <w:qFormat/>
    <w:uiPriority w:val="0"/>
    <w:pPr>
      <w:widowControl/>
      <w:suppressAutoHyphens w:val="0"/>
      <w:spacing w:before="100" w:beforeAutospacing="1" w:after="100" w:afterAutospacing="1"/>
      <w:jc w:val="left"/>
    </w:pPr>
    <w:rPr>
      <w:rFonts w:ascii="宋体" w:hAnsi="宋体" w:cs="宋体"/>
      <w:kern w:val="0"/>
      <w:sz w:val="24"/>
    </w:rPr>
  </w:style>
  <w:style w:type="paragraph" w:customStyle="1" w:styleId="33">
    <w:name w:val="xl71"/>
    <w:basedOn w:val="1"/>
    <w:qFormat/>
    <w:uiPriority w:val="0"/>
    <w:pPr>
      <w:widowControl/>
      <w:suppressAutoHyphens w:val="0"/>
      <w:spacing w:before="100" w:beforeAutospacing="1" w:after="100" w:afterAutospacing="1"/>
      <w:jc w:val="center"/>
      <w:textAlignment w:val="center"/>
    </w:pPr>
    <w:rPr>
      <w:rFonts w:ascii="宋体" w:hAnsi="宋体" w:cs="宋体"/>
      <w:kern w:val="0"/>
      <w:sz w:val="24"/>
    </w:rPr>
  </w:style>
  <w:style w:type="paragraph" w:customStyle="1" w:styleId="34">
    <w:name w:val="xl72"/>
    <w:basedOn w:val="1"/>
    <w:qFormat/>
    <w:uiPriority w:val="0"/>
    <w:pPr>
      <w:widowControl/>
      <w:suppressAutoHyphens w:val="0"/>
      <w:spacing w:before="100" w:beforeAutospacing="1" w:after="100" w:afterAutospacing="1"/>
      <w:jc w:val="center"/>
      <w:textAlignment w:val="center"/>
    </w:pPr>
    <w:rPr>
      <w:rFonts w:ascii="宋体" w:hAnsi="宋体" w:cs="宋体"/>
      <w:kern w:val="0"/>
      <w:sz w:val="24"/>
    </w:rPr>
  </w:style>
  <w:style w:type="paragraph" w:customStyle="1" w:styleId="35">
    <w:name w:val="xl73"/>
    <w:basedOn w:val="1"/>
    <w:qFormat/>
    <w:uiPriority w:val="0"/>
    <w:pPr>
      <w:widowControl/>
      <w:shd w:val="clear" w:color="000000" w:fill="FFFF00"/>
      <w:suppressAutoHyphens w:val="0"/>
      <w:spacing w:before="100" w:beforeAutospacing="1" w:after="100" w:afterAutospacing="1"/>
      <w:jc w:val="center"/>
      <w:textAlignment w:val="center"/>
    </w:pPr>
    <w:rPr>
      <w:rFonts w:ascii="宋体" w:hAnsi="宋体" w:cs="宋体"/>
      <w:kern w:val="0"/>
      <w:sz w:val="24"/>
    </w:rPr>
  </w:style>
  <w:style w:type="paragraph" w:customStyle="1" w:styleId="36">
    <w:name w:val="xl74"/>
    <w:basedOn w:val="1"/>
    <w:qFormat/>
    <w:uiPriority w:val="0"/>
    <w:pPr>
      <w:widowControl/>
      <w:pBdr>
        <w:top w:val="single" w:color="auto" w:sz="4" w:space="0"/>
        <w:left w:val="single" w:color="auto" w:sz="4" w:space="0"/>
        <w:bottom w:val="single" w:color="auto" w:sz="4" w:space="0"/>
        <w:right w:val="single" w:color="auto" w:sz="4" w:space="0"/>
      </w:pBdr>
      <w:suppressAutoHyphens w:val="0"/>
      <w:spacing w:before="100" w:beforeAutospacing="1" w:after="100" w:afterAutospacing="1"/>
      <w:jc w:val="center"/>
      <w:textAlignment w:val="center"/>
    </w:pPr>
    <w:rPr>
      <w:rFonts w:ascii="宋体" w:hAnsi="宋体" w:cs="宋体"/>
      <w:b/>
      <w:bCs/>
      <w:kern w:val="0"/>
      <w:sz w:val="24"/>
    </w:rPr>
  </w:style>
  <w:style w:type="paragraph" w:customStyle="1" w:styleId="37">
    <w:name w:val="xl75"/>
    <w:basedOn w:val="1"/>
    <w:qFormat/>
    <w:uiPriority w:val="0"/>
    <w:pPr>
      <w:widowControl/>
      <w:pBdr>
        <w:top w:val="single" w:color="auto" w:sz="4" w:space="0"/>
        <w:left w:val="single" w:color="auto" w:sz="4" w:space="0"/>
        <w:bottom w:val="single" w:color="auto" w:sz="4" w:space="0"/>
        <w:right w:val="single" w:color="auto" w:sz="4" w:space="0"/>
      </w:pBdr>
      <w:suppressAutoHyphens w:val="0"/>
      <w:spacing w:before="100" w:beforeAutospacing="1" w:after="100" w:afterAutospacing="1"/>
      <w:jc w:val="center"/>
      <w:textAlignment w:val="center"/>
    </w:pPr>
    <w:rPr>
      <w:rFonts w:ascii="宋体" w:hAnsi="宋体" w:cs="宋体"/>
      <w:b/>
      <w:bCs/>
      <w:kern w:val="0"/>
      <w:sz w:val="24"/>
    </w:rPr>
  </w:style>
  <w:style w:type="paragraph" w:customStyle="1" w:styleId="38">
    <w:name w:val="xl76"/>
    <w:basedOn w:val="1"/>
    <w:qFormat/>
    <w:uiPriority w:val="0"/>
    <w:pPr>
      <w:widowControl/>
      <w:pBdr>
        <w:top w:val="single" w:color="auto" w:sz="4" w:space="0"/>
        <w:left w:val="single" w:color="auto" w:sz="4" w:space="0"/>
        <w:bottom w:val="single" w:color="auto" w:sz="4" w:space="0"/>
        <w:right w:val="single" w:color="auto" w:sz="4" w:space="0"/>
      </w:pBdr>
      <w:suppressAutoHyphens w:val="0"/>
      <w:spacing w:before="100" w:beforeAutospacing="1" w:after="100" w:afterAutospacing="1"/>
      <w:jc w:val="center"/>
      <w:textAlignment w:val="center"/>
    </w:pPr>
    <w:rPr>
      <w:rFonts w:ascii="宋体" w:hAnsi="宋体" w:cs="宋体"/>
      <w:b/>
      <w:bCs/>
      <w:kern w:val="0"/>
      <w:sz w:val="24"/>
    </w:rPr>
  </w:style>
  <w:style w:type="paragraph" w:customStyle="1" w:styleId="39">
    <w:name w:val="xl77"/>
    <w:basedOn w:val="1"/>
    <w:qFormat/>
    <w:uiPriority w:val="0"/>
    <w:pPr>
      <w:widowControl/>
      <w:pBdr>
        <w:top w:val="single" w:color="auto" w:sz="4" w:space="0"/>
        <w:left w:val="single" w:color="auto" w:sz="4" w:space="0"/>
        <w:bottom w:val="single" w:color="auto" w:sz="4" w:space="0"/>
        <w:right w:val="single" w:color="auto" w:sz="4" w:space="0"/>
      </w:pBdr>
      <w:suppressAutoHyphens w:val="0"/>
      <w:spacing w:before="100" w:beforeAutospacing="1" w:after="100" w:afterAutospacing="1"/>
      <w:jc w:val="center"/>
      <w:textAlignment w:val="center"/>
    </w:pPr>
    <w:rPr>
      <w:rFonts w:ascii="宋体" w:hAnsi="宋体" w:cs="宋体"/>
      <w:b/>
      <w:bCs/>
      <w:kern w:val="0"/>
      <w:sz w:val="24"/>
    </w:rPr>
  </w:style>
  <w:style w:type="paragraph" w:customStyle="1" w:styleId="40">
    <w:name w:val="xl78"/>
    <w:basedOn w:val="1"/>
    <w:qFormat/>
    <w:uiPriority w:val="0"/>
    <w:pPr>
      <w:widowControl/>
      <w:pBdr>
        <w:top w:val="single" w:color="auto" w:sz="4" w:space="0"/>
        <w:left w:val="single" w:color="auto" w:sz="4" w:space="0"/>
        <w:bottom w:val="single" w:color="auto" w:sz="4" w:space="0"/>
        <w:right w:val="single" w:color="auto" w:sz="4" w:space="0"/>
      </w:pBdr>
      <w:suppressAutoHyphens w:val="0"/>
      <w:spacing w:before="100" w:beforeAutospacing="1" w:after="100" w:afterAutospacing="1"/>
      <w:jc w:val="center"/>
      <w:textAlignment w:val="center"/>
    </w:pPr>
    <w:rPr>
      <w:rFonts w:ascii="宋体" w:hAnsi="宋体" w:cs="宋体"/>
      <w:b/>
      <w:bCs/>
      <w:kern w:val="0"/>
      <w:sz w:val="24"/>
    </w:rPr>
  </w:style>
  <w:style w:type="paragraph" w:customStyle="1" w:styleId="41">
    <w:name w:val="xl79"/>
    <w:basedOn w:val="1"/>
    <w:qFormat/>
    <w:uiPriority w:val="0"/>
    <w:pPr>
      <w:widowControl/>
      <w:pBdr>
        <w:top w:val="single" w:color="auto" w:sz="4" w:space="0"/>
        <w:left w:val="single" w:color="auto" w:sz="4" w:space="0"/>
        <w:bottom w:val="single" w:color="auto" w:sz="4" w:space="0"/>
        <w:right w:val="single" w:color="auto" w:sz="4" w:space="0"/>
      </w:pBdr>
      <w:suppressAutoHyphens w:val="0"/>
      <w:spacing w:before="100" w:beforeAutospacing="1" w:after="100" w:afterAutospacing="1"/>
      <w:jc w:val="center"/>
      <w:textAlignment w:val="center"/>
    </w:pPr>
    <w:rPr>
      <w:rFonts w:ascii="宋体" w:hAnsi="宋体" w:cs="宋体"/>
      <w:b/>
      <w:bCs/>
      <w:kern w:val="0"/>
      <w:sz w:val="24"/>
    </w:rPr>
  </w:style>
  <w:style w:type="paragraph" w:customStyle="1" w:styleId="42">
    <w:name w:val="xl80"/>
    <w:basedOn w:val="1"/>
    <w:qFormat/>
    <w:uiPriority w:val="0"/>
    <w:pPr>
      <w:widowControl/>
      <w:pBdr>
        <w:top w:val="single" w:color="auto" w:sz="4" w:space="0"/>
        <w:left w:val="single" w:color="auto" w:sz="4" w:space="0"/>
        <w:bottom w:val="single" w:color="auto" w:sz="4" w:space="0"/>
        <w:right w:val="single" w:color="auto" w:sz="4" w:space="0"/>
      </w:pBdr>
      <w:suppressAutoHyphens w:val="0"/>
      <w:spacing w:before="100" w:beforeAutospacing="1" w:after="100" w:afterAutospacing="1"/>
      <w:jc w:val="center"/>
      <w:textAlignment w:val="center"/>
    </w:pPr>
    <w:rPr>
      <w:rFonts w:ascii="宋体" w:hAnsi="宋体" w:cs="宋体"/>
      <w:kern w:val="0"/>
      <w:sz w:val="24"/>
    </w:rPr>
  </w:style>
  <w:style w:type="paragraph" w:customStyle="1" w:styleId="43">
    <w:name w:val="xl81"/>
    <w:basedOn w:val="1"/>
    <w:qFormat/>
    <w:uiPriority w:val="0"/>
    <w:pPr>
      <w:widowControl/>
      <w:pBdr>
        <w:top w:val="single" w:color="auto" w:sz="4" w:space="0"/>
        <w:left w:val="single" w:color="auto" w:sz="4" w:space="0"/>
        <w:bottom w:val="single" w:color="auto" w:sz="4" w:space="0"/>
        <w:right w:val="single" w:color="auto" w:sz="4" w:space="0"/>
      </w:pBdr>
      <w:suppressAutoHyphens w:val="0"/>
      <w:spacing w:before="100" w:beforeAutospacing="1" w:after="100" w:afterAutospacing="1"/>
      <w:jc w:val="center"/>
      <w:textAlignment w:val="center"/>
    </w:pPr>
    <w:rPr>
      <w:rFonts w:ascii="宋体" w:hAnsi="宋体" w:cs="宋体"/>
      <w:kern w:val="0"/>
      <w:sz w:val="24"/>
    </w:rPr>
  </w:style>
  <w:style w:type="paragraph" w:customStyle="1" w:styleId="44">
    <w:name w:val="xl82"/>
    <w:basedOn w:val="1"/>
    <w:qFormat/>
    <w:uiPriority w:val="0"/>
    <w:pPr>
      <w:widowControl/>
      <w:pBdr>
        <w:top w:val="single" w:color="auto" w:sz="4" w:space="0"/>
        <w:left w:val="single" w:color="auto" w:sz="4" w:space="0"/>
        <w:bottom w:val="single" w:color="auto" w:sz="4" w:space="0"/>
        <w:right w:val="single" w:color="auto" w:sz="4" w:space="0"/>
      </w:pBdr>
      <w:suppressAutoHyphens w:val="0"/>
      <w:spacing w:before="100" w:beforeAutospacing="1" w:after="100" w:afterAutospacing="1"/>
      <w:jc w:val="center"/>
      <w:textAlignment w:val="center"/>
    </w:pPr>
    <w:rPr>
      <w:rFonts w:ascii="宋体" w:hAnsi="宋体" w:cs="宋体"/>
      <w:kern w:val="0"/>
      <w:sz w:val="24"/>
    </w:rPr>
  </w:style>
  <w:style w:type="paragraph" w:customStyle="1" w:styleId="45">
    <w:name w:val="xl83"/>
    <w:basedOn w:val="1"/>
    <w:qFormat/>
    <w:uiPriority w:val="0"/>
    <w:pPr>
      <w:widowControl/>
      <w:pBdr>
        <w:top w:val="single" w:color="auto" w:sz="4" w:space="0"/>
        <w:left w:val="single" w:color="auto" w:sz="4" w:space="0"/>
        <w:bottom w:val="single" w:color="auto" w:sz="4" w:space="0"/>
        <w:right w:val="single" w:color="auto" w:sz="4" w:space="0"/>
      </w:pBdr>
      <w:suppressAutoHyphens w:val="0"/>
      <w:spacing w:before="100" w:beforeAutospacing="1" w:after="100" w:afterAutospacing="1"/>
      <w:jc w:val="center"/>
      <w:textAlignment w:val="center"/>
    </w:pPr>
    <w:rPr>
      <w:rFonts w:ascii="宋体" w:hAnsi="宋体" w:cs="宋体"/>
      <w:kern w:val="0"/>
      <w:sz w:val="24"/>
    </w:rPr>
  </w:style>
  <w:style w:type="paragraph" w:customStyle="1" w:styleId="46">
    <w:name w:val="xl84"/>
    <w:basedOn w:val="1"/>
    <w:qFormat/>
    <w:uiPriority w:val="0"/>
    <w:pPr>
      <w:widowControl/>
      <w:pBdr>
        <w:top w:val="single" w:color="000000" w:sz="4" w:space="0"/>
        <w:left w:val="single" w:color="000000" w:sz="4" w:space="0"/>
        <w:bottom w:val="single" w:color="000000" w:sz="4" w:space="0"/>
        <w:right w:val="single" w:color="000000" w:sz="4" w:space="0"/>
      </w:pBdr>
      <w:suppressAutoHyphens w:val="0"/>
      <w:spacing w:before="100" w:beforeAutospacing="1" w:after="100" w:afterAutospacing="1"/>
      <w:jc w:val="center"/>
      <w:textAlignment w:val="center"/>
    </w:pPr>
    <w:rPr>
      <w:rFonts w:ascii="宋体" w:hAnsi="宋体" w:cs="宋体"/>
      <w:kern w:val="0"/>
      <w:sz w:val="24"/>
    </w:rPr>
  </w:style>
  <w:style w:type="paragraph" w:customStyle="1" w:styleId="47">
    <w:name w:val="xl85"/>
    <w:basedOn w:val="1"/>
    <w:qFormat/>
    <w:uiPriority w:val="0"/>
    <w:pPr>
      <w:widowControl/>
      <w:pBdr>
        <w:top w:val="single" w:color="000000" w:sz="4" w:space="0"/>
        <w:left w:val="single" w:color="000000" w:sz="4" w:space="0"/>
        <w:bottom w:val="single" w:color="000000" w:sz="4" w:space="0"/>
        <w:right w:val="single" w:color="000000" w:sz="4" w:space="0"/>
      </w:pBdr>
      <w:suppressAutoHyphens w:val="0"/>
      <w:spacing w:before="100" w:beforeAutospacing="1" w:after="100" w:afterAutospacing="1"/>
      <w:jc w:val="center"/>
      <w:textAlignment w:val="center"/>
    </w:pPr>
    <w:rPr>
      <w:rFonts w:ascii="宋体" w:hAnsi="宋体" w:cs="宋体"/>
      <w:kern w:val="0"/>
      <w:sz w:val="24"/>
    </w:rPr>
  </w:style>
  <w:style w:type="paragraph" w:customStyle="1" w:styleId="48">
    <w:name w:val="xl86"/>
    <w:basedOn w:val="1"/>
    <w:qFormat/>
    <w:uiPriority w:val="0"/>
    <w:pPr>
      <w:widowControl/>
      <w:pBdr>
        <w:top w:val="single" w:color="000000" w:sz="4" w:space="0"/>
        <w:left w:val="single" w:color="000000" w:sz="4" w:space="0"/>
        <w:bottom w:val="single" w:color="000000" w:sz="4" w:space="0"/>
        <w:right w:val="single" w:color="000000" w:sz="4" w:space="0"/>
      </w:pBdr>
      <w:suppressAutoHyphens w:val="0"/>
      <w:spacing w:before="100" w:beforeAutospacing="1" w:after="100" w:afterAutospacing="1"/>
      <w:jc w:val="center"/>
      <w:textAlignment w:val="center"/>
    </w:pPr>
    <w:rPr>
      <w:rFonts w:ascii="宋体" w:hAnsi="宋体" w:cs="宋体"/>
      <w:kern w:val="0"/>
      <w:sz w:val="24"/>
    </w:rPr>
  </w:style>
  <w:style w:type="paragraph" w:customStyle="1" w:styleId="49">
    <w:name w:val="xl87"/>
    <w:basedOn w:val="1"/>
    <w:qFormat/>
    <w:uiPriority w:val="0"/>
    <w:pPr>
      <w:widowControl/>
      <w:pBdr>
        <w:top w:val="single" w:color="auto" w:sz="4" w:space="0"/>
        <w:left w:val="single" w:color="auto" w:sz="4" w:space="0"/>
        <w:bottom w:val="single" w:color="auto" w:sz="4" w:space="0"/>
        <w:right w:val="single" w:color="auto" w:sz="4" w:space="0"/>
      </w:pBdr>
      <w:suppressAutoHyphens w:val="0"/>
      <w:spacing w:before="100" w:beforeAutospacing="1" w:after="100" w:afterAutospacing="1"/>
      <w:jc w:val="center"/>
      <w:textAlignment w:val="center"/>
    </w:pPr>
    <w:rPr>
      <w:rFonts w:ascii="宋体" w:hAnsi="宋体" w:cs="宋体"/>
      <w:kern w:val="0"/>
      <w:sz w:val="24"/>
    </w:rPr>
  </w:style>
  <w:style w:type="paragraph" w:customStyle="1" w:styleId="50">
    <w:name w:val="xl88"/>
    <w:basedOn w:val="1"/>
    <w:qFormat/>
    <w:uiPriority w:val="0"/>
    <w:pPr>
      <w:widowControl/>
      <w:pBdr>
        <w:top w:val="single" w:color="000000" w:sz="4" w:space="0"/>
        <w:left w:val="single" w:color="000000" w:sz="4" w:space="0"/>
        <w:bottom w:val="single" w:color="000000" w:sz="4" w:space="0"/>
        <w:right w:val="single" w:color="000000" w:sz="4" w:space="0"/>
      </w:pBdr>
      <w:suppressAutoHyphens w:val="0"/>
      <w:spacing w:before="100" w:beforeAutospacing="1" w:after="100" w:afterAutospacing="1"/>
      <w:jc w:val="center"/>
      <w:textAlignment w:val="center"/>
    </w:pPr>
    <w:rPr>
      <w:rFonts w:ascii="宋体" w:hAnsi="宋体" w:cs="宋体"/>
      <w:b/>
      <w:bCs/>
      <w:kern w:val="0"/>
      <w:sz w:val="24"/>
    </w:rPr>
  </w:style>
  <w:style w:type="paragraph" w:customStyle="1" w:styleId="51">
    <w:name w:val="xl89"/>
    <w:basedOn w:val="1"/>
    <w:qFormat/>
    <w:uiPriority w:val="0"/>
    <w:pPr>
      <w:widowControl/>
      <w:pBdr>
        <w:top w:val="single" w:color="000000" w:sz="4" w:space="0"/>
        <w:left w:val="single" w:color="000000" w:sz="4" w:space="0"/>
        <w:bottom w:val="single" w:color="000000" w:sz="4" w:space="0"/>
        <w:right w:val="single" w:color="000000" w:sz="4" w:space="0"/>
      </w:pBdr>
      <w:suppressAutoHyphens w:val="0"/>
      <w:spacing w:before="100" w:beforeAutospacing="1" w:after="100" w:afterAutospacing="1"/>
      <w:jc w:val="center"/>
      <w:textAlignment w:val="center"/>
    </w:pPr>
    <w:rPr>
      <w:rFonts w:ascii="宋体" w:hAnsi="宋体" w:cs="宋体"/>
      <w:b/>
      <w:bCs/>
      <w:kern w:val="0"/>
      <w:sz w:val="24"/>
    </w:rPr>
  </w:style>
  <w:style w:type="paragraph" w:customStyle="1" w:styleId="52">
    <w:name w:val="xl90"/>
    <w:basedOn w:val="1"/>
    <w:qFormat/>
    <w:uiPriority w:val="0"/>
    <w:pPr>
      <w:widowControl/>
      <w:pBdr>
        <w:top w:val="single" w:color="000000" w:sz="4" w:space="0"/>
        <w:left w:val="single" w:color="000000" w:sz="4" w:space="0"/>
        <w:bottom w:val="single" w:color="000000" w:sz="4" w:space="0"/>
        <w:right w:val="single" w:color="000000" w:sz="4" w:space="0"/>
      </w:pBdr>
      <w:suppressAutoHyphens w:val="0"/>
      <w:spacing w:before="100" w:beforeAutospacing="1" w:after="100" w:afterAutospacing="1"/>
      <w:jc w:val="center"/>
      <w:textAlignment w:val="center"/>
    </w:pPr>
    <w:rPr>
      <w:rFonts w:ascii="宋体" w:hAnsi="宋体" w:cs="宋体"/>
      <w:b/>
      <w:bCs/>
      <w:kern w:val="0"/>
      <w:sz w:val="24"/>
    </w:rPr>
  </w:style>
  <w:style w:type="paragraph" w:customStyle="1" w:styleId="53">
    <w:name w:val="xl91"/>
    <w:basedOn w:val="1"/>
    <w:qFormat/>
    <w:uiPriority w:val="0"/>
    <w:pPr>
      <w:widowControl/>
      <w:pBdr>
        <w:top w:val="single" w:color="000000" w:sz="4" w:space="0"/>
        <w:left w:val="single" w:color="000000" w:sz="4" w:space="0"/>
        <w:bottom w:val="single" w:color="000000" w:sz="4" w:space="0"/>
        <w:right w:val="single" w:color="000000" w:sz="4" w:space="0"/>
      </w:pBdr>
      <w:suppressAutoHyphens w:val="0"/>
      <w:spacing w:before="100" w:beforeAutospacing="1" w:after="100" w:afterAutospacing="1"/>
      <w:jc w:val="left"/>
      <w:textAlignment w:val="center"/>
    </w:pPr>
    <w:rPr>
      <w:rFonts w:ascii="宋体" w:hAnsi="宋体" w:cs="宋体"/>
      <w:kern w:val="0"/>
      <w:sz w:val="24"/>
    </w:rPr>
  </w:style>
  <w:style w:type="paragraph" w:customStyle="1" w:styleId="54">
    <w:name w:val="xl92"/>
    <w:basedOn w:val="1"/>
    <w:qFormat/>
    <w:uiPriority w:val="0"/>
    <w:pPr>
      <w:widowControl/>
      <w:pBdr>
        <w:top w:val="single" w:color="000000" w:sz="4" w:space="0"/>
        <w:left w:val="single" w:color="000000" w:sz="4" w:space="0"/>
        <w:bottom w:val="single" w:color="000000" w:sz="4" w:space="0"/>
        <w:right w:val="single" w:color="000000" w:sz="4" w:space="0"/>
      </w:pBdr>
      <w:suppressAutoHyphens w:val="0"/>
      <w:spacing w:before="100" w:beforeAutospacing="1" w:after="100" w:afterAutospacing="1"/>
      <w:jc w:val="left"/>
      <w:textAlignment w:val="center"/>
    </w:pPr>
    <w:rPr>
      <w:rFonts w:ascii="宋体" w:hAnsi="宋体" w:cs="宋体"/>
      <w:kern w:val="0"/>
      <w:sz w:val="24"/>
    </w:rPr>
  </w:style>
  <w:style w:type="paragraph" w:customStyle="1" w:styleId="55">
    <w:name w:val="xl93"/>
    <w:basedOn w:val="1"/>
    <w:qFormat/>
    <w:uiPriority w:val="0"/>
    <w:pPr>
      <w:widowControl/>
      <w:pBdr>
        <w:top w:val="single" w:color="auto" w:sz="4" w:space="0"/>
        <w:left w:val="single" w:color="auto" w:sz="4" w:space="0"/>
        <w:bottom w:val="single" w:color="auto" w:sz="4" w:space="0"/>
      </w:pBdr>
      <w:shd w:val="clear" w:color="000000" w:fill="FFFF00"/>
      <w:suppressAutoHyphens w:val="0"/>
      <w:spacing w:before="100" w:beforeAutospacing="1" w:after="100" w:afterAutospacing="1"/>
      <w:jc w:val="center"/>
      <w:textAlignment w:val="center"/>
    </w:pPr>
    <w:rPr>
      <w:rFonts w:ascii="宋体" w:hAnsi="宋体" w:cs="宋体"/>
      <w:b/>
      <w:bCs/>
      <w:kern w:val="0"/>
      <w:sz w:val="24"/>
    </w:rPr>
  </w:style>
  <w:style w:type="paragraph" w:customStyle="1" w:styleId="56">
    <w:name w:val="xl94"/>
    <w:basedOn w:val="1"/>
    <w:qFormat/>
    <w:uiPriority w:val="0"/>
    <w:pPr>
      <w:widowControl/>
      <w:pBdr>
        <w:top w:val="single" w:color="auto" w:sz="4" w:space="0"/>
        <w:left w:val="single" w:color="auto" w:sz="4" w:space="0"/>
        <w:bottom w:val="single" w:color="auto" w:sz="4" w:space="0"/>
      </w:pBdr>
      <w:suppressAutoHyphens w:val="0"/>
      <w:spacing w:before="100" w:beforeAutospacing="1" w:after="100" w:afterAutospacing="1"/>
      <w:jc w:val="center"/>
      <w:textAlignment w:val="center"/>
    </w:pPr>
    <w:rPr>
      <w:rFonts w:ascii="宋体" w:hAnsi="宋体" w:cs="宋体"/>
      <w:b/>
      <w:bCs/>
      <w:kern w:val="0"/>
      <w:sz w:val="24"/>
    </w:rPr>
  </w:style>
  <w:style w:type="paragraph" w:customStyle="1" w:styleId="57">
    <w:name w:val="xl95"/>
    <w:basedOn w:val="1"/>
    <w:qFormat/>
    <w:uiPriority w:val="0"/>
    <w:pPr>
      <w:widowControl/>
      <w:pBdr>
        <w:top w:val="single" w:color="auto" w:sz="4" w:space="0"/>
        <w:left w:val="single" w:color="auto" w:sz="4" w:space="0"/>
        <w:bottom w:val="single" w:color="auto" w:sz="4" w:space="0"/>
      </w:pBdr>
      <w:suppressAutoHyphens w:val="0"/>
      <w:spacing w:before="100" w:beforeAutospacing="1" w:after="100" w:afterAutospacing="1"/>
      <w:jc w:val="center"/>
      <w:textAlignment w:val="center"/>
    </w:pPr>
    <w:rPr>
      <w:rFonts w:ascii="宋体" w:hAnsi="宋体" w:cs="宋体"/>
      <w:b/>
      <w:bCs/>
      <w:kern w:val="0"/>
      <w:sz w:val="24"/>
    </w:rPr>
  </w:style>
  <w:style w:type="paragraph" w:customStyle="1" w:styleId="58">
    <w:name w:val="xl96"/>
    <w:basedOn w:val="1"/>
    <w:qFormat/>
    <w:uiPriority w:val="0"/>
    <w:pPr>
      <w:widowControl/>
      <w:pBdr>
        <w:top w:val="single" w:color="auto" w:sz="4" w:space="0"/>
        <w:left w:val="single" w:color="auto" w:sz="4" w:space="0"/>
        <w:bottom w:val="single" w:color="auto" w:sz="4" w:space="0"/>
      </w:pBdr>
      <w:suppressAutoHyphens w:val="0"/>
      <w:spacing w:before="100" w:beforeAutospacing="1" w:after="100" w:afterAutospacing="1"/>
      <w:jc w:val="center"/>
      <w:textAlignment w:val="center"/>
    </w:pPr>
    <w:rPr>
      <w:rFonts w:ascii="宋体" w:hAnsi="宋体" w:cs="宋体"/>
      <w:b/>
      <w:bCs/>
      <w:kern w:val="0"/>
      <w:sz w:val="24"/>
    </w:rPr>
  </w:style>
  <w:style w:type="paragraph" w:customStyle="1" w:styleId="59">
    <w:name w:val="xl97"/>
    <w:basedOn w:val="1"/>
    <w:qFormat/>
    <w:uiPriority w:val="0"/>
    <w:pPr>
      <w:widowControl/>
      <w:pBdr>
        <w:top w:val="single" w:color="auto" w:sz="4" w:space="0"/>
        <w:left w:val="single" w:color="auto" w:sz="4" w:space="0"/>
        <w:bottom w:val="single" w:color="auto" w:sz="4" w:space="0"/>
      </w:pBdr>
      <w:suppressAutoHyphens w:val="0"/>
      <w:spacing w:before="100" w:beforeAutospacing="1" w:after="100" w:afterAutospacing="1"/>
      <w:jc w:val="center"/>
      <w:textAlignment w:val="center"/>
    </w:pPr>
    <w:rPr>
      <w:rFonts w:ascii="宋体" w:hAnsi="宋体" w:cs="宋体"/>
      <w:kern w:val="0"/>
      <w:sz w:val="24"/>
    </w:rPr>
  </w:style>
  <w:style w:type="paragraph" w:customStyle="1" w:styleId="60">
    <w:name w:val="xl98"/>
    <w:basedOn w:val="1"/>
    <w:qFormat/>
    <w:uiPriority w:val="0"/>
    <w:pPr>
      <w:widowControl/>
      <w:pBdr>
        <w:top w:val="single" w:color="auto" w:sz="4" w:space="0"/>
        <w:left w:val="single" w:color="auto" w:sz="4" w:space="0"/>
        <w:bottom w:val="single" w:color="auto" w:sz="4" w:space="0"/>
      </w:pBdr>
      <w:shd w:val="clear" w:color="000000" w:fill="FFFF00"/>
      <w:suppressAutoHyphens w:val="0"/>
      <w:spacing w:before="100" w:beforeAutospacing="1" w:after="100" w:afterAutospacing="1"/>
      <w:jc w:val="center"/>
      <w:textAlignment w:val="center"/>
    </w:pPr>
    <w:rPr>
      <w:rFonts w:ascii="宋体" w:hAnsi="宋体" w:cs="宋体"/>
      <w:kern w:val="0"/>
      <w:sz w:val="24"/>
    </w:rPr>
  </w:style>
  <w:style w:type="paragraph" w:customStyle="1" w:styleId="61">
    <w:name w:val="xl99"/>
    <w:basedOn w:val="1"/>
    <w:qFormat/>
    <w:uiPriority w:val="0"/>
    <w:pPr>
      <w:widowControl/>
      <w:pBdr>
        <w:top w:val="single" w:color="auto" w:sz="4" w:space="0"/>
        <w:left w:val="single" w:color="auto" w:sz="4" w:space="0"/>
        <w:bottom w:val="single" w:color="auto" w:sz="4" w:space="0"/>
      </w:pBdr>
      <w:suppressAutoHyphens w:val="0"/>
      <w:spacing w:before="100" w:beforeAutospacing="1" w:after="100" w:afterAutospacing="1"/>
      <w:jc w:val="center"/>
      <w:textAlignment w:val="center"/>
    </w:pPr>
    <w:rPr>
      <w:rFonts w:ascii="宋体" w:hAnsi="宋体" w:cs="宋体"/>
      <w:kern w:val="0"/>
      <w:sz w:val="24"/>
    </w:rPr>
  </w:style>
  <w:style w:type="paragraph" w:customStyle="1" w:styleId="62">
    <w:name w:val="xl100"/>
    <w:basedOn w:val="1"/>
    <w:qFormat/>
    <w:uiPriority w:val="0"/>
    <w:pPr>
      <w:widowControl/>
      <w:pBdr>
        <w:top w:val="single" w:color="auto" w:sz="4" w:space="0"/>
        <w:left w:val="single" w:color="auto" w:sz="4" w:space="0"/>
        <w:bottom w:val="single" w:color="auto" w:sz="4" w:space="0"/>
      </w:pBdr>
      <w:suppressAutoHyphens w:val="0"/>
      <w:spacing w:before="100" w:beforeAutospacing="1" w:after="100" w:afterAutospacing="1"/>
      <w:jc w:val="center"/>
      <w:textAlignment w:val="center"/>
    </w:pPr>
    <w:rPr>
      <w:rFonts w:ascii="宋体" w:hAnsi="宋体" w:cs="宋体"/>
      <w:kern w:val="0"/>
      <w:sz w:val="24"/>
    </w:rPr>
  </w:style>
  <w:style w:type="paragraph" w:customStyle="1" w:styleId="63">
    <w:name w:val="xl101"/>
    <w:basedOn w:val="1"/>
    <w:qFormat/>
    <w:uiPriority w:val="0"/>
    <w:pPr>
      <w:widowControl/>
      <w:suppressAutoHyphens w:val="0"/>
      <w:spacing w:before="100" w:beforeAutospacing="1" w:after="100" w:afterAutospacing="1"/>
      <w:jc w:val="center"/>
      <w:textAlignment w:val="center"/>
    </w:pPr>
    <w:rPr>
      <w:rFonts w:ascii="宋体" w:hAnsi="宋体" w:cs="宋体"/>
      <w:kern w:val="0"/>
      <w:sz w:val="24"/>
    </w:rPr>
  </w:style>
  <w:style w:type="paragraph" w:customStyle="1" w:styleId="64">
    <w:name w:val="xl102"/>
    <w:basedOn w:val="1"/>
    <w:qFormat/>
    <w:uiPriority w:val="0"/>
    <w:pPr>
      <w:widowControl/>
      <w:pBdr>
        <w:top w:val="single" w:color="auto" w:sz="4" w:space="0"/>
        <w:left w:val="single" w:color="auto" w:sz="4" w:space="0"/>
        <w:bottom w:val="single" w:color="auto" w:sz="4" w:space="0"/>
      </w:pBdr>
      <w:shd w:val="clear" w:color="000000" w:fill="FFFF00"/>
      <w:suppressAutoHyphens w:val="0"/>
      <w:spacing w:before="100" w:beforeAutospacing="1" w:after="100" w:afterAutospacing="1"/>
      <w:jc w:val="center"/>
      <w:textAlignment w:val="center"/>
    </w:pPr>
    <w:rPr>
      <w:rFonts w:ascii="宋体" w:hAnsi="宋体" w:cs="宋体"/>
      <w:kern w:val="0"/>
      <w:sz w:val="24"/>
    </w:rPr>
  </w:style>
  <w:style w:type="paragraph" w:customStyle="1" w:styleId="65">
    <w:name w:val="xl103"/>
    <w:basedOn w:val="1"/>
    <w:qFormat/>
    <w:uiPriority w:val="0"/>
    <w:pPr>
      <w:widowControl/>
      <w:pBdr>
        <w:top w:val="single" w:color="000000" w:sz="4" w:space="0"/>
        <w:left w:val="single" w:color="000000" w:sz="4" w:space="0"/>
        <w:bottom w:val="single" w:color="000000" w:sz="4" w:space="0"/>
      </w:pBdr>
      <w:suppressAutoHyphens w:val="0"/>
      <w:spacing w:before="100" w:beforeAutospacing="1" w:after="100" w:afterAutospacing="1"/>
      <w:jc w:val="center"/>
      <w:textAlignment w:val="center"/>
    </w:pPr>
    <w:rPr>
      <w:rFonts w:ascii="宋体" w:hAnsi="宋体" w:cs="宋体"/>
      <w:b/>
      <w:bCs/>
      <w:kern w:val="0"/>
      <w:sz w:val="24"/>
    </w:rPr>
  </w:style>
  <w:style w:type="paragraph" w:customStyle="1" w:styleId="66">
    <w:name w:val="xl104"/>
    <w:basedOn w:val="1"/>
    <w:qFormat/>
    <w:uiPriority w:val="0"/>
    <w:pPr>
      <w:widowControl/>
      <w:pBdr>
        <w:top w:val="single" w:color="000000" w:sz="4" w:space="0"/>
        <w:left w:val="single" w:color="000000" w:sz="4" w:space="0"/>
        <w:bottom w:val="single" w:color="000000" w:sz="4" w:space="0"/>
      </w:pBdr>
      <w:suppressAutoHyphens w:val="0"/>
      <w:spacing w:before="100" w:beforeAutospacing="1" w:after="100" w:afterAutospacing="1"/>
      <w:jc w:val="center"/>
      <w:textAlignment w:val="center"/>
    </w:pPr>
    <w:rPr>
      <w:rFonts w:ascii="宋体" w:hAnsi="宋体" w:cs="宋体"/>
      <w:b/>
      <w:bCs/>
      <w:kern w:val="0"/>
      <w:sz w:val="24"/>
    </w:rPr>
  </w:style>
  <w:style w:type="paragraph" w:customStyle="1" w:styleId="67">
    <w:name w:val="xl105"/>
    <w:basedOn w:val="1"/>
    <w:qFormat/>
    <w:uiPriority w:val="0"/>
    <w:pPr>
      <w:widowControl/>
      <w:pBdr>
        <w:top w:val="single" w:color="000000" w:sz="4" w:space="0"/>
        <w:left w:val="single" w:color="000000" w:sz="4" w:space="0"/>
        <w:bottom w:val="single" w:color="000000" w:sz="4" w:space="0"/>
      </w:pBdr>
      <w:suppressAutoHyphens w:val="0"/>
      <w:spacing w:before="100" w:beforeAutospacing="1" w:after="100" w:afterAutospacing="1"/>
      <w:jc w:val="center"/>
      <w:textAlignment w:val="center"/>
    </w:pPr>
    <w:rPr>
      <w:rFonts w:ascii="宋体" w:hAnsi="宋体" w:cs="宋体"/>
      <w:kern w:val="0"/>
      <w:sz w:val="24"/>
    </w:rPr>
  </w:style>
  <w:style w:type="paragraph" w:customStyle="1" w:styleId="68">
    <w:name w:val="xl106"/>
    <w:basedOn w:val="1"/>
    <w:qFormat/>
    <w:uiPriority w:val="0"/>
    <w:pPr>
      <w:widowControl/>
      <w:pBdr>
        <w:top w:val="single" w:color="000000" w:sz="4" w:space="0"/>
        <w:left w:val="single" w:color="000000" w:sz="4" w:space="0"/>
        <w:bottom w:val="single" w:color="000000" w:sz="4" w:space="0"/>
      </w:pBdr>
      <w:suppressAutoHyphens w:val="0"/>
      <w:spacing w:before="100" w:beforeAutospacing="1" w:after="100" w:afterAutospacing="1"/>
      <w:jc w:val="center"/>
      <w:textAlignment w:val="center"/>
    </w:pPr>
    <w:rPr>
      <w:rFonts w:ascii="宋体" w:hAnsi="宋体" w:cs="宋体"/>
      <w:kern w:val="0"/>
      <w:sz w:val="24"/>
    </w:rPr>
  </w:style>
  <w:style w:type="paragraph" w:customStyle="1" w:styleId="69">
    <w:name w:val="xl107"/>
    <w:basedOn w:val="1"/>
    <w:qFormat/>
    <w:uiPriority w:val="0"/>
    <w:pPr>
      <w:widowControl/>
      <w:pBdr>
        <w:top w:val="single" w:color="000000" w:sz="4" w:space="0"/>
        <w:left w:val="single" w:color="000000" w:sz="4" w:space="0"/>
        <w:bottom w:val="single" w:color="000000" w:sz="4" w:space="0"/>
      </w:pBdr>
      <w:shd w:val="clear" w:color="000000" w:fill="FFFF00"/>
      <w:suppressAutoHyphens w:val="0"/>
      <w:spacing w:before="100" w:beforeAutospacing="1" w:after="100" w:afterAutospacing="1"/>
      <w:jc w:val="center"/>
      <w:textAlignment w:val="center"/>
    </w:pPr>
    <w:rPr>
      <w:rFonts w:ascii="宋体" w:hAnsi="宋体" w:cs="宋体"/>
      <w:kern w:val="0"/>
      <w:sz w:val="24"/>
    </w:rPr>
  </w:style>
  <w:style w:type="paragraph" w:customStyle="1" w:styleId="70">
    <w:name w:val="xl108"/>
    <w:basedOn w:val="1"/>
    <w:qFormat/>
    <w:uiPriority w:val="0"/>
    <w:pPr>
      <w:widowControl/>
      <w:pBdr>
        <w:top w:val="single" w:color="auto" w:sz="4" w:space="0"/>
        <w:bottom w:val="single" w:color="auto" w:sz="4" w:space="0"/>
        <w:right w:val="single" w:color="auto" w:sz="4" w:space="0"/>
      </w:pBdr>
      <w:suppressAutoHyphens w:val="0"/>
      <w:spacing w:before="100" w:beforeAutospacing="1" w:after="100" w:afterAutospacing="1"/>
      <w:jc w:val="center"/>
      <w:textAlignment w:val="center"/>
    </w:pPr>
    <w:rPr>
      <w:rFonts w:ascii="宋体" w:hAnsi="宋体" w:cs="宋体"/>
      <w:b/>
      <w:bCs/>
      <w:kern w:val="0"/>
      <w:sz w:val="24"/>
    </w:rPr>
  </w:style>
  <w:style w:type="paragraph" w:customStyle="1" w:styleId="71">
    <w:name w:val="xl109"/>
    <w:basedOn w:val="1"/>
    <w:qFormat/>
    <w:uiPriority w:val="0"/>
    <w:pPr>
      <w:widowControl/>
      <w:pBdr>
        <w:top w:val="single" w:color="auto" w:sz="4" w:space="0"/>
        <w:bottom w:val="single" w:color="auto" w:sz="4" w:space="0"/>
        <w:right w:val="single" w:color="auto" w:sz="4" w:space="0"/>
      </w:pBdr>
      <w:suppressAutoHyphens w:val="0"/>
      <w:spacing w:before="100" w:beforeAutospacing="1" w:after="100" w:afterAutospacing="1"/>
      <w:jc w:val="center"/>
      <w:textAlignment w:val="center"/>
    </w:pPr>
    <w:rPr>
      <w:rFonts w:ascii="宋体" w:hAnsi="宋体" w:cs="宋体"/>
      <w:b/>
      <w:bCs/>
      <w:kern w:val="0"/>
      <w:sz w:val="24"/>
    </w:rPr>
  </w:style>
  <w:style w:type="paragraph" w:customStyle="1" w:styleId="72">
    <w:name w:val="xl110"/>
    <w:basedOn w:val="1"/>
    <w:qFormat/>
    <w:uiPriority w:val="0"/>
    <w:pPr>
      <w:widowControl/>
      <w:pBdr>
        <w:top w:val="single" w:color="auto" w:sz="4" w:space="0"/>
        <w:bottom w:val="single" w:color="auto" w:sz="4" w:space="0"/>
        <w:right w:val="single" w:color="auto" w:sz="4" w:space="0"/>
      </w:pBdr>
      <w:suppressAutoHyphens w:val="0"/>
      <w:spacing w:before="100" w:beforeAutospacing="1" w:after="100" w:afterAutospacing="1"/>
      <w:jc w:val="center"/>
      <w:textAlignment w:val="center"/>
    </w:pPr>
    <w:rPr>
      <w:rFonts w:ascii="宋体" w:hAnsi="宋体" w:cs="宋体"/>
      <w:kern w:val="0"/>
      <w:sz w:val="24"/>
    </w:rPr>
  </w:style>
  <w:style w:type="paragraph" w:customStyle="1" w:styleId="73">
    <w:name w:val="xl111"/>
    <w:basedOn w:val="1"/>
    <w:qFormat/>
    <w:uiPriority w:val="0"/>
    <w:pPr>
      <w:widowControl/>
      <w:pBdr>
        <w:top w:val="single" w:color="auto" w:sz="4" w:space="0"/>
        <w:bottom w:val="single" w:color="auto" w:sz="4" w:space="0"/>
        <w:right w:val="single" w:color="auto" w:sz="4" w:space="0"/>
      </w:pBdr>
      <w:suppressAutoHyphens w:val="0"/>
      <w:spacing w:before="100" w:beforeAutospacing="1" w:after="100" w:afterAutospacing="1"/>
      <w:jc w:val="center"/>
      <w:textAlignment w:val="center"/>
    </w:pPr>
    <w:rPr>
      <w:rFonts w:ascii="宋体" w:hAnsi="宋体" w:cs="宋体"/>
      <w:kern w:val="0"/>
      <w:sz w:val="24"/>
    </w:rPr>
  </w:style>
  <w:style w:type="paragraph" w:customStyle="1" w:styleId="74">
    <w:name w:val="xl112"/>
    <w:basedOn w:val="1"/>
    <w:qFormat/>
    <w:uiPriority w:val="0"/>
    <w:pPr>
      <w:widowControl/>
      <w:pBdr>
        <w:top w:val="single" w:color="000000" w:sz="4" w:space="0"/>
        <w:bottom w:val="single" w:color="000000" w:sz="4" w:space="0"/>
        <w:right w:val="single" w:color="000000" w:sz="4" w:space="0"/>
      </w:pBdr>
      <w:suppressAutoHyphens w:val="0"/>
      <w:spacing w:before="100" w:beforeAutospacing="1" w:after="100" w:afterAutospacing="1"/>
      <w:jc w:val="center"/>
      <w:textAlignment w:val="center"/>
    </w:pPr>
    <w:rPr>
      <w:rFonts w:ascii="宋体" w:hAnsi="宋体" w:cs="宋体"/>
      <w:b/>
      <w:bCs/>
      <w:kern w:val="0"/>
      <w:sz w:val="24"/>
    </w:rPr>
  </w:style>
  <w:style w:type="paragraph" w:customStyle="1" w:styleId="75">
    <w:name w:val="xl113"/>
    <w:basedOn w:val="1"/>
    <w:qFormat/>
    <w:uiPriority w:val="0"/>
    <w:pPr>
      <w:widowControl/>
      <w:pBdr>
        <w:top w:val="single" w:color="000000" w:sz="4" w:space="0"/>
        <w:bottom w:val="single" w:color="000000" w:sz="4" w:space="0"/>
        <w:right w:val="single" w:color="000000" w:sz="4" w:space="0"/>
      </w:pBdr>
      <w:suppressAutoHyphens w:val="0"/>
      <w:spacing w:before="100" w:beforeAutospacing="1" w:after="100" w:afterAutospacing="1"/>
      <w:jc w:val="center"/>
      <w:textAlignment w:val="center"/>
    </w:pPr>
    <w:rPr>
      <w:rFonts w:ascii="宋体" w:hAnsi="宋体" w:cs="宋体"/>
      <w:kern w:val="0"/>
      <w:sz w:val="20"/>
      <w:szCs w:val="20"/>
    </w:rPr>
  </w:style>
  <w:style w:type="paragraph" w:customStyle="1" w:styleId="76">
    <w:name w:val="xl114"/>
    <w:basedOn w:val="1"/>
    <w:qFormat/>
    <w:uiPriority w:val="0"/>
    <w:pPr>
      <w:widowControl/>
      <w:pBdr>
        <w:top w:val="single" w:color="000000" w:sz="4" w:space="0"/>
        <w:bottom w:val="single" w:color="000000" w:sz="4" w:space="0"/>
        <w:right w:val="single" w:color="000000" w:sz="4" w:space="0"/>
      </w:pBdr>
      <w:suppressAutoHyphens w:val="0"/>
      <w:spacing w:before="100" w:beforeAutospacing="1" w:after="100" w:afterAutospacing="1"/>
      <w:jc w:val="center"/>
      <w:textAlignment w:val="center"/>
    </w:pPr>
    <w:rPr>
      <w:rFonts w:ascii="宋体" w:hAnsi="宋体" w:cs="宋体"/>
      <w:kern w:val="0"/>
      <w:sz w:val="24"/>
    </w:rPr>
  </w:style>
  <w:style w:type="character" w:customStyle="1" w:styleId="77">
    <w:name w:val="批注框文本 Char"/>
    <w:basedOn w:val="15"/>
    <w:link w:val="8"/>
    <w:semiHidden/>
    <w:qFormat/>
    <w:uiPriority w:val="99"/>
    <w:rPr>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3.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Microsoft</Company>
  <Pages>92</Pages>
  <Words>8251</Words>
  <Characters>47031</Characters>
  <Lines>391</Lines>
  <Paragraphs>110</Paragraphs>
  <TotalTime>2</TotalTime>
  <ScaleCrop>false</ScaleCrop>
  <LinksUpToDate>false</LinksUpToDate>
  <CharactersWithSpaces>55172</CharactersWithSpaces>
  <Application>WPS Office_11.8.2.9831_F1E327BC-269C-435d-A152-05C5408002CA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2021-06-10T06:58:00Z</dcterms:created>
  <dc:creator>gyb1</dc:creator>
  <cp:lastModifiedBy>unis</cp:lastModifiedBy>
  <cp:lastPrinted>2021-08-08T00:17:00Z</cp:lastPrinted>
  <dcterms:modified xsi:type="dcterms:W3CDTF">2021-12-16T08:40:23Z</dcterms:modified>
  <cp:revision>257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2052-11.8.2.9831</vt:lpwstr>
  </property>
  <property fmtid="{D5CDD505-2E9C-101B-9397-08002B2CF9AE}" pid="3" name="ICV">
    <vt:lpwstr>37C11B2AE51A444297BB0AB716E9BF5E</vt:lpwstr>
  </property>
</Properties>
</file>