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7.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18.xml" ContentType="application/vnd.openxmlformats-officedocument.wordprocessingml.header+xml"/>
  <Override PartName="/word/header19.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1.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26.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29.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2.xml" ContentType="application/vnd.openxmlformats-officedocument.wordprocessingml.header+xml"/>
  <Override PartName="/word/footer39.xml" ContentType="application/vnd.openxmlformats-officedocument.wordprocessingml.footer+xml"/>
  <Override PartName="/word/footer40.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41.xml" ContentType="application/vnd.openxmlformats-officedocument.wordprocessingml.footer+xml"/>
  <Override PartName="/word/footer42.xml" ContentType="application/vnd.openxmlformats-officedocument.wordprocessingml.footer+xml"/>
  <Override PartName="/word/header35.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36.xml" ContentType="application/vnd.openxmlformats-officedocument.wordprocessingml.header+xml"/>
  <Override PartName="/word/footer45.xml" ContentType="application/vnd.openxmlformats-officedocument.wordprocessingml.footer+xml"/>
  <Override PartName="/word/footer4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47.xml" ContentType="application/vnd.openxmlformats-officedocument.wordprocessingml.footer+xml"/>
  <Override PartName="/word/footer48.xml" ContentType="application/vnd.openxmlformats-officedocument.wordprocessingml.footer+xml"/>
  <Override PartName="/word/header39.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40.xml" ContentType="application/vnd.openxmlformats-officedocument.wordprocessingml.header+xml"/>
  <Override PartName="/word/footer51.xml" ContentType="application/vnd.openxmlformats-officedocument.wordprocessingml.footer+xml"/>
  <Override PartName="/word/footer52.xml" ContentType="application/vnd.openxmlformats-officedocument.wordprocessingml.footer+xml"/>
  <Override PartName="/word/header41.xml" ContentType="application/vnd.openxmlformats-officedocument.wordprocessingml.header+xml"/>
  <Override PartName="/word/footer53.xml" ContentType="application/vnd.openxmlformats-officedocument.wordprocessingml.footer+xml"/>
  <Override PartName="/word/footer54.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55.xml" ContentType="application/vnd.openxmlformats-officedocument.wordprocessingml.footer+xml"/>
  <Override PartName="/word/footer5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rsidR="00000000" w:rsidRDefault="00000000">
      <w:pPr>
        <w:pStyle w:val="Normal24"/>
        <w:spacing w:before="0" w:after="0" w:line="560" w:lineRule="exact"/>
        <w:jc w:val="center"/>
        <w:rPr>
          <w:rFonts w:ascii="方正小标宋简体" w:eastAsia="方正小标宋简体" w:hAnsi="方正小标宋简体" w:cs="方正小标宋简体" w:hint="eastAsia"/>
          <w:sz w:val="40"/>
          <w:szCs w:val="40"/>
          <w:lang w:eastAsia="zh-CN"/>
        </w:rPr>
      </w:pPr>
      <w:r>
        <w:rPr>
          <w:rFonts w:ascii="方正小标宋简体" w:eastAsia="方正小标宋简体" w:hAnsi="方正小标宋简体" w:cs="方正小标宋简体" w:hint="eastAsia"/>
          <w:sz w:val="40"/>
          <w:szCs w:val="40"/>
          <w:lang w:eastAsia="zh-CN"/>
        </w:rPr>
        <w:t>奈曼旗国民经济和社会发展第十四个五年规划和2035年远景目标纲要</w:t>
      </w:r>
    </w:p>
    <w:p w:rsidR="00000000" w:rsidRDefault="00000000">
      <w:pPr>
        <w:rPr>
          <w:rFonts w:ascii="宋体" w:hAnsi="宋体" w:cs="宋体" w:hint="eastAsia"/>
          <w:spacing w:val="1"/>
          <w:szCs w:val="21"/>
        </w:rPr>
      </w:pPr>
    </w:p>
    <w:p w:rsidR="00000000" w:rsidRDefault="00000000">
      <w:pPr>
        <w:rPr>
          <w:rFonts w:ascii="宋体" w:hAnsi="宋体" w:cs="宋体" w:hint="eastAsia"/>
          <w:spacing w:val="1"/>
          <w:szCs w:val="21"/>
        </w:rPr>
      </w:pPr>
    </w:p>
    <w:p w:rsidR="00000000" w:rsidRDefault="00000000">
      <w:pPr>
        <w:rPr>
          <w:rFonts w:ascii="宋体" w:hAnsi="宋体" w:cs="宋体" w:hint="eastAsia"/>
          <w:spacing w:val="1"/>
          <w:szCs w:val="21"/>
        </w:rPr>
      </w:pPr>
    </w:p>
    <w:p w:rsidR="00000000" w:rsidRDefault="00000000">
      <w:pPr>
        <w:rPr>
          <w:rFonts w:ascii="宋体" w:hAnsi="宋体" w:cs="宋体" w:hint="eastAsia"/>
          <w:spacing w:val="1"/>
          <w:szCs w:val="21"/>
        </w:rPr>
      </w:pPr>
    </w:p>
    <w:p w:rsidR="00000000" w:rsidRDefault="00000000">
      <w:pPr>
        <w:rPr>
          <w:rFonts w:ascii="宋体" w:hAnsi="宋体" w:cs="宋体" w:hint="eastAsia"/>
          <w:spacing w:val="1"/>
          <w:szCs w:val="21"/>
        </w:rPr>
      </w:pPr>
    </w:p>
    <w:p w:rsidR="00000000" w:rsidRDefault="00000000">
      <w:pPr>
        <w:rPr>
          <w:rFonts w:ascii="宋体" w:hAnsi="宋体" w:cs="宋体" w:hint="eastAsia"/>
          <w:spacing w:val="1"/>
          <w:szCs w:val="21"/>
        </w:rPr>
      </w:pPr>
    </w:p>
    <w:p w:rsidR="00000000" w:rsidRDefault="00D54102">
      <w:pPr>
        <w:rPr>
          <w:rFonts w:ascii="宋体" w:hAnsi="宋体" w:cs="宋体" w:hint="eastAsia"/>
          <w:spacing w:val="1"/>
          <w:szCs w:val="21"/>
        </w:rPr>
      </w:pPr>
      <w:r>
        <w:rPr>
          <w:noProof/>
        </w:rPr>
        <mc:AlternateContent>
          <mc:Choice Requires="wps">
            <w:drawing>
              <wp:anchor distT="0" distB="0" distL="114300" distR="114300" simplePos="0" relativeHeight="251650048" behindDoc="0" locked="0" layoutInCell="1" allowOverlap="1">
                <wp:simplePos x="0" y="0"/>
                <wp:positionH relativeFrom="column">
                  <wp:posOffset>-710565</wp:posOffset>
                </wp:positionH>
                <wp:positionV relativeFrom="paragraph">
                  <wp:posOffset>166370</wp:posOffset>
                </wp:positionV>
                <wp:extent cx="5374005" cy="1113790"/>
                <wp:effectExtent l="3810" t="4445" r="3810" b="0"/>
                <wp:wrapSquare wrapText="bothSides"/>
                <wp:docPr id="70"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13790"/>
                        </a:xfrm>
                        <a:prstGeom prst="rect">
                          <a:avLst/>
                        </a:prstGeom>
                        <a:solidFill>
                          <a:srgbClr val="C8EEFC"/>
                        </a:solidFill>
                        <a:ln>
                          <a:noFill/>
                        </a:ln>
                        <a:effectLst/>
                        <a:extLs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00000" w:rsidRDefault="00000000">
                            <w:pPr>
                              <w:spacing w:line="480" w:lineRule="exact"/>
                              <w:jc w:val="center"/>
                              <w:rPr>
                                <w:rFonts w:ascii="方正小标宋简体" w:eastAsia="方正小标宋简体" w:hAnsi="方正小标宋简体" w:cs="方正小标宋简体" w:hint="eastAsia"/>
                                <w:spacing w:val="1"/>
                                <w:sz w:val="32"/>
                                <w:szCs w:val="32"/>
                              </w:rPr>
                            </w:pPr>
                            <w:r>
                              <w:rPr>
                                <w:rFonts w:ascii="方正小标宋简体" w:eastAsia="方正小标宋简体" w:hAnsi="方正小标宋简体" w:cs="方正小标宋简体" w:hint="eastAsia"/>
                                <w:spacing w:val="1"/>
                                <w:sz w:val="32"/>
                                <w:szCs w:val="32"/>
                              </w:rPr>
                              <w:t>第一章  如期全面建成小康社会</w:t>
                            </w:r>
                          </w:p>
                          <w:p w:rsidR="00000000" w:rsidRDefault="00000000">
                            <w:pPr>
                              <w:spacing w:line="480" w:lineRule="exact"/>
                              <w:jc w:val="center"/>
                              <w:rPr>
                                <w:rFonts w:ascii="方正小标宋简体" w:eastAsia="方正小标宋简体" w:hAnsi="方正小标宋简体" w:cs="方正小标宋简体" w:hint="eastAsia"/>
                                <w:spacing w:val="1"/>
                                <w:sz w:val="32"/>
                                <w:szCs w:val="32"/>
                              </w:rPr>
                            </w:pPr>
                            <w:r>
                              <w:rPr>
                                <w:rFonts w:ascii="方正小标宋简体" w:eastAsia="方正小标宋简体" w:hAnsi="方正小标宋简体" w:cs="方正小标宋简体" w:hint="eastAsia"/>
                                <w:spacing w:val="1"/>
                                <w:sz w:val="32"/>
                                <w:szCs w:val="32"/>
                              </w:rPr>
                              <w:t xml:space="preserve">    综合实力显著提升</w:t>
                            </w:r>
                          </w:p>
                        </w:txbxContent>
                      </wps:txbx>
                      <wps:bodyPr rot="0" vert="horz" wrap="square" lIns="91440" tIns="251998" rIns="91440" bIns="71999"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5" o:spid="_x0000_s1026" type="#_x0000_t202" style="position:absolute;left:0;text-align:left;margin-left:-55.95pt;margin-top:13.1pt;width:423.15pt;height:87.7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" fillcolor="#c8eefc" stroked="f">
                <v:textbox inset=",6.99994mm,,1.99997mm">
                  <w:txbxContent>
                    <w:p w:rsidR="00000000" w:rsidRDefault="00000000">
                      <w:pPr>
                        <w:spacing w:line="480" w:lineRule="exact"/>
                        <w:jc w:val="center"/>
                        <w:rPr>
                          <w:rFonts w:ascii="方正小标宋简体" w:eastAsia="方正小标宋简体" w:hAnsi="方正小标宋简体" w:cs="方正小标宋简体" w:hint="eastAsia"/>
                          <w:spacing w:val="1"/>
                          <w:sz w:val="32"/>
                          <w:szCs w:val="32"/>
                        </w:rPr>
                      </w:pPr>
                      <w:r>
                        <w:rPr>
                          <w:rFonts w:ascii="方正小标宋简体" w:eastAsia="方正小标宋简体" w:hAnsi="方正小标宋简体" w:cs="方正小标宋简体" w:hint="eastAsia"/>
                          <w:spacing w:val="1"/>
                          <w:sz w:val="32"/>
                          <w:szCs w:val="32"/>
                        </w:rPr>
                        <w:t>第一章  如期全面建成小康社会</w:t>
                      </w:r>
                    </w:p>
                    <w:p w:rsidR="00000000" w:rsidRDefault="00000000">
                      <w:pPr>
                        <w:spacing w:line="480" w:lineRule="exact"/>
                        <w:jc w:val="center"/>
                        <w:rPr>
                          <w:rFonts w:ascii="方正小标宋简体" w:eastAsia="方正小标宋简体" w:hAnsi="方正小标宋简体" w:cs="方正小标宋简体" w:hint="eastAsia"/>
                          <w:spacing w:val="1"/>
                          <w:sz w:val="32"/>
                          <w:szCs w:val="32"/>
                        </w:rPr>
                      </w:pPr>
                      <w:r>
                        <w:rPr>
                          <w:rFonts w:ascii="方正小标宋简体" w:eastAsia="方正小标宋简体" w:hAnsi="方正小标宋简体" w:cs="方正小标宋简体" w:hint="eastAsia"/>
                          <w:spacing w:val="1"/>
                          <w:sz w:val="32"/>
                          <w:szCs w:val="32"/>
                        </w:rPr>
                        <w:t xml:space="preserve">    综合实力显著提升</w:t>
                      </w:r>
                    </w:p>
                  </w:txbxContent>
                </v:textbox>
                <w10:wrap type="square"/>
              </v:shape>
            </w:pict>
          </mc:Fallback>
        </mc:AlternateContent>
      </w:r>
    </w:p>
    <w:p w:rsidR="00000000" w:rsidRDefault="00000000">
      <w:pPr>
        <w:rPr>
          <w:rFonts w:ascii="宋体" w:hAnsi="宋体" w:cs="宋体" w:hint="eastAsia"/>
          <w:spacing w:val="1"/>
          <w:szCs w:val="21"/>
        </w:rPr>
      </w:pPr>
    </w:p>
    <w:p w:rsidR="00000000" w:rsidRDefault="00000000">
      <w:pPr>
        <w:rPr>
          <w:rFonts w:ascii="宋体" w:hAnsi="宋体" w:cs="宋体" w:hint="eastAsia"/>
          <w:spacing w:val="1"/>
          <w:szCs w:val="21"/>
        </w:rPr>
      </w:pPr>
    </w:p>
    <w:p w:rsidR="00000000" w:rsidRDefault="00000000">
      <w:pPr>
        <w:rPr>
          <w:rFonts w:ascii="宋体" w:hAnsi="宋体" w:cs="宋体" w:hint="eastAsia"/>
          <w:spacing w:val="1"/>
          <w:szCs w:val="21"/>
        </w:rPr>
      </w:pPr>
    </w:p>
    <w:p w:rsidR="00000000" w:rsidRDefault="00000000">
      <w:pPr>
        <w:rPr>
          <w:rFonts w:ascii="宋体" w:hAnsi="宋体" w:cs="宋体" w:hint="eastAsia"/>
          <w:spacing w:val="1"/>
          <w:szCs w:val="21"/>
        </w:rPr>
      </w:pPr>
    </w:p>
    <w:p w:rsidR="00000000" w:rsidRDefault="00000000">
      <w:pPr>
        <w:rPr>
          <w:rFonts w:ascii="宋体" w:hAnsi="宋体" w:cs="宋体" w:hint="eastAsia"/>
          <w:spacing w:val="1"/>
          <w:szCs w:val="21"/>
        </w:rPr>
      </w:pPr>
    </w:p>
    <w:p w:rsidR="00000000" w:rsidRDefault="00000000">
      <w:pPr>
        <w:rPr>
          <w:rFonts w:ascii="宋体" w:hAnsi="宋体" w:cs="宋体" w:hint="eastAsia"/>
          <w:spacing w:val="1"/>
          <w:szCs w:val="21"/>
        </w:rPr>
      </w:pPr>
    </w:p>
    <w:p w:rsidR="00000000" w:rsidRDefault="00000000">
      <w:pPr>
        <w:rPr>
          <w:rFonts w:ascii="宋体" w:hAnsi="宋体" w:cs="宋体" w:hint="eastAsia"/>
          <w:spacing w:val="1"/>
          <w:szCs w:val="21"/>
        </w:rPr>
      </w:pPr>
    </w:p>
    <w:p w:rsidR="00000000" w:rsidRDefault="00000000">
      <w:pPr>
        <w:rPr>
          <w:rFonts w:ascii="宋体" w:hAnsi="宋体" w:cs="宋体" w:hint="eastAsia"/>
          <w:spacing w:val="1"/>
          <w:szCs w:val="21"/>
        </w:rPr>
      </w:pPr>
    </w:p>
    <w:p w:rsidR="00000000" w:rsidRDefault="00000000">
      <w:pPr>
        <w:rPr>
          <w:rFonts w:ascii="宋体" w:hAnsi="宋体" w:cs="宋体" w:hint="eastAsia"/>
          <w:spacing w:val="1"/>
          <w:szCs w:val="21"/>
        </w:rPr>
      </w:pPr>
    </w:p>
    <w:p w:rsidR="00000000" w:rsidRDefault="00000000">
      <w:pPr>
        <w:pStyle w:val="2"/>
        <w:spacing w:beforeLines="100" w:before="321" w:afterLines="50" w:after="160" w:line="480" w:lineRule="exact"/>
        <w:jc w:val="center"/>
        <w:rPr>
          <w:rFonts w:eastAsia="仿宋_GB2312" w:hint="eastAsia"/>
          <w:bCs w:val="0"/>
          <w:spacing w:val="1"/>
          <w:sz w:val="28"/>
          <w:szCs w:val="28"/>
        </w:rPr>
      </w:pPr>
      <w:bookmarkStart w:id="0" w:name="_Toc55167040"/>
      <w:bookmarkStart w:id="1" w:name="_Toc59084977"/>
      <w:bookmarkStart w:id="2" w:name="_Toc65938178"/>
      <w:bookmarkStart w:id="3" w:name="_Toc57106138"/>
      <w:bookmarkStart w:id="4" w:name="_Toc30061"/>
      <w:r>
        <w:rPr>
          <w:rFonts w:ascii="楷体_GB2312" w:eastAsia="楷体_GB2312" w:hAnsi="楷体_GB2312" w:cs="楷体_GB2312" w:hint="eastAsia"/>
          <w:bCs w:val="0"/>
          <w:kern w:val="0"/>
          <w:sz w:val="24"/>
          <w:szCs w:val="24"/>
        </w:rPr>
        <w:lastRenderedPageBreak/>
        <w:t>第一节</w:t>
      </w:r>
      <w:bookmarkEnd w:id="0"/>
      <w:r>
        <w:rPr>
          <w:rFonts w:ascii="楷体_GB2312" w:eastAsia="楷体_GB2312" w:hAnsi="楷体_GB2312" w:cs="楷体_GB2312" w:hint="eastAsia"/>
          <w:bCs w:val="0"/>
          <w:kern w:val="0"/>
          <w:sz w:val="24"/>
          <w:szCs w:val="24"/>
        </w:rPr>
        <w:t xml:space="preserve">  发展成就</w:t>
      </w:r>
      <w:bookmarkEnd w:id="1"/>
      <w:bookmarkEnd w:id="2"/>
      <w:bookmarkEnd w:id="3"/>
      <w:bookmarkEnd w:id="4"/>
    </w:p>
    <w:p w:rsidR="00000000" w:rsidRDefault="00000000">
      <w:pPr>
        <w:pStyle w:val="Normal24"/>
        <w:widowControl w:val="0"/>
        <w:spacing w:before="0" w:after="0" w:line="480" w:lineRule="exact"/>
        <w:ind w:firstLineChars="200"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十三五”时期，是我旗发展过程中不平凡的五年，面对经济形势的复杂变化和艰巨的改革发展稳定任务，在自治区党委和通辽市委坚强领导下，旗委团结带领全旗各族人民，坚持以习近平新时代中国特色社会主义思想为指导，深入贯彻落实党中央、自治区和通辽市各项决策部署，扎实做好稳增长、促改革、调结构、惠民生、防风险、保稳定各项工作，统筹推进疫情防控和经济社会发展，围绕生态安全稳定屏障的重大使命，保持了经济发展和社会繁荣稳定，“三大攻坚战”成效显著，决胜全面建成小康社会取得决定性成就。</w:t>
      </w:r>
    </w:p>
    <w:p w:rsidR="00000000" w:rsidRDefault="00000000">
      <w:pPr>
        <w:spacing w:line="480" w:lineRule="exact"/>
        <w:ind w:firstLineChars="200" w:firstLine="420"/>
        <w:rPr>
          <w:rFonts w:ascii="宋体" w:hAnsi="宋体" w:cs="宋体" w:hint="eastAsia"/>
          <w:kern w:val="0"/>
          <w:szCs w:val="21"/>
        </w:rPr>
      </w:pPr>
      <w:bookmarkStart w:id="5" w:name="_Toc33530362"/>
      <w:bookmarkStart w:id="6" w:name="_Toc59085901"/>
      <w:bookmarkStart w:id="7" w:name="_Toc59584530"/>
      <w:bookmarkStart w:id="8" w:name="_Toc61948666"/>
      <w:bookmarkStart w:id="9" w:name="_Toc62335551"/>
      <w:bookmarkStart w:id="10" w:name="_Toc63351395"/>
      <w:bookmarkStart w:id="11" w:name="_Toc33530360"/>
      <w:r>
        <w:rPr>
          <w:rFonts w:eastAsia="楷体_GB2312"/>
          <w:szCs w:val="21"/>
        </w:rPr>
        <w:t>经济发展基础更加稳固。</w:t>
      </w:r>
      <w:bookmarkEnd w:id="5"/>
      <w:r>
        <w:rPr>
          <w:rFonts w:ascii="宋体" w:hAnsi="宋体" w:cs="宋体" w:hint="eastAsia"/>
          <w:kern w:val="0"/>
          <w:szCs w:val="21"/>
        </w:rPr>
        <w:t>经济综合实力进一步提升，经济运行总体平稳，稳中有进，经济增速、固定资产投资等经济指标保持全市前列。农牧业产业结构进一步优化，高效种植业、规模化养殖业、特色林果业发展初见成效，粮食年产量突破23亿斤。工业经济发展扩量提质，镍循环经济、绿色农畜产品加工、新型建材、绿色能源、蒙中医药五大产业基本成型。现代服务业加快发展，商业综合体发展到7家，专业市场和综合交易市场达到45个，物流企业发展到61家，基本形成覆盖城乡的商贸流通体系。深入实施全域旅游发展，宝古图沙漠旅游区游客中心、越野家园投入使用，怪柳景区、孟家</w:t>
      </w:r>
      <w:r>
        <w:rPr>
          <w:rFonts w:ascii="宋体" w:hAnsi="宋体" w:cs="宋体" w:hint="eastAsia"/>
          <w:kern w:val="0"/>
          <w:szCs w:val="21"/>
        </w:rPr>
        <w:lastRenderedPageBreak/>
        <w:t>段垂钓等重点项目基本完工，奈曼王府、孟家段湿地旅游区晋升国家4A级旅游景区，苏勒德旅游区被评为3A级旅游景区，“沙海明珠•奇美奈曼”旅游品牌影响力不断扩大，被评为全国首批“醉美摄影旅游目的地”，入选第二批自治区全域旅游示范区名单，“十三五”时期，累计接待国内外游客667.8万人次。占布拉道尔吉甘露康疗中心投入运营。深入推进国家级电子商务进农村综合示范旗建设，电子商务年交易额实现2.4亿元。</w:t>
      </w:r>
      <w:bookmarkEnd w:id="6"/>
      <w:r>
        <w:rPr>
          <w:rFonts w:ascii="宋体" w:hAnsi="宋体" w:cs="宋体" w:hint="eastAsia"/>
          <w:kern w:val="0"/>
          <w:szCs w:val="21"/>
        </w:rPr>
        <w:t>金融运行态势良好，存贷款余额分别达到122.21亿元、62.19亿元。</w:t>
      </w:r>
      <w:bookmarkEnd w:id="7"/>
      <w:bookmarkEnd w:id="8"/>
      <w:bookmarkEnd w:id="9"/>
      <w:bookmarkEnd w:id="10"/>
    </w:p>
    <w:p w:rsidR="00000000" w:rsidRDefault="00000000">
      <w:pPr>
        <w:spacing w:line="480" w:lineRule="exact"/>
        <w:ind w:firstLineChars="200" w:firstLine="420"/>
        <w:outlineLvl w:val="2"/>
        <w:rPr>
          <w:rFonts w:ascii="宋体" w:hAnsi="宋体" w:cs="宋体" w:hint="eastAsia"/>
          <w:kern w:val="0"/>
          <w:szCs w:val="21"/>
        </w:rPr>
      </w:pPr>
      <w:bookmarkStart w:id="12" w:name="_Toc63351396"/>
      <w:bookmarkStart w:id="13" w:name="_Toc59584531"/>
      <w:bookmarkStart w:id="14" w:name="_Toc62335552"/>
      <w:bookmarkStart w:id="15" w:name="_Toc59085902"/>
      <w:bookmarkStart w:id="16" w:name="_Toc65938179"/>
      <w:bookmarkStart w:id="17" w:name="_Toc61948667"/>
      <w:bookmarkStart w:id="18" w:name="_Toc64564462"/>
      <w:r>
        <w:rPr>
          <w:rFonts w:eastAsia="楷体_GB2312" w:hint="eastAsia"/>
          <w:szCs w:val="21"/>
        </w:rPr>
        <w:t>“</w:t>
      </w:r>
      <w:r>
        <w:rPr>
          <w:rFonts w:eastAsia="楷体_GB2312"/>
          <w:szCs w:val="21"/>
        </w:rPr>
        <w:t>三大攻坚战</w:t>
      </w:r>
      <w:r>
        <w:rPr>
          <w:rFonts w:eastAsia="楷体_GB2312" w:hint="eastAsia"/>
          <w:szCs w:val="21"/>
        </w:rPr>
        <w:t>”</w:t>
      </w:r>
      <w:r>
        <w:rPr>
          <w:rFonts w:eastAsia="楷体_GB2312"/>
          <w:szCs w:val="21"/>
        </w:rPr>
        <w:t>成效显著。</w:t>
      </w:r>
      <w:r>
        <w:rPr>
          <w:rFonts w:ascii="宋体" w:hAnsi="宋体" w:cs="宋体" w:hint="eastAsia"/>
          <w:kern w:val="0"/>
          <w:szCs w:val="21"/>
        </w:rPr>
        <w:t>脱贫攻坚战取得历史性成就。严格落实精准扶贫政策，创新“35610”扶贫工作机制，实施健康扶贫、精神扶贫、教育扶贫、兜底扶贫、易地搬迁、东西部扶贫协作等重大工程，223个产业扶贫项目精准落地，累计投入各类扶贫资金18.84亿元，实现5.97万贫困群众稳定脱贫。“三类人群”因人因户综合施策，基本医疗保险、养老保险实现全覆盖。现行标准下贫困人口全部脱贫，退出国家级贫困县序列。持续打好污染防治攻坚战，城镇环境空气质量达到一级标准，“十三五”时期，优良率达到90%以上。全面落实河长制，实施水污染防治计划，开展乡镇饮用水源地定期监测，定期开展原化工园区、污水处理厂、辽河油田</w:t>
      </w:r>
      <w:r>
        <w:rPr>
          <w:rFonts w:ascii="宋体" w:hAnsi="宋体" w:cs="宋体" w:hint="eastAsia"/>
          <w:kern w:val="0"/>
          <w:szCs w:val="21"/>
        </w:rPr>
        <w:lastRenderedPageBreak/>
        <w:t>等重点区域监督检查和监测。重点污染源得到有效治理，污染物排放稳步下降，土壤环境质量总体平稳。防范化解重大风险向纵深推进，综合运用预算安排、土地出让、资产抵顶、谈判减债等政策措施，不良信贷得到集中整治，有效防范系统性区域性金融风险。</w:t>
      </w:r>
      <w:bookmarkEnd w:id="12"/>
      <w:bookmarkEnd w:id="13"/>
      <w:bookmarkEnd w:id="14"/>
      <w:bookmarkEnd w:id="15"/>
      <w:bookmarkEnd w:id="16"/>
      <w:bookmarkEnd w:id="17"/>
      <w:bookmarkEnd w:id="18"/>
    </w:p>
    <w:p w:rsidR="00000000" w:rsidRDefault="00000000">
      <w:pPr>
        <w:spacing w:line="480" w:lineRule="exact"/>
        <w:ind w:firstLineChars="200" w:firstLine="420"/>
        <w:outlineLvl w:val="2"/>
        <w:rPr>
          <w:rFonts w:ascii="宋体" w:hAnsi="宋体" w:cs="宋体" w:hint="eastAsia"/>
          <w:kern w:val="0"/>
          <w:szCs w:val="21"/>
        </w:rPr>
      </w:pPr>
      <w:bookmarkStart w:id="19" w:name="_Toc59584532"/>
      <w:bookmarkStart w:id="20" w:name="_Toc59085903"/>
      <w:bookmarkStart w:id="21" w:name="_Toc62335553"/>
      <w:bookmarkStart w:id="22" w:name="_Toc65938180"/>
      <w:bookmarkStart w:id="23" w:name="_Toc63351397"/>
      <w:bookmarkStart w:id="24" w:name="_Toc61948668"/>
      <w:bookmarkStart w:id="25" w:name="_Toc64564463"/>
      <w:r>
        <w:rPr>
          <w:rFonts w:eastAsia="楷体_GB2312"/>
          <w:szCs w:val="21"/>
        </w:rPr>
        <w:t>生态环境明显改善。</w:t>
      </w:r>
      <w:r>
        <w:rPr>
          <w:rFonts w:ascii="宋体" w:hAnsi="宋体" w:cs="宋体" w:hint="eastAsia"/>
          <w:kern w:val="0"/>
          <w:szCs w:val="21"/>
        </w:rPr>
        <w:t>严格落实主体功能区战略。严守生态保护红线、环境质量底线、资源利用上线和环境准入负面清单“三线一单”制度。污染防治攻坚战取得明显成效，蓝天、碧水、净土保卫战初战告捷。实施草牧场“三权分置”，全面落实草原生态保护补助奖励政策和全年禁牧政策。持续实施三北防护林、退耕还林（草）、退牧还草、退化土地治理、林草植被恢复等重点修复工程。主要污染物排放和万元工业增加值用水量逐年下降，农田灌溉水利用系数提高到0.632。“十三五”时期，完成人工造林118.2万亩，科尔沁沙地综合治理92万亩，天然草原修复120万亩，经济林面积达到74万亩，森林覆盖率达到30.81%，草原综合植被盖度达到45%。</w:t>
      </w:r>
      <w:bookmarkStart w:id="26" w:name="_Toc33530363"/>
      <w:bookmarkEnd w:id="11"/>
      <w:bookmarkEnd w:id="19"/>
      <w:bookmarkEnd w:id="20"/>
      <w:r>
        <w:rPr>
          <w:rFonts w:ascii="宋体" w:hAnsi="宋体" w:cs="宋体" w:hint="eastAsia"/>
          <w:kern w:val="0"/>
          <w:szCs w:val="21"/>
        </w:rPr>
        <w:t>成功创建国家园林县城。</w:t>
      </w:r>
      <w:bookmarkEnd w:id="21"/>
      <w:bookmarkEnd w:id="22"/>
      <w:bookmarkEnd w:id="23"/>
      <w:bookmarkEnd w:id="24"/>
      <w:bookmarkEnd w:id="25"/>
    </w:p>
    <w:p w:rsidR="00000000" w:rsidRDefault="00000000">
      <w:pPr>
        <w:spacing w:line="480" w:lineRule="exact"/>
        <w:ind w:firstLineChars="200" w:firstLine="420"/>
        <w:outlineLvl w:val="2"/>
        <w:rPr>
          <w:rFonts w:ascii="宋体" w:hAnsi="宋体" w:cs="宋体" w:hint="eastAsia"/>
          <w:kern w:val="0"/>
          <w:szCs w:val="21"/>
        </w:rPr>
      </w:pPr>
      <w:bookmarkStart w:id="27" w:name="_Toc64564464"/>
      <w:bookmarkStart w:id="28" w:name="_Toc65938181"/>
      <w:bookmarkStart w:id="29" w:name="_Toc59584533"/>
      <w:bookmarkStart w:id="30" w:name="_Toc61948669"/>
      <w:bookmarkStart w:id="31" w:name="_Toc59085904"/>
      <w:bookmarkStart w:id="32" w:name="_Toc62335554"/>
      <w:bookmarkStart w:id="33" w:name="_Toc63351398"/>
      <w:r>
        <w:rPr>
          <w:rFonts w:eastAsia="楷体_GB2312"/>
          <w:szCs w:val="21"/>
        </w:rPr>
        <w:t>创新能力稳步提高。</w:t>
      </w:r>
      <w:bookmarkEnd w:id="26"/>
      <w:r>
        <w:rPr>
          <w:rFonts w:ascii="宋体" w:hAnsi="宋体" w:cs="宋体" w:hint="eastAsia"/>
          <w:kern w:val="0"/>
          <w:szCs w:val="21"/>
        </w:rPr>
        <w:t>深入落实创新驱动战略。科技创新载体建设稳步推进，建立了蒙中药材产业院士专家工作站、科技特派员工作站、博士工作站。科技成果转化步伐加快，建设了大沁他拉镇现</w:t>
      </w:r>
      <w:r>
        <w:rPr>
          <w:rFonts w:ascii="宋体" w:hAnsi="宋体" w:cs="宋体" w:hint="eastAsia"/>
          <w:kern w:val="0"/>
          <w:szCs w:val="21"/>
        </w:rPr>
        <w:lastRenderedPageBreak/>
        <w:t>代农业科技园、奈曼甘薯现代农业产业园、沙地生态治理产业示范区、蒙中药材种植农业综合标准化示范区、青贮种植基地等一批科技创新园区基地，引进了一批新品种、新技术。积极推动产学研合作，与中科院、国家自然科学基金委等20余所科研机构、大专院校建立了长期合作关系，开展重点领域技术创新。争取各类科技项目资金2000多万元，安排奖励资金200万元。</w:t>
      </w:r>
      <w:bookmarkEnd w:id="27"/>
      <w:bookmarkEnd w:id="28"/>
      <w:bookmarkEnd w:id="29"/>
      <w:bookmarkEnd w:id="30"/>
      <w:bookmarkEnd w:id="31"/>
      <w:bookmarkEnd w:id="32"/>
      <w:bookmarkEnd w:id="33"/>
      <w:r>
        <w:rPr>
          <w:rFonts w:ascii="宋体" w:hAnsi="宋体" w:cs="宋体" w:hint="eastAsia"/>
          <w:kern w:val="0"/>
          <w:szCs w:val="21"/>
        </w:rPr>
        <w:t>创新型</w:t>
      </w:r>
      <w:hyperlink w:anchor="##" w:history="1">
        <w:r>
          <w:rPr>
            <w:rFonts w:ascii="宋体" w:hAnsi="宋体" w:cs="宋体" w:hint="eastAsia"/>
            <w:kern w:val="0"/>
            <w:szCs w:val="21"/>
          </w:rPr>
          <w:t>人才队伍</w:t>
        </w:r>
      </w:hyperlink>
      <w:r>
        <w:rPr>
          <w:rFonts w:ascii="宋体" w:hAnsi="宋体" w:cs="宋体" w:hint="eastAsia"/>
          <w:kern w:val="0"/>
          <w:szCs w:val="21"/>
        </w:rPr>
        <w:t>不断壮大，实施人才回引、刚性柔性并举等多举措，引进培育创新型人才。</w:t>
      </w:r>
    </w:p>
    <w:p w:rsidR="00000000" w:rsidRDefault="00000000">
      <w:pPr>
        <w:spacing w:line="480" w:lineRule="exact"/>
        <w:ind w:firstLineChars="200" w:firstLine="420"/>
        <w:outlineLvl w:val="2"/>
        <w:rPr>
          <w:rFonts w:ascii="宋体" w:hAnsi="宋体" w:cs="宋体" w:hint="eastAsia"/>
          <w:kern w:val="0"/>
          <w:szCs w:val="21"/>
        </w:rPr>
      </w:pPr>
      <w:bookmarkStart w:id="34" w:name="_Toc33530364"/>
      <w:bookmarkStart w:id="35" w:name="_Toc59085905"/>
      <w:bookmarkStart w:id="36" w:name="_Toc61948670"/>
      <w:bookmarkStart w:id="37" w:name="_Toc59584534"/>
      <w:bookmarkStart w:id="38" w:name="_Toc62335555"/>
      <w:bookmarkStart w:id="39" w:name="_Toc65938182"/>
      <w:bookmarkStart w:id="40" w:name="_Toc63351399"/>
      <w:bookmarkStart w:id="41" w:name="_Toc64564465"/>
      <w:bookmarkStart w:id="42" w:name="_Toc33530366"/>
      <w:bookmarkStart w:id="43" w:name="_Toc59085906"/>
      <w:r>
        <w:rPr>
          <w:rFonts w:eastAsia="楷体_GB2312"/>
          <w:szCs w:val="21"/>
        </w:rPr>
        <w:t>基础设施不断完善。</w:t>
      </w:r>
      <w:bookmarkEnd w:id="34"/>
      <w:r>
        <w:rPr>
          <w:rFonts w:ascii="宋体" w:hAnsi="宋体" w:cs="宋体" w:hint="eastAsia"/>
          <w:kern w:val="0"/>
          <w:szCs w:val="21"/>
        </w:rPr>
        <w:t>“十三五”时期，实施了交通、水利、电力、信息和市政等一批基础设施工程。高等级公路建设持续推进，路网结构日趋完善，新改建公路里程2066公里，完成投资48.8亿元。大广高速奈曼东连接线改扩建工程、奈营高速奈曼段、国道111线奈曼过境线二级路续建工程、常兴扶贫穿沙公路等顺利竣工通车。农村公路通行条件明显改善，实现行政村、自然村通硬化路“百分百”目标。京通铁路电气化改造和园区铁路专用线顺利推进。通用机场基本建成。完成道力歹水利枢纽、牤牛河治理等一批河流治理工程。建成南部山区低水高调等水源工程6处，有效缓解了南部山区用水短缺难题。新建及改扩建饮水工程695处、水厂396座、水处理设施1处，封闭了11眼自备井。电网结构得到优化，供电质量</w:t>
      </w:r>
      <w:r>
        <w:rPr>
          <w:rFonts w:ascii="宋体" w:hAnsi="宋体" w:cs="宋体" w:hint="eastAsia"/>
          <w:kern w:val="0"/>
          <w:szCs w:val="21"/>
        </w:rPr>
        <w:lastRenderedPageBreak/>
        <w:t>大幅提高，胜应220千伏变电站、8座66千伏变电站、京通铁路（奈曼段）输电工程、毕氏220千伏供电工程、金沙500千伏输变电等工程竣工投运。低压网改造面达到100%，供电可靠率达99.82%。行政嘎查村实现光纤、4G 网络和宽带全覆盖。城关镇基础设施建设稳步推进。实施青龙山甘薯小镇、蒙中医药小镇、白音他拉旅游小镇等特色小镇建设，蒙中医药小镇进入自治区特色小镇培育名单。农村牧区生活环境不断改善，深入推进“厕所革命”，农村牧区卫生厕所普及率达到32.4%，城乡生活垃圾无害化处理达标率分别为95%和60%，</w:t>
      </w:r>
      <w:bookmarkEnd w:id="35"/>
      <w:bookmarkEnd w:id="36"/>
      <w:bookmarkEnd w:id="37"/>
      <w:r>
        <w:rPr>
          <w:rFonts w:ascii="宋体" w:hAnsi="宋体" w:cs="宋体" w:hint="eastAsia"/>
          <w:kern w:val="0"/>
          <w:szCs w:val="21"/>
        </w:rPr>
        <w:t>60%以上嘎查村基本实现“四清四化”，创建了人居环境示范镇2个，示范村25个。</w:t>
      </w:r>
      <w:bookmarkEnd w:id="38"/>
      <w:bookmarkEnd w:id="39"/>
      <w:bookmarkEnd w:id="40"/>
      <w:bookmarkEnd w:id="41"/>
    </w:p>
    <w:p w:rsidR="00000000" w:rsidRDefault="00000000">
      <w:pPr>
        <w:spacing w:line="480" w:lineRule="exact"/>
        <w:ind w:firstLineChars="200" w:firstLine="420"/>
        <w:outlineLvl w:val="2"/>
        <w:rPr>
          <w:rFonts w:ascii="宋体" w:hAnsi="宋体" w:cs="宋体" w:hint="eastAsia"/>
          <w:kern w:val="0"/>
          <w:szCs w:val="21"/>
        </w:rPr>
      </w:pPr>
      <w:bookmarkStart w:id="44" w:name="_Toc64564466"/>
      <w:bookmarkStart w:id="45" w:name="_Toc62335556"/>
      <w:bookmarkStart w:id="46" w:name="_Toc61948671"/>
      <w:bookmarkStart w:id="47" w:name="_Toc59584535"/>
      <w:bookmarkStart w:id="48" w:name="_Toc63351400"/>
      <w:bookmarkStart w:id="49" w:name="_Toc65938183"/>
      <w:bookmarkStart w:id="50" w:name="_Toc57106139"/>
      <w:bookmarkStart w:id="51" w:name="_Toc59084979"/>
      <w:bookmarkEnd w:id="42"/>
      <w:bookmarkEnd w:id="43"/>
      <w:r>
        <w:rPr>
          <w:rFonts w:eastAsia="楷体_GB2312"/>
          <w:szCs w:val="21"/>
        </w:rPr>
        <w:t>改革开放稳步推进。</w:t>
      </w:r>
      <w:r>
        <w:rPr>
          <w:rFonts w:ascii="宋体" w:hAnsi="宋体" w:cs="宋体" w:hint="eastAsia"/>
          <w:kern w:val="0"/>
          <w:szCs w:val="21"/>
        </w:rPr>
        <w:t>“放管服”改革持续深化，集中行政许可权改革深入推进，下放苏木乡镇行政权力事项98项，工程建设项目审批系统上线运行，审批办结时限压减40%以上。推行“审核合一、一窗受理”，实行“一站式”服务，推进“双随机一公开”常态化监管，远程异地评标试点工作稳步推进。营商环境进一步优化，规范市场主体健康发展。党政机构改革全面完成，推进事业单位改革。稳步推进公立医院改革和医药卫生体制改革。农牧林场改革积极推进，土地承包经营权确权登记颁证工作顺利实施。对外开放不断拓</w:t>
      </w:r>
      <w:r>
        <w:rPr>
          <w:rFonts w:ascii="宋体" w:hAnsi="宋体" w:cs="宋体" w:hint="eastAsia"/>
          <w:kern w:val="0"/>
          <w:szCs w:val="21"/>
        </w:rPr>
        <w:lastRenderedPageBreak/>
        <w:t>展，积极参与“一带一路”、中蒙俄经济走廊建设，主动融入国家区域发展战略，锦州港玉米延伸交割库落户奈曼。招商引资力度不断加大，多角度、全方位对外宣传推介奈曼，承接京津冀产业转移，推动一批产业项目顺利签约落地。</w:t>
      </w:r>
      <w:bookmarkEnd w:id="44"/>
      <w:bookmarkEnd w:id="45"/>
      <w:bookmarkEnd w:id="46"/>
      <w:bookmarkEnd w:id="47"/>
      <w:bookmarkEnd w:id="48"/>
      <w:bookmarkEnd w:id="49"/>
    </w:p>
    <w:p w:rsidR="00000000" w:rsidRDefault="00000000">
      <w:pPr>
        <w:spacing w:line="480" w:lineRule="exact"/>
        <w:ind w:firstLineChars="200" w:firstLine="420"/>
        <w:outlineLvl w:val="2"/>
        <w:rPr>
          <w:rFonts w:ascii="宋体" w:hAnsi="宋体" w:cs="宋体" w:hint="eastAsia"/>
          <w:kern w:val="0"/>
          <w:szCs w:val="21"/>
        </w:rPr>
      </w:pPr>
      <w:bookmarkStart w:id="52" w:name="_Toc33530367"/>
      <w:bookmarkStart w:id="53" w:name="_Toc59085908"/>
      <w:bookmarkStart w:id="54" w:name="_Toc59584537"/>
      <w:bookmarkStart w:id="55" w:name="_Toc61948673"/>
      <w:bookmarkStart w:id="56" w:name="_Toc62335558"/>
      <w:bookmarkStart w:id="57" w:name="_Toc65938184"/>
      <w:bookmarkStart w:id="58" w:name="_Toc64564467"/>
      <w:bookmarkStart w:id="59" w:name="_Toc63351401"/>
      <w:r>
        <w:rPr>
          <w:rFonts w:eastAsia="楷体_GB2312"/>
          <w:szCs w:val="21"/>
        </w:rPr>
        <w:t>民生福祉更加普惠。</w:t>
      </w:r>
      <w:bookmarkEnd w:id="52"/>
      <w:r>
        <w:rPr>
          <w:rFonts w:ascii="宋体" w:hAnsi="宋体" w:cs="宋体" w:hint="eastAsia"/>
          <w:kern w:val="0"/>
          <w:szCs w:val="21"/>
        </w:rPr>
        <w:t>“十三五”时期，健全就业创业体制机制，累计新增就业7697人，城镇登记失业率控制在3.9%以内。社保“五险”覆盖面稳步扩大，保障水平逐步提高。义务教育均衡化发展，国家验收达标率超过90%，幼儿园普惠率达到93.6%，小学和初中阶段毛入学率均达到100%。蒙语授课高考成绩一直位列全市前列。职业教育改革稳步推进。蒙古族中学迁入新址，特殊教育学校教学楼主体完工，新镇中学宿舍楼、黄花塔拉学区中心校食堂投入使用，建成中心村幼儿园3所。健康奈曼建设不断强化，卫生基础设施不断完善，疾病预防控制能力得到提升，每千人医疗卫生机构床位数达到3.8个，每千名老人拥有养老床位达到20张。国家卫生县城通过复审。精神文明建设成果显著，公共文化服务功能日益完善，旗图书馆迁入新址，建成嘎查村文化室372个，文化广场355个。《奈曼旗文化志（总卷）》出版发行，完成蒙文版翻译。乌兰牧骑被评为自治区一类乌兰牧骑。建成旗档案馆，即将投入使用。融媒体中</w:t>
      </w:r>
      <w:r>
        <w:rPr>
          <w:rFonts w:ascii="宋体" w:hAnsi="宋体" w:cs="宋体" w:hint="eastAsia"/>
          <w:kern w:val="0"/>
          <w:szCs w:val="21"/>
        </w:rPr>
        <w:lastRenderedPageBreak/>
        <w:t>心建设走在自治区前列，基本建成覆盖城乡的广播电视信号网络。获评自治区文化之乡。</w:t>
      </w:r>
      <w:bookmarkEnd w:id="53"/>
      <w:bookmarkEnd w:id="54"/>
      <w:bookmarkEnd w:id="55"/>
      <w:r>
        <w:rPr>
          <w:rFonts w:ascii="宋体" w:hAnsi="宋体" w:cs="宋体" w:hint="eastAsia"/>
          <w:kern w:val="0"/>
          <w:szCs w:val="21"/>
        </w:rPr>
        <w:t>文化体育活动空前活跃，举办了奈曼版画年展、诺恩吉雅文化系列、摄影采风、内蒙古沙漠那达慕、奈曼越野群英会等品牌活动。</w:t>
      </w:r>
      <w:bookmarkEnd w:id="56"/>
      <w:bookmarkEnd w:id="57"/>
      <w:bookmarkEnd w:id="58"/>
      <w:bookmarkEnd w:id="59"/>
    </w:p>
    <w:p w:rsidR="00000000" w:rsidRDefault="00000000">
      <w:pPr>
        <w:spacing w:line="490" w:lineRule="exact"/>
        <w:ind w:firstLineChars="200" w:firstLine="420"/>
        <w:outlineLvl w:val="2"/>
        <w:rPr>
          <w:rFonts w:eastAsia="楷体_GB2312"/>
          <w:bCs/>
          <w:kern w:val="0"/>
          <w:sz w:val="28"/>
          <w:szCs w:val="28"/>
        </w:rPr>
      </w:pPr>
      <w:bookmarkStart w:id="60" w:name="_Toc59085907"/>
      <w:bookmarkStart w:id="61" w:name="_Toc62335557"/>
      <w:bookmarkStart w:id="62" w:name="_Toc61948672"/>
      <w:bookmarkStart w:id="63" w:name="_Toc63351402"/>
      <w:bookmarkStart w:id="64" w:name="_Toc59584536"/>
      <w:bookmarkStart w:id="65" w:name="_Toc65938185"/>
      <w:bookmarkStart w:id="66" w:name="_Toc64564468"/>
      <w:bookmarkStart w:id="67" w:name="_Toc33530365"/>
      <w:r>
        <w:rPr>
          <w:rFonts w:eastAsia="楷体_GB2312"/>
          <w:szCs w:val="21"/>
        </w:rPr>
        <w:t>社会治理能力显著提升。</w:t>
      </w:r>
      <w:bookmarkEnd w:id="67"/>
      <w:r>
        <w:rPr>
          <w:rFonts w:ascii="宋体" w:hAnsi="宋体" w:cs="宋体" w:hint="eastAsia"/>
          <w:spacing w:val="6"/>
          <w:kern w:val="0"/>
          <w:szCs w:val="21"/>
        </w:rPr>
        <w:t>“六五”普法工作通过验收，“七五”普法顺利实施。全面落实依法治国要求，从严治党、依法治旗向纵深发展，形成了严格执法、公正司法、全民守法的浓厚氛围，社会治安防控体系更加健全，平安法治奈曼建设持续推进。创新信访工作，“四心合一”化解社会矛盾纠纷工作机制全面落实，网格化管理服务深入推进，90%的嘎查村实现“六无”目标。扫黑除恶专项斗争长效常治，中央督导反馈问题全部整改完成，“六清”行动扎实推进，食药安全和安全生产形势总体平稳，社会大局保持和谐稳定。党风廉政建设和反腐败工作深入推进，“三务”公开提档升级，基层“微腐败”大清扫行动扎实推进，获批全区法治政府建设示范旗。民族团结进步创建工作有效推进，统一战线和群团工作全面提升。双拥共建工作成效显著，荣获自治区双拥模范城称号。全面推进党群服务中心和新时代文明实践中心建设。党管武装、民族宗教、关工委、残联、红十字会、慈善</w:t>
      </w:r>
      <w:r>
        <w:rPr>
          <w:rFonts w:ascii="宋体" w:hAnsi="宋体" w:cs="宋体" w:hint="eastAsia"/>
          <w:spacing w:val="6"/>
          <w:kern w:val="0"/>
          <w:szCs w:val="21"/>
        </w:rPr>
        <w:lastRenderedPageBreak/>
        <w:t>事业、双拥等工作不断进步。</w:t>
      </w:r>
      <w:bookmarkStart w:id="68" w:name="_Toc64564470"/>
      <w:bookmarkStart w:id="69" w:name="_Toc62335560"/>
      <w:bookmarkStart w:id="70" w:name="_Toc61948675"/>
      <w:bookmarkStart w:id="71" w:name="_Toc65938187"/>
      <w:bookmarkStart w:id="72" w:name="_Toc59584539"/>
      <w:bookmarkStart w:id="73" w:name="_Toc59085911"/>
      <w:bookmarkStart w:id="74" w:name="_Toc63351404"/>
      <w:bookmarkEnd w:id="60"/>
      <w:bookmarkEnd w:id="61"/>
      <w:bookmarkEnd w:id="62"/>
      <w:bookmarkEnd w:id="63"/>
      <w:bookmarkEnd w:id="64"/>
      <w:bookmarkEnd w:id="65"/>
      <w:bookmarkEnd w:id="66"/>
      <w:r>
        <w:rPr>
          <w:rFonts w:ascii="宋体" w:hAnsi="宋体" w:cs="宋体" w:hint="eastAsia"/>
          <w:spacing w:val="6"/>
          <w:kern w:val="0"/>
          <w:szCs w:val="21"/>
        </w:rPr>
        <w:t>“十三五”时期，我旗经济社会发展取得了可喜成绩，发展不平衡特别是不充分仍然比较突出，主要表现在：综合发展水平还不能适应新发展阶段要求，转方式、调结构、提质量任务紧迫；经济总量小，创新驱动不足，工业产业链条短，农畜产品加工转化率低，现代服务业发展相对滞后；山区沙区生态脆弱，生态建设与环境保护任务仍然艰巨；国土空间格局有待优化，现代基础设施网络体系需要完善，重大基础设施保障能力薄弱，城镇化率偏低；深层次的结构性问题和体制性矛盾尚未破解，营商环境有待进一步优化；区位优势没能充分发挥，对外开放水平和层次不高；财政收支矛盾突出，居民收入与全市平均水平差距较大，民生保障、</w:t>
      </w:r>
      <w:r>
        <w:rPr>
          <w:rFonts w:ascii="宋体" w:hAnsi="宋体" w:cs="宋体" w:hint="eastAsia"/>
          <w:spacing w:val="11"/>
          <w:kern w:val="0"/>
          <w:szCs w:val="21"/>
        </w:rPr>
        <w:t>社会治理等方面存在短板弱项。</w:t>
      </w:r>
      <w:bookmarkStart w:id="75" w:name="_Toc65938188"/>
      <w:bookmarkEnd w:id="68"/>
      <w:bookmarkEnd w:id="69"/>
      <w:bookmarkEnd w:id="70"/>
      <w:bookmarkEnd w:id="71"/>
      <w:bookmarkEnd w:id="72"/>
      <w:bookmarkEnd w:id="73"/>
      <w:bookmarkEnd w:id="74"/>
    </w:p>
    <w:p w:rsidR="00000000" w:rsidRDefault="00000000">
      <w:pPr>
        <w:pStyle w:val="2"/>
        <w:spacing w:beforeLines="100" w:before="321" w:afterLines="50" w:after="160" w:line="480" w:lineRule="exact"/>
        <w:jc w:val="center"/>
        <w:rPr>
          <w:rFonts w:eastAsia="仿宋_GB2312" w:hint="eastAsia"/>
          <w:bCs w:val="0"/>
          <w:spacing w:val="1"/>
          <w:kern w:val="0"/>
          <w:sz w:val="28"/>
          <w:szCs w:val="28"/>
        </w:rPr>
      </w:pPr>
      <w:bookmarkStart w:id="76" w:name="_Toc1722"/>
      <w:r>
        <w:rPr>
          <w:rFonts w:ascii="楷体_GB2312" w:eastAsia="楷体_GB2312" w:hAnsi="楷体_GB2312" w:cs="楷体_GB2312" w:hint="eastAsia"/>
          <w:bCs w:val="0"/>
          <w:kern w:val="0"/>
          <w:sz w:val="24"/>
          <w:szCs w:val="24"/>
        </w:rPr>
        <w:t xml:space="preserve">第二节 </w:t>
      </w:r>
      <w:bookmarkEnd w:id="50"/>
      <w:r>
        <w:rPr>
          <w:rFonts w:ascii="楷体_GB2312" w:eastAsia="楷体_GB2312" w:hAnsi="楷体_GB2312" w:cs="楷体_GB2312" w:hint="eastAsia"/>
          <w:bCs w:val="0"/>
          <w:kern w:val="0"/>
          <w:sz w:val="24"/>
          <w:szCs w:val="24"/>
        </w:rPr>
        <w:t xml:space="preserve"> </w:t>
      </w:r>
      <w:bookmarkEnd w:id="51"/>
      <w:bookmarkEnd w:id="75"/>
      <w:r>
        <w:rPr>
          <w:rFonts w:ascii="楷体_GB2312" w:eastAsia="楷体_GB2312" w:hAnsi="楷体_GB2312" w:cs="楷体_GB2312" w:hint="eastAsia"/>
          <w:bCs w:val="0"/>
          <w:kern w:val="0"/>
          <w:sz w:val="24"/>
          <w:szCs w:val="24"/>
        </w:rPr>
        <w:t>面临形势</w:t>
      </w:r>
      <w:bookmarkStart w:id="77" w:name="_Toc65938189"/>
      <w:bookmarkStart w:id="78" w:name="_Toc59085913"/>
      <w:bookmarkStart w:id="79" w:name="_Toc61948677"/>
      <w:bookmarkStart w:id="80" w:name="_Toc59584541"/>
      <w:bookmarkStart w:id="81" w:name="_Toc64564472"/>
      <w:bookmarkStart w:id="82" w:name="_Toc63351406"/>
      <w:bookmarkStart w:id="83" w:name="_Toc62335562"/>
      <w:bookmarkEnd w:id="76"/>
    </w:p>
    <w:p w:rsidR="00000000" w:rsidRDefault="00000000">
      <w:pPr>
        <w:pStyle w:val="Normal24"/>
        <w:widowControl w:val="0"/>
        <w:spacing w:before="0" w:after="0" w:line="480" w:lineRule="exact"/>
        <w:ind w:firstLineChars="200"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十四五”时期，是我国开启第二个百年奋斗目标新征程的关键期，我旗经济社会发展面临的环境发生重大而深刻的变化，机遇与挑战并存，但总体来看是机遇大于挑战，有利因素大于不利因素的重要战略机遇期。</w:t>
      </w:r>
      <w:bookmarkEnd w:id="77"/>
      <w:bookmarkEnd w:id="78"/>
      <w:bookmarkEnd w:id="79"/>
      <w:bookmarkEnd w:id="80"/>
      <w:bookmarkEnd w:id="81"/>
      <w:bookmarkEnd w:id="82"/>
      <w:bookmarkEnd w:id="83"/>
    </w:p>
    <w:p w:rsidR="00000000" w:rsidRDefault="00000000">
      <w:pPr>
        <w:pStyle w:val="Normal24"/>
        <w:widowControl w:val="0"/>
        <w:spacing w:before="0" w:after="0" w:line="480" w:lineRule="exact"/>
        <w:ind w:firstLineChars="200" w:firstLine="420"/>
        <w:rPr>
          <w:rFonts w:ascii="宋体" w:eastAsia="宋体" w:hAnsi="宋体" w:cs="宋体" w:hint="eastAsia"/>
          <w:sz w:val="21"/>
          <w:szCs w:val="21"/>
          <w:lang w:eastAsia="zh-CN"/>
        </w:rPr>
      </w:pPr>
      <w:bookmarkStart w:id="84" w:name="_Toc59085914"/>
      <w:bookmarkStart w:id="85" w:name="_Toc61948678"/>
      <w:bookmarkStart w:id="86" w:name="_Toc59584542"/>
      <w:bookmarkStart w:id="87" w:name="_Toc63351407"/>
      <w:bookmarkStart w:id="88" w:name="_Toc65938190"/>
      <w:bookmarkStart w:id="89" w:name="_Toc62335563"/>
      <w:bookmarkStart w:id="90" w:name="_Toc64564473"/>
      <w:r>
        <w:rPr>
          <w:rFonts w:ascii="宋体" w:eastAsia="宋体" w:hAnsi="宋体" w:cs="宋体" w:hint="eastAsia"/>
          <w:sz w:val="21"/>
          <w:szCs w:val="21"/>
          <w:lang w:eastAsia="zh-CN"/>
        </w:rPr>
        <w:lastRenderedPageBreak/>
        <w:t>当前，我旗正面临难得的发展机遇。</w:t>
      </w:r>
      <w:bookmarkStart w:id="91" w:name="_Toc59085915"/>
      <w:bookmarkEnd w:id="84"/>
      <w:r>
        <w:rPr>
          <w:rFonts w:ascii="黑体" w:eastAsia="黑体" w:hAnsi="黑体" w:cs="黑体" w:hint="eastAsia"/>
          <w:sz w:val="21"/>
          <w:szCs w:val="21"/>
          <w:lang w:eastAsia="zh-CN"/>
        </w:rPr>
        <w:t>从国家层面看，</w:t>
      </w:r>
      <w:r>
        <w:rPr>
          <w:rFonts w:ascii="宋体" w:eastAsia="宋体" w:hAnsi="宋体" w:cs="宋体" w:hint="eastAsia"/>
          <w:sz w:val="21"/>
          <w:szCs w:val="21"/>
          <w:lang w:eastAsia="zh-CN"/>
        </w:rPr>
        <w:t>政策机遇叠加前所未有。国家实施“一带一路”倡议、西部大开发、东北振兴、拉动内需、城镇化、乡村振兴等战略和构建新发展格局，有利于我旗在多元开发、基础设施建设、生态保护等领域，抓重点、补短板、强弱项，提升发展能力和水平；有利于全面深化改革，激发创新驱动内生动力，巩固绿色发展优势；更有利于开展对外合作，实现互利共赢，创造良好的外部环境。</w:t>
      </w:r>
      <w:bookmarkStart w:id="92" w:name="_Toc59085916"/>
      <w:bookmarkEnd w:id="91"/>
      <w:r>
        <w:rPr>
          <w:rFonts w:ascii="黑体" w:eastAsia="黑体" w:hAnsi="黑体" w:cs="黑体" w:hint="eastAsia"/>
          <w:sz w:val="21"/>
          <w:szCs w:val="21"/>
          <w:lang w:eastAsia="zh-CN"/>
        </w:rPr>
        <w:t>从自治区层面看，</w:t>
      </w:r>
      <w:r>
        <w:rPr>
          <w:rFonts w:ascii="宋体" w:eastAsia="宋体" w:hAnsi="宋体" w:cs="宋体" w:hint="eastAsia"/>
          <w:sz w:val="21"/>
          <w:szCs w:val="21"/>
          <w:lang w:eastAsia="zh-CN"/>
        </w:rPr>
        <w:t>培育东部地区新的经济增长极带来新机遇，积极推进通辽区域性中心城市建设，有利于我旗参与融入服务区域性中心城市建设，加强与京津冀地区及东北经济区合作，提升参与区域内产业链和供应链分工能力和水平，为我旗融入区域合作发展带来新机遇。</w:t>
      </w:r>
      <w:bookmarkStart w:id="93" w:name="_Toc59085917"/>
      <w:bookmarkEnd w:id="92"/>
      <w:r>
        <w:rPr>
          <w:rFonts w:ascii="黑体" w:eastAsia="黑体" w:hAnsi="黑体" w:cs="黑体" w:hint="eastAsia"/>
          <w:sz w:val="21"/>
          <w:szCs w:val="21"/>
          <w:lang w:eastAsia="zh-CN"/>
        </w:rPr>
        <w:t>从通辽层面看，</w:t>
      </w:r>
      <w:r>
        <w:rPr>
          <w:rFonts w:ascii="宋体" w:eastAsia="宋体" w:hAnsi="宋体" w:cs="宋体" w:hint="eastAsia"/>
          <w:sz w:val="21"/>
          <w:szCs w:val="21"/>
          <w:lang w:eastAsia="zh-CN"/>
        </w:rPr>
        <w:t>实现跨越式发展带来新机遇。通辽市加快融入东北经济一体化发展，打造绿色农畜产品、绿色煤电铝、现代能源示范、镍循环经济、中蒙医药产业集群，带动区域经济发展提档升级，为我旗建设“1+5”现代产业体系，助推产业加快发展、转型发展指明了方向</w:t>
      </w:r>
      <w:bookmarkStart w:id="94" w:name="_Toc59085918"/>
      <w:bookmarkEnd w:id="93"/>
      <w:r>
        <w:rPr>
          <w:rFonts w:ascii="宋体" w:eastAsia="宋体" w:hAnsi="宋体" w:cs="宋体" w:hint="eastAsia"/>
          <w:sz w:val="21"/>
          <w:szCs w:val="21"/>
          <w:lang w:eastAsia="zh-CN"/>
        </w:rPr>
        <w:t>。</w:t>
      </w:r>
      <w:r>
        <w:rPr>
          <w:rFonts w:ascii="黑体" w:eastAsia="黑体" w:hAnsi="黑体" w:cs="黑体" w:hint="eastAsia"/>
          <w:sz w:val="21"/>
          <w:szCs w:val="21"/>
          <w:lang w:eastAsia="zh-CN"/>
        </w:rPr>
        <w:t>从奈曼自身看，</w:t>
      </w:r>
      <w:r>
        <w:rPr>
          <w:rFonts w:ascii="宋体" w:eastAsia="宋体" w:hAnsi="宋体" w:cs="宋体" w:hint="eastAsia"/>
          <w:sz w:val="21"/>
          <w:szCs w:val="21"/>
          <w:lang w:eastAsia="zh-CN"/>
        </w:rPr>
        <w:t>我旗区位优势独特、产业基础坚实、人文环境和谐等条件叠加优势明显。发展战略定位举措符合国家、自治区和通辽市的政策导向，镍循环经济、绿色农畜产品、蒙中医药、文化旅游、绿色</w:t>
      </w:r>
      <w:r>
        <w:rPr>
          <w:rFonts w:ascii="宋体" w:eastAsia="宋体" w:hAnsi="宋体" w:cs="宋体" w:hint="eastAsia"/>
          <w:sz w:val="21"/>
          <w:szCs w:val="21"/>
          <w:lang w:eastAsia="zh-CN"/>
        </w:rPr>
        <w:lastRenderedPageBreak/>
        <w:t>能源、玻纤及硅砂新材料等主导产业发展初具规模，发展态势强劲。</w:t>
      </w:r>
      <w:bookmarkStart w:id="95" w:name="_Toc59085919"/>
      <w:bookmarkStart w:id="96" w:name="_Toc61948679"/>
      <w:bookmarkStart w:id="97" w:name="_Toc59584543"/>
      <w:bookmarkEnd w:id="85"/>
      <w:bookmarkEnd w:id="86"/>
      <w:bookmarkEnd w:id="87"/>
      <w:bookmarkEnd w:id="88"/>
      <w:bookmarkEnd w:id="89"/>
      <w:bookmarkEnd w:id="90"/>
      <w:bookmarkEnd w:id="94"/>
    </w:p>
    <w:p w:rsidR="00000000" w:rsidRDefault="00000000">
      <w:pPr>
        <w:spacing w:line="480" w:lineRule="exact"/>
        <w:ind w:firstLineChars="200" w:firstLine="420"/>
        <w:outlineLvl w:val="2"/>
        <w:rPr>
          <w:rFonts w:eastAsia="黑体"/>
          <w:bCs/>
          <w:szCs w:val="21"/>
        </w:rPr>
      </w:pPr>
      <w:bookmarkStart w:id="98" w:name="_Toc64564474"/>
      <w:bookmarkStart w:id="99" w:name="_Toc65938191"/>
      <w:bookmarkStart w:id="100" w:name="_Toc62335564"/>
      <w:bookmarkStart w:id="101" w:name="_Toc63351408"/>
      <w:r>
        <w:rPr>
          <w:rFonts w:eastAsia="黑体"/>
          <w:bCs/>
          <w:szCs w:val="21"/>
        </w:rPr>
        <w:t>从总体看，</w:t>
      </w:r>
      <w:r>
        <w:rPr>
          <w:rFonts w:eastAsia="黑体" w:hint="eastAsia"/>
          <w:bCs/>
          <w:szCs w:val="21"/>
        </w:rPr>
        <w:t>“</w:t>
      </w:r>
      <w:r>
        <w:rPr>
          <w:rFonts w:eastAsia="黑体"/>
          <w:bCs/>
          <w:szCs w:val="21"/>
        </w:rPr>
        <w:t>十四五</w:t>
      </w:r>
      <w:r>
        <w:rPr>
          <w:rFonts w:eastAsia="黑体" w:hint="eastAsia"/>
          <w:bCs/>
          <w:szCs w:val="21"/>
        </w:rPr>
        <w:t>”</w:t>
      </w:r>
      <w:r>
        <w:rPr>
          <w:rFonts w:eastAsia="黑体"/>
          <w:bCs/>
          <w:szCs w:val="21"/>
        </w:rPr>
        <w:t>时期，全旗上下要胸怀</w:t>
      </w:r>
      <w:r>
        <w:rPr>
          <w:rFonts w:eastAsia="黑体" w:hint="eastAsia"/>
          <w:bCs/>
          <w:szCs w:val="21"/>
        </w:rPr>
        <w:t>“</w:t>
      </w:r>
      <w:r>
        <w:rPr>
          <w:rFonts w:eastAsia="黑体"/>
          <w:bCs/>
          <w:szCs w:val="21"/>
        </w:rPr>
        <w:t>两个大局</w:t>
      </w:r>
      <w:r>
        <w:rPr>
          <w:rFonts w:eastAsia="黑体" w:hint="eastAsia"/>
          <w:bCs/>
          <w:szCs w:val="21"/>
        </w:rPr>
        <w:t>”</w:t>
      </w:r>
      <w:r>
        <w:rPr>
          <w:rFonts w:eastAsia="黑体"/>
          <w:bCs/>
          <w:szCs w:val="21"/>
        </w:rPr>
        <w:t>，深刻认识我国社会主要矛盾变化带来的新特征新要求，准确把握机遇和挑战的发展变化，准确识变、科学应变、主动求变，善于在危机中育先机、于变局中开新局，为全面建设现代化奈曼开好局、起好步。</w:t>
      </w:r>
      <w:bookmarkEnd w:id="98"/>
      <w:bookmarkEnd w:id="99"/>
    </w:p>
    <w:p w:rsidR="00000000" w:rsidRDefault="00000000">
      <w:pPr>
        <w:spacing w:line="480" w:lineRule="exact"/>
        <w:ind w:firstLineChars="200" w:firstLine="420"/>
        <w:outlineLvl w:val="2"/>
        <w:rPr>
          <w:rFonts w:eastAsia="黑体"/>
          <w:bCs/>
          <w:szCs w:val="21"/>
        </w:rPr>
        <w:sectPr w:rsidR="00000000">
          <w:headerReference w:type="even" r:id="rId7"/>
          <w:headerReference w:type="default" r:id="rId8"/>
          <w:footerReference w:type="even" r:id="rId9"/>
          <w:footerReference w:type="default" r:id="rId10"/>
          <w:pgSz w:w="8390" w:h="11905"/>
          <w:pgMar w:top="1701" w:right="1134" w:bottom="1134" w:left="1134" w:header="1304" w:footer="850" w:gutter="0"/>
          <w:pgNumType w:fmt="numberInDash" w:start="1"/>
          <w:cols w:space="720"/>
          <w:docGrid w:type="lines" w:linePitch="321"/>
        </w:sectPr>
      </w:pPr>
    </w:p>
    <w:p w:rsidR="00000000" w:rsidRDefault="00000000">
      <w:pPr>
        <w:spacing w:line="480" w:lineRule="exact"/>
        <w:ind w:firstLineChars="200" w:firstLine="420"/>
        <w:outlineLvl w:val="2"/>
        <w:rPr>
          <w:rFonts w:eastAsia="黑体"/>
          <w:bCs/>
          <w:szCs w:val="21"/>
        </w:rPr>
      </w:pPr>
    </w:p>
    <w:p w:rsidR="00000000" w:rsidRDefault="00000000">
      <w:pPr>
        <w:spacing w:line="480" w:lineRule="exact"/>
        <w:ind w:firstLineChars="200" w:firstLine="420"/>
        <w:outlineLvl w:val="2"/>
        <w:rPr>
          <w:rFonts w:eastAsia="黑体"/>
          <w:bCs/>
          <w:szCs w:val="21"/>
        </w:rPr>
      </w:pPr>
    </w:p>
    <w:p w:rsidR="00000000" w:rsidRDefault="00000000">
      <w:pPr>
        <w:spacing w:line="480" w:lineRule="exact"/>
        <w:ind w:firstLineChars="200" w:firstLine="420"/>
        <w:outlineLvl w:val="2"/>
        <w:rPr>
          <w:rFonts w:eastAsia="黑体"/>
          <w:bCs/>
          <w:szCs w:val="21"/>
        </w:rPr>
      </w:pPr>
    </w:p>
    <w:p w:rsidR="00000000" w:rsidRDefault="00000000">
      <w:pPr>
        <w:spacing w:line="480" w:lineRule="exact"/>
        <w:ind w:firstLineChars="200" w:firstLine="420"/>
        <w:outlineLvl w:val="2"/>
        <w:rPr>
          <w:rFonts w:eastAsia="黑体"/>
          <w:bCs/>
          <w:szCs w:val="21"/>
        </w:rPr>
      </w:pPr>
    </w:p>
    <w:p w:rsidR="00000000" w:rsidRDefault="00D54102">
      <w:pPr>
        <w:spacing w:line="480" w:lineRule="exact"/>
        <w:ind w:firstLineChars="200" w:firstLine="420"/>
        <w:outlineLvl w:val="2"/>
        <w:sectPr w:rsidR="00000000">
          <w:headerReference w:type="default" r:id="rId11"/>
          <w:footerReference w:type="even" r:id="rId12"/>
          <w:footerReference w:type="default" r:id="rId13"/>
          <w:pgSz w:w="8390" w:h="11905"/>
          <w:pgMar w:top="1701" w:right="1134" w:bottom="1134" w:left="1134" w:header="1304" w:footer="850" w:gutter="0"/>
          <w:pgNumType w:fmt="numberInDash" w:start="11"/>
          <w:cols w:space="720"/>
          <w:docGrid w:type="lines" w:linePitch="321"/>
        </w:sectPr>
      </w:pPr>
      <w:r>
        <w:rPr>
          <w:noProof/>
        </w:rPr>
        <mc:AlternateContent>
          <mc:Choice Requires="wps">
            <w:drawing>
              <wp:anchor distT="0" distB="0" distL="114300" distR="114300" simplePos="0" relativeHeight="251651072" behindDoc="0" locked="0" layoutInCell="1" allowOverlap="1">
                <wp:simplePos x="0" y="0"/>
                <wp:positionH relativeFrom="column">
                  <wp:posOffset>-720090</wp:posOffset>
                </wp:positionH>
                <wp:positionV relativeFrom="paragraph">
                  <wp:posOffset>518795</wp:posOffset>
                </wp:positionV>
                <wp:extent cx="5374005" cy="1113790"/>
                <wp:effectExtent l="3810" t="0" r="3810" b="1905"/>
                <wp:wrapSquare wrapText="bothSides"/>
                <wp:docPr id="69" name="文本框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13790"/>
                        </a:xfrm>
                        <a:prstGeom prst="rect">
                          <a:avLst/>
                        </a:prstGeom>
                        <a:solidFill>
                          <a:srgbClr val="C8EEFC"/>
                        </a:solidFill>
                        <a:ln>
                          <a:noFill/>
                        </a:ln>
                        <a:effectLst/>
                        <a:extLs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第二章  谋划发展方略 描绘新蓝图</w:t>
                            </w:r>
                          </w:p>
                        </w:txbxContent>
                      </wps:txbx>
                      <wps:bodyPr rot="0" vert="horz" wrap="square" lIns="91440" tIns="395997" rIns="91440" bIns="71999"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2" o:spid="_x0000_s1027" type="#_x0000_t202" style="position:absolute;left:0;text-align:left;margin-left:-56.7pt;margin-top:40.85pt;width:423.15pt;height:87.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" fillcolor="#c8eefc" stroked="f">
                <v:textbox inset=",10.9999mm,,1.99997mm">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第二章  谋划发展方略 描绘新蓝图</w:t>
                      </w:r>
                    </w:p>
                  </w:txbxContent>
                </v:textbox>
                <w10:wrap type="square"/>
              </v:shape>
            </w:pict>
          </mc:Fallback>
        </mc:AlternateContent>
      </w:r>
    </w:p>
    <w:p w:rsidR="00000000" w:rsidRDefault="00000000">
      <w:pPr>
        <w:pStyle w:val="2"/>
        <w:spacing w:beforeLines="100" w:before="321" w:afterLines="50" w:after="160" w:line="480" w:lineRule="exact"/>
        <w:jc w:val="center"/>
        <w:rPr>
          <w:rFonts w:ascii="楷体_GB2312" w:eastAsia="楷体_GB2312" w:hAnsi="楷体_GB2312" w:cs="楷体_GB2312" w:hint="eastAsia"/>
          <w:bCs w:val="0"/>
          <w:kern w:val="0"/>
          <w:sz w:val="24"/>
          <w:szCs w:val="24"/>
        </w:rPr>
      </w:pPr>
      <w:bookmarkStart w:id="102" w:name="_Toc59084981"/>
      <w:bookmarkStart w:id="103" w:name="_Toc65938193"/>
      <w:bookmarkStart w:id="104" w:name="_Toc55167046"/>
      <w:bookmarkStart w:id="105" w:name="_Toc57106141"/>
      <w:bookmarkStart w:id="106" w:name="_Toc2271"/>
      <w:bookmarkEnd w:id="95"/>
      <w:bookmarkEnd w:id="96"/>
      <w:bookmarkEnd w:id="97"/>
      <w:bookmarkEnd w:id="100"/>
      <w:bookmarkEnd w:id="101"/>
      <w:r>
        <w:rPr>
          <w:rFonts w:ascii="楷体_GB2312" w:eastAsia="楷体_GB2312" w:hAnsi="楷体_GB2312" w:cs="楷体_GB2312" w:hint="eastAsia"/>
          <w:bCs w:val="0"/>
          <w:kern w:val="0"/>
          <w:sz w:val="24"/>
          <w:szCs w:val="24"/>
        </w:rPr>
        <w:lastRenderedPageBreak/>
        <w:t>第一节  指导思想</w:t>
      </w:r>
      <w:bookmarkEnd w:id="102"/>
      <w:bookmarkEnd w:id="103"/>
      <w:bookmarkEnd w:id="104"/>
      <w:bookmarkEnd w:id="105"/>
      <w:bookmarkEnd w:id="106"/>
    </w:p>
    <w:p w:rsidR="00000000" w:rsidRDefault="00000000">
      <w:pPr>
        <w:spacing w:line="480" w:lineRule="exact"/>
        <w:ind w:firstLineChars="200" w:firstLine="420"/>
        <w:rPr>
          <w:rFonts w:eastAsia="楷体_GB2312"/>
          <w:b/>
          <w:kern w:val="0"/>
          <w:sz w:val="28"/>
          <w:szCs w:val="28"/>
        </w:rPr>
      </w:pPr>
      <w:bookmarkStart w:id="107" w:name="_Toc55167047"/>
      <w:bookmarkStart w:id="108" w:name="_Toc59084982"/>
      <w:bookmarkStart w:id="109" w:name="_Toc57106142"/>
      <w:r>
        <w:rPr>
          <w:rFonts w:ascii="宋体" w:hAnsi="宋体" w:cs="宋体" w:hint="eastAsia"/>
          <w:kern w:val="0"/>
          <w:szCs w:val="21"/>
        </w:rPr>
        <w:t>高举中国特色社会主义伟大旗帜，深入贯彻党的十九大和十九届二中、三中、四中、五中全会精神，坚持以马克思列宁主义、毛泽东思想、邓小平理论、“三个代表”重要思想、科学发展观、习近平新时代中国特色社会主义思想为指导，全面贯彻党的基本理论、基本路线、基本方略，全面落实习近平总书记对内蒙古重要讲话重要指示批示精神，统筹推进经济建设、政治建设、文化建设、社会建设和生态文明建设的总体布局，协调推进全面建设社会主义现代化国家、全面深化改革、全面依法治国、全面从严治党的战略布局，坚定不移贯彻创新、协调、绿色、开放、共享的新发展理念，坚持稳中求进工作总基调，以推动高质量发展为主题，以深化供给侧结构性改革为主线，以改革创新为根本动力，以满足人民日益增长的美好生活需要为根本目的，统筹发展和安全，坚定不移走以生态优先、绿色发展为导向的高质量发展新路子，牢牢立足自治区“两个屏障”“两个基地”和“一个桥头堡”的战略定位，按照通辽市建设现代化区域性中心城市的发展定位，</w:t>
      </w:r>
      <w:r>
        <w:rPr>
          <w:rFonts w:eastAsia="黑体"/>
          <w:szCs w:val="21"/>
        </w:rPr>
        <w:t>聚力打造镍循环经济产业集群和区域生态绿色农畜产品生产加工输出基地、玻纤硅砂及复合新</w:t>
      </w:r>
      <w:r>
        <w:rPr>
          <w:rFonts w:eastAsia="黑体"/>
          <w:szCs w:val="21"/>
        </w:rPr>
        <w:lastRenderedPageBreak/>
        <w:t>材料产业基地、绿色能源基地、蒙中医药基地、全国知名沙漠文化旅游目的地和户外生态运动休闲养生基地</w:t>
      </w:r>
      <w:r>
        <w:rPr>
          <w:rFonts w:ascii="黑体" w:eastAsia="黑体" w:hAnsi="黑体" w:cs="黑体" w:hint="eastAsia"/>
          <w:szCs w:val="21"/>
        </w:rPr>
        <w:t>“1+5”</w:t>
      </w:r>
      <w:r>
        <w:rPr>
          <w:rFonts w:eastAsia="黑体"/>
          <w:szCs w:val="21"/>
        </w:rPr>
        <w:t>现代产业体系，全面提升产业转型升级水平；全面推进生态美城、活力兴城、文化名城、平安亮城、幸福新城</w:t>
      </w:r>
      <w:r>
        <w:rPr>
          <w:rFonts w:eastAsia="黑体" w:hint="eastAsia"/>
          <w:szCs w:val="21"/>
        </w:rPr>
        <w:t>“</w:t>
      </w:r>
      <w:r>
        <w:rPr>
          <w:rFonts w:eastAsia="黑体"/>
          <w:szCs w:val="21"/>
        </w:rPr>
        <w:t>五城同建</w:t>
      </w:r>
      <w:r>
        <w:rPr>
          <w:rFonts w:eastAsia="黑体" w:hint="eastAsia"/>
          <w:szCs w:val="21"/>
        </w:rPr>
        <w:t>”</w:t>
      </w:r>
      <w:r>
        <w:rPr>
          <w:rFonts w:eastAsia="黑体"/>
          <w:szCs w:val="21"/>
        </w:rPr>
        <w:t>；实现全旗地区生产总值、一般公共预算收入、城乡居民收入、金融机构存贷款余额增速</w:t>
      </w:r>
      <w:r>
        <w:rPr>
          <w:rFonts w:eastAsia="黑体" w:hint="eastAsia"/>
          <w:szCs w:val="21"/>
        </w:rPr>
        <w:t>“</w:t>
      </w:r>
      <w:r>
        <w:rPr>
          <w:rFonts w:eastAsia="黑体"/>
          <w:szCs w:val="21"/>
        </w:rPr>
        <w:t>四个高于</w:t>
      </w:r>
      <w:r>
        <w:rPr>
          <w:rFonts w:eastAsia="黑体" w:hint="eastAsia"/>
          <w:szCs w:val="21"/>
        </w:rPr>
        <w:t>”</w:t>
      </w:r>
      <w:r>
        <w:rPr>
          <w:rFonts w:eastAsia="黑体"/>
          <w:szCs w:val="21"/>
        </w:rPr>
        <w:t>全市平均水平，生态治理、社会治理</w:t>
      </w:r>
      <w:r>
        <w:rPr>
          <w:rFonts w:eastAsia="黑体" w:hint="eastAsia"/>
          <w:szCs w:val="21"/>
        </w:rPr>
        <w:t>“</w:t>
      </w:r>
      <w:r>
        <w:rPr>
          <w:rFonts w:eastAsia="黑体"/>
          <w:szCs w:val="21"/>
        </w:rPr>
        <w:t>两个治理</w:t>
      </w:r>
      <w:r>
        <w:rPr>
          <w:rFonts w:eastAsia="黑体" w:hint="eastAsia"/>
          <w:szCs w:val="21"/>
        </w:rPr>
        <w:t>”</w:t>
      </w:r>
      <w:r>
        <w:rPr>
          <w:rFonts w:eastAsia="黑体"/>
          <w:szCs w:val="21"/>
        </w:rPr>
        <w:t>走在全市前列，开启全面建设现代化奈曼新征程。</w:t>
      </w:r>
      <w:bookmarkStart w:id="110" w:name="_Toc65938194"/>
    </w:p>
    <w:p w:rsidR="00000000" w:rsidRDefault="00000000">
      <w:pPr>
        <w:pStyle w:val="2"/>
        <w:spacing w:beforeLines="100" w:before="321" w:afterLines="50" w:after="160" w:line="480" w:lineRule="exact"/>
        <w:jc w:val="center"/>
        <w:rPr>
          <w:rFonts w:ascii="楷体_GB2312" w:eastAsia="楷体_GB2312" w:hAnsi="楷体_GB2312" w:cs="楷体_GB2312" w:hint="eastAsia"/>
          <w:bCs w:val="0"/>
          <w:kern w:val="0"/>
          <w:sz w:val="24"/>
          <w:szCs w:val="24"/>
        </w:rPr>
      </w:pPr>
      <w:bookmarkStart w:id="111" w:name="_Toc20703"/>
      <w:r>
        <w:rPr>
          <w:rFonts w:ascii="楷体_GB2312" w:eastAsia="楷体_GB2312" w:hAnsi="楷体_GB2312" w:cs="楷体_GB2312" w:hint="eastAsia"/>
          <w:bCs w:val="0"/>
          <w:kern w:val="0"/>
          <w:sz w:val="24"/>
          <w:szCs w:val="24"/>
        </w:rPr>
        <w:t>第二节  基本原则</w:t>
      </w:r>
      <w:bookmarkEnd w:id="107"/>
      <w:bookmarkEnd w:id="108"/>
      <w:bookmarkEnd w:id="109"/>
      <w:bookmarkEnd w:id="110"/>
      <w:bookmarkEnd w:id="111"/>
    </w:p>
    <w:p w:rsidR="00000000" w:rsidRDefault="00000000">
      <w:pPr>
        <w:spacing w:line="480" w:lineRule="exact"/>
        <w:ind w:firstLineChars="200" w:firstLine="422"/>
        <w:rPr>
          <w:rFonts w:ascii="宋体" w:hAnsi="宋体" w:cs="宋体" w:hint="eastAsia"/>
          <w:kern w:val="0"/>
          <w:szCs w:val="21"/>
        </w:rPr>
      </w:pPr>
      <w:r>
        <w:rPr>
          <w:rFonts w:eastAsia="楷体_GB2312"/>
          <w:b/>
          <w:bCs/>
          <w:szCs w:val="21"/>
        </w:rPr>
        <w:t>——</w:t>
      </w:r>
      <w:r>
        <w:rPr>
          <w:rFonts w:eastAsia="楷体_GB2312"/>
          <w:szCs w:val="21"/>
        </w:rPr>
        <w:t>坚持党的全面领导。</w:t>
      </w:r>
      <w:r>
        <w:rPr>
          <w:rFonts w:ascii="宋体" w:hAnsi="宋体" w:cs="宋体" w:hint="eastAsia"/>
          <w:kern w:val="0"/>
          <w:szCs w:val="21"/>
        </w:rPr>
        <w:t>坚决贯彻习近平新时代中国特色社会主义思想和习近平总书记对内蒙古重要讲话重要指示批示精神，落实自治区党委和通辽市委的决策部署，不断提高贯彻新发展理念、融入服务新发展格局能力和水平，为走好以生态优先、绿色发展为导向的高质量发展新路子提供根本保证。</w:t>
      </w:r>
    </w:p>
    <w:p w:rsidR="00000000" w:rsidRDefault="00000000">
      <w:pPr>
        <w:spacing w:line="480" w:lineRule="exact"/>
        <w:ind w:firstLineChars="200" w:firstLine="422"/>
        <w:rPr>
          <w:rFonts w:ascii="宋体" w:hAnsi="宋体" w:cs="宋体" w:hint="eastAsia"/>
          <w:kern w:val="0"/>
          <w:szCs w:val="21"/>
        </w:rPr>
      </w:pPr>
      <w:r>
        <w:rPr>
          <w:rFonts w:eastAsia="楷体_GB2312"/>
          <w:b/>
          <w:bCs/>
          <w:szCs w:val="21"/>
        </w:rPr>
        <w:t>——</w:t>
      </w:r>
      <w:r>
        <w:rPr>
          <w:rFonts w:eastAsia="楷体_GB2312"/>
          <w:szCs w:val="21"/>
        </w:rPr>
        <w:t>坚持以人民为中心。</w:t>
      </w:r>
      <w:r>
        <w:rPr>
          <w:rFonts w:ascii="宋体" w:hAnsi="宋体" w:cs="宋体" w:hint="eastAsia"/>
          <w:kern w:val="0"/>
          <w:szCs w:val="21"/>
        </w:rPr>
        <w:t>坚持人民至上，坚持共同富裕方向，始终做到发展为了人民、发展依靠人民、发展成果由人民共享，激发全体人民积极性、主动性、创造性，不断实现人民对美好生活的向往。</w:t>
      </w:r>
    </w:p>
    <w:p w:rsidR="00000000" w:rsidRDefault="00000000">
      <w:pPr>
        <w:spacing w:line="470" w:lineRule="exact"/>
        <w:ind w:firstLineChars="200" w:firstLine="422"/>
        <w:rPr>
          <w:rFonts w:ascii="宋体" w:hAnsi="宋体" w:cs="宋体" w:hint="eastAsia"/>
          <w:kern w:val="0"/>
          <w:szCs w:val="21"/>
        </w:rPr>
      </w:pPr>
      <w:r>
        <w:rPr>
          <w:rFonts w:eastAsia="楷体_GB2312"/>
          <w:b/>
          <w:bCs/>
          <w:szCs w:val="21"/>
        </w:rPr>
        <w:lastRenderedPageBreak/>
        <w:t>——</w:t>
      </w:r>
      <w:r>
        <w:rPr>
          <w:rFonts w:eastAsia="楷体_GB2312"/>
          <w:szCs w:val="21"/>
        </w:rPr>
        <w:t>坚持新发展理念。</w:t>
      </w:r>
      <w:r>
        <w:rPr>
          <w:rFonts w:ascii="宋体" w:hAnsi="宋体" w:cs="宋体" w:hint="eastAsia"/>
          <w:kern w:val="0"/>
          <w:szCs w:val="21"/>
        </w:rPr>
        <w:t>把新发展理念贯穿发展全过程和各领域，推动转方式同调结构、延长产业链条、创新发展、深化改革开放相结合，推动质量变革、效率变革、动力变革，实现更高质量、更有效率、更加公平、更可持续、更为安全的发展。</w:t>
      </w:r>
    </w:p>
    <w:p w:rsidR="00000000" w:rsidRDefault="00000000">
      <w:pPr>
        <w:spacing w:line="470" w:lineRule="exact"/>
        <w:ind w:firstLineChars="200" w:firstLine="422"/>
        <w:rPr>
          <w:rFonts w:ascii="宋体" w:hAnsi="宋体" w:cs="宋体" w:hint="eastAsia"/>
          <w:kern w:val="0"/>
          <w:szCs w:val="21"/>
        </w:rPr>
      </w:pPr>
      <w:r>
        <w:rPr>
          <w:rFonts w:eastAsia="楷体_GB2312"/>
          <w:b/>
          <w:bCs/>
          <w:szCs w:val="21"/>
        </w:rPr>
        <w:t>——</w:t>
      </w:r>
      <w:r>
        <w:rPr>
          <w:rFonts w:eastAsia="楷体_GB2312"/>
          <w:szCs w:val="21"/>
        </w:rPr>
        <w:t>坚持深化改革开放。</w:t>
      </w:r>
      <w:r>
        <w:rPr>
          <w:rFonts w:ascii="宋体" w:hAnsi="宋体" w:cs="宋体" w:hint="eastAsia"/>
          <w:kern w:val="0"/>
          <w:szCs w:val="21"/>
        </w:rPr>
        <w:t>坚定不移推进供给侧结构性改革，坚定不移扩大开放，加强治理体系和治理能力现代化建设，破除制约高质量发展、高品质生活的体制机制障碍，提高资源配置效率，融入全国大市场、服务国内大循环，持续增强发展动力和活力。</w:t>
      </w:r>
    </w:p>
    <w:p w:rsidR="00000000" w:rsidRDefault="00000000">
      <w:pPr>
        <w:spacing w:line="470" w:lineRule="exact"/>
        <w:ind w:firstLineChars="200" w:firstLine="422"/>
        <w:rPr>
          <w:rFonts w:ascii="宋体" w:hAnsi="宋体" w:cs="宋体" w:hint="eastAsia"/>
          <w:kern w:val="0"/>
          <w:szCs w:val="21"/>
        </w:rPr>
      </w:pPr>
      <w:r>
        <w:rPr>
          <w:rFonts w:eastAsia="楷体_GB2312"/>
          <w:b/>
          <w:bCs/>
          <w:szCs w:val="21"/>
        </w:rPr>
        <w:t>——</w:t>
      </w:r>
      <w:r>
        <w:rPr>
          <w:rFonts w:eastAsia="楷体_GB2312"/>
          <w:szCs w:val="21"/>
        </w:rPr>
        <w:t>坚持系统观念。</w:t>
      </w:r>
      <w:r>
        <w:rPr>
          <w:rFonts w:ascii="宋体" w:hAnsi="宋体" w:cs="宋体" w:hint="eastAsia"/>
          <w:kern w:val="0"/>
          <w:szCs w:val="21"/>
        </w:rPr>
        <w:t>加强前瞻性思考、全局性谋划、战略性布局、整体性推进，科学制定发展目标和重点任务，着力固根基、扬优势、补短板、强弱项，集中精力做好发展和安全两件大事，注重防范化解重大风险挑战，实现高质量发展和高水平安全良性互动。</w:t>
      </w:r>
    </w:p>
    <w:p w:rsidR="00000000" w:rsidRDefault="00000000">
      <w:pPr>
        <w:pStyle w:val="2"/>
        <w:spacing w:beforeLines="100" w:before="321" w:afterLines="50" w:after="160" w:line="480" w:lineRule="exact"/>
        <w:jc w:val="center"/>
        <w:rPr>
          <w:rFonts w:ascii="楷体_GB2312" w:eastAsia="楷体_GB2312" w:hAnsi="楷体_GB2312" w:cs="楷体_GB2312" w:hint="eastAsia"/>
          <w:bCs w:val="0"/>
          <w:kern w:val="0"/>
          <w:sz w:val="24"/>
          <w:szCs w:val="24"/>
        </w:rPr>
      </w:pPr>
      <w:bookmarkStart w:id="112" w:name="_Toc59084984"/>
      <w:bookmarkStart w:id="113" w:name="_Toc20236"/>
      <w:bookmarkStart w:id="114" w:name="_Toc57106144"/>
      <w:bookmarkStart w:id="115" w:name="_Toc55167049"/>
      <w:bookmarkStart w:id="116" w:name="_Toc65938195"/>
      <w:r>
        <w:rPr>
          <w:rFonts w:ascii="楷体_GB2312" w:eastAsia="楷体_GB2312" w:hAnsi="楷体_GB2312" w:cs="楷体_GB2312" w:hint="eastAsia"/>
          <w:bCs w:val="0"/>
          <w:kern w:val="0"/>
          <w:sz w:val="24"/>
          <w:szCs w:val="24"/>
        </w:rPr>
        <w:t>第三节  发展目标</w:t>
      </w:r>
      <w:bookmarkEnd w:id="112"/>
      <w:bookmarkEnd w:id="113"/>
      <w:bookmarkEnd w:id="114"/>
      <w:bookmarkEnd w:id="115"/>
      <w:bookmarkEnd w:id="116"/>
    </w:p>
    <w:p w:rsidR="00000000" w:rsidRDefault="00000000">
      <w:pPr>
        <w:spacing w:line="450" w:lineRule="exact"/>
        <w:ind w:firstLineChars="200" w:firstLine="420"/>
        <w:rPr>
          <w:rFonts w:ascii="宋体" w:hAnsi="宋体" w:cs="宋体" w:hint="eastAsia"/>
          <w:kern w:val="0"/>
          <w:szCs w:val="21"/>
        </w:rPr>
      </w:pPr>
      <w:r>
        <w:rPr>
          <w:rFonts w:eastAsia="楷体_GB2312"/>
          <w:szCs w:val="21"/>
        </w:rPr>
        <w:t>到</w:t>
      </w:r>
      <w:r>
        <w:rPr>
          <w:rFonts w:eastAsia="楷体_GB2312"/>
          <w:szCs w:val="21"/>
        </w:rPr>
        <w:t>2035</w:t>
      </w:r>
      <w:r>
        <w:rPr>
          <w:rFonts w:eastAsia="楷体_GB2312"/>
          <w:szCs w:val="21"/>
        </w:rPr>
        <w:t>年基本实现社会主义现代化远景目标：</w:t>
      </w:r>
      <w:r>
        <w:rPr>
          <w:rFonts w:ascii="宋体" w:hAnsi="宋体" w:cs="宋体" w:hint="eastAsia"/>
          <w:kern w:val="0"/>
          <w:szCs w:val="21"/>
        </w:rPr>
        <w:t>按照党中央对实现第二个百年奋斗目标的战略安排和基本实现社会主义现代化的远景目标，结合我旗实际展望2035年，全旗与全国全区全市同步基本实现社会主义现代化。经济实力和绿色发展水平大幅跃升，经济总量和城乡居民人均收入与全市同步迈上新台阶，基本实现新型工业</w:t>
      </w:r>
      <w:r>
        <w:rPr>
          <w:rFonts w:ascii="宋体" w:hAnsi="宋体" w:cs="宋体" w:hint="eastAsia"/>
          <w:kern w:val="0"/>
          <w:szCs w:val="21"/>
        </w:rPr>
        <w:lastRenderedPageBreak/>
        <w:t>化、信息化、城镇化、农业现代化，符合战略定位的现代产业体系、新型城镇体系、基础设施体系基本建成，创新引领高质量发展，形成开放协作、区域协同发展新格局；治理体系和治理能力现代化基本实现，各民族大团结局面更加巩固，法治奈曼基本建成，平安奈曼建设全面深化，共建共治共享的社会治理格局更加完善；文化软实力显著增强，各族人民素质、全社会文明程度达到新高度；绿色生产生活方式广泛形成，经济社会发展全面绿色转型，生态环境根本好转，美丽奈曼基本建成；中等收入群体显著扩大，基本公共服务实现均等化，城乡发展差距和居民生活水平差距显著缩小，各族人民生活更加美好，人的全面发展、人民共同富裕取得更为明显的实质性进展。</w:t>
      </w:r>
    </w:p>
    <w:p w:rsidR="00000000" w:rsidRDefault="00000000">
      <w:pPr>
        <w:spacing w:line="480" w:lineRule="exact"/>
        <w:ind w:firstLineChars="200" w:firstLine="420"/>
        <w:rPr>
          <w:rFonts w:ascii="宋体" w:hAnsi="宋体" w:cs="宋体" w:hint="eastAsia"/>
          <w:kern w:val="0"/>
          <w:szCs w:val="21"/>
        </w:rPr>
      </w:pPr>
      <w:r>
        <w:rPr>
          <w:rFonts w:ascii="宋体" w:hAnsi="宋体" w:cs="宋体" w:hint="eastAsia"/>
          <w:kern w:val="0"/>
          <w:szCs w:val="21"/>
        </w:rPr>
        <w:t>锚定2035年远景目标，坚持目标导向和问题导向，聚焦全区全市战略布局，综合考虑我旗现实基础和发展优势，经过五年不懈努力，以生态优先、绿色发展为导向的高质量发展取得实质性成果，全旗经济社会各项事业实现新的更大发展。</w:t>
      </w:r>
    </w:p>
    <w:p w:rsidR="00000000" w:rsidRDefault="00000000">
      <w:pPr>
        <w:spacing w:line="480" w:lineRule="exact"/>
        <w:ind w:firstLineChars="200" w:firstLine="422"/>
        <w:rPr>
          <w:rFonts w:ascii="宋体" w:hAnsi="宋体" w:cs="宋体" w:hint="eastAsia"/>
          <w:kern w:val="0"/>
          <w:szCs w:val="21"/>
        </w:rPr>
      </w:pPr>
      <w:r>
        <w:rPr>
          <w:rFonts w:eastAsia="楷体_GB2312"/>
          <w:b/>
          <w:bCs/>
          <w:szCs w:val="21"/>
        </w:rPr>
        <w:t>——</w:t>
      </w:r>
      <w:r>
        <w:rPr>
          <w:rFonts w:eastAsia="楷体_GB2312"/>
          <w:szCs w:val="21"/>
        </w:rPr>
        <w:t>经济发展取得新成效。</w:t>
      </w:r>
      <w:r>
        <w:rPr>
          <w:rFonts w:ascii="宋体" w:hAnsi="宋体" w:cs="宋体" w:hint="eastAsia"/>
          <w:kern w:val="0"/>
          <w:szCs w:val="21"/>
        </w:rPr>
        <w:t>加快产业转型升级，在质量效益明显提升基础上实现经济持续健康发展，经济增速高于全市平均水平，经济结构更加优化，农业基础更加稳固，“1+5”现代产业体系向高级化、绿色化、智能化加速转型，实体经济加快发展，产业基础高</w:t>
      </w:r>
      <w:r>
        <w:rPr>
          <w:rFonts w:ascii="宋体" w:hAnsi="宋体" w:cs="宋体" w:hint="eastAsia"/>
          <w:kern w:val="0"/>
          <w:szCs w:val="21"/>
        </w:rPr>
        <w:lastRenderedPageBreak/>
        <w:t>级化、产业链现代化水平明显提高，基础设施保障能力持续提高，城乡区域发展协调性明显增强，现代化经济体系基本形成，为现代化奈曼打牢基础。</w:t>
      </w:r>
    </w:p>
    <w:p w:rsidR="00000000" w:rsidRDefault="00000000">
      <w:pPr>
        <w:spacing w:line="480" w:lineRule="exact"/>
        <w:ind w:firstLineChars="200" w:firstLine="422"/>
        <w:rPr>
          <w:rFonts w:ascii="宋体" w:hAnsi="宋体" w:cs="宋体" w:hint="eastAsia"/>
          <w:kern w:val="0"/>
          <w:szCs w:val="21"/>
        </w:rPr>
      </w:pPr>
      <w:r>
        <w:rPr>
          <w:rFonts w:eastAsia="楷体_GB2312"/>
          <w:b/>
          <w:bCs/>
          <w:szCs w:val="21"/>
        </w:rPr>
        <w:t>——</w:t>
      </w:r>
      <w:r>
        <w:rPr>
          <w:rFonts w:eastAsia="楷体_GB2312"/>
          <w:szCs w:val="21"/>
        </w:rPr>
        <w:t>改革创新迈出新步伐。</w:t>
      </w:r>
      <w:r>
        <w:rPr>
          <w:rFonts w:ascii="宋体" w:hAnsi="宋体" w:cs="宋体" w:hint="eastAsia"/>
          <w:kern w:val="0"/>
          <w:szCs w:val="21"/>
        </w:rPr>
        <w:t>坚持活力兴城，完善创新体系，推动要素驱动向创新驱动转变，提高创新链整体效能，创新能力明显提高；重点领域改革取得突破性进展，</w:t>
      </w:r>
      <w:r>
        <w:rPr>
          <w:rFonts w:ascii="宋体" w:hAnsi="宋体" w:cs="宋体" w:hint="eastAsia"/>
          <w:spacing w:val="6"/>
          <w:kern w:val="0"/>
          <w:szCs w:val="21"/>
        </w:rPr>
        <w:t>要素市场化配置机制更加健全，公平竞争制度更加完善，统一开放、竞争有序的市场体系基本形成；加快相对集中行政许可权改革，营商环境明显改善；服务融入新发展格局，对内对外开放水平进一步提升，</w:t>
      </w:r>
      <w:r>
        <w:rPr>
          <w:rFonts w:ascii="宋体" w:hAnsi="宋体" w:cs="宋体" w:hint="eastAsia"/>
          <w:spacing w:val="-6"/>
          <w:kern w:val="0"/>
          <w:szCs w:val="21"/>
        </w:rPr>
        <w:t>经济发展活力显著增强。</w:t>
      </w:r>
    </w:p>
    <w:p w:rsidR="00000000" w:rsidRDefault="00000000">
      <w:pPr>
        <w:spacing w:line="480" w:lineRule="exact"/>
        <w:ind w:firstLineChars="200" w:firstLine="422"/>
        <w:rPr>
          <w:rFonts w:ascii="宋体" w:hAnsi="宋体" w:cs="宋体" w:hint="eastAsia"/>
          <w:kern w:val="0"/>
          <w:szCs w:val="21"/>
        </w:rPr>
      </w:pPr>
      <w:r>
        <w:rPr>
          <w:rFonts w:eastAsia="楷体_GB2312"/>
          <w:b/>
          <w:bCs/>
          <w:szCs w:val="21"/>
        </w:rPr>
        <w:t>——</w:t>
      </w:r>
      <w:r>
        <w:rPr>
          <w:rFonts w:eastAsia="楷体_GB2312"/>
          <w:szCs w:val="21"/>
        </w:rPr>
        <w:t>生态文明建设实现新进步。</w:t>
      </w:r>
      <w:r>
        <w:rPr>
          <w:rFonts w:ascii="宋体" w:hAnsi="宋体" w:cs="宋体" w:hint="eastAsia"/>
          <w:kern w:val="0"/>
          <w:szCs w:val="21"/>
        </w:rPr>
        <w:t>推进生态美城，严守“三区三线”，统筹城乡区域差异化协调发展，形成更加科学的国土空间开发保护格局；推进山水林田湖草沙系统治理，推动森林覆盖率持续提高，生态自我修复能力显著提升，水资源紧缺矛盾初步缓解，生态治理走在全市前列；生产生活方式加快绿色转型，节能减排治污力度持续加大，主要污染物排放总量持续减少，城乡人居环境明显改善，生态安全屏障更加牢固。</w:t>
      </w:r>
    </w:p>
    <w:p w:rsidR="00000000" w:rsidRDefault="00000000">
      <w:pPr>
        <w:spacing w:line="470" w:lineRule="exact"/>
        <w:ind w:firstLineChars="200" w:firstLine="422"/>
        <w:rPr>
          <w:rFonts w:ascii="宋体" w:hAnsi="宋体" w:cs="宋体" w:hint="eastAsia"/>
          <w:kern w:val="0"/>
          <w:szCs w:val="21"/>
        </w:rPr>
      </w:pPr>
      <w:r>
        <w:rPr>
          <w:rFonts w:eastAsia="楷体_GB2312"/>
          <w:b/>
          <w:bCs/>
          <w:szCs w:val="21"/>
        </w:rPr>
        <w:t>——</w:t>
      </w:r>
      <w:r>
        <w:rPr>
          <w:rFonts w:eastAsia="楷体_GB2312"/>
          <w:szCs w:val="21"/>
        </w:rPr>
        <w:t>社会文明程度得到新提高。</w:t>
      </w:r>
      <w:r>
        <w:rPr>
          <w:rFonts w:ascii="宋体" w:hAnsi="宋体" w:cs="宋体" w:hint="eastAsia"/>
          <w:kern w:val="0"/>
          <w:szCs w:val="21"/>
        </w:rPr>
        <w:t>创建文化名城，社会主义核心</w:t>
      </w:r>
      <w:r>
        <w:rPr>
          <w:rFonts w:ascii="宋体" w:hAnsi="宋体" w:cs="宋体" w:hint="eastAsia"/>
          <w:kern w:val="0"/>
          <w:szCs w:val="21"/>
        </w:rPr>
        <w:lastRenderedPageBreak/>
        <w:t>价值观深入人心，思想道德素质、科学文化素质和身心健康素质全面提高，公共文化服务体系和文化产业体系更加健全，传承弘扬奈曼优秀传统文化、红色文化、先进文化，提高文化软实力和核心竞争力，奈曼文化知名度、美誉度和影响力进一步提升，人民精神文化生活日益丰富，文化强旗建设取得新突破，精神文明创建活动成效明显，各民族团结凝聚力进一步增强，创建全国文明城市。</w:t>
      </w:r>
    </w:p>
    <w:p w:rsidR="00000000" w:rsidRDefault="00000000">
      <w:pPr>
        <w:spacing w:line="470" w:lineRule="exact"/>
        <w:ind w:firstLineChars="200" w:firstLine="422"/>
        <w:rPr>
          <w:rFonts w:ascii="宋体" w:hAnsi="宋体" w:cs="宋体" w:hint="eastAsia"/>
          <w:kern w:val="0"/>
          <w:szCs w:val="21"/>
        </w:rPr>
      </w:pPr>
      <w:r>
        <w:rPr>
          <w:rFonts w:eastAsia="楷体_GB2312"/>
          <w:b/>
          <w:bCs/>
          <w:szCs w:val="21"/>
        </w:rPr>
        <w:t>——</w:t>
      </w:r>
      <w:r>
        <w:rPr>
          <w:rFonts w:eastAsia="楷体_GB2312"/>
          <w:szCs w:val="21"/>
        </w:rPr>
        <w:t>治理效能得到新提升。</w:t>
      </w:r>
      <w:r>
        <w:rPr>
          <w:rFonts w:ascii="宋体" w:hAnsi="宋体" w:cs="宋体" w:hint="eastAsia"/>
          <w:kern w:val="0"/>
          <w:szCs w:val="21"/>
        </w:rPr>
        <w:t>打造平安亮城，推进“智慧管理”，深入推进民主法治和平安奈曼建设，深化司法体制综合配套改革，行政效率和公信力显著提升，社会治理特别是基层治理水平明显提高，防范化解重大风险体制机制不断健全，突发公共事件应急能力和自然灾害防御水平显著增强，公共安全体系不断完善，社会治理水平全面提升，创建全国民族团结进步示范旗。</w:t>
      </w:r>
    </w:p>
    <w:p w:rsidR="00000000" w:rsidRDefault="00000000">
      <w:pPr>
        <w:spacing w:line="470" w:lineRule="exact"/>
        <w:ind w:firstLineChars="200" w:firstLine="422"/>
        <w:rPr>
          <w:rFonts w:ascii="宋体" w:hAnsi="宋体" w:cs="宋体" w:hint="eastAsia"/>
          <w:kern w:val="0"/>
          <w:szCs w:val="21"/>
        </w:rPr>
      </w:pPr>
      <w:r>
        <w:rPr>
          <w:rFonts w:eastAsia="楷体_GB2312"/>
          <w:b/>
          <w:bCs/>
          <w:szCs w:val="21"/>
        </w:rPr>
        <w:t>——</w:t>
      </w:r>
      <w:r>
        <w:rPr>
          <w:rFonts w:eastAsia="楷体_GB2312"/>
          <w:szCs w:val="21"/>
        </w:rPr>
        <w:t>民生福祉达到新水平。</w:t>
      </w:r>
      <w:r>
        <w:rPr>
          <w:rFonts w:ascii="宋体" w:hAnsi="宋体" w:cs="宋体" w:hint="eastAsia"/>
          <w:kern w:val="0"/>
          <w:szCs w:val="21"/>
        </w:rPr>
        <w:t>共建幸福新城，居民就业更加充分，城乡居民收入增长高于经济增速，收入差距持续缩小；脱贫攻坚成果巩固拓展，乡村振兴战略全面推进；教育均衡发展水平持续提升，职业教育协调发展；提高卫生健康保障水平，创建全国全民健身模范县；社会保障水平进一步提高，覆盖城乡、趋于均等的公共服务体系更加完善，人民群众幸福感、获得感、安全感进一步提升，对美好生活的向往得到更好满足。</w:t>
      </w:r>
    </w:p>
    <w:tbl>
      <w:tblPr>
        <w:tblpPr w:leftFromText="180" w:rightFromText="180" w:vertAnchor="text" w:horzAnchor="page" w:tblpX="962" w:tblpY="342"/>
        <w:tblOverlap w:val="never"/>
        <w:tblW w:w="6693" w:type="dxa"/>
        <w:tblInd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Look w:val="0000" w:firstRow="0" w:lastRow="0" w:firstColumn="0" w:lastColumn="0" w:noHBand="0" w:noVBand="0"/>
      </w:tblPr>
      <w:tblGrid>
        <w:gridCol w:w="3223"/>
        <w:gridCol w:w="836"/>
        <w:gridCol w:w="809"/>
        <w:gridCol w:w="1011"/>
        <w:gridCol w:w="814"/>
      </w:tblGrid>
      <w:tr w:rsidR="00000000">
        <w:trPr>
          <w:trHeight w:hRule="exact" w:val="511"/>
        </w:trPr>
        <w:tc>
          <w:tcPr>
            <w:tcW w:w="6693" w:type="dxa"/>
            <w:gridSpan w:val="5"/>
            <w:shd w:val="clear" w:color="auto" w:fill="95DAF3"/>
            <w:vAlign w:val="center"/>
          </w:tcPr>
          <w:p w:rsidR="00000000" w:rsidRDefault="00000000">
            <w:pPr>
              <w:spacing w:line="360" w:lineRule="exact"/>
              <w:jc w:val="center"/>
              <w:rPr>
                <w:rFonts w:eastAsia="黑体"/>
                <w:sz w:val="18"/>
                <w:szCs w:val="18"/>
              </w:rPr>
            </w:pPr>
            <w:r>
              <w:rPr>
                <w:rFonts w:ascii="黑体" w:eastAsia="黑体" w:hAnsi="黑体" w:cs="黑体" w:hint="eastAsia"/>
                <w:szCs w:val="21"/>
              </w:rPr>
              <w:lastRenderedPageBreak/>
              <w:t>专栏1   “十四五”时期经济社会主要指标</w:t>
            </w:r>
          </w:p>
        </w:tc>
      </w:tr>
      <w:tr w:rsidR="00000000">
        <w:trPr>
          <w:trHeight w:val="461"/>
        </w:trPr>
        <w:tc>
          <w:tcPr>
            <w:tcW w:w="3223" w:type="dxa"/>
            <w:shd w:val="clear" w:color="auto" w:fill="C8EEFC"/>
            <w:vAlign w:val="center"/>
          </w:tcPr>
          <w:p w:rsidR="00000000" w:rsidRDefault="00000000">
            <w:pPr>
              <w:spacing w:line="480" w:lineRule="exact"/>
              <w:jc w:val="center"/>
              <w:rPr>
                <w:b/>
                <w:sz w:val="18"/>
                <w:szCs w:val="18"/>
              </w:rPr>
            </w:pPr>
            <w:r>
              <w:rPr>
                <w:b/>
                <w:sz w:val="18"/>
                <w:szCs w:val="18"/>
              </w:rPr>
              <w:t>指</w:t>
            </w:r>
            <w:r>
              <w:rPr>
                <w:b/>
                <w:sz w:val="18"/>
                <w:szCs w:val="18"/>
              </w:rPr>
              <w:t xml:space="preserve">  </w:t>
            </w:r>
            <w:r>
              <w:rPr>
                <w:b/>
                <w:sz w:val="18"/>
                <w:szCs w:val="18"/>
              </w:rPr>
              <w:t>标</w:t>
            </w:r>
          </w:p>
        </w:tc>
        <w:tc>
          <w:tcPr>
            <w:tcW w:w="836" w:type="dxa"/>
            <w:shd w:val="clear" w:color="auto" w:fill="C8EEFC"/>
            <w:vAlign w:val="center"/>
          </w:tcPr>
          <w:p w:rsidR="00000000" w:rsidRDefault="00000000">
            <w:pPr>
              <w:spacing w:line="480" w:lineRule="exact"/>
              <w:jc w:val="center"/>
              <w:rPr>
                <w:b/>
                <w:sz w:val="18"/>
                <w:szCs w:val="18"/>
              </w:rPr>
            </w:pPr>
            <w:r>
              <w:rPr>
                <w:b/>
                <w:sz w:val="18"/>
                <w:szCs w:val="18"/>
              </w:rPr>
              <w:t>2020</w:t>
            </w:r>
            <w:r>
              <w:rPr>
                <w:b/>
                <w:sz w:val="18"/>
                <w:szCs w:val="18"/>
              </w:rPr>
              <w:t>年</w:t>
            </w:r>
          </w:p>
        </w:tc>
        <w:tc>
          <w:tcPr>
            <w:tcW w:w="809" w:type="dxa"/>
            <w:shd w:val="clear" w:color="auto" w:fill="C8EEFC"/>
            <w:vAlign w:val="center"/>
          </w:tcPr>
          <w:p w:rsidR="00000000" w:rsidRDefault="00000000">
            <w:pPr>
              <w:spacing w:line="480" w:lineRule="exact"/>
              <w:jc w:val="center"/>
              <w:rPr>
                <w:b/>
                <w:sz w:val="18"/>
                <w:szCs w:val="18"/>
              </w:rPr>
            </w:pPr>
            <w:r>
              <w:rPr>
                <w:b/>
                <w:sz w:val="18"/>
                <w:szCs w:val="18"/>
              </w:rPr>
              <w:t>2025</w:t>
            </w:r>
            <w:r>
              <w:rPr>
                <w:b/>
                <w:sz w:val="18"/>
                <w:szCs w:val="18"/>
              </w:rPr>
              <w:t>年</w:t>
            </w:r>
          </w:p>
        </w:tc>
        <w:tc>
          <w:tcPr>
            <w:tcW w:w="1011" w:type="dxa"/>
            <w:shd w:val="clear" w:color="auto" w:fill="C8EEFC"/>
            <w:vAlign w:val="center"/>
          </w:tcPr>
          <w:p w:rsidR="00000000" w:rsidRDefault="00000000">
            <w:pPr>
              <w:spacing w:line="480" w:lineRule="exact"/>
              <w:jc w:val="center"/>
              <w:rPr>
                <w:b/>
                <w:sz w:val="18"/>
                <w:szCs w:val="18"/>
              </w:rPr>
            </w:pPr>
            <w:r>
              <w:rPr>
                <w:b/>
                <w:sz w:val="18"/>
                <w:szCs w:val="18"/>
              </w:rPr>
              <w:t>年均</w:t>
            </w:r>
            <w:r>
              <w:rPr>
                <w:b/>
                <w:sz w:val="18"/>
                <w:szCs w:val="18"/>
              </w:rPr>
              <w:t>/</w:t>
            </w:r>
            <w:r>
              <w:rPr>
                <w:b/>
                <w:sz w:val="18"/>
                <w:szCs w:val="18"/>
              </w:rPr>
              <w:t>累计</w:t>
            </w:r>
          </w:p>
        </w:tc>
        <w:tc>
          <w:tcPr>
            <w:tcW w:w="814" w:type="dxa"/>
            <w:shd w:val="clear" w:color="auto" w:fill="C8EEFC"/>
            <w:vAlign w:val="center"/>
          </w:tcPr>
          <w:p w:rsidR="00000000" w:rsidRDefault="00000000">
            <w:pPr>
              <w:spacing w:line="480" w:lineRule="exact"/>
              <w:jc w:val="center"/>
              <w:rPr>
                <w:b/>
                <w:sz w:val="18"/>
                <w:szCs w:val="18"/>
              </w:rPr>
            </w:pPr>
            <w:r>
              <w:rPr>
                <w:b/>
                <w:sz w:val="18"/>
                <w:szCs w:val="18"/>
              </w:rPr>
              <w:t>属性</w:t>
            </w:r>
          </w:p>
        </w:tc>
      </w:tr>
      <w:tr w:rsidR="00000000">
        <w:trPr>
          <w:trHeight w:val="370"/>
        </w:trPr>
        <w:tc>
          <w:tcPr>
            <w:tcW w:w="6693" w:type="dxa"/>
            <w:gridSpan w:val="5"/>
            <w:shd w:val="clear" w:color="auto" w:fill="C8EEFC"/>
          </w:tcPr>
          <w:p w:rsidR="00000000" w:rsidRDefault="00000000">
            <w:pPr>
              <w:numPr>
                <w:ilvl w:val="0"/>
                <w:numId w:val="1"/>
              </w:numPr>
              <w:spacing w:line="400" w:lineRule="exact"/>
              <w:ind w:left="0"/>
              <w:rPr>
                <w:b/>
                <w:sz w:val="18"/>
                <w:szCs w:val="18"/>
              </w:rPr>
            </w:pPr>
            <w:r>
              <w:rPr>
                <w:b/>
                <w:sz w:val="18"/>
                <w:szCs w:val="18"/>
              </w:rPr>
              <w:t>经济发展</w:t>
            </w:r>
          </w:p>
        </w:tc>
      </w:tr>
      <w:tr w:rsidR="00000000">
        <w:trPr>
          <w:trHeight w:val="465"/>
        </w:trPr>
        <w:tc>
          <w:tcPr>
            <w:tcW w:w="3223" w:type="dxa"/>
            <w:shd w:val="clear" w:color="auto" w:fill="C8EEFC"/>
          </w:tcPr>
          <w:p w:rsidR="00000000" w:rsidRDefault="00000000">
            <w:pPr>
              <w:spacing w:line="400" w:lineRule="exact"/>
              <w:rPr>
                <w:sz w:val="18"/>
                <w:szCs w:val="18"/>
              </w:rPr>
            </w:pPr>
            <w:r>
              <w:rPr>
                <w:sz w:val="18"/>
                <w:szCs w:val="18"/>
              </w:rPr>
              <w:t>1.</w:t>
            </w:r>
            <w:r>
              <w:rPr>
                <w:sz w:val="18"/>
                <w:szCs w:val="18"/>
              </w:rPr>
              <w:t>地区生产总值增长（</w:t>
            </w:r>
            <w:r>
              <w:rPr>
                <w:sz w:val="18"/>
                <w:szCs w:val="18"/>
              </w:rPr>
              <w:t>%</w:t>
            </w:r>
            <w:r>
              <w:rPr>
                <w:sz w:val="18"/>
                <w:szCs w:val="18"/>
              </w:rPr>
              <w:t>）</w:t>
            </w:r>
          </w:p>
        </w:tc>
        <w:tc>
          <w:tcPr>
            <w:tcW w:w="836" w:type="dxa"/>
            <w:shd w:val="clear" w:color="auto" w:fill="C8EEFC"/>
          </w:tcPr>
          <w:p w:rsidR="00000000" w:rsidRDefault="00000000">
            <w:pPr>
              <w:spacing w:line="400" w:lineRule="exact"/>
              <w:jc w:val="center"/>
              <w:rPr>
                <w:sz w:val="18"/>
                <w:szCs w:val="18"/>
              </w:rPr>
            </w:pPr>
            <w:r>
              <w:rPr>
                <w:sz w:val="18"/>
                <w:szCs w:val="18"/>
              </w:rPr>
              <w:t>-1.3</w:t>
            </w:r>
          </w:p>
        </w:tc>
        <w:tc>
          <w:tcPr>
            <w:tcW w:w="809" w:type="dxa"/>
            <w:shd w:val="clear" w:color="auto" w:fill="C8EEFC"/>
          </w:tcPr>
          <w:p w:rsidR="00000000" w:rsidRDefault="00000000">
            <w:pPr>
              <w:spacing w:line="400" w:lineRule="exact"/>
              <w:jc w:val="center"/>
              <w:rPr>
                <w:sz w:val="18"/>
                <w:szCs w:val="18"/>
              </w:rPr>
            </w:pPr>
            <w:r>
              <w:rPr>
                <w:sz w:val="18"/>
                <w:szCs w:val="18"/>
              </w:rPr>
              <w:t>—</w:t>
            </w:r>
          </w:p>
        </w:tc>
        <w:tc>
          <w:tcPr>
            <w:tcW w:w="1011" w:type="dxa"/>
            <w:shd w:val="clear" w:color="auto" w:fill="C8EEFC"/>
          </w:tcPr>
          <w:p w:rsidR="00000000" w:rsidRDefault="00000000">
            <w:pPr>
              <w:spacing w:line="400" w:lineRule="exact"/>
              <w:jc w:val="center"/>
              <w:rPr>
                <w:sz w:val="18"/>
                <w:szCs w:val="18"/>
              </w:rPr>
            </w:pPr>
            <w:r>
              <w:rPr>
                <w:sz w:val="18"/>
                <w:szCs w:val="18"/>
              </w:rPr>
              <w:t>7</w:t>
            </w:r>
            <w:r>
              <w:rPr>
                <w:sz w:val="18"/>
                <w:szCs w:val="18"/>
              </w:rPr>
              <w:t>左右</w:t>
            </w:r>
          </w:p>
        </w:tc>
        <w:tc>
          <w:tcPr>
            <w:tcW w:w="814" w:type="dxa"/>
            <w:shd w:val="clear" w:color="auto" w:fill="C8EEFC"/>
          </w:tcPr>
          <w:p w:rsidR="00000000" w:rsidRDefault="00000000">
            <w:pPr>
              <w:spacing w:line="400" w:lineRule="exact"/>
              <w:rPr>
                <w:sz w:val="18"/>
                <w:szCs w:val="18"/>
              </w:rPr>
            </w:pPr>
            <w:r>
              <w:rPr>
                <w:sz w:val="18"/>
                <w:szCs w:val="18"/>
              </w:rPr>
              <w:t>预期性</w:t>
            </w:r>
          </w:p>
        </w:tc>
      </w:tr>
      <w:tr w:rsidR="00000000">
        <w:trPr>
          <w:trHeight w:val="465"/>
        </w:trPr>
        <w:tc>
          <w:tcPr>
            <w:tcW w:w="3223" w:type="dxa"/>
            <w:shd w:val="clear" w:color="auto" w:fill="C8EEFC"/>
          </w:tcPr>
          <w:p w:rsidR="00000000" w:rsidRDefault="00000000">
            <w:pPr>
              <w:spacing w:line="400" w:lineRule="exact"/>
              <w:rPr>
                <w:sz w:val="18"/>
                <w:szCs w:val="18"/>
              </w:rPr>
            </w:pPr>
            <w:r>
              <w:rPr>
                <w:sz w:val="18"/>
                <w:szCs w:val="18"/>
              </w:rPr>
              <w:t>2.</w:t>
            </w:r>
            <w:r>
              <w:rPr>
                <w:sz w:val="18"/>
                <w:szCs w:val="18"/>
              </w:rPr>
              <w:t>全社会固定资产投资（亿元）</w:t>
            </w:r>
          </w:p>
        </w:tc>
        <w:tc>
          <w:tcPr>
            <w:tcW w:w="836" w:type="dxa"/>
            <w:shd w:val="clear" w:color="auto" w:fill="C8EEFC"/>
          </w:tcPr>
          <w:p w:rsidR="00000000" w:rsidRDefault="00000000">
            <w:pPr>
              <w:spacing w:line="400" w:lineRule="exact"/>
              <w:jc w:val="center"/>
              <w:rPr>
                <w:sz w:val="18"/>
                <w:szCs w:val="18"/>
              </w:rPr>
            </w:pPr>
            <w:r>
              <w:rPr>
                <w:sz w:val="18"/>
                <w:szCs w:val="18"/>
              </w:rPr>
              <w:t>56.86</w:t>
            </w:r>
          </w:p>
        </w:tc>
        <w:tc>
          <w:tcPr>
            <w:tcW w:w="809" w:type="dxa"/>
            <w:shd w:val="clear" w:color="auto" w:fill="C8EEFC"/>
          </w:tcPr>
          <w:p w:rsidR="00000000" w:rsidRDefault="00000000">
            <w:pPr>
              <w:spacing w:line="400" w:lineRule="exact"/>
              <w:jc w:val="center"/>
              <w:rPr>
                <w:sz w:val="18"/>
                <w:szCs w:val="18"/>
              </w:rPr>
            </w:pPr>
            <w:r>
              <w:rPr>
                <w:sz w:val="18"/>
                <w:szCs w:val="18"/>
              </w:rPr>
              <w:t>—</w:t>
            </w:r>
          </w:p>
        </w:tc>
        <w:tc>
          <w:tcPr>
            <w:tcW w:w="1011" w:type="dxa"/>
            <w:shd w:val="clear" w:color="auto" w:fill="C8EEFC"/>
          </w:tcPr>
          <w:p w:rsidR="00000000" w:rsidRDefault="00000000">
            <w:pPr>
              <w:spacing w:line="400" w:lineRule="exact"/>
              <w:jc w:val="center"/>
              <w:rPr>
                <w:sz w:val="18"/>
                <w:szCs w:val="18"/>
              </w:rPr>
            </w:pPr>
            <w:r>
              <w:rPr>
                <w:sz w:val="18"/>
                <w:szCs w:val="18"/>
              </w:rPr>
              <w:t>[ 380 ]</w:t>
            </w:r>
          </w:p>
        </w:tc>
        <w:tc>
          <w:tcPr>
            <w:tcW w:w="814" w:type="dxa"/>
            <w:shd w:val="clear" w:color="auto" w:fill="C8EEFC"/>
          </w:tcPr>
          <w:p w:rsidR="00000000" w:rsidRDefault="00000000">
            <w:pPr>
              <w:spacing w:line="400" w:lineRule="exact"/>
              <w:rPr>
                <w:sz w:val="18"/>
                <w:szCs w:val="18"/>
              </w:rPr>
            </w:pPr>
            <w:r>
              <w:rPr>
                <w:sz w:val="18"/>
                <w:szCs w:val="18"/>
              </w:rPr>
              <w:t>预期性</w:t>
            </w:r>
          </w:p>
        </w:tc>
      </w:tr>
      <w:tr w:rsidR="00000000">
        <w:trPr>
          <w:trHeight w:val="465"/>
        </w:trPr>
        <w:tc>
          <w:tcPr>
            <w:tcW w:w="3223" w:type="dxa"/>
            <w:shd w:val="clear" w:color="auto" w:fill="C8EEFC"/>
          </w:tcPr>
          <w:p w:rsidR="00000000" w:rsidRDefault="00000000">
            <w:pPr>
              <w:spacing w:line="400" w:lineRule="exact"/>
              <w:rPr>
                <w:sz w:val="18"/>
                <w:szCs w:val="18"/>
              </w:rPr>
            </w:pPr>
            <w:r>
              <w:rPr>
                <w:sz w:val="18"/>
                <w:szCs w:val="18"/>
              </w:rPr>
              <w:t>3.</w:t>
            </w:r>
            <w:r>
              <w:rPr>
                <w:sz w:val="18"/>
                <w:szCs w:val="18"/>
              </w:rPr>
              <w:t>常住人口城镇化率（</w:t>
            </w:r>
            <w:r>
              <w:rPr>
                <w:sz w:val="18"/>
                <w:szCs w:val="18"/>
              </w:rPr>
              <w:t>%</w:t>
            </w:r>
            <w:r>
              <w:rPr>
                <w:sz w:val="18"/>
                <w:szCs w:val="18"/>
              </w:rPr>
              <w:t>）</w:t>
            </w:r>
          </w:p>
        </w:tc>
        <w:tc>
          <w:tcPr>
            <w:tcW w:w="836" w:type="dxa"/>
            <w:shd w:val="clear" w:color="auto" w:fill="C8EEFC"/>
          </w:tcPr>
          <w:p w:rsidR="00000000" w:rsidRDefault="00000000">
            <w:pPr>
              <w:spacing w:line="400" w:lineRule="exact"/>
              <w:jc w:val="center"/>
              <w:rPr>
                <w:sz w:val="18"/>
                <w:szCs w:val="18"/>
              </w:rPr>
            </w:pPr>
            <w:r>
              <w:rPr>
                <w:sz w:val="18"/>
                <w:szCs w:val="18"/>
              </w:rPr>
              <w:t>41</w:t>
            </w:r>
          </w:p>
        </w:tc>
        <w:tc>
          <w:tcPr>
            <w:tcW w:w="809" w:type="dxa"/>
            <w:shd w:val="clear" w:color="auto" w:fill="C8EEFC"/>
          </w:tcPr>
          <w:p w:rsidR="00000000" w:rsidRDefault="00000000">
            <w:pPr>
              <w:spacing w:line="400" w:lineRule="exact"/>
              <w:jc w:val="center"/>
              <w:rPr>
                <w:sz w:val="18"/>
                <w:szCs w:val="18"/>
              </w:rPr>
            </w:pPr>
            <w:r>
              <w:rPr>
                <w:sz w:val="18"/>
                <w:szCs w:val="18"/>
              </w:rPr>
              <w:t>50</w:t>
            </w:r>
          </w:p>
        </w:tc>
        <w:tc>
          <w:tcPr>
            <w:tcW w:w="1011" w:type="dxa"/>
            <w:shd w:val="clear" w:color="auto" w:fill="C8EEFC"/>
          </w:tcPr>
          <w:p w:rsidR="00000000" w:rsidRDefault="00000000">
            <w:pPr>
              <w:spacing w:line="400" w:lineRule="exact"/>
              <w:jc w:val="center"/>
              <w:rPr>
                <w:sz w:val="18"/>
                <w:szCs w:val="18"/>
              </w:rPr>
            </w:pPr>
            <w:r>
              <w:rPr>
                <w:sz w:val="18"/>
                <w:szCs w:val="18"/>
              </w:rPr>
              <w:t>—</w:t>
            </w:r>
          </w:p>
        </w:tc>
        <w:tc>
          <w:tcPr>
            <w:tcW w:w="814" w:type="dxa"/>
            <w:shd w:val="clear" w:color="auto" w:fill="C8EEFC"/>
          </w:tcPr>
          <w:p w:rsidR="00000000" w:rsidRDefault="00000000">
            <w:pPr>
              <w:spacing w:line="400" w:lineRule="exact"/>
              <w:rPr>
                <w:sz w:val="18"/>
                <w:szCs w:val="18"/>
              </w:rPr>
            </w:pPr>
            <w:r>
              <w:rPr>
                <w:sz w:val="18"/>
                <w:szCs w:val="18"/>
              </w:rPr>
              <w:t>预期性</w:t>
            </w:r>
          </w:p>
        </w:tc>
      </w:tr>
      <w:tr w:rsidR="00000000">
        <w:trPr>
          <w:trHeight w:val="465"/>
        </w:trPr>
        <w:tc>
          <w:tcPr>
            <w:tcW w:w="6693" w:type="dxa"/>
            <w:gridSpan w:val="5"/>
            <w:shd w:val="clear" w:color="auto" w:fill="C8EEFC"/>
          </w:tcPr>
          <w:p w:rsidR="00000000" w:rsidRDefault="00000000">
            <w:pPr>
              <w:numPr>
                <w:ilvl w:val="0"/>
                <w:numId w:val="2"/>
              </w:numPr>
              <w:spacing w:line="400" w:lineRule="exact"/>
              <w:ind w:left="0"/>
              <w:jc w:val="left"/>
              <w:rPr>
                <w:b/>
                <w:sz w:val="18"/>
                <w:szCs w:val="18"/>
              </w:rPr>
            </w:pPr>
            <w:r>
              <w:rPr>
                <w:b/>
                <w:sz w:val="18"/>
                <w:szCs w:val="18"/>
              </w:rPr>
              <w:t>创新驱动</w:t>
            </w:r>
          </w:p>
        </w:tc>
      </w:tr>
      <w:tr w:rsidR="00000000">
        <w:trPr>
          <w:trHeight w:val="465"/>
        </w:trPr>
        <w:tc>
          <w:tcPr>
            <w:tcW w:w="3223" w:type="dxa"/>
            <w:shd w:val="clear" w:color="auto" w:fill="C8EEFC"/>
          </w:tcPr>
          <w:p w:rsidR="00000000" w:rsidRDefault="00000000">
            <w:pPr>
              <w:spacing w:line="400" w:lineRule="exact"/>
              <w:rPr>
                <w:sz w:val="18"/>
                <w:szCs w:val="18"/>
              </w:rPr>
            </w:pPr>
            <w:r>
              <w:rPr>
                <w:sz w:val="18"/>
                <w:szCs w:val="18"/>
              </w:rPr>
              <w:t>4.</w:t>
            </w:r>
            <w:r>
              <w:rPr>
                <w:sz w:val="18"/>
                <w:szCs w:val="18"/>
              </w:rPr>
              <w:t>全社会研发经费投入增长（</w:t>
            </w:r>
            <w:r>
              <w:rPr>
                <w:sz w:val="18"/>
                <w:szCs w:val="18"/>
              </w:rPr>
              <w:t>%</w:t>
            </w:r>
            <w:r>
              <w:rPr>
                <w:sz w:val="18"/>
                <w:szCs w:val="18"/>
              </w:rPr>
              <w:t>）</w:t>
            </w:r>
          </w:p>
        </w:tc>
        <w:tc>
          <w:tcPr>
            <w:tcW w:w="836" w:type="dxa"/>
            <w:shd w:val="clear" w:color="auto" w:fill="C8EEFC"/>
          </w:tcPr>
          <w:p w:rsidR="00000000" w:rsidRDefault="00000000">
            <w:pPr>
              <w:spacing w:line="400" w:lineRule="exact"/>
              <w:jc w:val="center"/>
              <w:rPr>
                <w:sz w:val="18"/>
                <w:szCs w:val="18"/>
              </w:rPr>
            </w:pPr>
            <w:r>
              <w:rPr>
                <w:sz w:val="18"/>
                <w:szCs w:val="18"/>
              </w:rPr>
              <w:t>0.2</w:t>
            </w:r>
          </w:p>
        </w:tc>
        <w:tc>
          <w:tcPr>
            <w:tcW w:w="809" w:type="dxa"/>
            <w:shd w:val="clear" w:color="auto" w:fill="C8EEFC"/>
          </w:tcPr>
          <w:p w:rsidR="00000000" w:rsidRDefault="00000000">
            <w:pPr>
              <w:spacing w:line="400" w:lineRule="exact"/>
              <w:jc w:val="center"/>
              <w:rPr>
                <w:rFonts w:hint="eastAsia"/>
                <w:sz w:val="18"/>
                <w:szCs w:val="18"/>
              </w:rPr>
            </w:pPr>
            <w:r>
              <w:rPr>
                <w:rFonts w:hint="eastAsia"/>
                <w:sz w:val="18"/>
                <w:szCs w:val="18"/>
              </w:rPr>
              <w:t>1</w:t>
            </w:r>
          </w:p>
        </w:tc>
        <w:tc>
          <w:tcPr>
            <w:tcW w:w="1011" w:type="dxa"/>
            <w:shd w:val="clear" w:color="auto" w:fill="C8EEFC"/>
          </w:tcPr>
          <w:p w:rsidR="00000000" w:rsidRDefault="00000000">
            <w:pPr>
              <w:spacing w:line="400" w:lineRule="exact"/>
              <w:jc w:val="center"/>
              <w:rPr>
                <w:sz w:val="18"/>
                <w:szCs w:val="18"/>
              </w:rPr>
            </w:pPr>
            <w:r>
              <w:rPr>
                <w:sz w:val="18"/>
                <w:szCs w:val="18"/>
              </w:rPr>
              <w:t>—</w:t>
            </w:r>
          </w:p>
        </w:tc>
        <w:tc>
          <w:tcPr>
            <w:tcW w:w="814" w:type="dxa"/>
            <w:shd w:val="clear" w:color="auto" w:fill="C8EEFC"/>
          </w:tcPr>
          <w:p w:rsidR="00000000" w:rsidRDefault="00000000">
            <w:pPr>
              <w:spacing w:line="400" w:lineRule="exact"/>
              <w:rPr>
                <w:sz w:val="18"/>
                <w:szCs w:val="18"/>
              </w:rPr>
            </w:pPr>
            <w:r>
              <w:rPr>
                <w:sz w:val="18"/>
                <w:szCs w:val="18"/>
              </w:rPr>
              <w:t>预期性</w:t>
            </w:r>
          </w:p>
        </w:tc>
      </w:tr>
      <w:tr w:rsidR="00000000">
        <w:trPr>
          <w:trHeight w:val="465"/>
        </w:trPr>
        <w:tc>
          <w:tcPr>
            <w:tcW w:w="3223" w:type="dxa"/>
            <w:shd w:val="clear" w:color="auto" w:fill="C8EEFC"/>
          </w:tcPr>
          <w:p w:rsidR="00000000" w:rsidRDefault="00000000">
            <w:pPr>
              <w:spacing w:line="400" w:lineRule="exact"/>
              <w:rPr>
                <w:sz w:val="18"/>
                <w:szCs w:val="18"/>
              </w:rPr>
            </w:pPr>
            <w:r>
              <w:rPr>
                <w:sz w:val="18"/>
                <w:szCs w:val="18"/>
              </w:rPr>
              <w:t>5.</w:t>
            </w:r>
            <w:r>
              <w:rPr>
                <w:rFonts w:ascii="Calibri" w:hAnsi="Calibri" w:cs="TechnicLite"/>
                <w:iCs/>
                <w:spacing w:val="-6"/>
                <w:sz w:val="18"/>
                <w:szCs w:val="18"/>
              </w:rPr>
              <w:t>每万人口高价值发明专利拥有量（件）</w:t>
            </w:r>
          </w:p>
        </w:tc>
        <w:tc>
          <w:tcPr>
            <w:tcW w:w="836" w:type="dxa"/>
            <w:shd w:val="clear" w:color="auto" w:fill="C8EEFC"/>
          </w:tcPr>
          <w:p w:rsidR="00000000" w:rsidRDefault="00000000">
            <w:pPr>
              <w:spacing w:line="400" w:lineRule="exact"/>
              <w:jc w:val="center"/>
              <w:rPr>
                <w:sz w:val="18"/>
                <w:szCs w:val="18"/>
              </w:rPr>
            </w:pPr>
            <w:r>
              <w:rPr>
                <w:sz w:val="18"/>
                <w:szCs w:val="18"/>
              </w:rPr>
              <w:t>0.5</w:t>
            </w:r>
          </w:p>
        </w:tc>
        <w:tc>
          <w:tcPr>
            <w:tcW w:w="809" w:type="dxa"/>
            <w:shd w:val="clear" w:color="auto" w:fill="C8EEFC"/>
          </w:tcPr>
          <w:p w:rsidR="00000000" w:rsidRDefault="00000000">
            <w:pPr>
              <w:spacing w:line="400" w:lineRule="exact"/>
              <w:jc w:val="center"/>
              <w:rPr>
                <w:sz w:val="18"/>
                <w:szCs w:val="18"/>
              </w:rPr>
            </w:pPr>
            <w:r>
              <w:rPr>
                <w:sz w:val="18"/>
                <w:szCs w:val="18"/>
              </w:rPr>
              <w:t>1</w:t>
            </w:r>
          </w:p>
        </w:tc>
        <w:tc>
          <w:tcPr>
            <w:tcW w:w="1011" w:type="dxa"/>
            <w:shd w:val="clear" w:color="auto" w:fill="C8EEFC"/>
          </w:tcPr>
          <w:p w:rsidR="00000000" w:rsidRDefault="00000000">
            <w:pPr>
              <w:spacing w:line="400" w:lineRule="exact"/>
              <w:jc w:val="center"/>
              <w:rPr>
                <w:sz w:val="18"/>
                <w:szCs w:val="18"/>
              </w:rPr>
            </w:pPr>
            <w:r>
              <w:rPr>
                <w:sz w:val="18"/>
                <w:szCs w:val="18"/>
              </w:rPr>
              <w:t>—</w:t>
            </w:r>
          </w:p>
        </w:tc>
        <w:tc>
          <w:tcPr>
            <w:tcW w:w="814" w:type="dxa"/>
            <w:shd w:val="clear" w:color="auto" w:fill="C8EEFC"/>
          </w:tcPr>
          <w:p w:rsidR="00000000" w:rsidRDefault="00000000">
            <w:pPr>
              <w:spacing w:line="400" w:lineRule="exact"/>
              <w:rPr>
                <w:sz w:val="18"/>
                <w:szCs w:val="18"/>
              </w:rPr>
            </w:pPr>
            <w:r>
              <w:rPr>
                <w:sz w:val="18"/>
                <w:szCs w:val="18"/>
              </w:rPr>
              <w:t>预期性</w:t>
            </w:r>
          </w:p>
        </w:tc>
      </w:tr>
      <w:tr w:rsidR="00000000">
        <w:trPr>
          <w:trHeight w:val="511"/>
        </w:trPr>
        <w:tc>
          <w:tcPr>
            <w:tcW w:w="6693" w:type="dxa"/>
            <w:gridSpan w:val="5"/>
            <w:shd w:val="clear" w:color="auto" w:fill="C8EEFC"/>
          </w:tcPr>
          <w:p w:rsidR="00000000" w:rsidRDefault="00000000">
            <w:pPr>
              <w:numPr>
                <w:ilvl w:val="0"/>
                <w:numId w:val="2"/>
              </w:numPr>
              <w:spacing w:line="400" w:lineRule="exact"/>
              <w:ind w:left="0"/>
              <w:rPr>
                <w:b/>
                <w:sz w:val="18"/>
                <w:szCs w:val="18"/>
              </w:rPr>
            </w:pPr>
            <w:r>
              <w:rPr>
                <w:b/>
                <w:sz w:val="18"/>
                <w:szCs w:val="18"/>
              </w:rPr>
              <w:t>民生福祉</w:t>
            </w:r>
          </w:p>
        </w:tc>
      </w:tr>
      <w:tr w:rsidR="00000000">
        <w:trPr>
          <w:trHeight w:val="452"/>
        </w:trPr>
        <w:tc>
          <w:tcPr>
            <w:tcW w:w="3223" w:type="dxa"/>
            <w:shd w:val="clear" w:color="auto" w:fill="C8EEFC"/>
          </w:tcPr>
          <w:p w:rsidR="00000000" w:rsidRDefault="00000000">
            <w:pPr>
              <w:spacing w:line="400" w:lineRule="exact"/>
              <w:rPr>
                <w:sz w:val="18"/>
                <w:szCs w:val="18"/>
              </w:rPr>
            </w:pPr>
            <w:r>
              <w:rPr>
                <w:sz w:val="18"/>
                <w:szCs w:val="18"/>
              </w:rPr>
              <w:t>6.</w:t>
            </w:r>
            <w:r>
              <w:rPr>
                <w:sz w:val="18"/>
                <w:szCs w:val="18"/>
              </w:rPr>
              <w:t>全体居民人均可支配收入增长（</w:t>
            </w:r>
            <w:r>
              <w:rPr>
                <w:sz w:val="18"/>
                <w:szCs w:val="18"/>
              </w:rPr>
              <w:t>%</w:t>
            </w:r>
            <w:r>
              <w:rPr>
                <w:sz w:val="18"/>
                <w:szCs w:val="18"/>
              </w:rPr>
              <w:t>）</w:t>
            </w:r>
          </w:p>
        </w:tc>
        <w:tc>
          <w:tcPr>
            <w:tcW w:w="836" w:type="dxa"/>
            <w:shd w:val="clear" w:color="auto" w:fill="C8EEFC"/>
          </w:tcPr>
          <w:p w:rsidR="00000000" w:rsidRDefault="00000000">
            <w:pPr>
              <w:spacing w:line="400" w:lineRule="exact"/>
              <w:jc w:val="center"/>
              <w:rPr>
                <w:sz w:val="18"/>
                <w:szCs w:val="18"/>
              </w:rPr>
            </w:pPr>
            <w:r>
              <w:rPr>
                <w:sz w:val="18"/>
                <w:szCs w:val="18"/>
              </w:rPr>
              <w:t>3.8</w:t>
            </w:r>
          </w:p>
        </w:tc>
        <w:tc>
          <w:tcPr>
            <w:tcW w:w="809" w:type="dxa"/>
            <w:shd w:val="clear" w:color="auto" w:fill="C8EEFC"/>
          </w:tcPr>
          <w:p w:rsidR="00000000" w:rsidRDefault="00000000">
            <w:pPr>
              <w:spacing w:line="400" w:lineRule="exact"/>
              <w:jc w:val="center"/>
              <w:rPr>
                <w:sz w:val="18"/>
                <w:szCs w:val="18"/>
              </w:rPr>
            </w:pPr>
            <w:r>
              <w:rPr>
                <w:sz w:val="18"/>
                <w:szCs w:val="18"/>
              </w:rPr>
              <w:t>—</w:t>
            </w:r>
          </w:p>
        </w:tc>
        <w:tc>
          <w:tcPr>
            <w:tcW w:w="1011" w:type="dxa"/>
            <w:shd w:val="clear" w:color="auto" w:fill="C8EEFC"/>
          </w:tcPr>
          <w:p w:rsidR="00000000" w:rsidRDefault="00000000">
            <w:pPr>
              <w:spacing w:line="400" w:lineRule="exact"/>
              <w:jc w:val="center"/>
              <w:rPr>
                <w:sz w:val="18"/>
                <w:szCs w:val="18"/>
              </w:rPr>
            </w:pPr>
            <w:r>
              <w:rPr>
                <w:sz w:val="18"/>
                <w:szCs w:val="18"/>
              </w:rPr>
              <w:t>8</w:t>
            </w:r>
            <w:r>
              <w:rPr>
                <w:sz w:val="18"/>
                <w:szCs w:val="18"/>
              </w:rPr>
              <w:t>左右</w:t>
            </w:r>
          </w:p>
        </w:tc>
        <w:tc>
          <w:tcPr>
            <w:tcW w:w="814" w:type="dxa"/>
            <w:shd w:val="clear" w:color="auto" w:fill="C8EEFC"/>
          </w:tcPr>
          <w:p w:rsidR="00000000" w:rsidRDefault="00000000">
            <w:pPr>
              <w:spacing w:line="400" w:lineRule="exact"/>
              <w:rPr>
                <w:sz w:val="18"/>
                <w:szCs w:val="18"/>
              </w:rPr>
            </w:pPr>
            <w:r>
              <w:rPr>
                <w:sz w:val="18"/>
                <w:szCs w:val="18"/>
              </w:rPr>
              <w:t>预期性</w:t>
            </w:r>
          </w:p>
        </w:tc>
      </w:tr>
      <w:tr w:rsidR="00000000">
        <w:trPr>
          <w:trHeight w:val="452"/>
        </w:trPr>
        <w:tc>
          <w:tcPr>
            <w:tcW w:w="3223" w:type="dxa"/>
            <w:shd w:val="clear" w:color="auto" w:fill="C8EEFC"/>
          </w:tcPr>
          <w:p w:rsidR="00000000" w:rsidRDefault="00000000">
            <w:pPr>
              <w:spacing w:line="400" w:lineRule="exact"/>
              <w:rPr>
                <w:sz w:val="18"/>
                <w:szCs w:val="18"/>
              </w:rPr>
            </w:pPr>
            <w:r>
              <w:rPr>
                <w:sz w:val="18"/>
                <w:szCs w:val="18"/>
              </w:rPr>
              <w:t>7.</w:t>
            </w:r>
            <w:r>
              <w:rPr>
                <w:sz w:val="18"/>
                <w:szCs w:val="18"/>
              </w:rPr>
              <w:t>城镇调查失业率（</w:t>
            </w:r>
            <w:r>
              <w:rPr>
                <w:sz w:val="18"/>
                <w:szCs w:val="18"/>
              </w:rPr>
              <w:t>%</w:t>
            </w:r>
            <w:r>
              <w:rPr>
                <w:sz w:val="18"/>
                <w:szCs w:val="18"/>
              </w:rPr>
              <w:t>）</w:t>
            </w:r>
          </w:p>
        </w:tc>
        <w:tc>
          <w:tcPr>
            <w:tcW w:w="836" w:type="dxa"/>
            <w:shd w:val="clear" w:color="auto" w:fill="C8EEFC"/>
          </w:tcPr>
          <w:p w:rsidR="00000000" w:rsidRDefault="00000000">
            <w:pPr>
              <w:spacing w:line="400" w:lineRule="exact"/>
              <w:jc w:val="center"/>
              <w:rPr>
                <w:sz w:val="18"/>
                <w:szCs w:val="18"/>
              </w:rPr>
            </w:pPr>
            <w:r>
              <w:rPr>
                <w:sz w:val="18"/>
                <w:szCs w:val="18"/>
              </w:rPr>
              <w:t>3.4</w:t>
            </w:r>
          </w:p>
        </w:tc>
        <w:tc>
          <w:tcPr>
            <w:tcW w:w="809" w:type="dxa"/>
            <w:shd w:val="clear" w:color="auto" w:fill="C8EEFC"/>
          </w:tcPr>
          <w:p w:rsidR="00000000" w:rsidRDefault="00000000">
            <w:pPr>
              <w:spacing w:line="400" w:lineRule="exact"/>
              <w:jc w:val="center"/>
              <w:rPr>
                <w:sz w:val="18"/>
                <w:szCs w:val="18"/>
              </w:rPr>
            </w:pPr>
            <w:r>
              <w:rPr>
                <w:sz w:val="18"/>
                <w:szCs w:val="18"/>
              </w:rPr>
              <w:t>—</w:t>
            </w:r>
          </w:p>
        </w:tc>
        <w:tc>
          <w:tcPr>
            <w:tcW w:w="1011" w:type="dxa"/>
            <w:shd w:val="clear" w:color="auto" w:fill="C8EEFC"/>
          </w:tcPr>
          <w:p w:rsidR="00000000" w:rsidRDefault="00000000">
            <w:pPr>
              <w:spacing w:line="400" w:lineRule="exact"/>
              <w:jc w:val="center"/>
              <w:rPr>
                <w:sz w:val="18"/>
                <w:szCs w:val="18"/>
              </w:rPr>
            </w:pPr>
            <w:r>
              <w:rPr>
                <w:sz w:val="18"/>
                <w:szCs w:val="18"/>
              </w:rPr>
              <w:t>4</w:t>
            </w:r>
            <w:r>
              <w:rPr>
                <w:sz w:val="18"/>
                <w:szCs w:val="18"/>
              </w:rPr>
              <w:t>左右</w:t>
            </w:r>
          </w:p>
        </w:tc>
        <w:tc>
          <w:tcPr>
            <w:tcW w:w="814" w:type="dxa"/>
            <w:shd w:val="clear" w:color="auto" w:fill="C8EEFC"/>
          </w:tcPr>
          <w:p w:rsidR="00000000" w:rsidRDefault="00000000">
            <w:pPr>
              <w:spacing w:line="400" w:lineRule="exact"/>
              <w:rPr>
                <w:sz w:val="18"/>
                <w:szCs w:val="18"/>
              </w:rPr>
            </w:pPr>
            <w:r>
              <w:rPr>
                <w:sz w:val="18"/>
                <w:szCs w:val="18"/>
              </w:rPr>
              <w:t>预期性</w:t>
            </w:r>
          </w:p>
        </w:tc>
      </w:tr>
      <w:tr w:rsidR="00000000">
        <w:trPr>
          <w:trHeight w:val="452"/>
        </w:trPr>
        <w:tc>
          <w:tcPr>
            <w:tcW w:w="3223" w:type="dxa"/>
            <w:shd w:val="clear" w:color="auto" w:fill="C8EEFC"/>
          </w:tcPr>
          <w:p w:rsidR="00000000" w:rsidRDefault="00000000">
            <w:pPr>
              <w:spacing w:line="400" w:lineRule="exact"/>
              <w:rPr>
                <w:sz w:val="18"/>
                <w:szCs w:val="18"/>
              </w:rPr>
            </w:pPr>
            <w:r>
              <w:rPr>
                <w:sz w:val="18"/>
                <w:szCs w:val="18"/>
              </w:rPr>
              <w:t>8.</w:t>
            </w:r>
            <w:r>
              <w:rPr>
                <w:sz w:val="18"/>
                <w:szCs w:val="18"/>
              </w:rPr>
              <w:t>劳动年龄人口平均受教育年限（年）</w:t>
            </w:r>
          </w:p>
        </w:tc>
        <w:tc>
          <w:tcPr>
            <w:tcW w:w="836" w:type="dxa"/>
            <w:shd w:val="clear" w:color="auto" w:fill="C8EEFC"/>
          </w:tcPr>
          <w:p w:rsidR="00000000" w:rsidRDefault="00000000">
            <w:pPr>
              <w:spacing w:line="400" w:lineRule="exact"/>
              <w:jc w:val="center"/>
              <w:rPr>
                <w:sz w:val="18"/>
                <w:szCs w:val="18"/>
              </w:rPr>
            </w:pPr>
            <w:r>
              <w:rPr>
                <w:sz w:val="18"/>
                <w:szCs w:val="18"/>
              </w:rPr>
              <w:t>10.3</w:t>
            </w:r>
          </w:p>
        </w:tc>
        <w:tc>
          <w:tcPr>
            <w:tcW w:w="809" w:type="dxa"/>
            <w:shd w:val="clear" w:color="auto" w:fill="C8EEFC"/>
          </w:tcPr>
          <w:p w:rsidR="00000000" w:rsidRDefault="00000000">
            <w:pPr>
              <w:spacing w:line="400" w:lineRule="exact"/>
              <w:jc w:val="center"/>
              <w:rPr>
                <w:sz w:val="18"/>
                <w:szCs w:val="18"/>
              </w:rPr>
            </w:pPr>
            <w:r>
              <w:rPr>
                <w:sz w:val="18"/>
                <w:szCs w:val="18"/>
              </w:rPr>
              <w:t>11</w:t>
            </w:r>
          </w:p>
        </w:tc>
        <w:tc>
          <w:tcPr>
            <w:tcW w:w="1011" w:type="dxa"/>
            <w:shd w:val="clear" w:color="auto" w:fill="C8EEFC"/>
          </w:tcPr>
          <w:p w:rsidR="00000000" w:rsidRDefault="00000000">
            <w:pPr>
              <w:spacing w:line="400" w:lineRule="exact"/>
              <w:jc w:val="center"/>
              <w:rPr>
                <w:sz w:val="18"/>
                <w:szCs w:val="18"/>
              </w:rPr>
            </w:pPr>
            <w:r>
              <w:rPr>
                <w:sz w:val="18"/>
                <w:szCs w:val="18"/>
              </w:rPr>
              <w:t>—</w:t>
            </w:r>
          </w:p>
        </w:tc>
        <w:tc>
          <w:tcPr>
            <w:tcW w:w="814" w:type="dxa"/>
            <w:shd w:val="clear" w:color="auto" w:fill="C8EEFC"/>
          </w:tcPr>
          <w:p w:rsidR="00000000" w:rsidRDefault="00000000">
            <w:pPr>
              <w:spacing w:line="400" w:lineRule="exact"/>
              <w:rPr>
                <w:sz w:val="18"/>
                <w:szCs w:val="18"/>
              </w:rPr>
            </w:pPr>
            <w:r>
              <w:rPr>
                <w:sz w:val="18"/>
                <w:szCs w:val="18"/>
              </w:rPr>
              <w:t>约束性</w:t>
            </w:r>
          </w:p>
        </w:tc>
      </w:tr>
      <w:tr w:rsidR="00000000">
        <w:trPr>
          <w:trHeight w:val="452"/>
        </w:trPr>
        <w:tc>
          <w:tcPr>
            <w:tcW w:w="3223" w:type="dxa"/>
            <w:shd w:val="clear" w:color="auto" w:fill="C8EEFC"/>
          </w:tcPr>
          <w:p w:rsidR="00000000" w:rsidRDefault="00000000">
            <w:pPr>
              <w:spacing w:line="400" w:lineRule="exact"/>
              <w:rPr>
                <w:sz w:val="18"/>
                <w:szCs w:val="18"/>
              </w:rPr>
            </w:pPr>
            <w:r>
              <w:rPr>
                <w:sz w:val="18"/>
                <w:szCs w:val="18"/>
              </w:rPr>
              <w:t>9.</w:t>
            </w:r>
            <w:r>
              <w:rPr>
                <w:rFonts w:ascii="Calibri" w:hAnsi="Calibri" w:cs="TechnicLite"/>
                <w:iCs/>
                <w:spacing w:val="-6"/>
                <w:sz w:val="18"/>
                <w:szCs w:val="18"/>
              </w:rPr>
              <w:t>每千人口拥有执业（助理）医师数（人）</w:t>
            </w:r>
          </w:p>
        </w:tc>
        <w:tc>
          <w:tcPr>
            <w:tcW w:w="836" w:type="dxa"/>
            <w:shd w:val="clear" w:color="auto" w:fill="C8EEFC"/>
          </w:tcPr>
          <w:p w:rsidR="00000000" w:rsidRDefault="00000000">
            <w:pPr>
              <w:spacing w:line="400" w:lineRule="exact"/>
              <w:jc w:val="center"/>
              <w:rPr>
                <w:sz w:val="18"/>
                <w:szCs w:val="18"/>
              </w:rPr>
            </w:pPr>
            <w:r>
              <w:rPr>
                <w:sz w:val="18"/>
                <w:szCs w:val="18"/>
              </w:rPr>
              <w:t>2.5</w:t>
            </w:r>
          </w:p>
        </w:tc>
        <w:tc>
          <w:tcPr>
            <w:tcW w:w="809" w:type="dxa"/>
            <w:shd w:val="clear" w:color="auto" w:fill="C8EEFC"/>
          </w:tcPr>
          <w:p w:rsidR="00000000" w:rsidRDefault="00000000">
            <w:pPr>
              <w:spacing w:line="400" w:lineRule="exact"/>
              <w:jc w:val="center"/>
              <w:rPr>
                <w:sz w:val="18"/>
                <w:szCs w:val="18"/>
              </w:rPr>
            </w:pPr>
            <w:r>
              <w:rPr>
                <w:sz w:val="18"/>
                <w:szCs w:val="18"/>
              </w:rPr>
              <w:t>3.1</w:t>
            </w:r>
          </w:p>
        </w:tc>
        <w:tc>
          <w:tcPr>
            <w:tcW w:w="1011" w:type="dxa"/>
            <w:shd w:val="clear" w:color="auto" w:fill="C8EEFC"/>
          </w:tcPr>
          <w:p w:rsidR="00000000" w:rsidRDefault="00000000">
            <w:pPr>
              <w:spacing w:line="400" w:lineRule="exact"/>
              <w:jc w:val="center"/>
              <w:rPr>
                <w:sz w:val="18"/>
                <w:szCs w:val="18"/>
              </w:rPr>
            </w:pPr>
            <w:r>
              <w:rPr>
                <w:sz w:val="18"/>
                <w:szCs w:val="18"/>
              </w:rPr>
              <w:t>—</w:t>
            </w:r>
          </w:p>
        </w:tc>
        <w:tc>
          <w:tcPr>
            <w:tcW w:w="814" w:type="dxa"/>
            <w:shd w:val="clear" w:color="auto" w:fill="C8EEFC"/>
          </w:tcPr>
          <w:p w:rsidR="00000000" w:rsidRDefault="00000000">
            <w:pPr>
              <w:spacing w:line="400" w:lineRule="exact"/>
              <w:rPr>
                <w:sz w:val="18"/>
                <w:szCs w:val="18"/>
              </w:rPr>
            </w:pPr>
            <w:r>
              <w:rPr>
                <w:sz w:val="18"/>
                <w:szCs w:val="18"/>
              </w:rPr>
              <w:t>预期性</w:t>
            </w:r>
          </w:p>
        </w:tc>
      </w:tr>
      <w:tr w:rsidR="00000000">
        <w:trPr>
          <w:trHeight w:val="452"/>
        </w:trPr>
        <w:tc>
          <w:tcPr>
            <w:tcW w:w="3223" w:type="dxa"/>
            <w:shd w:val="clear" w:color="auto" w:fill="C8EEFC"/>
          </w:tcPr>
          <w:p w:rsidR="00000000" w:rsidRDefault="00000000">
            <w:pPr>
              <w:spacing w:line="400" w:lineRule="exact"/>
              <w:rPr>
                <w:sz w:val="18"/>
                <w:szCs w:val="18"/>
              </w:rPr>
            </w:pPr>
            <w:r>
              <w:rPr>
                <w:sz w:val="18"/>
                <w:szCs w:val="18"/>
              </w:rPr>
              <w:t>10.</w:t>
            </w:r>
            <w:r>
              <w:rPr>
                <w:sz w:val="18"/>
                <w:szCs w:val="18"/>
              </w:rPr>
              <w:t>基本养老保险参保率（</w:t>
            </w:r>
            <w:r>
              <w:rPr>
                <w:sz w:val="18"/>
                <w:szCs w:val="18"/>
              </w:rPr>
              <w:t>%</w:t>
            </w:r>
            <w:r>
              <w:rPr>
                <w:sz w:val="18"/>
                <w:szCs w:val="18"/>
              </w:rPr>
              <w:t>）</w:t>
            </w:r>
          </w:p>
        </w:tc>
        <w:tc>
          <w:tcPr>
            <w:tcW w:w="836" w:type="dxa"/>
            <w:shd w:val="clear" w:color="auto" w:fill="C8EEFC"/>
          </w:tcPr>
          <w:p w:rsidR="00000000" w:rsidRDefault="00000000">
            <w:pPr>
              <w:spacing w:line="400" w:lineRule="exact"/>
              <w:jc w:val="center"/>
              <w:rPr>
                <w:sz w:val="18"/>
                <w:szCs w:val="18"/>
              </w:rPr>
            </w:pPr>
            <w:r>
              <w:rPr>
                <w:sz w:val="18"/>
                <w:szCs w:val="18"/>
              </w:rPr>
              <w:t>93</w:t>
            </w:r>
          </w:p>
        </w:tc>
        <w:tc>
          <w:tcPr>
            <w:tcW w:w="809" w:type="dxa"/>
            <w:shd w:val="clear" w:color="auto" w:fill="C8EEFC"/>
          </w:tcPr>
          <w:p w:rsidR="00000000" w:rsidRDefault="00000000">
            <w:pPr>
              <w:spacing w:line="400" w:lineRule="exact"/>
              <w:jc w:val="center"/>
              <w:rPr>
                <w:sz w:val="18"/>
                <w:szCs w:val="18"/>
              </w:rPr>
            </w:pPr>
            <w:r>
              <w:rPr>
                <w:sz w:val="18"/>
                <w:szCs w:val="18"/>
              </w:rPr>
              <w:t>95</w:t>
            </w:r>
          </w:p>
        </w:tc>
        <w:tc>
          <w:tcPr>
            <w:tcW w:w="1011" w:type="dxa"/>
            <w:shd w:val="clear" w:color="auto" w:fill="C8EEFC"/>
          </w:tcPr>
          <w:p w:rsidR="00000000" w:rsidRDefault="00000000">
            <w:pPr>
              <w:spacing w:line="400" w:lineRule="exact"/>
              <w:jc w:val="center"/>
              <w:rPr>
                <w:sz w:val="18"/>
                <w:szCs w:val="18"/>
              </w:rPr>
            </w:pPr>
            <w:r>
              <w:rPr>
                <w:sz w:val="18"/>
                <w:szCs w:val="18"/>
              </w:rPr>
              <w:t>—</w:t>
            </w:r>
          </w:p>
        </w:tc>
        <w:tc>
          <w:tcPr>
            <w:tcW w:w="814" w:type="dxa"/>
            <w:shd w:val="clear" w:color="auto" w:fill="C8EEFC"/>
          </w:tcPr>
          <w:p w:rsidR="00000000" w:rsidRDefault="00000000">
            <w:pPr>
              <w:spacing w:line="400" w:lineRule="exact"/>
              <w:rPr>
                <w:sz w:val="18"/>
                <w:szCs w:val="18"/>
              </w:rPr>
            </w:pPr>
            <w:r>
              <w:rPr>
                <w:sz w:val="18"/>
                <w:szCs w:val="18"/>
              </w:rPr>
              <w:t>预期性</w:t>
            </w:r>
          </w:p>
        </w:tc>
      </w:tr>
      <w:tr w:rsidR="00000000">
        <w:trPr>
          <w:trHeight w:val="452"/>
        </w:trPr>
        <w:tc>
          <w:tcPr>
            <w:tcW w:w="3223" w:type="dxa"/>
            <w:tcBorders>
              <w:bottom w:val="single" w:sz="4" w:space="0" w:color="auto"/>
            </w:tcBorders>
            <w:shd w:val="clear" w:color="auto" w:fill="C8EEFC"/>
          </w:tcPr>
          <w:p w:rsidR="00000000" w:rsidRDefault="00000000">
            <w:pPr>
              <w:spacing w:line="400" w:lineRule="exact"/>
              <w:rPr>
                <w:sz w:val="18"/>
                <w:szCs w:val="18"/>
              </w:rPr>
            </w:pPr>
            <w:r>
              <w:rPr>
                <w:sz w:val="18"/>
                <w:szCs w:val="18"/>
              </w:rPr>
              <w:t>11.</w:t>
            </w:r>
            <w:r>
              <w:rPr>
                <w:rFonts w:ascii="Calibri" w:hAnsi="Calibri" w:cs="TechnicLite"/>
                <w:iCs/>
                <w:spacing w:val="-11"/>
                <w:sz w:val="18"/>
                <w:szCs w:val="18"/>
              </w:rPr>
              <w:t>每千人拥有</w:t>
            </w:r>
            <w:r>
              <w:rPr>
                <w:rFonts w:ascii="Calibri" w:hAnsi="Calibri" w:cs="TechnicLite"/>
                <w:iCs/>
                <w:spacing w:val="-11"/>
                <w:sz w:val="18"/>
                <w:szCs w:val="18"/>
              </w:rPr>
              <w:t>3</w:t>
            </w:r>
            <w:r>
              <w:rPr>
                <w:rFonts w:ascii="Calibri" w:hAnsi="Calibri" w:cs="TechnicLite"/>
                <w:iCs/>
                <w:spacing w:val="-11"/>
                <w:sz w:val="18"/>
                <w:szCs w:val="18"/>
              </w:rPr>
              <w:t>岁以下婴幼儿托位数（个）</w:t>
            </w:r>
          </w:p>
        </w:tc>
        <w:tc>
          <w:tcPr>
            <w:tcW w:w="836" w:type="dxa"/>
            <w:tcBorders>
              <w:bottom w:val="single" w:sz="4" w:space="0" w:color="auto"/>
            </w:tcBorders>
            <w:shd w:val="clear" w:color="auto" w:fill="C8EEFC"/>
          </w:tcPr>
          <w:p w:rsidR="00000000" w:rsidRDefault="00000000">
            <w:pPr>
              <w:spacing w:line="400" w:lineRule="exact"/>
              <w:jc w:val="center"/>
              <w:rPr>
                <w:sz w:val="18"/>
                <w:szCs w:val="18"/>
              </w:rPr>
            </w:pPr>
            <w:r>
              <w:rPr>
                <w:sz w:val="18"/>
                <w:szCs w:val="18"/>
              </w:rPr>
              <w:t>0.1</w:t>
            </w:r>
          </w:p>
        </w:tc>
        <w:tc>
          <w:tcPr>
            <w:tcW w:w="809" w:type="dxa"/>
            <w:tcBorders>
              <w:bottom w:val="single" w:sz="4" w:space="0" w:color="auto"/>
            </w:tcBorders>
            <w:shd w:val="clear" w:color="auto" w:fill="C8EEFC"/>
          </w:tcPr>
          <w:p w:rsidR="00000000" w:rsidRDefault="00000000">
            <w:pPr>
              <w:spacing w:line="400" w:lineRule="exact"/>
              <w:jc w:val="center"/>
              <w:rPr>
                <w:sz w:val="18"/>
                <w:szCs w:val="18"/>
              </w:rPr>
            </w:pPr>
            <w:r>
              <w:rPr>
                <w:sz w:val="18"/>
                <w:szCs w:val="18"/>
              </w:rPr>
              <w:t>1</w:t>
            </w:r>
          </w:p>
        </w:tc>
        <w:tc>
          <w:tcPr>
            <w:tcW w:w="1011" w:type="dxa"/>
            <w:tcBorders>
              <w:bottom w:val="single" w:sz="4" w:space="0" w:color="auto"/>
            </w:tcBorders>
            <w:shd w:val="clear" w:color="auto" w:fill="C8EEFC"/>
          </w:tcPr>
          <w:p w:rsidR="00000000" w:rsidRDefault="00000000">
            <w:pPr>
              <w:spacing w:line="400" w:lineRule="exact"/>
              <w:jc w:val="center"/>
              <w:rPr>
                <w:sz w:val="18"/>
                <w:szCs w:val="18"/>
              </w:rPr>
            </w:pPr>
            <w:r>
              <w:rPr>
                <w:sz w:val="18"/>
                <w:szCs w:val="18"/>
              </w:rPr>
              <w:t>—</w:t>
            </w:r>
          </w:p>
        </w:tc>
        <w:tc>
          <w:tcPr>
            <w:tcW w:w="814" w:type="dxa"/>
            <w:tcBorders>
              <w:bottom w:val="single" w:sz="4" w:space="0" w:color="auto"/>
            </w:tcBorders>
            <w:shd w:val="clear" w:color="auto" w:fill="C8EEFC"/>
          </w:tcPr>
          <w:p w:rsidR="00000000" w:rsidRDefault="00000000">
            <w:pPr>
              <w:spacing w:line="400" w:lineRule="exact"/>
              <w:rPr>
                <w:sz w:val="18"/>
                <w:szCs w:val="18"/>
              </w:rPr>
            </w:pPr>
            <w:r>
              <w:rPr>
                <w:sz w:val="18"/>
                <w:szCs w:val="18"/>
              </w:rPr>
              <w:t>预期性</w:t>
            </w:r>
          </w:p>
        </w:tc>
      </w:tr>
      <w:tr w:rsidR="00000000">
        <w:trPr>
          <w:trHeight w:val="452"/>
        </w:trPr>
        <w:tc>
          <w:tcPr>
            <w:tcW w:w="3223" w:type="dxa"/>
            <w:tcBorders>
              <w:top w:val="single" w:sz="4" w:space="0" w:color="auto"/>
              <w:left w:val="single" w:sz="4" w:space="0" w:color="auto"/>
              <w:bottom w:val="single" w:sz="4" w:space="0" w:color="auto"/>
              <w:right w:val="single" w:sz="4" w:space="0" w:color="auto"/>
            </w:tcBorders>
            <w:shd w:val="clear" w:color="auto" w:fill="C8EEFC"/>
          </w:tcPr>
          <w:p w:rsidR="00000000" w:rsidRDefault="00000000">
            <w:pPr>
              <w:spacing w:line="400" w:lineRule="exact"/>
              <w:rPr>
                <w:sz w:val="18"/>
                <w:szCs w:val="18"/>
              </w:rPr>
            </w:pPr>
            <w:r>
              <w:rPr>
                <w:sz w:val="18"/>
                <w:szCs w:val="18"/>
              </w:rPr>
              <w:t>12.</w:t>
            </w:r>
            <w:r>
              <w:rPr>
                <w:sz w:val="18"/>
                <w:szCs w:val="18"/>
              </w:rPr>
              <w:t>人均预期寿命（岁）</w:t>
            </w:r>
          </w:p>
        </w:tc>
        <w:tc>
          <w:tcPr>
            <w:tcW w:w="836" w:type="dxa"/>
            <w:tcBorders>
              <w:top w:val="single" w:sz="4" w:space="0" w:color="auto"/>
              <w:left w:val="single" w:sz="4" w:space="0" w:color="auto"/>
              <w:bottom w:val="single" w:sz="4" w:space="0" w:color="auto"/>
              <w:right w:val="single" w:sz="4" w:space="0" w:color="auto"/>
            </w:tcBorders>
            <w:shd w:val="clear" w:color="auto" w:fill="C8EEFC"/>
          </w:tcPr>
          <w:p w:rsidR="00000000" w:rsidRDefault="00000000">
            <w:pPr>
              <w:spacing w:line="400" w:lineRule="exact"/>
              <w:jc w:val="center"/>
              <w:rPr>
                <w:sz w:val="18"/>
                <w:szCs w:val="18"/>
              </w:rPr>
            </w:pPr>
            <w:r>
              <w:rPr>
                <w:sz w:val="18"/>
                <w:szCs w:val="18"/>
              </w:rPr>
              <w:t>77</w:t>
            </w:r>
          </w:p>
        </w:tc>
        <w:tc>
          <w:tcPr>
            <w:tcW w:w="809" w:type="dxa"/>
            <w:tcBorders>
              <w:top w:val="single" w:sz="4" w:space="0" w:color="auto"/>
              <w:left w:val="single" w:sz="4" w:space="0" w:color="auto"/>
              <w:bottom w:val="single" w:sz="4" w:space="0" w:color="auto"/>
              <w:right w:val="single" w:sz="4" w:space="0" w:color="auto"/>
            </w:tcBorders>
            <w:shd w:val="clear" w:color="auto" w:fill="C8EEFC"/>
          </w:tcPr>
          <w:p w:rsidR="00000000" w:rsidRDefault="00000000">
            <w:pPr>
              <w:spacing w:line="400" w:lineRule="exact"/>
              <w:jc w:val="center"/>
              <w:rPr>
                <w:rFonts w:hint="eastAsia"/>
                <w:sz w:val="18"/>
                <w:szCs w:val="18"/>
              </w:rPr>
            </w:pPr>
            <w:r>
              <w:rPr>
                <w:sz w:val="18"/>
                <w:szCs w:val="18"/>
              </w:rPr>
              <w:t>—</w:t>
            </w:r>
          </w:p>
        </w:tc>
        <w:tc>
          <w:tcPr>
            <w:tcW w:w="1011" w:type="dxa"/>
            <w:tcBorders>
              <w:top w:val="single" w:sz="4" w:space="0" w:color="auto"/>
              <w:left w:val="single" w:sz="4" w:space="0" w:color="auto"/>
              <w:bottom w:val="single" w:sz="4" w:space="0" w:color="auto"/>
              <w:right w:val="single" w:sz="4" w:space="0" w:color="auto"/>
            </w:tcBorders>
            <w:shd w:val="clear" w:color="auto" w:fill="C8EEFC"/>
          </w:tcPr>
          <w:p w:rsidR="00000000" w:rsidRDefault="00000000">
            <w:pPr>
              <w:spacing w:line="400" w:lineRule="exact"/>
              <w:jc w:val="center"/>
              <w:rPr>
                <w:sz w:val="18"/>
                <w:szCs w:val="18"/>
              </w:rPr>
            </w:pPr>
            <w:r>
              <w:rPr>
                <w:sz w:val="18"/>
                <w:szCs w:val="18"/>
              </w:rPr>
              <w:t xml:space="preserve">[ </w:t>
            </w:r>
            <w:r>
              <w:rPr>
                <w:rFonts w:hint="eastAsia"/>
                <w:sz w:val="18"/>
                <w:szCs w:val="18"/>
              </w:rPr>
              <w:t xml:space="preserve">0.5 </w:t>
            </w:r>
            <w:r>
              <w:rPr>
                <w:sz w:val="18"/>
                <w:szCs w:val="18"/>
              </w:rPr>
              <w:t>]</w:t>
            </w:r>
          </w:p>
        </w:tc>
        <w:tc>
          <w:tcPr>
            <w:tcW w:w="814" w:type="dxa"/>
            <w:tcBorders>
              <w:top w:val="single" w:sz="4" w:space="0" w:color="auto"/>
              <w:left w:val="single" w:sz="4" w:space="0" w:color="auto"/>
              <w:bottom w:val="single" w:sz="4" w:space="0" w:color="auto"/>
              <w:right w:val="single" w:sz="4" w:space="0" w:color="auto"/>
            </w:tcBorders>
            <w:shd w:val="clear" w:color="auto" w:fill="C8EEFC"/>
          </w:tcPr>
          <w:p w:rsidR="00000000" w:rsidRDefault="00000000">
            <w:pPr>
              <w:spacing w:line="400" w:lineRule="exact"/>
              <w:rPr>
                <w:sz w:val="18"/>
                <w:szCs w:val="18"/>
              </w:rPr>
            </w:pPr>
            <w:r>
              <w:rPr>
                <w:sz w:val="18"/>
                <w:szCs w:val="18"/>
              </w:rPr>
              <w:t>预期性</w:t>
            </w:r>
          </w:p>
        </w:tc>
      </w:tr>
      <w:tr w:rsidR="00000000">
        <w:trPr>
          <w:trHeight w:hRule="exact" w:val="283"/>
        </w:trPr>
        <w:tc>
          <w:tcPr>
            <w:tcW w:w="3223" w:type="dxa"/>
            <w:tcBorders>
              <w:top w:val="single" w:sz="4" w:space="0" w:color="auto"/>
              <w:left w:val="nil"/>
              <w:bottom w:val="nil"/>
              <w:right w:val="nil"/>
            </w:tcBorders>
            <w:shd w:val="clear" w:color="auto" w:fill="FFFFFF"/>
            <w:vAlign w:val="center"/>
          </w:tcPr>
          <w:p w:rsidR="00000000" w:rsidRDefault="00000000">
            <w:pPr>
              <w:spacing w:line="480" w:lineRule="exact"/>
              <w:rPr>
                <w:sz w:val="18"/>
                <w:szCs w:val="18"/>
              </w:rPr>
            </w:pPr>
          </w:p>
        </w:tc>
        <w:tc>
          <w:tcPr>
            <w:tcW w:w="836" w:type="dxa"/>
            <w:tcBorders>
              <w:top w:val="single" w:sz="4" w:space="0" w:color="auto"/>
              <w:left w:val="nil"/>
              <w:bottom w:val="nil"/>
              <w:right w:val="nil"/>
            </w:tcBorders>
            <w:shd w:val="clear" w:color="auto" w:fill="FFFFFF"/>
            <w:vAlign w:val="center"/>
          </w:tcPr>
          <w:p w:rsidR="00000000" w:rsidRDefault="00000000">
            <w:pPr>
              <w:spacing w:line="480" w:lineRule="exact"/>
              <w:jc w:val="center"/>
              <w:rPr>
                <w:sz w:val="18"/>
                <w:szCs w:val="18"/>
              </w:rPr>
            </w:pPr>
          </w:p>
        </w:tc>
        <w:tc>
          <w:tcPr>
            <w:tcW w:w="809" w:type="dxa"/>
            <w:tcBorders>
              <w:top w:val="single" w:sz="4" w:space="0" w:color="auto"/>
              <w:left w:val="nil"/>
              <w:bottom w:val="nil"/>
              <w:right w:val="nil"/>
            </w:tcBorders>
            <w:shd w:val="clear" w:color="auto" w:fill="FFFFFF"/>
            <w:vAlign w:val="center"/>
          </w:tcPr>
          <w:p w:rsidR="00000000" w:rsidRDefault="00000000">
            <w:pPr>
              <w:spacing w:line="480" w:lineRule="exact"/>
              <w:jc w:val="center"/>
              <w:rPr>
                <w:sz w:val="18"/>
                <w:szCs w:val="18"/>
              </w:rPr>
            </w:pPr>
          </w:p>
        </w:tc>
        <w:tc>
          <w:tcPr>
            <w:tcW w:w="1011" w:type="dxa"/>
            <w:tcBorders>
              <w:top w:val="single" w:sz="4" w:space="0" w:color="auto"/>
              <w:left w:val="nil"/>
              <w:bottom w:val="nil"/>
              <w:right w:val="nil"/>
            </w:tcBorders>
            <w:shd w:val="clear" w:color="auto" w:fill="FFFFFF"/>
            <w:vAlign w:val="center"/>
          </w:tcPr>
          <w:p w:rsidR="00000000" w:rsidRDefault="00000000">
            <w:pPr>
              <w:spacing w:line="480" w:lineRule="exact"/>
              <w:jc w:val="center"/>
              <w:rPr>
                <w:sz w:val="18"/>
                <w:szCs w:val="18"/>
              </w:rPr>
            </w:pPr>
          </w:p>
        </w:tc>
        <w:tc>
          <w:tcPr>
            <w:tcW w:w="814" w:type="dxa"/>
            <w:tcBorders>
              <w:top w:val="single" w:sz="4" w:space="0" w:color="auto"/>
              <w:left w:val="nil"/>
              <w:bottom w:val="nil"/>
              <w:right w:val="nil"/>
            </w:tcBorders>
            <w:shd w:val="clear" w:color="auto" w:fill="FFFFFF"/>
            <w:vAlign w:val="center"/>
          </w:tcPr>
          <w:p w:rsidR="00000000" w:rsidRDefault="00000000">
            <w:pPr>
              <w:spacing w:line="480" w:lineRule="exact"/>
              <w:jc w:val="center"/>
              <w:rPr>
                <w:sz w:val="18"/>
                <w:szCs w:val="18"/>
              </w:rPr>
            </w:pPr>
          </w:p>
        </w:tc>
      </w:tr>
      <w:tr w:rsidR="00000000">
        <w:trPr>
          <w:trHeight w:hRule="exact" w:val="363"/>
        </w:trPr>
        <w:tc>
          <w:tcPr>
            <w:tcW w:w="3223" w:type="dxa"/>
            <w:tcBorders>
              <w:top w:val="nil"/>
              <w:left w:val="nil"/>
              <w:bottom w:val="single" w:sz="4" w:space="0" w:color="auto"/>
              <w:right w:val="nil"/>
            </w:tcBorders>
            <w:shd w:val="clear" w:color="auto" w:fill="FFFFFF"/>
            <w:vAlign w:val="center"/>
          </w:tcPr>
          <w:p w:rsidR="00000000" w:rsidRDefault="00000000">
            <w:pPr>
              <w:spacing w:line="480" w:lineRule="exact"/>
              <w:rPr>
                <w:sz w:val="18"/>
                <w:szCs w:val="18"/>
              </w:rPr>
            </w:pPr>
          </w:p>
        </w:tc>
        <w:tc>
          <w:tcPr>
            <w:tcW w:w="836" w:type="dxa"/>
            <w:tcBorders>
              <w:top w:val="nil"/>
              <w:left w:val="nil"/>
              <w:bottom w:val="single" w:sz="4" w:space="0" w:color="auto"/>
              <w:right w:val="nil"/>
            </w:tcBorders>
            <w:shd w:val="clear" w:color="auto" w:fill="FFFFFF"/>
            <w:vAlign w:val="center"/>
          </w:tcPr>
          <w:p w:rsidR="00000000" w:rsidRDefault="00000000">
            <w:pPr>
              <w:spacing w:line="480" w:lineRule="exact"/>
              <w:jc w:val="center"/>
              <w:rPr>
                <w:sz w:val="18"/>
                <w:szCs w:val="18"/>
              </w:rPr>
            </w:pPr>
          </w:p>
        </w:tc>
        <w:tc>
          <w:tcPr>
            <w:tcW w:w="809" w:type="dxa"/>
            <w:tcBorders>
              <w:top w:val="nil"/>
              <w:left w:val="nil"/>
              <w:bottom w:val="single" w:sz="4" w:space="0" w:color="auto"/>
              <w:right w:val="nil"/>
            </w:tcBorders>
            <w:shd w:val="clear" w:color="auto" w:fill="FFFFFF"/>
            <w:vAlign w:val="center"/>
          </w:tcPr>
          <w:p w:rsidR="00000000" w:rsidRDefault="00000000">
            <w:pPr>
              <w:spacing w:line="480" w:lineRule="exact"/>
              <w:jc w:val="center"/>
              <w:rPr>
                <w:sz w:val="18"/>
                <w:szCs w:val="18"/>
              </w:rPr>
            </w:pPr>
          </w:p>
        </w:tc>
        <w:tc>
          <w:tcPr>
            <w:tcW w:w="1011" w:type="dxa"/>
            <w:tcBorders>
              <w:top w:val="nil"/>
              <w:left w:val="nil"/>
              <w:bottom w:val="single" w:sz="4" w:space="0" w:color="auto"/>
              <w:right w:val="nil"/>
            </w:tcBorders>
            <w:shd w:val="clear" w:color="auto" w:fill="FFFFFF"/>
            <w:vAlign w:val="center"/>
          </w:tcPr>
          <w:p w:rsidR="00000000" w:rsidRDefault="00000000">
            <w:pPr>
              <w:spacing w:line="480" w:lineRule="exact"/>
              <w:jc w:val="center"/>
              <w:rPr>
                <w:sz w:val="18"/>
                <w:szCs w:val="18"/>
              </w:rPr>
            </w:pPr>
          </w:p>
        </w:tc>
        <w:tc>
          <w:tcPr>
            <w:tcW w:w="814" w:type="dxa"/>
            <w:tcBorders>
              <w:top w:val="nil"/>
              <w:left w:val="nil"/>
              <w:bottom w:val="single" w:sz="4" w:space="0" w:color="auto"/>
              <w:right w:val="nil"/>
            </w:tcBorders>
            <w:shd w:val="clear" w:color="auto" w:fill="FFFFFF"/>
            <w:vAlign w:val="center"/>
          </w:tcPr>
          <w:p w:rsidR="00000000" w:rsidRDefault="00000000">
            <w:pPr>
              <w:spacing w:line="480" w:lineRule="exact"/>
              <w:jc w:val="center"/>
              <w:rPr>
                <w:sz w:val="18"/>
                <w:szCs w:val="18"/>
              </w:rPr>
            </w:pPr>
          </w:p>
        </w:tc>
      </w:tr>
      <w:tr w:rsidR="00000000">
        <w:trPr>
          <w:trHeight w:hRule="exact" w:val="511"/>
        </w:trPr>
        <w:tc>
          <w:tcPr>
            <w:tcW w:w="6693" w:type="dxa"/>
            <w:gridSpan w:val="5"/>
            <w:tcBorders>
              <w:top w:val="single" w:sz="4" w:space="0" w:color="auto"/>
              <w:left w:val="single" w:sz="4" w:space="0" w:color="auto"/>
              <w:bottom w:val="single" w:sz="4" w:space="0" w:color="auto"/>
              <w:right w:val="single" w:sz="4" w:space="0" w:color="auto"/>
            </w:tcBorders>
            <w:shd w:val="clear" w:color="auto" w:fill="95DAF3"/>
            <w:vAlign w:val="center"/>
          </w:tcPr>
          <w:p w:rsidR="00000000" w:rsidRDefault="00000000">
            <w:pPr>
              <w:spacing w:line="360" w:lineRule="exact"/>
              <w:jc w:val="center"/>
              <w:rPr>
                <w:rFonts w:eastAsia="黑体"/>
                <w:sz w:val="18"/>
                <w:szCs w:val="18"/>
              </w:rPr>
            </w:pPr>
            <w:r>
              <w:rPr>
                <w:rFonts w:ascii="黑体" w:eastAsia="黑体" w:hAnsi="黑体" w:cs="黑体" w:hint="eastAsia"/>
                <w:szCs w:val="21"/>
              </w:rPr>
              <w:t>专栏1   “十四五”时期经济社会主要指标</w:t>
            </w:r>
          </w:p>
        </w:tc>
      </w:tr>
      <w:tr w:rsidR="00000000">
        <w:trPr>
          <w:trHeight w:hRule="exact" w:val="501"/>
        </w:trPr>
        <w:tc>
          <w:tcPr>
            <w:tcW w:w="3223" w:type="dxa"/>
            <w:tcBorders>
              <w:top w:val="single" w:sz="4" w:space="0" w:color="auto"/>
            </w:tcBorders>
            <w:shd w:val="clear" w:color="auto" w:fill="C8EEFC"/>
            <w:vAlign w:val="center"/>
          </w:tcPr>
          <w:p w:rsidR="00000000" w:rsidRDefault="00000000">
            <w:pPr>
              <w:spacing w:line="360" w:lineRule="exact"/>
              <w:jc w:val="center"/>
              <w:rPr>
                <w:b/>
                <w:sz w:val="18"/>
                <w:szCs w:val="18"/>
              </w:rPr>
            </w:pPr>
            <w:r>
              <w:rPr>
                <w:b/>
                <w:sz w:val="18"/>
                <w:szCs w:val="18"/>
              </w:rPr>
              <w:t>指</w:t>
            </w:r>
            <w:r>
              <w:rPr>
                <w:b/>
                <w:sz w:val="18"/>
                <w:szCs w:val="18"/>
              </w:rPr>
              <w:t xml:space="preserve">  </w:t>
            </w:r>
            <w:r>
              <w:rPr>
                <w:b/>
                <w:sz w:val="18"/>
                <w:szCs w:val="18"/>
              </w:rPr>
              <w:t>标</w:t>
            </w:r>
          </w:p>
        </w:tc>
        <w:tc>
          <w:tcPr>
            <w:tcW w:w="836" w:type="dxa"/>
            <w:tcBorders>
              <w:top w:val="single" w:sz="4" w:space="0" w:color="auto"/>
            </w:tcBorders>
            <w:shd w:val="clear" w:color="auto" w:fill="C8EEFC"/>
            <w:vAlign w:val="center"/>
          </w:tcPr>
          <w:p w:rsidR="00000000" w:rsidRDefault="00000000">
            <w:pPr>
              <w:spacing w:line="360" w:lineRule="exact"/>
              <w:jc w:val="center"/>
              <w:rPr>
                <w:b/>
                <w:sz w:val="18"/>
                <w:szCs w:val="18"/>
              </w:rPr>
            </w:pPr>
            <w:r>
              <w:rPr>
                <w:b/>
                <w:sz w:val="18"/>
                <w:szCs w:val="18"/>
              </w:rPr>
              <w:t>2020</w:t>
            </w:r>
            <w:r>
              <w:rPr>
                <w:b/>
                <w:sz w:val="18"/>
                <w:szCs w:val="18"/>
              </w:rPr>
              <w:t>年</w:t>
            </w:r>
          </w:p>
        </w:tc>
        <w:tc>
          <w:tcPr>
            <w:tcW w:w="809" w:type="dxa"/>
            <w:tcBorders>
              <w:top w:val="single" w:sz="4" w:space="0" w:color="auto"/>
            </w:tcBorders>
            <w:shd w:val="clear" w:color="auto" w:fill="C8EEFC"/>
            <w:vAlign w:val="center"/>
          </w:tcPr>
          <w:p w:rsidR="00000000" w:rsidRDefault="00000000">
            <w:pPr>
              <w:spacing w:line="360" w:lineRule="exact"/>
              <w:jc w:val="center"/>
              <w:rPr>
                <w:b/>
                <w:sz w:val="18"/>
                <w:szCs w:val="18"/>
              </w:rPr>
            </w:pPr>
            <w:r>
              <w:rPr>
                <w:b/>
                <w:sz w:val="18"/>
                <w:szCs w:val="18"/>
              </w:rPr>
              <w:t>2025</w:t>
            </w:r>
            <w:r>
              <w:rPr>
                <w:b/>
                <w:sz w:val="18"/>
                <w:szCs w:val="18"/>
              </w:rPr>
              <w:t>年</w:t>
            </w:r>
          </w:p>
        </w:tc>
        <w:tc>
          <w:tcPr>
            <w:tcW w:w="1011" w:type="dxa"/>
            <w:tcBorders>
              <w:top w:val="single" w:sz="4" w:space="0" w:color="auto"/>
            </w:tcBorders>
            <w:shd w:val="clear" w:color="auto" w:fill="C8EEFC"/>
            <w:vAlign w:val="center"/>
          </w:tcPr>
          <w:p w:rsidR="00000000" w:rsidRDefault="00000000">
            <w:pPr>
              <w:spacing w:line="360" w:lineRule="exact"/>
              <w:jc w:val="center"/>
              <w:rPr>
                <w:b/>
                <w:sz w:val="18"/>
                <w:szCs w:val="18"/>
              </w:rPr>
            </w:pPr>
            <w:r>
              <w:rPr>
                <w:b/>
                <w:sz w:val="18"/>
                <w:szCs w:val="18"/>
              </w:rPr>
              <w:t>年均</w:t>
            </w:r>
            <w:r>
              <w:rPr>
                <w:b/>
                <w:sz w:val="18"/>
                <w:szCs w:val="18"/>
              </w:rPr>
              <w:t>/</w:t>
            </w:r>
            <w:r>
              <w:rPr>
                <w:b/>
                <w:sz w:val="18"/>
                <w:szCs w:val="18"/>
              </w:rPr>
              <w:t>累计</w:t>
            </w:r>
          </w:p>
        </w:tc>
        <w:tc>
          <w:tcPr>
            <w:tcW w:w="814" w:type="dxa"/>
            <w:tcBorders>
              <w:top w:val="single" w:sz="4" w:space="0" w:color="auto"/>
            </w:tcBorders>
            <w:shd w:val="clear" w:color="auto" w:fill="C8EEFC"/>
            <w:vAlign w:val="center"/>
          </w:tcPr>
          <w:p w:rsidR="00000000" w:rsidRDefault="00000000">
            <w:pPr>
              <w:spacing w:line="360" w:lineRule="exact"/>
              <w:jc w:val="center"/>
              <w:rPr>
                <w:b/>
                <w:sz w:val="18"/>
                <w:szCs w:val="18"/>
              </w:rPr>
            </w:pPr>
            <w:r>
              <w:rPr>
                <w:b/>
                <w:sz w:val="18"/>
                <w:szCs w:val="18"/>
              </w:rPr>
              <w:t>属性</w:t>
            </w:r>
          </w:p>
        </w:tc>
      </w:tr>
      <w:tr w:rsidR="00000000">
        <w:trPr>
          <w:trHeight w:hRule="exact" w:val="516"/>
        </w:trPr>
        <w:tc>
          <w:tcPr>
            <w:tcW w:w="6693" w:type="dxa"/>
            <w:gridSpan w:val="5"/>
            <w:shd w:val="clear" w:color="auto" w:fill="C8EEFC"/>
            <w:vAlign w:val="center"/>
          </w:tcPr>
          <w:p w:rsidR="00000000" w:rsidRDefault="00000000">
            <w:pPr>
              <w:numPr>
                <w:ilvl w:val="0"/>
                <w:numId w:val="3"/>
              </w:numPr>
              <w:spacing w:line="360" w:lineRule="exact"/>
              <w:ind w:left="0"/>
              <w:rPr>
                <w:b/>
                <w:sz w:val="18"/>
                <w:szCs w:val="18"/>
              </w:rPr>
            </w:pPr>
            <w:r>
              <w:rPr>
                <w:b/>
                <w:sz w:val="18"/>
                <w:szCs w:val="18"/>
              </w:rPr>
              <w:t>绿色生态</w:t>
            </w:r>
          </w:p>
        </w:tc>
      </w:tr>
      <w:tr w:rsidR="00000000">
        <w:trPr>
          <w:trHeight w:hRule="exact" w:val="745"/>
        </w:trPr>
        <w:tc>
          <w:tcPr>
            <w:tcW w:w="3223" w:type="dxa"/>
            <w:shd w:val="clear" w:color="auto" w:fill="C8EEFC"/>
            <w:vAlign w:val="center"/>
          </w:tcPr>
          <w:p w:rsidR="00000000" w:rsidRDefault="00000000">
            <w:pPr>
              <w:spacing w:line="360" w:lineRule="exact"/>
              <w:rPr>
                <w:sz w:val="18"/>
                <w:szCs w:val="18"/>
              </w:rPr>
            </w:pPr>
            <w:r>
              <w:rPr>
                <w:sz w:val="18"/>
                <w:szCs w:val="18"/>
              </w:rPr>
              <w:t>13.</w:t>
            </w:r>
            <w:r>
              <w:rPr>
                <w:sz w:val="18"/>
                <w:szCs w:val="18"/>
              </w:rPr>
              <w:t>单位地区生产总值能源消耗降低（</w:t>
            </w:r>
            <w:r>
              <w:rPr>
                <w:sz w:val="18"/>
                <w:szCs w:val="18"/>
              </w:rPr>
              <w:t>%</w:t>
            </w:r>
            <w:r>
              <w:rPr>
                <w:sz w:val="18"/>
                <w:szCs w:val="18"/>
              </w:rPr>
              <w:t>）</w:t>
            </w:r>
          </w:p>
        </w:tc>
        <w:tc>
          <w:tcPr>
            <w:tcW w:w="836" w:type="dxa"/>
            <w:shd w:val="clear" w:color="auto" w:fill="C8EEFC"/>
            <w:vAlign w:val="center"/>
          </w:tcPr>
          <w:p w:rsidR="00000000" w:rsidRDefault="00000000">
            <w:pPr>
              <w:spacing w:line="360" w:lineRule="exact"/>
              <w:jc w:val="center"/>
              <w:rPr>
                <w:kern w:val="0"/>
                <w:sz w:val="18"/>
                <w:szCs w:val="18"/>
              </w:rPr>
            </w:pPr>
            <w:r>
              <w:rPr>
                <w:sz w:val="18"/>
                <w:szCs w:val="18"/>
              </w:rPr>
              <w:t>[</w:t>
            </w:r>
            <w:r>
              <w:rPr>
                <w:rFonts w:hint="eastAsia"/>
                <w:sz w:val="18"/>
                <w:szCs w:val="18"/>
              </w:rPr>
              <w:t xml:space="preserve"> </w:t>
            </w:r>
            <w:r>
              <w:rPr>
                <w:sz w:val="18"/>
                <w:szCs w:val="18"/>
              </w:rPr>
              <w:t>-15 ]</w:t>
            </w:r>
          </w:p>
        </w:tc>
        <w:tc>
          <w:tcPr>
            <w:tcW w:w="809" w:type="dxa"/>
            <w:shd w:val="clear" w:color="auto" w:fill="C8EEFC"/>
            <w:vAlign w:val="center"/>
          </w:tcPr>
          <w:p w:rsidR="00000000" w:rsidRDefault="00000000">
            <w:pPr>
              <w:spacing w:line="360" w:lineRule="exact"/>
              <w:jc w:val="center"/>
              <w:rPr>
                <w:sz w:val="18"/>
                <w:szCs w:val="18"/>
              </w:rPr>
            </w:pPr>
            <w:r>
              <w:rPr>
                <w:sz w:val="18"/>
                <w:szCs w:val="18"/>
              </w:rPr>
              <w:t>—</w:t>
            </w:r>
          </w:p>
        </w:tc>
        <w:tc>
          <w:tcPr>
            <w:tcW w:w="1011" w:type="dxa"/>
            <w:shd w:val="clear" w:color="auto" w:fill="C8EEFC"/>
            <w:vAlign w:val="center"/>
          </w:tcPr>
          <w:p w:rsidR="00000000" w:rsidRDefault="00000000">
            <w:pPr>
              <w:spacing w:line="360" w:lineRule="exact"/>
              <w:jc w:val="center"/>
              <w:rPr>
                <w:sz w:val="18"/>
                <w:szCs w:val="18"/>
              </w:rPr>
            </w:pPr>
            <w:r>
              <w:rPr>
                <w:kern w:val="0"/>
                <w:sz w:val="18"/>
                <w:szCs w:val="18"/>
              </w:rPr>
              <w:t>-3.2</w:t>
            </w:r>
          </w:p>
        </w:tc>
        <w:tc>
          <w:tcPr>
            <w:tcW w:w="814" w:type="dxa"/>
            <w:shd w:val="clear" w:color="auto" w:fill="C8EEFC"/>
            <w:vAlign w:val="center"/>
          </w:tcPr>
          <w:p w:rsidR="00000000" w:rsidRDefault="00000000">
            <w:pPr>
              <w:spacing w:line="360" w:lineRule="exact"/>
              <w:jc w:val="center"/>
              <w:rPr>
                <w:sz w:val="18"/>
                <w:szCs w:val="18"/>
              </w:rPr>
            </w:pPr>
            <w:r>
              <w:rPr>
                <w:sz w:val="18"/>
                <w:szCs w:val="18"/>
              </w:rPr>
              <w:t>约束性</w:t>
            </w:r>
          </w:p>
        </w:tc>
      </w:tr>
      <w:tr w:rsidR="00000000">
        <w:trPr>
          <w:trHeight w:hRule="exact" w:val="761"/>
        </w:trPr>
        <w:tc>
          <w:tcPr>
            <w:tcW w:w="3223" w:type="dxa"/>
            <w:shd w:val="clear" w:color="auto" w:fill="C8EEFC"/>
            <w:vAlign w:val="center"/>
          </w:tcPr>
          <w:p w:rsidR="00000000" w:rsidRDefault="00000000">
            <w:pPr>
              <w:spacing w:line="360" w:lineRule="exact"/>
              <w:jc w:val="left"/>
              <w:rPr>
                <w:sz w:val="18"/>
                <w:szCs w:val="18"/>
              </w:rPr>
            </w:pPr>
            <w:r>
              <w:rPr>
                <w:sz w:val="18"/>
                <w:szCs w:val="18"/>
              </w:rPr>
              <w:t>14.</w:t>
            </w:r>
            <w:r>
              <w:rPr>
                <w:sz w:val="18"/>
                <w:szCs w:val="18"/>
              </w:rPr>
              <w:t>单位地区生产总值二氧化碳排放降低（</w:t>
            </w:r>
            <w:r>
              <w:rPr>
                <w:sz w:val="18"/>
                <w:szCs w:val="18"/>
              </w:rPr>
              <w:t>%</w:t>
            </w:r>
            <w:r>
              <w:rPr>
                <w:sz w:val="18"/>
                <w:szCs w:val="18"/>
              </w:rPr>
              <w:t>）</w:t>
            </w:r>
          </w:p>
        </w:tc>
        <w:tc>
          <w:tcPr>
            <w:tcW w:w="836" w:type="dxa"/>
            <w:shd w:val="clear" w:color="auto" w:fill="C8EEFC"/>
            <w:vAlign w:val="center"/>
          </w:tcPr>
          <w:p w:rsidR="00000000" w:rsidRDefault="00000000">
            <w:pPr>
              <w:spacing w:line="360" w:lineRule="exact"/>
              <w:jc w:val="center"/>
              <w:rPr>
                <w:kern w:val="0"/>
                <w:sz w:val="18"/>
                <w:szCs w:val="18"/>
              </w:rPr>
            </w:pPr>
            <w:r>
              <w:rPr>
                <w:sz w:val="18"/>
                <w:szCs w:val="18"/>
              </w:rPr>
              <w:t>[</w:t>
            </w:r>
            <w:r>
              <w:rPr>
                <w:rFonts w:hint="eastAsia"/>
                <w:sz w:val="18"/>
                <w:szCs w:val="18"/>
              </w:rPr>
              <w:t xml:space="preserve"> </w:t>
            </w:r>
            <w:r>
              <w:rPr>
                <w:sz w:val="18"/>
                <w:szCs w:val="18"/>
              </w:rPr>
              <w:t>-15 ]</w:t>
            </w:r>
          </w:p>
        </w:tc>
        <w:tc>
          <w:tcPr>
            <w:tcW w:w="809" w:type="dxa"/>
            <w:shd w:val="clear" w:color="auto" w:fill="C8EEFC"/>
            <w:vAlign w:val="center"/>
          </w:tcPr>
          <w:p w:rsidR="00000000" w:rsidRDefault="00000000">
            <w:pPr>
              <w:spacing w:line="360" w:lineRule="exact"/>
              <w:jc w:val="center"/>
              <w:rPr>
                <w:sz w:val="18"/>
                <w:szCs w:val="18"/>
              </w:rPr>
            </w:pPr>
            <w:r>
              <w:rPr>
                <w:sz w:val="18"/>
                <w:szCs w:val="18"/>
              </w:rPr>
              <w:t>—</w:t>
            </w:r>
          </w:p>
        </w:tc>
        <w:tc>
          <w:tcPr>
            <w:tcW w:w="1011" w:type="dxa"/>
            <w:shd w:val="clear" w:color="auto" w:fill="C8EEFC"/>
            <w:vAlign w:val="center"/>
          </w:tcPr>
          <w:p w:rsidR="00000000" w:rsidRDefault="00000000">
            <w:pPr>
              <w:spacing w:line="360" w:lineRule="exact"/>
              <w:jc w:val="center"/>
              <w:rPr>
                <w:sz w:val="18"/>
                <w:szCs w:val="18"/>
              </w:rPr>
            </w:pPr>
            <w:r>
              <w:rPr>
                <w:sz w:val="18"/>
                <w:szCs w:val="18"/>
              </w:rPr>
              <w:t>-3</w:t>
            </w:r>
          </w:p>
        </w:tc>
        <w:tc>
          <w:tcPr>
            <w:tcW w:w="814" w:type="dxa"/>
            <w:shd w:val="clear" w:color="auto" w:fill="C8EEFC"/>
            <w:vAlign w:val="center"/>
          </w:tcPr>
          <w:p w:rsidR="00000000" w:rsidRDefault="00000000">
            <w:pPr>
              <w:spacing w:line="360" w:lineRule="exact"/>
              <w:jc w:val="center"/>
              <w:rPr>
                <w:sz w:val="18"/>
                <w:szCs w:val="18"/>
              </w:rPr>
            </w:pPr>
            <w:r>
              <w:rPr>
                <w:sz w:val="18"/>
                <w:szCs w:val="18"/>
              </w:rPr>
              <w:t>约束性</w:t>
            </w:r>
          </w:p>
        </w:tc>
      </w:tr>
      <w:tr w:rsidR="00000000">
        <w:trPr>
          <w:trHeight w:hRule="exact" w:val="596"/>
        </w:trPr>
        <w:tc>
          <w:tcPr>
            <w:tcW w:w="3223" w:type="dxa"/>
            <w:shd w:val="clear" w:color="auto" w:fill="C8EEFC"/>
            <w:vAlign w:val="center"/>
          </w:tcPr>
          <w:p w:rsidR="00000000" w:rsidRDefault="00000000">
            <w:pPr>
              <w:spacing w:line="360" w:lineRule="exact"/>
              <w:rPr>
                <w:sz w:val="18"/>
                <w:szCs w:val="18"/>
              </w:rPr>
            </w:pPr>
            <w:r>
              <w:rPr>
                <w:sz w:val="18"/>
                <w:szCs w:val="18"/>
              </w:rPr>
              <w:t>15.</w:t>
            </w:r>
            <w:r>
              <w:rPr>
                <w:sz w:val="18"/>
                <w:szCs w:val="18"/>
              </w:rPr>
              <w:t>城镇空气质量优良天数占比（</w:t>
            </w:r>
            <w:r>
              <w:rPr>
                <w:sz w:val="18"/>
                <w:szCs w:val="18"/>
              </w:rPr>
              <w:t>%</w:t>
            </w:r>
            <w:r>
              <w:rPr>
                <w:sz w:val="18"/>
                <w:szCs w:val="18"/>
              </w:rPr>
              <w:t>）</w:t>
            </w:r>
          </w:p>
        </w:tc>
        <w:tc>
          <w:tcPr>
            <w:tcW w:w="836" w:type="dxa"/>
            <w:shd w:val="clear" w:color="auto" w:fill="C8EEFC"/>
            <w:vAlign w:val="center"/>
          </w:tcPr>
          <w:p w:rsidR="00000000" w:rsidRDefault="00000000">
            <w:pPr>
              <w:spacing w:line="360" w:lineRule="exact"/>
              <w:jc w:val="center"/>
              <w:rPr>
                <w:sz w:val="18"/>
                <w:szCs w:val="18"/>
              </w:rPr>
            </w:pPr>
            <w:r>
              <w:rPr>
                <w:sz w:val="18"/>
                <w:szCs w:val="18"/>
              </w:rPr>
              <w:t>89.7</w:t>
            </w:r>
          </w:p>
        </w:tc>
        <w:tc>
          <w:tcPr>
            <w:tcW w:w="809" w:type="dxa"/>
            <w:shd w:val="clear" w:color="auto" w:fill="C8EEFC"/>
            <w:vAlign w:val="center"/>
          </w:tcPr>
          <w:p w:rsidR="00000000" w:rsidRDefault="00000000">
            <w:pPr>
              <w:spacing w:line="360" w:lineRule="exact"/>
              <w:jc w:val="center"/>
              <w:rPr>
                <w:sz w:val="18"/>
                <w:szCs w:val="18"/>
                <w:lang w:val="en"/>
              </w:rPr>
            </w:pPr>
            <w:r>
              <w:rPr>
                <w:sz w:val="18"/>
                <w:szCs w:val="18"/>
                <w:lang w:val="en"/>
              </w:rPr>
              <w:t>90</w:t>
            </w:r>
          </w:p>
        </w:tc>
        <w:tc>
          <w:tcPr>
            <w:tcW w:w="1011" w:type="dxa"/>
            <w:shd w:val="clear" w:color="auto" w:fill="C8EEFC"/>
            <w:vAlign w:val="center"/>
          </w:tcPr>
          <w:p w:rsidR="00000000" w:rsidRDefault="00000000">
            <w:pPr>
              <w:spacing w:line="360" w:lineRule="exact"/>
              <w:jc w:val="center"/>
              <w:rPr>
                <w:sz w:val="18"/>
                <w:szCs w:val="18"/>
              </w:rPr>
            </w:pPr>
            <w:r>
              <w:rPr>
                <w:sz w:val="18"/>
                <w:szCs w:val="18"/>
              </w:rPr>
              <w:t>—</w:t>
            </w:r>
          </w:p>
        </w:tc>
        <w:tc>
          <w:tcPr>
            <w:tcW w:w="814" w:type="dxa"/>
            <w:shd w:val="clear" w:color="auto" w:fill="C8EEFC"/>
            <w:vAlign w:val="center"/>
          </w:tcPr>
          <w:p w:rsidR="00000000" w:rsidRDefault="00000000">
            <w:pPr>
              <w:spacing w:line="360" w:lineRule="exact"/>
              <w:jc w:val="center"/>
              <w:rPr>
                <w:sz w:val="18"/>
                <w:szCs w:val="18"/>
              </w:rPr>
            </w:pPr>
            <w:r>
              <w:rPr>
                <w:sz w:val="18"/>
                <w:szCs w:val="18"/>
              </w:rPr>
              <w:t>约束性</w:t>
            </w:r>
          </w:p>
        </w:tc>
      </w:tr>
      <w:tr w:rsidR="00000000">
        <w:trPr>
          <w:trHeight w:hRule="exact" w:val="727"/>
        </w:trPr>
        <w:tc>
          <w:tcPr>
            <w:tcW w:w="3223" w:type="dxa"/>
            <w:shd w:val="clear" w:color="auto" w:fill="C8EEFC"/>
            <w:vAlign w:val="center"/>
          </w:tcPr>
          <w:p w:rsidR="00000000" w:rsidRDefault="00000000">
            <w:pPr>
              <w:spacing w:line="360" w:lineRule="exact"/>
              <w:rPr>
                <w:sz w:val="18"/>
                <w:szCs w:val="18"/>
              </w:rPr>
            </w:pPr>
            <w:r>
              <w:rPr>
                <w:sz w:val="18"/>
                <w:szCs w:val="18"/>
              </w:rPr>
              <w:t>16.</w:t>
            </w:r>
            <w:r>
              <w:rPr>
                <w:sz w:val="18"/>
                <w:szCs w:val="18"/>
              </w:rPr>
              <w:t>地表水达到或好于</w:t>
            </w:r>
            <w:r>
              <w:rPr>
                <w:sz w:val="18"/>
                <w:szCs w:val="18"/>
              </w:rPr>
              <w:fldChar w:fldCharType="begin"/>
            </w:r>
            <w:r>
              <w:rPr>
                <w:sz w:val="18"/>
                <w:szCs w:val="18"/>
              </w:rPr>
              <w:instrText xml:space="preserve"> = 3 \* ROMAN </w:instrText>
            </w:r>
            <w:r>
              <w:rPr>
                <w:sz w:val="18"/>
                <w:szCs w:val="18"/>
              </w:rPr>
              <w:fldChar w:fldCharType="separate"/>
            </w:r>
            <w:r>
              <w:rPr>
                <w:sz w:val="18"/>
                <w:szCs w:val="18"/>
              </w:rPr>
              <w:t>III</w:t>
            </w:r>
            <w:r>
              <w:rPr>
                <w:sz w:val="18"/>
                <w:szCs w:val="18"/>
              </w:rPr>
              <w:fldChar w:fldCharType="end"/>
            </w:r>
            <w:r>
              <w:rPr>
                <w:sz w:val="18"/>
                <w:szCs w:val="18"/>
              </w:rPr>
              <w:t>类水体比例（</w:t>
            </w:r>
            <w:r>
              <w:rPr>
                <w:sz w:val="18"/>
                <w:szCs w:val="18"/>
              </w:rPr>
              <w:t>%</w:t>
            </w:r>
            <w:r>
              <w:rPr>
                <w:sz w:val="18"/>
                <w:szCs w:val="18"/>
              </w:rPr>
              <w:t>）</w:t>
            </w:r>
          </w:p>
        </w:tc>
        <w:tc>
          <w:tcPr>
            <w:tcW w:w="836" w:type="dxa"/>
            <w:shd w:val="clear" w:color="auto" w:fill="C8EEFC"/>
            <w:vAlign w:val="center"/>
          </w:tcPr>
          <w:p w:rsidR="00000000" w:rsidRDefault="00000000">
            <w:pPr>
              <w:spacing w:line="360" w:lineRule="exact"/>
              <w:jc w:val="center"/>
              <w:rPr>
                <w:sz w:val="18"/>
                <w:szCs w:val="18"/>
              </w:rPr>
            </w:pPr>
            <w:r>
              <w:rPr>
                <w:sz w:val="18"/>
                <w:szCs w:val="18"/>
              </w:rPr>
              <w:t>100</w:t>
            </w:r>
          </w:p>
        </w:tc>
        <w:tc>
          <w:tcPr>
            <w:tcW w:w="809" w:type="dxa"/>
            <w:shd w:val="clear" w:color="auto" w:fill="C8EEFC"/>
            <w:vAlign w:val="center"/>
          </w:tcPr>
          <w:p w:rsidR="00000000" w:rsidRDefault="00000000">
            <w:pPr>
              <w:spacing w:line="360" w:lineRule="exact"/>
              <w:jc w:val="center"/>
              <w:rPr>
                <w:sz w:val="18"/>
                <w:szCs w:val="18"/>
              </w:rPr>
            </w:pPr>
            <w:r>
              <w:rPr>
                <w:sz w:val="18"/>
                <w:szCs w:val="18"/>
              </w:rPr>
              <w:t>100</w:t>
            </w:r>
          </w:p>
        </w:tc>
        <w:tc>
          <w:tcPr>
            <w:tcW w:w="1011" w:type="dxa"/>
            <w:shd w:val="clear" w:color="auto" w:fill="C8EEFC"/>
            <w:vAlign w:val="center"/>
          </w:tcPr>
          <w:p w:rsidR="00000000" w:rsidRDefault="00000000">
            <w:pPr>
              <w:spacing w:line="360" w:lineRule="exact"/>
              <w:jc w:val="center"/>
              <w:rPr>
                <w:sz w:val="18"/>
                <w:szCs w:val="18"/>
              </w:rPr>
            </w:pPr>
            <w:r>
              <w:rPr>
                <w:sz w:val="18"/>
                <w:szCs w:val="18"/>
              </w:rPr>
              <w:t>—</w:t>
            </w:r>
          </w:p>
        </w:tc>
        <w:tc>
          <w:tcPr>
            <w:tcW w:w="814" w:type="dxa"/>
            <w:shd w:val="clear" w:color="auto" w:fill="C8EEFC"/>
            <w:vAlign w:val="center"/>
          </w:tcPr>
          <w:p w:rsidR="00000000" w:rsidRDefault="00000000">
            <w:pPr>
              <w:spacing w:line="360" w:lineRule="exact"/>
              <w:jc w:val="center"/>
              <w:rPr>
                <w:sz w:val="18"/>
                <w:szCs w:val="18"/>
              </w:rPr>
            </w:pPr>
            <w:r>
              <w:rPr>
                <w:sz w:val="18"/>
                <w:szCs w:val="18"/>
              </w:rPr>
              <w:t>约束性</w:t>
            </w:r>
          </w:p>
        </w:tc>
      </w:tr>
      <w:tr w:rsidR="00000000">
        <w:trPr>
          <w:trHeight w:hRule="exact" w:val="511"/>
        </w:trPr>
        <w:tc>
          <w:tcPr>
            <w:tcW w:w="3223" w:type="dxa"/>
            <w:shd w:val="clear" w:color="auto" w:fill="C8EEFC"/>
            <w:vAlign w:val="center"/>
          </w:tcPr>
          <w:p w:rsidR="00000000" w:rsidRDefault="00000000">
            <w:pPr>
              <w:spacing w:line="360" w:lineRule="exact"/>
              <w:rPr>
                <w:sz w:val="18"/>
                <w:szCs w:val="18"/>
              </w:rPr>
            </w:pPr>
            <w:r>
              <w:rPr>
                <w:sz w:val="18"/>
                <w:szCs w:val="18"/>
              </w:rPr>
              <w:t>17.</w:t>
            </w:r>
            <w:r>
              <w:rPr>
                <w:sz w:val="18"/>
                <w:szCs w:val="18"/>
              </w:rPr>
              <w:t>森林覆盖率（</w:t>
            </w:r>
            <w:r>
              <w:rPr>
                <w:sz w:val="18"/>
                <w:szCs w:val="18"/>
              </w:rPr>
              <w:t>%</w:t>
            </w:r>
            <w:r>
              <w:rPr>
                <w:sz w:val="18"/>
                <w:szCs w:val="18"/>
              </w:rPr>
              <w:t>）</w:t>
            </w:r>
          </w:p>
        </w:tc>
        <w:tc>
          <w:tcPr>
            <w:tcW w:w="836" w:type="dxa"/>
            <w:shd w:val="clear" w:color="auto" w:fill="C8EEFC"/>
            <w:vAlign w:val="center"/>
          </w:tcPr>
          <w:p w:rsidR="00000000" w:rsidRDefault="00000000">
            <w:pPr>
              <w:spacing w:line="360" w:lineRule="exact"/>
              <w:jc w:val="center"/>
              <w:rPr>
                <w:sz w:val="18"/>
                <w:szCs w:val="18"/>
              </w:rPr>
            </w:pPr>
            <w:r>
              <w:rPr>
                <w:sz w:val="18"/>
                <w:szCs w:val="18"/>
              </w:rPr>
              <w:t>30.</w:t>
            </w:r>
            <w:r>
              <w:rPr>
                <w:rFonts w:hint="eastAsia"/>
                <w:sz w:val="18"/>
                <w:szCs w:val="18"/>
              </w:rPr>
              <w:t>8</w:t>
            </w:r>
            <w:r>
              <w:rPr>
                <w:sz w:val="18"/>
                <w:szCs w:val="18"/>
              </w:rPr>
              <w:t>1</w:t>
            </w:r>
          </w:p>
        </w:tc>
        <w:tc>
          <w:tcPr>
            <w:tcW w:w="809" w:type="dxa"/>
            <w:shd w:val="clear" w:color="auto" w:fill="C8EEFC"/>
            <w:vAlign w:val="center"/>
          </w:tcPr>
          <w:p w:rsidR="00000000" w:rsidRDefault="00000000">
            <w:pPr>
              <w:spacing w:line="360" w:lineRule="exact"/>
              <w:jc w:val="center"/>
              <w:rPr>
                <w:sz w:val="18"/>
                <w:szCs w:val="18"/>
              </w:rPr>
            </w:pPr>
            <w:r>
              <w:rPr>
                <w:sz w:val="18"/>
                <w:szCs w:val="18"/>
              </w:rPr>
              <w:t>33</w:t>
            </w:r>
          </w:p>
        </w:tc>
        <w:tc>
          <w:tcPr>
            <w:tcW w:w="1011" w:type="dxa"/>
            <w:shd w:val="clear" w:color="auto" w:fill="C8EEFC"/>
            <w:vAlign w:val="center"/>
          </w:tcPr>
          <w:p w:rsidR="00000000" w:rsidRDefault="00000000">
            <w:pPr>
              <w:spacing w:line="360" w:lineRule="exact"/>
              <w:jc w:val="center"/>
              <w:rPr>
                <w:sz w:val="18"/>
                <w:szCs w:val="18"/>
              </w:rPr>
            </w:pPr>
            <w:r>
              <w:rPr>
                <w:sz w:val="18"/>
                <w:szCs w:val="18"/>
              </w:rPr>
              <w:t>—</w:t>
            </w:r>
          </w:p>
        </w:tc>
        <w:tc>
          <w:tcPr>
            <w:tcW w:w="814" w:type="dxa"/>
            <w:shd w:val="clear" w:color="auto" w:fill="C8EEFC"/>
            <w:vAlign w:val="center"/>
          </w:tcPr>
          <w:p w:rsidR="00000000" w:rsidRDefault="00000000">
            <w:pPr>
              <w:spacing w:line="360" w:lineRule="exact"/>
              <w:jc w:val="center"/>
              <w:rPr>
                <w:sz w:val="18"/>
                <w:szCs w:val="18"/>
              </w:rPr>
            </w:pPr>
            <w:r>
              <w:rPr>
                <w:sz w:val="18"/>
                <w:szCs w:val="18"/>
              </w:rPr>
              <w:t>约束性</w:t>
            </w:r>
          </w:p>
        </w:tc>
      </w:tr>
      <w:tr w:rsidR="00000000">
        <w:trPr>
          <w:trHeight w:hRule="exact" w:val="511"/>
        </w:trPr>
        <w:tc>
          <w:tcPr>
            <w:tcW w:w="3223" w:type="dxa"/>
            <w:shd w:val="clear" w:color="auto" w:fill="C8EEFC"/>
            <w:vAlign w:val="center"/>
          </w:tcPr>
          <w:p w:rsidR="00000000" w:rsidRDefault="00000000">
            <w:pPr>
              <w:spacing w:line="360" w:lineRule="exact"/>
              <w:rPr>
                <w:sz w:val="18"/>
                <w:szCs w:val="18"/>
              </w:rPr>
            </w:pPr>
            <w:r>
              <w:rPr>
                <w:sz w:val="18"/>
                <w:szCs w:val="18"/>
              </w:rPr>
              <w:t>18.</w:t>
            </w:r>
            <w:r>
              <w:rPr>
                <w:sz w:val="18"/>
                <w:szCs w:val="18"/>
              </w:rPr>
              <w:t>草原综合植被盖度（</w:t>
            </w:r>
            <w:r>
              <w:rPr>
                <w:sz w:val="18"/>
                <w:szCs w:val="18"/>
              </w:rPr>
              <w:t>%</w:t>
            </w:r>
            <w:r>
              <w:rPr>
                <w:sz w:val="18"/>
                <w:szCs w:val="18"/>
              </w:rPr>
              <w:t>）</w:t>
            </w:r>
          </w:p>
        </w:tc>
        <w:tc>
          <w:tcPr>
            <w:tcW w:w="836" w:type="dxa"/>
            <w:shd w:val="clear" w:color="auto" w:fill="C8EEFC"/>
            <w:vAlign w:val="center"/>
          </w:tcPr>
          <w:p w:rsidR="00000000" w:rsidRDefault="00000000">
            <w:pPr>
              <w:spacing w:line="360" w:lineRule="exact"/>
              <w:jc w:val="center"/>
              <w:rPr>
                <w:sz w:val="18"/>
                <w:szCs w:val="18"/>
              </w:rPr>
            </w:pPr>
            <w:r>
              <w:rPr>
                <w:sz w:val="18"/>
                <w:szCs w:val="18"/>
              </w:rPr>
              <w:t>45</w:t>
            </w:r>
          </w:p>
        </w:tc>
        <w:tc>
          <w:tcPr>
            <w:tcW w:w="809" w:type="dxa"/>
            <w:shd w:val="clear" w:color="auto" w:fill="C8EEFC"/>
            <w:vAlign w:val="center"/>
          </w:tcPr>
          <w:p w:rsidR="00000000" w:rsidRDefault="00000000">
            <w:pPr>
              <w:spacing w:line="360" w:lineRule="exact"/>
              <w:jc w:val="center"/>
              <w:rPr>
                <w:sz w:val="18"/>
                <w:szCs w:val="18"/>
              </w:rPr>
            </w:pPr>
            <w:r>
              <w:rPr>
                <w:sz w:val="18"/>
                <w:szCs w:val="18"/>
              </w:rPr>
              <w:t>55</w:t>
            </w:r>
          </w:p>
        </w:tc>
        <w:tc>
          <w:tcPr>
            <w:tcW w:w="1011" w:type="dxa"/>
            <w:shd w:val="clear" w:color="auto" w:fill="C8EEFC"/>
            <w:vAlign w:val="center"/>
          </w:tcPr>
          <w:p w:rsidR="00000000" w:rsidRDefault="00000000">
            <w:pPr>
              <w:spacing w:line="360" w:lineRule="exact"/>
              <w:jc w:val="center"/>
              <w:rPr>
                <w:sz w:val="18"/>
                <w:szCs w:val="18"/>
              </w:rPr>
            </w:pPr>
            <w:r>
              <w:rPr>
                <w:sz w:val="18"/>
                <w:szCs w:val="18"/>
              </w:rPr>
              <w:t>—</w:t>
            </w:r>
          </w:p>
        </w:tc>
        <w:tc>
          <w:tcPr>
            <w:tcW w:w="814" w:type="dxa"/>
            <w:shd w:val="clear" w:color="auto" w:fill="C8EEFC"/>
            <w:vAlign w:val="center"/>
          </w:tcPr>
          <w:p w:rsidR="00000000" w:rsidRDefault="00000000">
            <w:pPr>
              <w:spacing w:line="360" w:lineRule="exact"/>
              <w:jc w:val="center"/>
              <w:rPr>
                <w:sz w:val="18"/>
                <w:szCs w:val="18"/>
              </w:rPr>
            </w:pPr>
            <w:r>
              <w:rPr>
                <w:sz w:val="18"/>
                <w:szCs w:val="18"/>
              </w:rPr>
              <w:t>预期性</w:t>
            </w:r>
          </w:p>
        </w:tc>
      </w:tr>
      <w:tr w:rsidR="00000000">
        <w:trPr>
          <w:trHeight w:hRule="exact" w:val="592"/>
        </w:trPr>
        <w:tc>
          <w:tcPr>
            <w:tcW w:w="6693" w:type="dxa"/>
            <w:gridSpan w:val="5"/>
            <w:shd w:val="clear" w:color="auto" w:fill="C8EEFC"/>
            <w:vAlign w:val="center"/>
          </w:tcPr>
          <w:p w:rsidR="00000000" w:rsidRDefault="00000000">
            <w:pPr>
              <w:numPr>
                <w:ilvl w:val="0"/>
                <w:numId w:val="3"/>
              </w:numPr>
              <w:spacing w:line="360" w:lineRule="exact"/>
              <w:ind w:left="0"/>
              <w:rPr>
                <w:sz w:val="18"/>
                <w:szCs w:val="18"/>
              </w:rPr>
            </w:pPr>
            <w:r>
              <w:rPr>
                <w:b/>
                <w:sz w:val="18"/>
                <w:szCs w:val="18"/>
              </w:rPr>
              <w:t>安全保障</w:t>
            </w:r>
          </w:p>
        </w:tc>
      </w:tr>
      <w:tr w:rsidR="00000000">
        <w:trPr>
          <w:trHeight w:hRule="exact" w:val="471"/>
        </w:trPr>
        <w:tc>
          <w:tcPr>
            <w:tcW w:w="3223" w:type="dxa"/>
            <w:shd w:val="clear" w:color="auto" w:fill="C8EEFC"/>
            <w:vAlign w:val="center"/>
          </w:tcPr>
          <w:p w:rsidR="00000000" w:rsidRDefault="00000000">
            <w:pPr>
              <w:spacing w:line="360" w:lineRule="exact"/>
              <w:rPr>
                <w:sz w:val="18"/>
                <w:szCs w:val="18"/>
              </w:rPr>
            </w:pPr>
            <w:r>
              <w:rPr>
                <w:sz w:val="18"/>
                <w:szCs w:val="18"/>
              </w:rPr>
              <w:t>19.</w:t>
            </w:r>
            <w:r>
              <w:rPr>
                <w:sz w:val="18"/>
                <w:szCs w:val="18"/>
              </w:rPr>
              <w:t>粮食综合生产能力（亿斤）</w:t>
            </w:r>
          </w:p>
        </w:tc>
        <w:tc>
          <w:tcPr>
            <w:tcW w:w="836" w:type="dxa"/>
            <w:shd w:val="clear" w:color="auto" w:fill="C8EEFC"/>
            <w:vAlign w:val="center"/>
          </w:tcPr>
          <w:p w:rsidR="00000000" w:rsidRDefault="00000000">
            <w:pPr>
              <w:spacing w:line="360" w:lineRule="exact"/>
              <w:jc w:val="center"/>
              <w:rPr>
                <w:sz w:val="18"/>
                <w:szCs w:val="18"/>
              </w:rPr>
            </w:pPr>
            <w:r>
              <w:rPr>
                <w:sz w:val="18"/>
                <w:szCs w:val="18"/>
              </w:rPr>
              <w:t>23.3</w:t>
            </w:r>
          </w:p>
        </w:tc>
        <w:tc>
          <w:tcPr>
            <w:tcW w:w="809" w:type="dxa"/>
            <w:shd w:val="clear" w:color="auto" w:fill="C8EEFC"/>
            <w:vAlign w:val="center"/>
          </w:tcPr>
          <w:p w:rsidR="00000000" w:rsidRDefault="00000000">
            <w:pPr>
              <w:spacing w:line="360" w:lineRule="exact"/>
              <w:jc w:val="center"/>
              <w:rPr>
                <w:sz w:val="18"/>
                <w:szCs w:val="18"/>
              </w:rPr>
            </w:pPr>
            <w:r>
              <w:rPr>
                <w:sz w:val="18"/>
                <w:szCs w:val="18"/>
              </w:rPr>
              <w:t>27</w:t>
            </w:r>
          </w:p>
        </w:tc>
        <w:tc>
          <w:tcPr>
            <w:tcW w:w="1011" w:type="dxa"/>
            <w:shd w:val="clear" w:color="auto" w:fill="C8EEFC"/>
            <w:vAlign w:val="center"/>
          </w:tcPr>
          <w:p w:rsidR="00000000" w:rsidRDefault="00000000">
            <w:pPr>
              <w:spacing w:line="360" w:lineRule="exact"/>
              <w:jc w:val="center"/>
              <w:rPr>
                <w:sz w:val="18"/>
                <w:szCs w:val="18"/>
              </w:rPr>
            </w:pPr>
            <w:r>
              <w:rPr>
                <w:sz w:val="18"/>
                <w:szCs w:val="18"/>
              </w:rPr>
              <w:t>—</w:t>
            </w:r>
          </w:p>
        </w:tc>
        <w:tc>
          <w:tcPr>
            <w:tcW w:w="814" w:type="dxa"/>
            <w:shd w:val="clear" w:color="auto" w:fill="C8EEFC"/>
            <w:vAlign w:val="center"/>
          </w:tcPr>
          <w:p w:rsidR="00000000" w:rsidRDefault="00000000">
            <w:pPr>
              <w:spacing w:line="360" w:lineRule="exact"/>
              <w:jc w:val="center"/>
              <w:rPr>
                <w:sz w:val="18"/>
                <w:szCs w:val="18"/>
              </w:rPr>
            </w:pPr>
            <w:r>
              <w:rPr>
                <w:sz w:val="18"/>
                <w:szCs w:val="18"/>
              </w:rPr>
              <w:t>约束性</w:t>
            </w:r>
          </w:p>
        </w:tc>
      </w:tr>
      <w:tr w:rsidR="00000000">
        <w:trPr>
          <w:trHeight w:hRule="exact" w:val="480"/>
        </w:trPr>
        <w:tc>
          <w:tcPr>
            <w:tcW w:w="3223" w:type="dxa"/>
            <w:shd w:val="clear" w:color="auto" w:fill="C8EEFC"/>
            <w:vAlign w:val="center"/>
          </w:tcPr>
          <w:p w:rsidR="00000000" w:rsidRDefault="00000000">
            <w:pPr>
              <w:spacing w:line="360" w:lineRule="exact"/>
              <w:rPr>
                <w:sz w:val="18"/>
                <w:szCs w:val="18"/>
              </w:rPr>
            </w:pPr>
            <w:r>
              <w:rPr>
                <w:sz w:val="18"/>
                <w:szCs w:val="18"/>
              </w:rPr>
              <w:t>20.</w:t>
            </w:r>
            <w:r>
              <w:rPr>
                <w:sz w:val="18"/>
                <w:szCs w:val="18"/>
              </w:rPr>
              <w:t>能源综合生产能力（万吨标煤）</w:t>
            </w:r>
          </w:p>
        </w:tc>
        <w:tc>
          <w:tcPr>
            <w:tcW w:w="836" w:type="dxa"/>
            <w:shd w:val="clear" w:color="auto" w:fill="C8EEFC"/>
            <w:vAlign w:val="center"/>
          </w:tcPr>
          <w:p w:rsidR="00000000" w:rsidRDefault="00000000">
            <w:pPr>
              <w:spacing w:line="360" w:lineRule="exact"/>
              <w:jc w:val="center"/>
              <w:rPr>
                <w:sz w:val="18"/>
                <w:szCs w:val="18"/>
              </w:rPr>
            </w:pPr>
            <w:r>
              <w:rPr>
                <w:sz w:val="18"/>
                <w:szCs w:val="18"/>
              </w:rPr>
              <w:t>41</w:t>
            </w:r>
          </w:p>
        </w:tc>
        <w:tc>
          <w:tcPr>
            <w:tcW w:w="809" w:type="dxa"/>
            <w:shd w:val="clear" w:color="auto" w:fill="C8EEFC"/>
            <w:vAlign w:val="center"/>
          </w:tcPr>
          <w:p w:rsidR="00000000" w:rsidRDefault="00000000">
            <w:pPr>
              <w:spacing w:line="360" w:lineRule="exact"/>
              <w:jc w:val="center"/>
              <w:rPr>
                <w:sz w:val="18"/>
                <w:szCs w:val="18"/>
              </w:rPr>
            </w:pPr>
            <w:r>
              <w:rPr>
                <w:sz w:val="18"/>
                <w:szCs w:val="18"/>
              </w:rPr>
              <w:t>100</w:t>
            </w:r>
          </w:p>
        </w:tc>
        <w:tc>
          <w:tcPr>
            <w:tcW w:w="1011" w:type="dxa"/>
            <w:shd w:val="clear" w:color="auto" w:fill="C8EEFC"/>
            <w:vAlign w:val="center"/>
          </w:tcPr>
          <w:p w:rsidR="00000000" w:rsidRDefault="00000000">
            <w:pPr>
              <w:spacing w:line="360" w:lineRule="exact"/>
              <w:jc w:val="center"/>
              <w:rPr>
                <w:sz w:val="18"/>
                <w:szCs w:val="18"/>
              </w:rPr>
            </w:pPr>
            <w:r>
              <w:rPr>
                <w:sz w:val="18"/>
                <w:szCs w:val="18"/>
              </w:rPr>
              <w:t>—</w:t>
            </w:r>
          </w:p>
        </w:tc>
        <w:tc>
          <w:tcPr>
            <w:tcW w:w="814" w:type="dxa"/>
            <w:shd w:val="clear" w:color="auto" w:fill="C8EEFC"/>
            <w:vAlign w:val="center"/>
          </w:tcPr>
          <w:p w:rsidR="00000000" w:rsidRDefault="00000000">
            <w:pPr>
              <w:spacing w:line="360" w:lineRule="exact"/>
              <w:jc w:val="center"/>
              <w:rPr>
                <w:sz w:val="18"/>
                <w:szCs w:val="18"/>
              </w:rPr>
            </w:pPr>
            <w:r>
              <w:rPr>
                <w:sz w:val="18"/>
                <w:szCs w:val="18"/>
              </w:rPr>
              <w:t>约束性</w:t>
            </w:r>
          </w:p>
        </w:tc>
      </w:tr>
      <w:tr w:rsidR="00000000">
        <w:trPr>
          <w:trHeight w:hRule="exact" w:val="620"/>
        </w:trPr>
        <w:tc>
          <w:tcPr>
            <w:tcW w:w="6693" w:type="dxa"/>
            <w:gridSpan w:val="5"/>
            <w:shd w:val="clear" w:color="auto" w:fill="C8EEFC"/>
            <w:vAlign w:val="center"/>
          </w:tcPr>
          <w:p w:rsidR="00000000" w:rsidRDefault="00000000">
            <w:pPr>
              <w:spacing w:line="480" w:lineRule="exact"/>
              <w:rPr>
                <w:rFonts w:eastAsia="楷体_GB2312"/>
                <w:sz w:val="18"/>
                <w:szCs w:val="18"/>
              </w:rPr>
            </w:pPr>
            <w:r>
              <w:rPr>
                <w:rFonts w:eastAsia="楷体_GB2312"/>
                <w:b/>
                <w:sz w:val="18"/>
                <w:szCs w:val="18"/>
              </w:rPr>
              <w:t>注：（</w:t>
            </w:r>
            <w:r>
              <w:rPr>
                <w:rFonts w:eastAsia="楷体_GB2312"/>
                <w:b/>
                <w:sz w:val="18"/>
                <w:szCs w:val="18"/>
              </w:rPr>
              <w:t>1</w:t>
            </w:r>
            <w:r>
              <w:rPr>
                <w:rFonts w:eastAsia="楷体_GB2312"/>
                <w:b/>
                <w:sz w:val="18"/>
                <w:szCs w:val="18"/>
              </w:rPr>
              <w:t>）地区生产总值增长率按可比价计算。</w:t>
            </w:r>
            <w:r>
              <w:rPr>
                <w:rFonts w:eastAsia="楷体_GB2312"/>
                <w:b/>
                <w:sz w:val="18"/>
                <w:szCs w:val="18"/>
              </w:rPr>
              <w:t xml:space="preserve">  </w:t>
            </w:r>
            <w:r>
              <w:rPr>
                <w:rFonts w:eastAsia="楷体_GB2312"/>
                <w:b/>
                <w:sz w:val="18"/>
                <w:szCs w:val="18"/>
              </w:rPr>
              <w:t>（</w:t>
            </w:r>
            <w:r>
              <w:rPr>
                <w:rFonts w:eastAsia="楷体_GB2312"/>
                <w:b/>
                <w:sz w:val="18"/>
                <w:szCs w:val="18"/>
              </w:rPr>
              <w:t>2</w:t>
            </w:r>
            <w:r>
              <w:rPr>
                <w:rFonts w:eastAsia="楷体_GB2312"/>
                <w:b/>
                <w:sz w:val="18"/>
                <w:szCs w:val="18"/>
              </w:rPr>
              <w:t>）</w:t>
            </w:r>
            <w:r>
              <w:rPr>
                <w:rFonts w:eastAsia="楷体_GB2312"/>
                <w:b/>
                <w:sz w:val="18"/>
                <w:szCs w:val="18"/>
              </w:rPr>
              <w:t>[    ]</w:t>
            </w:r>
            <w:r>
              <w:rPr>
                <w:rFonts w:eastAsia="楷体_GB2312"/>
                <w:b/>
                <w:sz w:val="18"/>
                <w:szCs w:val="18"/>
              </w:rPr>
              <w:t>内为</w:t>
            </w:r>
            <w:r>
              <w:rPr>
                <w:rFonts w:eastAsia="楷体_GB2312"/>
                <w:b/>
                <w:sz w:val="18"/>
                <w:szCs w:val="18"/>
              </w:rPr>
              <w:t>5</w:t>
            </w:r>
            <w:r>
              <w:rPr>
                <w:rFonts w:eastAsia="楷体_GB2312"/>
                <w:b/>
                <w:sz w:val="18"/>
                <w:szCs w:val="18"/>
              </w:rPr>
              <w:t>年累计数。</w:t>
            </w:r>
          </w:p>
        </w:tc>
      </w:tr>
    </w:tbl>
    <w:p w:rsidR="00000000" w:rsidRDefault="00000000">
      <w:pPr>
        <w:spacing w:line="480" w:lineRule="exact"/>
        <w:ind w:firstLine="683"/>
        <w:rPr>
          <w:rFonts w:ascii="宋体" w:hAnsi="宋体" w:cs="宋体" w:hint="eastAsia"/>
          <w:kern w:val="0"/>
          <w:szCs w:val="21"/>
        </w:rPr>
      </w:pPr>
    </w:p>
    <w:p w:rsidR="00000000" w:rsidRDefault="00000000">
      <w:pPr>
        <w:spacing w:line="480" w:lineRule="exact"/>
        <w:rPr>
          <w:rFonts w:eastAsia="黑体"/>
          <w:b/>
          <w:sz w:val="36"/>
          <w:szCs w:val="36"/>
        </w:rPr>
        <w:sectPr w:rsidR="00000000">
          <w:headerReference w:type="even" r:id="rId14"/>
          <w:headerReference w:type="default" r:id="rId15"/>
          <w:footerReference w:type="even" r:id="rId16"/>
          <w:footerReference w:type="default" r:id="rId17"/>
          <w:pgSz w:w="8390" w:h="11905"/>
          <w:pgMar w:top="1701" w:right="1134" w:bottom="1134" w:left="1134" w:header="1304" w:footer="850" w:gutter="0"/>
          <w:pgNumType w:fmt="numberInDash" w:start="12"/>
          <w:cols w:space="720"/>
          <w:docGrid w:type="lines" w:linePitch="321"/>
        </w:sectPr>
      </w:pPr>
      <w:bookmarkStart w:id="117" w:name="_Toc57106145"/>
      <w:bookmarkStart w:id="118" w:name="_Toc59084985"/>
    </w:p>
    <w:p w:rsidR="00000000" w:rsidRDefault="00D54102">
      <w:pPr>
        <w:spacing w:line="480" w:lineRule="exact"/>
        <w:rPr>
          <w:rFonts w:eastAsia="黑体"/>
          <w:b/>
          <w:sz w:val="36"/>
          <w:szCs w:val="36"/>
        </w:rPr>
        <w:sectPr w:rsidR="00000000">
          <w:headerReference w:type="even" r:id="rId18"/>
          <w:headerReference w:type="default" r:id="rId19"/>
          <w:footerReference w:type="even" r:id="rId20"/>
          <w:footerReference w:type="default" r:id="rId21"/>
          <w:pgSz w:w="8390" w:h="11905"/>
          <w:pgMar w:top="1701" w:right="1134" w:bottom="1134" w:left="1134" w:header="1304" w:footer="850" w:gutter="0"/>
          <w:pgNumType w:fmt="numberInDash" w:start="20"/>
          <w:cols w:space="720"/>
          <w:docGrid w:type="lines" w:linePitch="321"/>
        </w:sectPr>
      </w:pPr>
      <w:r>
        <w:rPr>
          <w:noProof/>
        </w:rPr>
        <w:lastRenderedPageBreak/>
        <mc:AlternateContent>
          <mc:Choice Requires="wps">
            <w:drawing>
              <wp:anchor distT="0" distB="0" distL="114300" distR="114300" simplePos="0" relativeHeight="251652096" behindDoc="0" locked="0" layoutInCell="1" allowOverlap="1">
                <wp:simplePos x="0" y="0"/>
                <wp:positionH relativeFrom="column">
                  <wp:posOffset>-720090</wp:posOffset>
                </wp:positionH>
                <wp:positionV relativeFrom="paragraph">
                  <wp:posOffset>1737995</wp:posOffset>
                </wp:positionV>
                <wp:extent cx="5374005" cy="1113790"/>
                <wp:effectExtent l="3810" t="0" r="3810" b="1905"/>
                <wp:wrapSquare wrapText="bothSides"/>
                <wp:docPr id="68"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13790"/>
                        </a:xfrm>
                        <a:prstGeom prst="rect">
                          <a:avLst/>
                        </a:prstGeom>
                        <a:solidFill>
                          <a:srgbClr val="C8EEFC"/>
                        </a:solidFill>
                        <a:ln>
                          <a:noFill/>
                        </a:ln>
                        <a:effectLst/>
                        <a:extLs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00000" w:rsidRDefault="00000000">
                            <w:pPr>
                              <w:spacing w:line="480" w:lineRule="exact"/>
                              <w:jc w:val="center"/>
                              <w:rPr>
                                <w:rFonts w:ascii="方正小标宋简体" w:eastAsia="方正小标宋简体" w:hAnsi="方正小标宋简体" w:cs="方正小标宋简体" w:hint="eastAsia"/>
                                <w:spacing w:val="1"/>
                                <w:sz w:val="32"/>
                                <w:szCs w:val="32"/>
                              </w:rPr>
                            </w:pPr>
                            <w:r>
                              <w:rPr>
                                <w:rFonts w:ascii="方正小标宋简体" w:eastAsia="方正小标宋简体" w:hAnsi="方正小标宋简体" w:cs="方正小标宋简体" w:hint="eastAsia"/>
                                <w:spacing w:val="1"/>
                                <w:sz w:val="32"/>
                                <w:szCs w:val="32"/>
                              </w:rPr>
                              <w:t>第三章  优化国土空间布局</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助推城乡区域协调发展</w:t>
                            </w:r>
                          </w:p>
                        </w:txbxContent>
                      </wps:txbx>
                      <wps:bodyPr rot="0" vert="horz" wrap="square" lIns="91440" tIns="251998" rIns="91440" bIns="71999"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3" o:spid="_x0000_s1028" type="#_x0000_t202" style="position:absolute;left:0;text-align:left;margin-left:-56.7pt;margin-top:136.85pt;width:423.15pt;height:87.7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" fillcolor="#c8eefc" stroked="f">
                <v:textbox inset=",6.99994mm,,1.99997mm">
                  <w:txbxContent>
                    <w:p w:rsidR="00000000" w:rsidRDefault="00000000">
                      <w:pPr>
                        <w:spacing w:line="480" w:lineRule="exact"/>
                        <w:jc w:val="center"/>
                        <w:rPr>
                          <w:rFonts w:ascii="方正小标宋简体" w:eastAsia="方正小标宋简体" w:hAnsi="方正小标宋简体" w:cs="方正小标宋简体" w:hint="eastAsia"/>
                          <w:spacing w:val="1"/>
                          <w:sz w:val="32"/>
                          <w:szCs w:val="32"/>
                        </w:rPr>
                      </w:pPr>
                      <w:r>
                        <w:rPr>
                          <w:rFonts w:ascii="方正小标宋简体" w:eastAsia="方正小标宋简体" w:hAnsi="方正小标宋简体" w:cs="方正小标宋简体" w:hint="eastAsia"/>
                          <w:spacing w:val="1"/>
                          <w:sz w:val="32"/>
                          <w:szCs w:val="32"/>
                        </w:rPr>
                        <w:t>第三章  优化国土空间布局</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助推城乡区域协调发展</w:t>
                      </w:r>
                    </w:p>
                  </w:txbxContent>
                </v:textbox>
                <w10:wrap type="square"/>
              </v:shape>
            </w:pict>
          </mc:Fallback>
        </mc:AlternateContent>
      </w:r>
    </w:p>
    <w:p w:rsidR="00000000" w:rsidRDefault="00000000">
      <w:pPr>
        <w:spacing w:line="480" w:lineRule="exact"/>
        <w:ind w:firstLineChars="200" w:firstLine="424"/>
        <w:rPr>
          <w:rFonts w:eastAsia="楷体_GB2312"/>
          <w:bCs/>
          <w:kern w:val="0"/>
          <w:sz w:val="28"/>
          <w:szCs w:val="28"/>
        </w:rPr>
      </w:pPr>
      <w:bookmarkStart w:id="119" w:name="_Toc57106146"/>
      <w:bookmarkStart w:id="120" w:name="_Toc59084986"/>
      <w:bookmarkStart w:id="121" w:name="_Toc55167051"/>
      <w:bookmarkStart w:id="122" w:name="_Toc51616454"/>
      <w:bookmarkStart w:id="123" w:name="_Toc51616455"/>
      <w:bookmarkEnd w:id="117"/>
      <w:bookmarkEnd w:id="118"/>
      <w:r>
        <w:rPr>
          <w:rFonts w:ascii="宋体" w:hAnsi="宋体" w:cs="宋体" w:hint="eastAsia"/>
          <w:spacing w:val="1"/>
          <w:kern w:val="0"/>
          <w:szCs w:val="21"/>
        </w:rPr>
        <w:lastRenderedPageBreak/>
        <w:t>坚持主体功能区战略，</w:t>
      </w:r>
      <w:r>
        <w:rPr>
          <w:rFonts w:ascii="宋体" w:hAnsi="宋体" w:cs="宋体" w:hint="eastAsia"/>
          <w:spacing w:val="1"/>
          <w:szCs w:val="21"/>
        </w:rPr>
        <w:t>科学编制国土空间规划，划定“三区三线”，把以人为本、集约高效、绿色低碳、传承文脉的理念，全方位融入国土空间布局和城乡发展，</w:t>
      </w:r>
      <w:r>
        <w:rPr>
          <w:rFonts w:ascii="宋体" w:hAnsi="宋体" w:cs="宋体" w:hint="eastAsia"/>
          <w:spacing w:val="1"/>
          <w:kern w:val="0"/>
          <w:szCs w:val="21"/>
        </w:rPr>
        <w:t>实施新型城镇化战略，</w:t>
      </w:r>
      <w:r>
        <w:rPr>
          <w:rFonts w:ascii="宋体" w:hAnsi="宋体" w:cs="宋体" w:hint="eastAsia"/>
          <w:spacing w:val="1"/>
          <w:szCs w:val="21"/>
        </w:rPr>
        <w:t>提升城市建设品质和管理精细化水平，实现生态空间山清水秀、生产空间集约高效、生活空间和谐宜居。</w:t>
      </w:r>
      <w:bookmarkStart w:id="124" w:name="_Toc65938197"/>
    </w:p>
    <w:p w:rsidR="00000000" w:rsidRDefault="00000000">
      <w:pPr>
        <w:pStyle w:val="2"/>
        <w:spacing w:beforeLines="100" w:before="321" w:afterLines="50" w:after="160" w:line="480" w:lineRule="exact"/>
        <w:jc w:val="center"/>
        <w:rPr>
          <w:rFonts w:ascii="楷体_GB2312" w:eastAsia="楷体_GB2312" w:hAnsi="楷体_GB2312" w:cs="楷体_GB2312" w:hint="eastAsia"/>
          <w:bCs w:val="0"/>
          <w:kern w:val="0"/>
          <w:sz w:val="24"/>
          <w:szCs w:val="24"/>
        </w:rPr>
      </w:pPr>
      <w:bookmarkStart w:id="125" w:name="_Toc28395"/>
      <w:r>
        <w:rPr>
          <w:rFonts w:ascii="楷体_GB2312" w:eastAsia="楷体_GB2312" w:hAnsi="楷体_GB2312" w:cs="楷体_GB2312" w:hint="eastAsia"/>
          <w:bCs w:val="0"/>
          <w:kern w:val="0"/>
          <w:sz w:val="24"/>
          <w:szCs w:val="24"/>
        </w:rPr>
        <w:t xml:space="preserve">第一节  </w:t>
      </w:r>
      <w:bookmarkEnd w:id="119"/>
      <w:bookmarkEnd w:id="120"/>
      <w:bookmarkEnd w:id="121"/>
      <w:bookmarkEnd w:id="122"/>
      <w:r>
        <w:rPr>
          <w:rFonts w:ascii="楷体_GB2312" w:eastAsia="楷体_GB2312" w:hAnsi="楷体_GB2312" w:cs="楷体_GB2312" w:hint="eastAsia"/>
          <w:bCs w:val="0"/>
          <w:kern w:val="0"/>
          <w:sz w:val="24"/>
          <w:szCs w:val="24"/>
        </w:rPr>
        <w:t>优先确定生态保护空间</w:t>
      </w:r>
      <w:bookmarkEnd w:id="124"/>
      <w:bookmarkEnd w:id="125"/>
    </w:p>
    <w:p w:rsidR="00000000" w:rsidRDefault="00000000">
      <w:pPr>
        <w:pStyle w:val="Normal24"/>
        <w:widowControl w:val="0"/>
        <w:spacing w:before="0" w:after="0" w:line="520" w:lineRule="exact"/>
        <w:ind w:firstLineChars="200" w:firstLine="420"/>
        <w:rPr>
          <w:rFonts w:eastAsia="楷体_GB2312"/>
          <w:bCs/>
          <w:sz w:val="28"/>
          <w:szCs w:val="28"/>
          <w:lang w:eastAsia="zh-CN"/>
        </w:rPr>
      </w:pPr>
      <w:r>
        <w:rPr>
          <w:rFonts w:ascii="宋体" w:eastAsia="宋体" w:hAnsi="宋体" w:cs="宋体" w:hint="eastAsia"/>
          <w:sz w:val="21"/>
          <w:szCs w:val="21"/>
          <w:lang w:eastAsia="zh-CN"/>
        </w:rPr>
        <w:t>构建“一核心、两屏障、三廊道、多节点”生态空间格局，打造绿色长城，在全域构建起连续完整的生态安全屏障。一核心为构建大沁他拉镇周边生态保护和高质量发展核心；两屏障为以水源涵养生态多样化保护、沙地综合治理、水土流失治理为主题功能，强化生态功能和价值，构建北部沙区生物多样化、沙地综合治理与保护屏障，南部山区水源涵养、水土流失保护、山地动植物资源保护的生态屏障；三廊道为构建教来河、牤牛河、国道111线两侧的生态廊道；多节点为孟家段水库以及南部山区已有的小型水库周边的生态环境，营造和保护部分未开垦的草原、湿地，构建自然保护地体系。科学编制国土生态修复规划，实施森林生态建设、草原生态</w:t>
      </w:r>
      <w:r>
        <w:rPr>
          <w:rFonts w:ascii="宋体" w:eastAsia="宋体" w:hAnsi="宋体" w:cs="宋体" w:hint="eastAsia"/>
          <w:sz w:val="21"/>
          <w:szCs w:val="21"/>
          <w:lang w:eastAsia="zh-CN"/>
        </w:rPr>
        <w:lastRenderedPageBreak/>
        <w:t>建设、湿地保护、沙地治理、水土保持、全域土地整治、绿色矿山等重点工程。</w:t>
      </w:r>
      <w:bookmarkStart w:id="126" w:name="_Toc65938198"/>
      <w:bookmarkStart w:id="127" w:name="_Toc57106147"/>
      <w:bookmarkStart w:id="128" w:name="_Toc55167052"/>
      <w:bookmarkStart w:id="129" w:name="_Toc59084987"/>
    </w:p>
    <w:p w:rsidR="00000000" w:rsidRDefault="00000000">
      <w:pPr>
        <w:pStyle w:val="2"/>
        <w:spacing w:beforeLines="100" w:before="321" w:afterLines="50" w:after="160" w:line="480" w:lineRule="exact"/>
        <w:jc w:val="center"/>
        <w:rPr>
          <w:rFonts w:ascii="楷体_GB2312" w:eastAsia="楷体_GB2312" w:hAnsi="楷体_GB2312" w:cs="楷体_GB2312" w:hint="eastAsia"/>
          <w:bCs w:val="0"/>
          <w:kern w:val="0"/>
          <w:sz w:val="24"/>
          <w:szCs w:val="24"/>
        </w:rPr>
      </w:pPr>
      <w:bookmarkStart w:id="130" w:name="_Toc18626"/>
      <w:r>
        <w:rPr>
          <w:rFonts w:ascii="楷体_GB2312" w:eastAsia="楷体_GB2312" w:hAnsi="楷体_GB2312" w:cs="楷体_GB2312" w:hint="eastAsia"/>
          <w:bCs w:val="0"/>
          <w:kern w:val="0"/>
          <w:sz w:val="24"/>
          <w:szCs w:val="24"/>
        </w:rPr>
        <w:t>第二节  保障农牧业发展空间</w:t>
      </w:r>
      <w:bookmarkEnd w:id="126"/>
      <w:bookmarkEnd w:id="130"/>
    </w:p>
    <w:p w:rsidR="00000000" w:rsidRDefault="00000000">
      <w:pPr>
        <w:pStyle w:val="Normal24"/>
        <w:widowControl w:val="0"/>
        <w:spacing w:before="0" w:after="0" w:line="520" w:lineRule="exact"/>
        <w:ind w:firstLineChars="200" w:firstLine="420"/>
        <w:rPr>
          <w:rFonts w:eastAsia="楷体_GB2312"/>
          <w:b/>
          <w:sz w:val="28"/>
          <w:szCs w:val="28"/>
          <w:lang w:eastAsia="zh-CN"/>
        </w:rPr>
      </w:pPr>
      <w:r>
        <w:rPr>
          <w:rFonts w:ascii="宋体" w:eastAsia="宋体" w:hAnsi="宋体" w:cs="宋体" w:hint="eastAsia"/>
          <w:sz w:val="21"/>
          <w:szCs w:val="21"/>
          <w:lang w:eastAsia="zh-CN"/>
        </w:rPr>
        <w:t>优化农牧业生产空间布局，重点保护集中连片的基本农田和基本草原，永久基本农田面积达到国家标准以上。围绕保障国家粮食安全和重要农畜产品供给，划定设施农业发展区、粮食生产区、特色农业种植区、草原畜牧发展区、耕地后备资源开发区，基本农田补划储备区、矿业开发生产区、矿业资源储备区，加快推进生态产业化和产业生态化，提高农畜产品生产能力。构建以“三区一带”为主体的集约现代农牧业空间格局。</w:t>
      </w:r>
      <w:bookmarkStart w:id="131" w:name="_Toc9079"/>
      <w:bookmarkStart w:id="132" w:name="_Toc65938199"/>
    </w:p>
    <w:p w:rsidR="00000000" w:rsidRDefault="00000000">
      <w:pPr>
        <w:pStyle w:val="2"/>
        <w:spacing w:beforeLines="100" w:before="321" w:afterLines="50" w:after="160" w:line="480" w:lineRule="exact"/>
        <w:jc w:val="center"/>
        <w:rPr>
          <w:rFonts w:ascii="楷体_GB2312" w:eastAsia="楷体_GB2312" w:hAnsi="楷体_GB2312" w:cs="楷体_GB2312" w:hint="eastAsia"/>
          <w:bCs w:val="0"/>
          <w:kern w:val="0"/>
          <w:sz w:val="24"/>
          <w:szCs w:val="24"/>
        </w:rPr>
      </w:pPr>
      <w:r>
        <w:rPr>
          <w:rFonts w:ascii="楷体_GB2312" w:eastAsia="楷体_GB2312" w:hAnsi="楷体_GB2312" w:cs="楷体_GB2312" w:hint="eastAsia"/>
          <w:bCs w:val="0"/>
          <w:kern w:val="0"/>
          <w:sz w:val="24"/>
          <w:szCs w:val="24"/>
        </w:rPr>
        <w:t>第三节  优化城乡融合发展空间</w:t>
      </w:r>
      <w:bookmarkEnd w:id="131"/>
      <w:bookmarkEnd w:id="132"/>
    </w:p>
    <w:p w:rsidR="00000000" w:rsidRDefault="00000000">
      <w:pPr>
        <w:spacing w:line="480" w:lineRule="exact"/>
        <w:ind w:firstLineChars="200" w:firstLine="420"/>
        <w:rPr>
          <w:rFonts w:ascii="宋体" w:hAnsi="宋体" w:cs="宋体" w:hint="eastAsia"/>
          <w:szCs w:val="21"/>
        </w:rPr>
      </w:pPr>
      <w:r>
        <w:rPr>
          <w:rFonts w:eastAsia="楷体_GB2312"/>
          <w:szCs w:val="21"/>
        </w:rPr>
        <w:t>塑造多元宜居城镇新空间。</w:t>
      </w:r>
      <w:r>
        <w:rPr>
          <w:rFonts w:ascii="宋体" w:hAnsi="宋体" w:cs="宋体" w:hint="eastAsia"/>
          <w:szCs w:val="21"/>
        </w:rPr>
        <w:t>根据城镇化、工业化、信息化、农牧现代化发展需求，优化城镇空间和布局，引导人口和产业聚集，塑造生态宜居的城镇空间，协调生产、生活、生态三大空间，统筹空间、规模、产业三大结构，加快推进城市建设，形成大沁他拉城</w:t>
      </w:r>
      <w:r>
        <w:rPr>
          <w:rFonts w:ascii="宋体" w:hAnsi="宋体" w:cs="宋体" w:hint="eastAsia"/>
          <w:szCs w:val="21"/>
        </w:rPr>
        <w:lastRenderedPageBreak/>
        <w:t>市新的“一城、一带、三组团”空间结构。“一城”即主城区，“一带”即城北休闲生态绿带，“三组团”即大沁他拉镇城东两个工业组团、城北休闲生态绿带北侧城镇新型社区组团、现代服务业发展组团。</w:t>
      </w:r>
    </w:p>
    <w:p w:rsidR="00000000" w:rsidRDefault="00000000">
      <w:pPr>
        <w:spacing w:line="480" w:lineRule="exact"/>
        <w:ind w:firstLineChars="200" w:firstLine="420"/>
        <w:rPr>
          <w:rFonts w:eastAsia="楷体_GB2312"/>
          <w:b/>
          <w:kern w:val="0"/>
          <w:sz w:val="28"/>
          <w:szCs w:val="28"/>
        </w:rPr>
      </w:pPr>
      <w:r>
        <w:rPr>
          <w:rFonts w:eastAsia="楷体_GB2312"/>
          <w:szCs w:val="21"/>
        </w:rPr>
        <w:t>推进美丽乡村建设。</w:t>
      </w:r>
      <w:r>
        <w:rPr>
          <w:rFonts w:ascii="宋体" w:hAnsi="宋体" w:cs="宋体" w:hint="eastAsia"/>
          <w:szCs w:val="21"/>
        </w:rPr>
        <w:t>根据村庄的发展现状、区位条件，资源禀赋等，将村庄划分为生态保护红线内外两类牧民点和聚集提升、城郊融合、特色保护、搬迁撤并四类农村居民点，构建美丽乡村新格局。合理布局生活空间，适度增加生产空间，科学保护生态空间。推动农牧业资源区域化整合，多元化增值，增强地方特色产品时代感和竞争力，增强乡村生态产品和服务供给能力，实施农畜产品加工业提升行动，促进农产品多层次、多环节转化升值。实施电子商务进农村牧区综合示范项目，建设农村牧区电子商务基础设施，建立健全适应农畜产品电商发展的标准体系。培育农牧业现代化供应链主体，加强农商互联，发展农超、农社、农企、农校等产销对接的新型流通业态。实施休闲农业和乡村旅游精品工程，发展乡村共享经济新业态，推动科技、人文等元素融入农业，强化农牧业生产性服务业的支撑作用，构建全程覆盖、区域集成、配套完备的新型农业社会化服务体系。依托现代农牧业产业园、科技园、加工园、</w:t>
      </w:r>
      <w:r>
        <w:rPr>
          <w:rFonts w:ascii="宋体" w:hAnsi="宋体" w:cs="宋体" w:hint="eastAsia"/>
          <w:szCs w:val="21"/>
        </w:rPr>
        <w:lastRenderedPageBreak/>
        <w:t>养殖园等载体，打造农村牧区产业融合发展的平台，促进农牧业内部融合，延伸农牧业产业链。加快培育农商产业联盟、农业产业化联合体等新型产业链主体，打造一批产加销一体的全产链产业集群。</w:t>
      </w:r>
      <w:bookmarkStart w:id="133" w:name="_Toc65938200"/>
    </w:p>
    <w:p w:rsidR="00000000" w:rsidRDefault="00000000">
      <w:pPr>
        <w:pStyle w:val="2"/>
        <w:spacing w:beforeLines="100" w:before="321" w:afterLines="50" w:after="160" w:line="480" w:lineRule="exact"/>
        <w:jc w:val="center"/>
        <w:rPr>
          <w:rFonts w:ascii="楷体_GB2312" w:eastAsia="楷体_GB2312" w:hAnsi="楷体_GB2312" w:cs="楷体_GB2312" w:hint="eastAsia"/>
          <w:bCs w:val="0"/>
          <w:kern w:val="0"/>
          <w:sz w:val="24"/>
          <w:szCs w:val="24"/>
        </w:rPr>
      </w:pPr>
      <w:bookmarkStart w:id="134" w:name="_Toc18395"/>
      <w:r>
        <w:rPr>
          <w:rFonts w:ascii="楷体_GB2312" w:eastAsia="楷体_GB2312" w:hAnsi="楷体_GB2312" w:cs="楷体_GB2312" w:hint="eastAsia"/>
          <w:bCs w:val="0"/>
          <w:kern w:val="0"/>
          <w:sz w:val="24"/>
          <w:szCs w:val="24"/>
        </w:rPr>
        <w:t>第四节  推进新型城镇化建设</w:t>
      </w:r>
      <w:bookmarkEnd w:id="133"/>
      <w:bookmarkEnd w:id="134"/>
    </w:p>
    <w:bookmarkEnd w:id="127"/>
    <w:bookmarkEnd w:id="128"/>
    <w:bookmarkEnd w:id="129"/>
    <w:p w:rsidR="00000000" w:rsidRDefault="00000000">
      <w:pPr>
        <w:spacing w:line="480" w:lineRule="exact"/>
        <w:ind w:firstLineChars="200" w:firstLine="420"/>
        <w:rPr>
          <w:rFonts w:ascii="宋体" w:hAnsi="宋体" w:cs="宋体" w:hint="eastAsia"/>
          <w:szCs w:val="21"/>
        </w:rPr>
      </w:pPr>
      <w:r>
        <w:rPr>
          <w:rFonts w:eastAsia="楷体_GB2312"/>
          <w:szCs w:val="21"/>
        </w:rPr>
        <w:t>促进农牧业转移人口市民化。</w:t>
      </w:r>
      <w:r>
        <w:rPr>
          <w:rFonts w:ascii="宋体" w:hAnsi="宋体" w:cs="宋体" w:hint="eastAsia"/>
          <w:szCs w:val="21"/>
        </w:rPr>
        <w:t>引导农牧业转移人口就近城镇化。实现居住证制度覆盖城镇全部未落户常住人口，提高居住证发放量，向未落户人口提供城镇基本公共服务及办事便利。推进“三个市民化”进程，加快外来务工人员、农村牧区转移就业人口、城中村和城边村居民转为市民。落实农业转移人口城镇落户政策、农业转移人口市民化财政政策、城镇建设用地增加规模与吸纳农业转移人口落户数量挂钩政策。建立进城落户农牧民农村牧区“三权”维护和自愿有偿退出机制。推动基本公共服务覆盖城镇常住人口，实现公办学校普遍向随迁子女开放。深入实施就业创业行动计划，加大农民工职业技能培训力度，实施多渠道、多层次创业培训补贴等就业扶持政策，不断完善转移农牧民社会保障力度。到2025年，常住人口城镇化率达到50%。</w:t>
      </w:r>
    </w:p>
    <w:p w:rsidR="00000000" w:rsidRDefault="00000000">
      <w:pPr>
        <w:spacing w:line="480" w:lineRule="exact"/>
        <w:ind w:firstLineChars="200" w:firstLine="420"/>
        <w:rPr>
          <w:rFonts w:ascii="宋体" w:hAnsi="宋体" w:cs="宋体" w:hint="eastAsia"/>
          <w:szCs w:val="21"/>
        </w:rPr>
      </w:pPr>
      <w:r>
        <w:rPr>
          <w:rFonts w:eastAsia="楷体_GB2312"/>
          <w:szCs w:val="21"/>
        </w:rPr>
        <w:t>提升城镇综合承载能力。</w:t>
      </w:r>
      <w:r>
        <w:rPr>
          <w:rFonts w:ascii="宋体" w:hAnsi="宋体" w:cs="宋体" w:hint="eastAsia"/>
          <w:szCs w:val="21"/>
        </w:rPr>
        <w:t>推进以人为核心的新型城镇化，协同</w:t>
      </w:r>
      <w:r>
        <w:rPr>
          <w:rFonts w:ascii="宋体" w:hAnsi="宋体" w:cs="宋体" w:hint="eastAsia"/>
          <w:szCs w:val="21"/>
        </w:rPr>
        <w:lastRenderedPageBreak/>
        <w:t>推进新城区建设与老城区改造，围绕城关镇“一城、一带、三组团”的空间结构，深入实施城关镇“北延东扩”战略，形成“十横六纵”城区路网框架。实施城市更新行动，统筹城市规划、建设、管理，推进城市生态修复和功能完善。推动城关镇集约发展，加快棚户区改造，促进居住、生活、健身、休闲等基础设施和功能向空中、向楼上适度延伸拓展，实现老城区横向腾地增绿，规划区整体布局优化拓展、增容塑新。启动实施城区55个老旧小区改造，推进老城区排污系统改造和排水系统改造提升、市政道路工程及市政设施、城镇公厕配套设施建设。加强城镇公共供水、道路交通、燃气供热、信息网络、分布式能源等市政设施和教育、医疗、文化等公共服务设施建设。推进人防工程、城区公园、停车场、新能源充电桩等项目建设。强化城市污染治理，加快推进城乡垃圾一体化转运项目，完成城镇生活垃圾焚烧发电工程建设，持续治理大气污染，巩固提升国家园林城创建成果。加强历史文化保护、塑造城市风貌。</w:t>
      </w:r>
    </w:p>
    <w:p w:rsidR="00000000" w:rsidRDefault="00000000">
      <w:pPr>
        <w:spacing w:line="470" w:lineRule="exact"/>
        <w:ind w:firstLine="641"/>
        <w:rPr>
          <w:rFonts w:ascii="宋体" w:hAnsi="宋体" w:cs="宋体" w:hint="eastAsia"/>
          <w:szCs w:val="21"/>
        </w:rPr>
      </w:pPr>
      <w:r>
        <w:rPr>
          <w:rFonts w:eastAsia="楷体_GB2312"/>
          <w:szCs w:val="21"/>
        </w:rPr>
        <w:t>建设特色小镇。</w:t>
      </w:r>
      <w:r>
        <w:rPr>
          <w:rFonts w:ascii="宋体" w:hAnsi="宋体" w:cs="宋体" w:hint="eastAsia"/>
          <w:szCs w:val="21"/>
        </w:rPr>
        <w:t>突出优势特色产业，推动“以产聚镇”、“一镇一业”，推动特色小镇发展融入全旗发展格局。加快产业、文化、旅游、社区“四位一体”和生产、生活、生态融合发展，打造集聚特色产业的创新创业生态生活圈。强化基础设施和公共服务设施建</w:t>
      </w:r>
      <w:r>
        <w:rPr>
          <w:rFonts w:ascii="宋体" w:hAnsi="宋体" w:cs="宋体" w:hint="eastAsia"/>
          <w:szCs w:val="21"/>
        </w:rPr>
        <w:lastRenderedPageBreak/>
        <w:t>设，增强区域教育、医疗、文体等镇区服务功能，推进特色小镇多元功能聚合。加快推进奈曼蒙中医药、青龙山甘薯、白音他拉旅游、八仙筒商贸等特色小镇纳入自治区特色小镇高质量发展创建名单，鼓励其他苏木乡镇场找准特色、差异化发展。突出企业主体地位，推进特色小镇市场化运作，促进创业带动就业。</w:t>
      </w:r>
    </w:p>
    <w:tbl>
      <w:tblPr>
        <w:tblpPr w:leftFromText="180" w:rightFromText="180" w:vertAnchor="text" w:horzAnchor="page" w:tblpXSpec="center" w:tblpY="2533"/>
        <w:tblOverlap w:val="neve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6060"/>
      </w:tblGrid>
      <w:tr w:rsidR="00000000" w:rsidTr="00D54102">
        <w:trPr>
          <w:trHeight w:hRule="exact" w:val="496"/>
          <w:jc w:val="center"/>
        </w:trPr>
        <w:tc>
          <w:tcPr>
            <w:tcW w:w="6060" w:type="dxa"/>
            <w:tcBorders>
              <w:top w:val="single" w:sz="12" w:space="0" w:color="auto"/>
              <w:left w:val="single" w:sz="12" w:space="0" w:color="auto"/>
              <w:right w:val="single" w:sz="12" w:space="0" w:color="auto"/>
            </w:tcBorders>
            <w:shd w:val="clear" w:color="auto" w:fill="95DAF3"/>
            <w:vAlign w:val="center"/>
          </w:tcPr>
          <w:p w:rsidR="00000000" w:rsidRDefault="00000000">
            <w:pPr>
              <w:spacing w:line="360" w:lineRule="exact"/>
              <w:jc w:val="center"/>
              <w:rPr>
                <w:rFonts w:eastAsia="黑体"/>
                <w:szCs w:val="21"/>
              </w:rPr>
            </w:pPr>
            <w:r>
              <w:rPr>
                <w:rFonts w:eastAsia="黑体"/>
                <w:szCs w:val="21"/>
              </w:rPr>
              <w:t>专栏</w:t>
            </w:r>
            <w:r>
              <w:rPr>
                <w:rFonts w:eastAsia="黑体"/>
                <w:szCs w:val="21"/>
              </w:rPr>
              <w:t xml:space="preserve">2  </w:t>
            </w:r>
            <w:r>
              <w:rPr>
                <w:rFonts w:eastAsia="黑体"/>
                <w:szCs w:val="21"/>
              </w:rPr>
              <w:t>城乡基础设施重点工程</w:t>
            </w:r>
          </w:p>
        </w:tc>
      </w:tr>
      <w:tr w:rsidR="00000000" w:rsidTr="00D54102">
        <w:trPr>
          <w:trHeight w:hRule="exact" w:val="3001"/>
          <w:jc w:val="center"/>
        </w:trPr>
        <w:tc>
          <w:tcPr>
            <w:tcW w:w="6060" w:type="dxa"/>
            <w:tcBorders>
              <w:left w:val="single" w:sz="12" w:space="0" w:color="auto"/>
              <w:bottom w:val="single" w:sz="12" w:space="0" w:color="auto"/>
              <w:right w:val="single" w:sz="12" w:space="0" w:color="auto"/>
            </w:tcBorders>
            <w:shd w:val="clear" w:color="auto" w:fill="C8EEFC"/>
          </w:tcPr>
          <w:p w:rsidR="00000000" w:rsidRDefault="00000000">
            <w:pPr>
              <w:spacing w:line="360" w:lineRule="exact"/>
              <w:ind w:firstLineChars="200" w:firstLine="400"/>
              <w:jc w:val="left"/>
              <w:rPr>
                <w:rFonts w:ascii="黑体" w:eastAsia="黑体" w:hAnsi="黑体" w:cs="黑体" w:hint="eastAsia"/>
                <w:bCs/>
                <w:sz w:val="20"/>
                <w:szCs w:val="20"/>
              </w:rPr>
            </w:pPr>
            <w:r>
              <w:rPr>
                <w:rFonts w:ascii="黑体" w:eastAsia="黑体" w:hAnsi="黑体" w:cs="黑体" w:hint="eastAsia"/>
                <w:bCs/>
                <w:sz w:val="20"/>
                <w:szCs w:val="20"/>
              </w:rPr>
              <w:t>（一）特色小镇</w:t>
            </w:r>
          </w:p>
          <w:p w:rsidR="00000000" w:rsidRDefault="00000000">
            <w:pPr>
              <w:spacing w:line="360" w:lineRule="exact"/>
              <w:ind w:firstLineChars="200" w:firstLine="400"/>
              <w:rPr>
                <w:rFonts w:ascii="宋体" w:hAnsi="宋体" w:cs="宋体" w:hint="eastAsia"/>
                <w:bCs/>
                <w:sz w:val="20"/>
                <w:szCs w:val="20"/>
              </w:rPr>
            </w:pPr>
            <w:r>
              <w:rPr>
                <w:rFonts w:ascii="宋体" w:hAnsi="宋体" w:cs="宋体" w:hint="eastAsia"/>
                <w:bCs/>
                <w:sz w:val="20"/>
                <w:szCs w:val="20"/>
              </w:rPr>
              <w:t>重点建设蒙中医药小镇、青龙山甘薯小镇、白音他拉旅游小镇、八仙筒商贸小镇。</w:t>
            </w:r>
          </w:p>
          <w:p w:rsidR="00000000" w:rsidRDefault="00000000">
            <w:pPr>
              <w:spacing w:line="360" w:lineRule="exact"/>
              <w:ind w:firstLineChars="200" w:firstLine="400"/>
              <w:jc w:val="left"/>
              <w:rPr>
                <w:rFonts w:ascii="黑体" w:eastAsia="黑体" w:hAnsi="黑体" w:cs="黑体" w:hint="eastAsia"/>
                <w:bCs/>
                <w:sz w:val="20"/>
                <w:szCs w:val="20"/>
              </w:rPr>
            </w:pPr>
            <w:r>
              <w:rPr>
                <w:rFonts w:ascii="黑体" w:eastAsia="黑体" w:hAnsi="黑体" w:cs="黑体" w:hint="eastAsia"/>
                <w:bCs/>
                <w:sz w:val="20"/>
                <w:szCs w:val="20"/>
              </w:rPr>
              <w:t>（二）城乡基础设施建设项目</w:t>
            </w:r>
          </w:p>
          <w:p w:rsidR="00000000" w:rsidRDefault="00000000">
            <w:pPr>
              <w:spacing w:line="360" w:lineRule="exact"/>
              <w:ind w:firstLineChars="200" w:firstLine="400"/>
              <w:rPr>
                <w:rFonts w:eastAsia="楷体_GB2312"/>
                <w:szCs w:val="21"/>
              </w:rPr>
            </w:pPr>
            <w:r>
              <w:rPr>
                <w:rFonts w:ascii="宋体" w:hAnsi="宋体" w:cs="宋体" w:hint="eastAsia"/>
                <w:bCs/>
                <w:sz w:val="20"/>
                <w:szCs w:val="20"/>
              </w:rPr>
              <w:t>重点开展老旧小区改造、市政道路工程、污水管网建设及处理、排水防涝、公共交通设施、人防工程、房地产开发、城市公园、村容村貌整治、农村垃圾治理、厕所革命、安全饮水、乡村振兴“雪亮工程”、再生资源回收利用交易园区等项目建设。</w:t>
            </w:r>
          </w:p>
        </w:tc>
      </w:tr>
    </w:tbl>
    <w:p w:rsidR="00000000" w:rsidRDefault="00000000">
      <w:pPr>
        <w:spacing w:line="470" w:lineRule="exact"/>
        <w:ind w:firstLineChars="200" w:firstLine="420"/>
        <w:rPr>
          <w:rFonts w:hint="eastAsia"/>
        </w:rPr>
      </w:pPr>
      <w:r>
        <w:rPr>
          <w:rFonts w:eastAsia="楷体_GB2312"/>
          <w:szCs w:val="21"/>
        </w:rPr>
        <w:t>加快新型智慧城市建设。</w:t>
      </w:r>
      <w:r>
        <w:rPr>
          <w:rFonts w:ascii="宋体" w:hAnsi="宋体" w:cs="宋体" w:hint="eastAsia"/>
          <w:szCs w:val="21"/>
        </w:rPr>
        <w:t>推动“大智移云”新一代信息技术与城市治理和公共服务深度融合，推进城市管理数字化、精细化、智慧化，发展智能交通、智能电网、智能水务、智能管网、智能园区，形成数字化城市管理平台。</w:t>
      </w:r>
      <w:r>
        <w:rPr>
          <w:rFonts w:ascii="宋体" w:hAnsi="宋体" w:cs="宋体" w:hint="eastAsia"/>
          <w:spacing w:val="-6"/>
          <w:szCs w:val="21"/>
        </w:rPr>
        <w:t>实施智慧社区、智慧小区、智慧村庄试点建设。推动城区智慧化管理</w:t>
      </w:r>
      <w:r>
        <w:rPr>
          <w:rFonts w:ascii="宋体" w:hAnsi="宋体" w:cs="宋体" w:hint="eastAsia"/>
          <w:szCs w:val="21"/>
        </w:rPr>
        <w:t>，</w:t>
      </w:r>
      <w:r>
        <w:rPr>
          <w:rFonts w:ascii="宋体" w:hAnsi="宋体" w:cs="宋体" w:hint="eastAsia"/>
          <w:spacing w:val="-6"/>
          <w:szCs w:val="21"/>
        </w:rPr>
        <w:t>打造宜居宜业城乡融合协调发展示范区。</w:t>
      </w:r>
    </w:p>
    <w:p w:rsidR="00000000" w:rsidRDefault="00000000">
      <w:pPr>
        <w:pStyle w:val="2"/>
        <w:spacing w:beforeLines="100" w:before="321" w:afterLines="50" w:after="160" w:line="40" w:lineRule="exact"/>
        <w:jc w:val="center"/>
        <w:rPr>
          <w:rFonts w:ascii="楷体_GB2312" w:eastAsia="楷体_GB2312" w:hAnsi="楷体_GB2312" w:cs="楷体_GB2312" w:hint="eastAsia"/>
          <w:bCs w:val="0"/>
          <w:kern w:val="0"/>
          <w:sz w:val="24"/>
          <w:szCs w:val="24"/>
        </w:rPr>
      </w:pPr>
      <w:bookmarkStart w:id="135" w:name="_Toc55167053"/>
      <w:bookmarkStart w:id="136" w:name="_Toc59584552"/>
      <w:bookmarkStart w:id="137" w:name="_Toc57106149"/>
      <w:bookmarkStart w:id="138" w:name="_Toc59084989"/>
      <w:bookmarkStart w:id="139" w:name="_Toc13717"/>
      <w:bookmarkStart w:id="140" w:name="_Toc65938201"/>
      <w:bookmarkStart w:id="141" w:name="_Toc57106150"/>
      <w:bookmarkStart w:id="142" w:name="_Toc59084990"/>
      <w:bookmarkEnd w:id="123"/>
    </w:p>
    <w:p w:rsidR="00000000" w:rsidRDefault="00000000">
      <w:pPr>
        <w:pStyle w:val="2"/>
        <w:spacing w:beforeLines="100" w:before="321" w:afterLines="50" w:after="160" w:line="480" w:lineRule="exact"/>
        <w:jc w:val="center"/>
        <w:rPr>
          <w:rFonts w:ascii="楷体_GB2312" w:eastAsia="楷体_GB2312" w:hAnsi="楷体_GB2312" w:cs="楷体_GB2312" w:hint="eastAsia"/>
          <w:bCs w:val="0"/>
          <w:kern w:val="0"/>
          <w:sz w:val="24"/>
          <w:szCs w:val="24"/>
        </w:rPr>
      </w:pPr>
      <w:r>
        <w:rPr>
          <w:rFonts w:ascii="楷体_GB2312" w:eastAsia="楷体_GB2312" w:hAnsi="楷体_GB2312" w:cs="楷体_GB2312" w:hint="eastAsia"/>
          <w:bCs w:val="0"/>
          <w:kern w:val="0"/>
          <w:sz w:val="24"/>
          <w:szCs w:val="24"/>
        </w:rPr>
        <w:t>第五节  严格国土空间用途</w:t>
      </w:r>
      <w:bookmarkEnd w:id="135"/>
      <w:bookmarkEnd w:id="136"/>
      <w:bookmarkEnd w:id="137"/>
      <w:bookmarkEnd w:id="138"/>
      <w:r>
        <w:rPr>
          <w:rFonts w:ascii="楷体_GB2312" w:eastAsia="楷体_GB2312" w:hAnsi="楷体_GB2312" w:cs="楷体_GB2312" w:hint="eastAsia"/>
          <w:bCs w:val="0"/>
          <w:kern w:val="0"/>
          <w:sz w:val="24"/>
          <w:szCs w:val="24"/>
        </w:rPr>
        <w:t>管制</w:t>
      </w:r>
      <w:bookmarkEnd w:id="139"/>
      <w:bookmarkEnd w:id="140"/>
    </w:p>
    <w:p w:rsidR="00000000" w:rsidRDefault="00000000">
      <w:pPr>
        <w:pStyle w:val="Normal24"/>
        <w:widowControl w:val="0"/>
        <w:spacing w:before="0" w:after="0" w:line="470" w:lineRule="exact"/>
        <w:ind w:firstLineChars="200" w:firstLine="42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构建国土空间开发保护制度，建立健全自然资源资产产权体系，对自然资源载体进行可持续利用管制。夯实全民所有自然资源资产所有者职责，深化自然资源有偿使用和市场体系建设。切实提高不动产登记效率和服务水平，扎实推进低存量资源盘活，努力提高土地利用效率。提高土地、人口、产业红利支撑。落实最严格的耕地保护红线和生态保护红线制度，重点保护集中连片的优质耕地、草地，按照禁止开发区域进行管理，严禁不符合生态功能定位的各类开发活动，除原住居民必要的生产生活和提升生态功能的各类利用活动外，严禁任意改变用途。在国土空间规划确定空间用途及开发利用限制条件基础上，通过利用许可、用途变更审批和开发利用监管等环节，对耕地、林地、草原、河流等所有国土空间统一进行分区分类用途管制。</w:t>
      </w:r>
    </w:p>
    <w:p w:rsidR="00000000" w:rsidRDefault="00000000">
      <w:pPr>
        <w:pStyle w:val="Normal24"/>
        <w:widowControl w:val="0"/>
        <w:spacing w:before="0" w:after="0" w:line="480" w:lineRule="exact"/>
        <w:ind w:firstLineChars="200" w:firstLine="420"/>
        <w:rPr>
          <w:rFonts w:ascii="宋体" w:eastAsia="宋体" w:hAnsi="宋体" w:cs="宋体" w:hint="eastAsia"/>
          <w:kern w:val="2"/>
          <w:sz w:val="21"/>
          <w:szCs w:val="21"/>
          <w:lang w:eastAsia="zh-CN"/>
        </w:rPr>
      </w:pPr>
    </w:p>
    <w:p w:rsidR="00000000" w:rsidRDefault="00000000">
      <w:pPr>
        <w:pStyle w:val="Normal24"/>
        <w:widowControl w:val="0"/>
        <w:spacing w:before="0" w:after="0" w:line="480" w:lineRule="exact"/>
        <w:ind w:firstLineChars="200" w:firstLine="420"/>
        <w:rPr>
          <w:rFonts w:ascii="宋体" w:eastAsia="宋体" w:hAnsi="宋体" w:cs="宋体" w:hint="eastAsia"/>
          <w:kern w:val="2"/>
          <w:sz w:val="21"/>
          <w:szCs w:val="21"/>
          <w:lang w:eastAsia="zh-CN"/>
        </w:rPr>
      </w:pPr>
    </w:p>
    <w:p w:rsidR="00000000" w:rsidRDefault="00000000">
      <w:pPr>
        <w:pStyle w:val="Normal24"/>
        <w:widowControl w:val="0"/>
        <w:spacing w:before="0" w:after="0" w:line="480" w:lineRule="exact"/>
        <w:ind w:firstLineChars="200" w:firstLine="420"/>
        <w:rPr>
          <w:rFonts w:ascii="宋体" w:eastAsia="宋体" w:hAnsi="宋体" w:cs="宋体" w:hint="eastAsia"/>
          <w:kern w:val="2"/>
          <w:sz w:val="21"/>
          <w:szCs w:val="21"/>
          <w:lang w:eastAsia="zh-CN"/>
        </w:rPr>
      </w:pPr>
    </w:p>
    <w:p w:rsidR="00000000" w:rsidRDefault="00000000">
      <w:pPr>
        <w:pStyle w:val="Normal24"/>
        <w:widowControl w:val="0"/>
        <w:spacing w:before="0" w:after="0" w:line="480" w:lineRule="exact"/>
        <w:ind w:firstLineChars="200" w:firstLine="420"/>
        <w:rPr>
          <w:rFonts w:ascii="宋体" w:eastAsia="宋体" w:hAnsi="宋体" w:cs="宋体" w:hint="eastAsia"/>
          <w:kern w:val="2"/>
          <w:sz w:val="21"/>
          <w:szCs w:val="21"/>
          <w:lang w:eastAsia="zh-CN"/>
        </w:rPr>
      </w:pPr>
    </w:p>
    <w:p w:rsidR="00000000" w:rsidRDefault="00000000">
      <w:pPr>
        <w:pStyle w:val="Normal24"/>
        <w:widowControl w:val="0"/>
        <w:spacing w:before="0" w:after="0" w:line="480" w:lineRule="exact"/>
        <w:ind w:firstLineChars="200" w:firstLine="420"/>
        <w:rPr>
          <w:rFonts w:ascii="宋体" w:eastAsia="宋体" w:hAnsi="宋体" w:cs="宋体" w:hint="eastAsia"/>
          <w:kern w:val="2"/>
          <w:sz w:val="21"/>
          <w:szCs w:val="21"/>
          <w:lang w:eastAsia="zh-CN"/>
        </w:rPr>
        <w:sectPr w:rsidR="00000000">
          <w:headerReference w:type="even" r:id="rId22"/>
          <w:headerReference w:type="default" r:id="rId23"/>
          <w:footerReference w:type="even" r:id="rId24"/>
          <w:footerReference w:type="default" r:id="rId25"/>
          <w:pgSz w:w="8390" w:h="11905"/>
          <w:pgMar w:top="1701" w:right="1134" w:bottom="1134" w:left="1134" w:header="1304" w:footer="850" w:gutter="0"/>
          <w:pgNumType w:fmt="numberInDash" w:start="21"/>
          <w:cols w:space="720"/>
          <w:docGrid w:type="lines" w:linePitch="321"/>
        </w:sectPr>
      </w:pPr>
    </w:p>
    <w:p w:rsidR="00000000" w:rsidRDefault="00D54102">
      <w:pPr>
        <w:pStyle w:val="Normal24"/>
        <w:widowControl w:val="0"/>
        <w:spacing w:before="0" w:after="0" w:line="480" w:lineRule="exact"/>
        <w:ind w:firstLineChars="200" w:firstLine="420"/>
        <w:rPr>
          <w:rFonts w:ascii="宋体" w:eastAsia="宋体" w:hAnsi="宋体" w:cs="宋体" w:hint="eastAsia"/>
          <w:kern w:val="2"/>
          <w:sz w:val="21"/>
          <w:szCs w:val="21"/>
          <w:lang w:eastAsia="zh-CN"/>
        </w:rPr>
        <w:sectPr w:rsidR="00000000">
          <w:headerReference w:type="even" r:id="rId26"/>
          <w:footerReference w:type="even" r:id="rId27"/>
          <w:footerReference w:type="default" r:id="rId28"/>
          <w:pgSz w:w="8390" w:h="11905"/>
          <w:pgMar w:top="1701" w:right="1134" w:bottom="1134" w:left="1134" w:header="1304" w:footer="850" w:gutter="0"/>
          <w:pgNumType w:fmt="numberInDash" w:start="28"/>
          <w:cols w:space="720"/>
          <w:docGrid w:type="lines" w:linePitch="321"/>
        </w:sectPr>
      </w:pPr>
      <w:r>
        <w:rPr>
          <w:noProof/>
          <w:sz w:val="21"/>
        </w:rPr>
        <w:lastRenderedPageBreak/>
        <mc:AlternateContent>
          <mc:Choice Requires="wps">
            <w:drawing>
              <wp:anchor distT="0" distB="0" distL="114300" distR="114300" simplePos="0" relativeHeight="251653120" behindDoc="0" locked="0" layoutInCell="1" allowOverlap="1">
                <wp:simplePos x="0" y="0"/>
                <wp:positionH relativeFrom="column">
                  <wp:posOffset>-720090</wp:posOffset>
                </wp:positionH>
                <wp:positionV relativeFrom="paragraph">
                  <wp:posOffset>1737995</wp:posOffset>
                </wp:positionV>
                <wp:extent cx="5374005" cy="1113790"/>
                <wp:effectExtent l="3810" t="635" r="3810" b="0"/>
                <wp:wrapSquare wrapText="bothSides"/>
                <wp:docPr id="67"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13790"/>
                        </a:xfrm>
                        <a:prstGeom prst="rect">
                          <a:avLst/>
                        </a:prstGeom>
                        <a:solidFill>
                          <a:srgbClr val="C8EEFC"/>
                        </a:solidFill>
                        <a:ln>
                          <a:noFill/>
                        </a:ln>
                        <a:effectLst/>
                        <a:extLs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00000" w:rsidRDefault="00000000">
                            <w:pPr>
                              <w:spacing w:line="480" w:lineRule="exact"/>
                              <w:jc w:val="center"/>
                              <w:rPr>
                                <w:rFonts w:ascii="方正小标宋简体" w:eastAsia="方正小标宋简体" w:hAnsi="方正小标宋简体" w:cs="方正小标宋简体" w:hint="eastAsia"/>
                                <w:spacing w:val="1"/>
                                <w:sz w:val="32"/>
                                <w:szCs w:val="32"/>
                              </w:rPr>
                            </w:pPr>
                            <w:r>
                              <w:rPr>
                                <w:rFonts w:ascii="方正小标宋简体" w:eastAsia="方正小标宋简体" w:hAnsi="方正小标宋简体" w:cs="方正小标宋简体" w:hint="eastAsia"/>
                                <w:spacing w:val="1"/>
                                <w:sz w:val="32"/>
                                <w:szCs w:val="32"/>
                              </w:rPr>
                              <w:t>第四章  坚持创新驱动</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注入高质量发展新动能</w:t>
                            </w:r>
                          </w:p>
                        </w:txbxContent>
                      </wps:txbx>
                      <wps:bodyPr rot="0" vert="horz" wrap="square" lIns="91440" tIns="287998" rIns="91440" bIns="71999"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4" o:spid="_x0000_s1029" type="#_x0000_t202" style="position:absolute;left:0;text-align:left;margin-left:-56.7pt;margin-top:136.85pt;width:423.15pt;height:87.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" fillcolor="#c8eefc" stroked="f">
                <v:textbox inset=",7.99994mm,,1.99997mm">
                  <w:txbxContent>
                    <w:p w:rsidR="00000000" w:rsidRDefault="00000000">
                      <w:pPr>
                        <w:spacing w:line="480" w:lineRule="exact"/>
                        <w:jc w:val="center"/>
                        <w:rPr>
                          <w:rFonts w:ascii="方正小标宋简体" w:eastAsia="方正小标宋简体" w:hAnsi="方正小标宋简体" w:cs="方正小标宋简体" w:hint="eastAsia"/>
                          <w:spacing w:val="1"/>
                          <w:sz w:val="32"/>
                          <w:szCs w:val="32"/>
                        </w:rPr>
                      </w:pPr>
                      <w:r>
                        <w:rPr>
                          <w:rFonts w:ascii="方正小标宋简体" w:eastAsia="方正小标宋简体" w:hAnsi="方正小标宋简体" w:cs="方正小标宋简体" w:hint="eastAsia"/>
                          <w:spacing w:val="1"/>
                          <w:sz w:val="32"/>
                          <w:szCs w:val="32"/>
                        </w:rPr>
                        <w:t>第四章  坚持创新驱动</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注入高质量发展新动能</w:t>
                      </w:r>
                    </w:p>
                  </w:txbxContent>
                </v:textbox>
                <w10:wrap type="square"/>
              </v:shape>
            </w:pict>
          </mc:Fallback>
        </mc:AlternateContent>
      </w:r>
    </w:p>
    <w:bookmarkEnd w:id="141"/>
    <w:bookmarkEnd w:id="142"/>
    <w:p w:rsidR="00000000" w:rsidRDefault="00000000">
      <w:pPr>
        <w:pStyle w:val="Normal24"/>
        <w:widowControl w:val="0"/>
        <w:spacing w:before="0" w:after="0" w:line="450" w:lineRule="exact"/>
        <w:ind w:firstLineChars="200" w:firstLine="420"/>
        <w:rPr>
          <w:rFonts w:eastAsia="楷体_GB2312"/>
          <w:bCs/>
          <w:sz w:val="28"/>
          <w:szCs w:val="28"/>
          <w:lang w:eastAsia="zh-CN"/>
        </w:rPr>
      </w:pPr>
      <w:r>
        <w:rPr>
          <w:rFonts w:ascii="宋体" w:eastAsia="宋体" w:hAnsi="宋体" w:cs="宋体" w:hint="eastAsia"/>
          <w:kern w:val="2"/>
          <w:sz w:val="21"/>
          <w:szCs w:val="21"/>
          <w:lang w:eastAsia="zh-CN"/>
        </w:rPr>
        <w:lastRenderedPageBreak/>
        <w:t>坚持活力兴城，把创新摆在现代化建设全局中的核心地位，从创新供给、平台建设、成果应用、人才开发等多主体多层次做多做强创新载体，打造科技创新高地，增强高质量发展新动能。</w:t>
      </w:r>
      <w:bookmarkStart w:id="143" w:name="_Toc57106151"/>
      <w:bookmarkStart w:id="144" w:name="_Toc65938203"/>
      <w:bookmarkStart w:id="145" w:name="_Toc59084991"/>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bookmarkStart w:id="146" w:name="_Toc6561"/>
      <w:r>
        <w:rPr>
          <w:rFonts w:ascii="Times New Roman" w:eastAsia="楷体_GB2312" w:hAnsi="Times New Roman"/>
          <w:bCs w:val="0"/>
          <w:kern w:val="0"/>
          <w:sz w:val="24"/>
          <w:szCs w:val="24"/>
        </w:rPr>
        <w:t>第一节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提升科技创新供给能力</w:t>
      </w:r>
      <w:bookmarkEnd w:id="143"/>
      <w:bookmarkEnd w:id="144"/>
      <w:bookmarkEnd w:id="145"/>
      <w:bookmarkEnd w:id="146"/>
    </w:p>
    <w:p w:rsidR="00000000" w:rsidRDefault="00000000">
      <w:pPr>
        <w:pStyle w:val="Normal24"/>
        <w:widowControl w:val="0"/>
        <w:spacing w:before="0" w:after="0" w:line="450" w:lineRule="exact"/>
        <w:ind w:firstLineChars="200" w:firstLine="42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深入落实“科技兴蒙”行动，统筹抓好创新基础、创新主体、创新资源、创新环境，促进科技、教育、产业、金融紧密融合，努力推动发展由要素驱动为主向创新驱动为主转变。推动政府职能从科研管理向创新服务转变，充分激发科技人员、企业家和创业者的积极性。建立多元化科技投融资体系，加大财政投入力度，突出企业技术创新的主体地位，引导企业不断加大研发投入。落实促进民营经济高质量发展政策措施，在企业获得专利、高新技术企业认定、研发中心建设等方面给予科研经费补助支持。提高自主创新、引进消化吸收再创新的能力，破除科技成果转移转化和科技型创新创业的障碍，引进项目、技术与人才，激活卖方和买方两个技术市场。推动创新创业与实体经济发展深度融合，围绕建立“1+5”现代产业体系，加强与高等院校、科研院所创新合作，提升科技创新能力和产业发展支撑水平，增强经济发展动力，推动科技更好地进入经济社会发展大循环。</w:t>
      </w:r>
      <w:bookmarkStart w:id="147" w:name="_Toc59084992"/>
      <w:bookmarkStart w:id="148" w:name="_Toc57106152"/>
      <w:bookmarkStart w:id="149" w:name="_Toc65938204"/>
    </w:p>
    <w:p w:rsidR="00000000" w:rsidRDefault="00000000">
      <w:pPr>
        <w:pStyle w:val="Normal24"/>
        <w:widowControl w:val="0"/>
        <w:spacing w:before="0" w:after="0" w:line="40" w:lineRule="exact"/>
        <w:ind w:firstLineChars="200" w:firstLine="420"/>
        <w:rPr>
          <w:rFonts w:ascii="宋体" w:eastAsia="宋体" w:hAnsi="宋体" w:cs="宋体" w:hint="eastAsia"/>
          <w:kern w:val="2"/>
          <w:sz w:val="21"/>
          <w:szCs w:val="21"/>
          <w:lang w:eastAsia="zh-CN"/>
        </w:rPr>
      </w:pPr>
    </w:p>
    <w:p w:rsidR="00000000" w:rsidRDefault="00000000">
      <w:pPr>
        <w:pStyle w:val="Normal24"/>
        <w:widowControl w:val="0"/>
        <w:spacing w:before="0" w:after="0" w:line="40" w:lineRule="exact"/>
        <w:ind w:firstLineChars="200" w:firstLine="420"/>
        <w:rPr>
          <w:rFonts w:ascii="宋体" w:eastAsia="宋体" w:hAnsi="宋体" w:cs="宋体" w:hint="eastAsia"/>
          <w:kern w:val="2"/>
          <w:sz w:val="21"/>
          <w:szCs w:val="21"/>
          <w:lang w:eastAsia="zh-CN"/>
        </w:rPr>
      </w:pPr>
    </w:p>
    <w:p w:rsidR="00000000" w:rsidRDefault="00000000">
      <w:pPr>
        <w:pStyle w:val="Normal24"/>
        <w:widowControl w:val="0"/>
        <w:spacing w:before="0" w:after="0" w:line="40" w:lineRule="exact"/>
        <w:ind w:firstLineChars="200" w:firstLine="420"/>
        <w:rPr>
          <w:rFonts w:ascii="宋体" w:eastAsia="宋体" w:hAnsi="宋体" w:cs="宋体" w:hint="eastAsia"/>
          <w:kern w:val="2"/>
          <w:sz w:val="21"/>
          <w:szCs w:val="21"/>
          <w:lang w:eastAsia="zh-CN"/>
        </w:rPr>
      </w:pPr>
    </w:p>
    <w:p w:rsidR="00000000" w:rsidRDefault="00000000">
      <w:pPr>
        <w:pStyle w:val="2"/>
        <w:spacing w:before="0" w:after="0" w:line="40" w:lineRule="exact"/>
        <w:jc w:val="center"/>
        <w:rPr>
          <w:rFonts w:ascii="Times New Roman" w:eastAsia="楷体_GB2312" w:hAnsi="Times New Roman"/>
          <w:bCs w:val="0"/>
          <w:kern w:val="0"/>
          <w:sz w:val="24"/>
          <w:szCs w:val="24"/>
        </w:rPr>
      </w:pPr>
      <w:bookmarkStart w:id="150" w:name="_Toc28424"/>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t>第二节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推动科技创新平台建设</w:t>
      </w:r>
      <w:bookmarkEnd w:id="147"/>
      <w:bookmarkEnd w:id="148"/>
      <w:bookmarkEnd w:id="149"/>
      <w:bookmarkEnd w:id="150"/>
    </w:p>
    <w:p w:rsidR="00000000" w:rsidRDefault="00000000">
      <w:pPr>
        <w:pStyle w:val="Normal24"/>
        <w:widowControl w:val="0"/>
        <w:spacing w:before="0" w:after="0" w:line="480" w:lineRule="exact"/>
        <w:ind w:firstLineChars="200" w:firstLine="420"/>
        <w:rPr>
          <w:rFonts w:eastAsia="楷体_GB2312"/>
          <w:bCs/>
          <w:sz w:val="28"/>
          <w:szCs w:val="28"/>
          <w:lang w:eastAsia="zh-CN"/>
        </w:rPr>
      </w:pPr>
      <w:r>
        <w:rPr>
          <w:rFonts w:ascii="宋体" w:eastAsia="宋体" w:hAnsi="宋体" w:cs="宋体" w:hint="eastAsia"/>
          <w:kern w:val="2"/>
          <w:sz w:val="21"/>
          <w:szCs w:val="21"/>
          <w:lang w:eastAsia="zh-CN"/>
        </w:rPr>
        <w:t>强化企业创新主体地位，促进各类创新要素向企业集聚，依托产业优势和龙头企业，鼓励和支持企业自建或共建技术创新中心、工程中心、重点实验室、院士专家工作站等研发机构。加快企业研发中心建设，提升创新能力。积极创办各类科技示范园区基地、星创天地、产业技术创新战略联盟等科研生产联合体，推动产学研深度融合。针对主导产业，深入实施高新技术企业培育工程和科技型中小企业倍增计划。鼓励搭建创新创业公共服务平台，支持双创示范基地、孵化器、众创空间、培训、科普等创新创业载体建设。到2025年</w:t>
      </w:r>
      <w:r>
        <w:rPr>
          <w:rFonts w:ascii="宋体" w:eastAsia="宋体" w:hAnsi="宋体" w:cs="宋体" w:hint="eastAsia"/>
          <w:spacing w:val="-6"/>
          <w:kern w:val="2"/>
          <w:sz w:val="21"/>
          <w:szCs w:val="21"/>
          <w:lang w:eastAsia="zh-CN"/>
        </w:rPr>
        <w:t>，星创天地、科技特派员工作站等科技创新平台达到10个左右。</w:t>
      </w:r>
      <w:bookmarkStart w:id="151" w:name="_Toc57106153"/>
      <w:bookmarkStart w:id="152" w:name="_Toc65938205"/>
      <w:bookmarkStart w:id="153" w:name="_Toc59084993"/>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bookmarkStart w:id="154" w:name="_Toc19204"/>
      <w:r>
        <w:rPr>
          <w:rFonts w:ascii="Times New Roman" w:eastAsia="楷体_GB2312" w:hAnsi="Times New Roman"/>
          <w:bCs w:val="0"/>
          <w:kern w:val="0"/>
          <w:sz w:val="24"/>
          <w:szCs w:val="24"/>
        </w:rPr>
        <w:t>第三节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加快科技创新成果转化</w:t>
      </w:r>
      <w:bookmarkEnd w:id="151"/>
      <w:bookmarkEnd w:id="152"/>
      <w:bookmarkEnd w:id="153"/>
      <w:bookmarkEnd w:id="154"/>
    </w:p>
    <w:p w:rsidR="00000000" w:rsidRDefault="00000000">
      <w:pPr>
        <w:pStyle w:val="Normal24"/>
        <w:widowControl w:val="0"/>
        <w:spacing w:before="0" w:after="0" w:line="460" w:lineRule="exact"/>
        <w:ind w:firstLineChars="200" w:firstLine="420"/>
        <w:rPr>
          <w:rFonts w:ascii="宋体" w:eastAsia="宋体" w:hAnsi="宋体" w:cs="宋体" w:hint="eastAsia"/>
          <w:spacing w:val="1"/>
          <w:sz w:val="21"/>
          <w:szCs w:val="21"/>
          <w:lang w:eastAsia="zh-CN"/>
        </w:rPr>
      </w:pPr>
      <w:r>
        <w:rPr>
          <w:rFonts w:ascii="宋体" w:eastAsia="宋体" w:hAnsi="宋体" w:cs="宋体" w:hint="eastAsia"/>
          <w:kern w:val="2"/>
          <w:sz w:val="21"/>
          <w:szCs w:val="21"/>
          <w:lang w:eastAsia="zh-CN"/>
        </w:rPr>
        <w:t>围绕优质农牧业资源、特色优势产业、生态环境保护等重点领域，以提高技术含量、延长产业链条、增加附加值、增强竞争力为重点，集聚优质创新要素资源，实施部署一批科技项目，开发一批重大创新产品，打造围绕产业链部署创新链、围绕创新链布局产业链支点，提高科技成果转移转化成效。加快培育新动能新优势，加</w:t>
      </w:r>
      <w:r>
        <w:rPr>
          <w:rFonts w:ascii="宋体" w:eastAsia="宋体" w:hAnsi="宋体" w:cs="宋体" w:hint="eastAsia"/>
          <w:kern w:val="2"/>
          <w:sz w:val="21"/>
          <w:szCs w:val="21"/>
          <w:lang w:eastAsia="zh-CN"/>
        </w:rPr>
        <w:lastRenderedPageBreak/>
        <w:t>快转变经济发展方式，注重发挥信息化的聚合、叠加、倍增效应，全力推进产业结构战略性调整，着力形成具有核心竞争力的现代产业体系。引导企业与高校、科研机构开展交流合作、联合创新，推动技术组装配套集成、示范推广，促进科技成果转化。培育具有发展活力和技术优势的高新技术企业，推进产业转型升级，引领经济高质量发展。</w:t>
      </w:r>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bookmarkStart w:id="155" w:name="_Toc59084994"/>
      <w:bookmarkStart w:id="156" w:name="_Toc57106154"/>
      <w:bookmarkStart w:id="157" w:name="_Toc65938206"/>
      <w:bookmarkStart w:id="158" w:name="_Toc6509"/>
      <w:r>
        <w:rPr>
          <w:rFonts w:ascii="Times New Roman" w:eastAsia="楷体_GB2312" w:hAnsi="Times New Roman"/>
          <w:bCs w:val="0"/>
          <w:kern w:val="0"/>
          <w:sz w:val="24"/>
          <w:szCs w:val="24"/>
        </w:rPr>
        <w:t>第四节</w:t>
      </w:r>
      <w:r>
        <w:rPr>
          <w:rFonts w:ascii="Times New Roman" w:eastAsia="楷体_GB2312" w:hAnsi="Times New Roman"/>
          <w:bCs w:val="0"/>
          <w:kern w:val="0"/>
          <w:sz w:val="24"/>
          <w:szCs w:val="24"/>
        </w:rPr>
        <w:t xml:space="preserve">  </w:t>
      </w:r>
      <w:bookmarkEnd w:id="155"/>
      <w:bookmarkEnd w:id="156"/>
      <w:bookmarkEnd w:id="157"/>
      <w:r>
        <w:rPr>
          <w:rFonts w:ascii="Times New Roman" w:eastAsia="楷体_GB2312" w:hAnsi="Times New Roman" w:hint="eastAsia"/>
          <w:bCs w:val="0"/>
          <w:kern w:val="0"/>
          <w:sz w:val="24"/>
          <w:szCs w:val="24"/>
        </w:rPr>
        <w:t>激发</w:t>
      </w:r>
      <w:r>
        <w:rPr>
          <w:rFonts w:ascii="Times New Roman" w:eastAsia="楷体_GB2312" w:hAnsi="Times New Roman"/>
          <w:bCs w:val="0"/>
          <w:kern w:val="0"/>
          <w:sz w:val="24"/>
          <w:szCs w:val="24"/>
        </w:rPr>
        <w:t>人才创新活力</w:t>
      </w:r>
      <w:bookmarkEnd w:id="158"/>
    </w:p>
    <w:p w:rsidR="00000000" w:rsidRDefault="00000000">
      <w:pPr>
        <w:pStyle w:val="Normal24"/>
        <w:widowControl w:val="0"/>
        <w:spacing w:before="0" w:after="0" w:line="480" w:lineRule="exact"/>
        <w:ind w:firstLineChars="200" w:firstLine="42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深入落实人才强国战略，贯彻党管人才原则，树牢人才是第一资源的理念，汇聚人才力量，激发创新活力，加快构建具有较强竞争力的人才政策体系，引进、培育、储备、用好各类人才。做优“草原英才”工程、卓越人才教育培养计划，引进急需紧缺人才、专业技术人才和高水平创新团队，构建“一心多点”人才工作新格局。继续实施人才引进和“人才回引”，加大“双一流”高校优秀人才引进力度。加强创新型、应用型、技能型人才培养，壮大高技能人才队伍，采取多种形式，引进、培养科技人才，优化专业科技人才队伍结构，提升科技人才整体创新能力。通过建设院士、博士工作站等平台载体，以项目合作、兼职服务、顾问指导、对口支持、技</w:t>
      </w:r>
      <w:r>
        <w:rPr>
          <w:rFonts w:ascii="宋体" w:eastAsia="宋体" w:hAnsi="宋体" w:cs="宋体" w:hint="eastAsia"/>
          <w:kern w:val="2"/>
          <w:sz w:val="21"/>
          <w:szCs w:val="21"/>
          <w:lang w:eastAsia="zh-CN"/>
        </w:rPr>
        <w:lastRenderedPageBreak/>
        <w:t>术入股等形式，柔性引进知名专家学者等高层次人才，推进人才链与产业链深度融合。加快推进乡村人才振兴，实施农畜产品加工、电子商务等农业生产经营人才，乡村教育、卫生健康、农技推广、文化旅游体育、农村事务管理、建设规划等乡村公共服务人才培育计划，建立乡村人才库，培养造就一支懂农业、爱农村、爱农民的“三农”工作队伍，助力乡村振兴。建立完善科技人才和乡村人才培训、引进、使用、流动和激励机制，鼓励和引导人才向艰苦地区和基层一线流动。落实人才分类评价和职业资格改革政策，开展专业技术人才继续教育培训活动，强化人才待遇保障，在薪酬待遇、住房、户口、子女就学、医疗保障等方面给予政策支持，为科技人才发挥作用创造良好环境。深化人才改革、扩大人才开放、优化人才环境，依靠雄厚充沛的人才队伍，奋力建设活力奈曼、实力奈曼。</w:t>
      </w:r>
    </w:p>
    <w:p w:rsidR="00000000" w:rsidRDefault="00000000">
      <w:pPr>
        <w:pStyle w:val="Normal24"/>
        <w:widowControl w:val="0"/>
        <w:spacing w:before="0" w:after="0" w:line="480" w:lineRule="exact"/>
        <w:ind w:firstLineChars="200" w:firstLine="42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贯彻落实《中华人民共和国科学技术普及法》，深入实施全民科学素质行动计划，加强科普能力和条件建设，加大民生科普工作力度，提高全旗公民科学素质。</w:t>
      </w:r>
    </w:p>
    <w:p w:rsidR="00000000" w:rsidRDefault="00000000">
      <w:pPr>
        <w:pStyle w:val="1"/>
        <w:spacing w:before="0" w:after="0" w:line="480" w:lineRule="exact"/>
        <w:rPr>
          <w:rFonts w:eastAsia="黑体" w:hint="eastAsia"/>
          <w:b w:val="0"/>
          <w:spacing w:val="-8"/>
          <w:sz w:val="28"/>
          <w:szCs w:val="28"/>
        </w:rPr>
        <w:sectPr w:rsidR="00000000">
          <w:headerReference w:type="even" r:id="rId29"/>
          <w:headerReference w:type="default" r:id="rId30"/>
          <w:footerReference w:type="even" r:id="rId31"/>
          <w:footerReference w:type="default" r:id="rId32"/>
          <w:pgSz w:w="8390" w:h="11905"/>
          <w:pgMar w:top="1701" w:right="1134" w:bottom="1134" w:left="1134" w:header="1304" w:footer="850" w:gutter="0"/>
          <w:pgNumType w:fmt="numberInDash" w:start="29"/>
          <w:cols w:space="720"/>
          <w:docGrid w:type="lines" w:linePitch="321"/>
        </w:sectPr>
      </w:pPr>
      <w:bookmarkStart w:id="159" w:name="_Toc57106155"/>
      <w:bookmarkStart w:id="160" w:name="_Toc59084995"/>
      <w:r>
        <w:rPr>
          <w:rFonts w:eastAsia="黑体" w:hint="eastAsia"/>
          <w:b w:val="0"/>
          <w:spacing w:val="-8"/>
          <w:sz w:val="28"/>
          <w:szCs w:val="28"/>
        </w:rPr>
        <w:t xml:space="preserve"> </w:t>
      </w:r>
    </w:p>
    <w:p w:rsidR="00000000" w:rsidRDefault="00D54102">
      <w:pPr>
        <w:rPr>
          <w:rFonts w:hint="eastAsia"/>
        </w:rPr>
        <w:sectPr w:rsidR="00000000">
          <w:headerReference w:type="even" r:id="rId33"/>
          <w:headerReference w:type="default" r:id="rId34"/>
          <w:footerReference w:type="even" r:id="rId35"/>
          <w:footerReference w:type="default" r:id="rId36"/>
          <w:pgSz w:w="8390" w:h="11905"/>
          <w:pgMar w:top="1701" w:right="1134" w:bottom="1134" w:left="1134" w:header="1304" w:footer="850" w:gutter="0"/>
          <w:pgNumType w:fmt="numberInDash" w:start="33"/>
          <w:cols w:space="720"/>
          <w:docGrid w:type="lines" w:linePitch="321"/>
        </w:sectPr>
      </w:pPr>
      <w:r>
        <w:rPr>
          <w:noProof/>
        </w:rPr>
        <w:lastRenderedPageBreak/>
        <mc:AlternateContent>
          <mc:Choice Requires="wps">
            <w:drawing>
              <wp:anchor distT="0" distB="0" distL="114300" distR="114300" simplePos="0" relativeHeight="251654144" behindDoc="0" locked="0" layoutInCell="1" allowOverlap="1">
                <wp:simplePos x="0" y="0"/>
                <wp:positionH relativeFrom="column">
                  <wp:posOffset>-720090</wp:posOffset>
                </wp:positionH>
                <wp:positionV relativeFrom="paragraph">
                  <wp:posOffset>1737995</wp:posOffset>
                </wp:positionV>
                <wp:extent cx="5374005" cy="1113790"/>
                <wp:effectExtent l="3810" t="0" r="3810" b="1905"/>
                <wp:wrapSquare wrapText="bothSides"/>
                <wp:docPr id="66"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13790"/>
                        </a:xfrm>
                        <a:prstGeom prst="rect">
                          <a:avLst/>
                        </a:prstGeom>
                        <a:solidFill>
                          <a:srgbClr val="C8EEFC"/>
                        </a:solidFill>
                        <a:ln>
                          <a:noFill/>
                        </a:ln>
                        <a:effectLst/>
                        <a:extLs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第五章  全面推进乡村振兴</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加快农村牧区现代化</w:t>
                            </w:r>
                          </w:p>
                        </w:txbxContent>
                      </wps:txbx>
                      <wps:bodyPr rot="0" vert="horz" wrap="square" lIns="91440" tIns="251998" rIns="91440" bIns="71999"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5" o:spid="_x0000_s1030" type="#_x0000_t202" style="position:absolute;left:0;text-align:left;margin-left:-56.7pt;margin-top:136.85pt;width:423.15pt;height:87.7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" fillcolor="#c8eefc" stroked="f">
                <v:textbox inset=",6.99994mm,,1.99997mm">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第五章  全面推进乡村振兴</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加快农村牧区现代化</w:t>
                      </w:r>
                    </w:p>
                  </w:txbxContent>
                </v:textbox>
                <w10:wrap type="square"/>
              </v:shape>
            </w:pict>
          </mc:Fallback>
        </mc:AlternateContent>
      </w:r>
    </w:p>
    <w:bookmarkEnd w:id="159"/>
    <w:bookmarkEnd w:id="160"/>
    <w:p w:rsidR="00000000" w:rsidRDefault="00000000">
      <w:pPr>
        <w:pStyle w:val="Normal24"/>
        <w:widowControl w:val="0"/>
        <w:spacing w:before="0" w:after="0" w:line="480" w:lineRule="exact"/>
        <w:ind w:firstLineChars="200" w:firstLine="420"/>
        <w:rPr>
          <w:rFonts w:eastAsia="楷体_GB2312"/>
          <w:bCs/>
          <w:sz w:val="28"/>
          <w:szCs w:val="28"/>
          <w:lang w:eastAsia="zh-CN"/>
        </w:rPr>
      </w:pPr>
      <w:r>
        <w:rPr>
          <w:rFonts w:ascii="宋体" w:eastAsia="宋体" w:hAnsi="宋体" w:cs="宋体" w:hint="eastAsia"/>
          <w:sz w:val="21"/>
          <w:szCs w:val="21"/>
          <w:lang w:eastAsia="zh-CN"/>
        </w:rPr>
        <w:lastRenderedPageBreak/>
        <w:t>坚持农业农村优先发展，全面落实乡村振兴战略，巩固拓展脱贫攻坚成果与乡村振兴有效衔接，提升现代农业发展水平，实施乡村建设行动，加强美丽乡村建设，努力实现乡村让人们更向往，奋力实现乡村全面振兴。</w:t>
      </w:r>
    </w:p>
    <w:bookmarkStart w:id="161" w:name="_Toc6615"/>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fldChar w:fldCharType="begin"/>
      </w:r>
      <w:r>
        <w:rPr>
          <w:rFonts w:ascii="Times New Roman" w:eastAsia="楷体_GB2312" w:hAnsi="Times New Roman"/>
          <w:bCs w:val="0"/>
          <w:kern w:val="0"/>
          <w:sz w:val="24"/>
          <w:szCs w:val="24"/>
        </w:rPr>
        <w:instrText>HYPERLINK \l "_Toc441087348"</w:instrText>
      </w:r>
      <w:r>
        <w:rPr>
          <w:rFonts w:ascii="Times New Roman" w:eastAsia="楷体_GB2312" w:hAnsi="Times New Roman"/>
          <w:bCs w:val="0"/>
          <w:kern w:val="0"/>
          <w:sz w:val="24"/>
          <w:szCs w:val="24"/>
        </w:rPr>
        <w:fldChar w:fldCharType="separate"/>
      </w:r>
      <w:bookmarkStart w:id="162" w:name="_Toc65938208"/>
      <w:bookmarkStart w:id="163" w:name="_Toc55167055"/>
      <w:bookmarkStart w:id="164" w:name="_Toc59084996"/>
      <w:bookmarkStart w:id="165" w:name="_Toc57106156"/>
      <w:r>
        <w:rPr>
          <w:rFonts w:ascii="Times New Roman" w:eastAsia="楷体_GB2312" w:hAnsi="Times New Roman"/>
          <w:bCs w:val="0"/>
          <w:kern w:val="0"/>
          <w:sz w:val="24"/>
          <w:szCs w:val="24"/>
        </w:rPr>
        <w:t>第一节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加快发展</w:t>
      </w:r>
      <w:bookmarkStart w:id="166" w:name="_Hlt441094337"/>
      <w:r>
        <w:rPr>
          <w:rFonts w:ascii="Times New Roman" w:eastAsia="楷体_GB2312" w:hAnsi="Times New Roman"/>
          <w:bCs w:val="0"/>
          <w:kern w:val="0"/>
          <w:sz w:val="24"/>
          <w:szCs w:val="24"/>
        </w:rPr>
        <w:t>现</w:t>
      </w:r>
      <w:bookmarkEnd w:id="166"/>
      <w:r>
        <w:rPr>
          <w:rFonts w:ascii="Times New Roman" w:eastAsia="楷体_GB2312" w:hAnsi="Times New Roman"/>
          <w:bCs w:val="0"/>
          <w:kern w:val="0"/>
          <w:sz w:val="24"/>
          <w:szCs w:val="24"/>
        </w:rPr>
        <w:t>代农牧业</w:t>
      </w:r>
      <w:bookmarkEnd w:id="162"/>
      <w:bookmarkEnd w:id="163"/>
      <w:bookmarkEnd w:id="164"/>
      <w:bookmarkEnd w:id="165"/>
      <w:r>
        <w:rPr>
          <w:rFonts w:ascii="Times New Roman" w:eastAsia="楷体_GB2312" w:hAnsi="Times New Roman"/>
          <w:bCs w:val="0"/>
          <w:kern w:val="0"/>
          <w:sz w:val="24"/>
          <w:szCs w:val="24"/>
        </w:rPr>
        <w:fldChar w:fldCharType="end"/>
      </w:r>
      <w:bookmarkEnd w:id="161"/>
    </w:p>
    <w:p w:rsidR="00000000" w:rsidRDefault="00000000">
      <w:pPr>
        <w:spacing w:line="480" w:lineRule="exact"/>
        <w:ind w:firstLineChars="200" w:firstLine="420"/>
        <w:rPr>
          <w:rFonts w:ascii="宋体" w:hAnsi="宋体" w:cs="宋体" w:hint="eastAsia"/>
          <w:kern w:val="0"/>
          <w:szCs w:val="21"/>
        </w:rPr>
      </w:pPr>
      <w:r>
        <w:rPr>
          <w:rFonts w:eastAsia="楷体_GB2312"/>
          <w:szCs w:val="21"/>
        </w:rPr>
        <w:t>推进农牧业供给侧结构性改革。</w:t>
      </w:r>
      <w:r>
        <w:rPr>
          <w:rFonts w:ascii="宋体" w:hAnsi="宋体" w:cs="宋体" w:hint="eastAsia"/>
          <w:kern w:val="0"/>
          <w:szCs w:val="21"/>
        </w:rPr>
        <w:t>健全城乡融合发展机制，推动城乡要素平等交换、双向流动，增强农牧业和农村牧区发展活力。培育和引导各类经营主体通过托管、互换、流转、入股合作等形式开展土地适度规模经营，创建全市土地“三权分置”改革示范区，土地规模经营面积突破100万亩。认真贯彻第二轮土地和草牧场承包到期后再延长三十年政策，严格落实土地和草原所有权、承包权、经营权分置制度，引导土地和草原承包经营权规范流转，利用好土地确权颁证改革成果。实施新型农牧业经营主体培育工程，壮大农民合作社、家庭农牧场等新型农牧业经营主体，发展多种形式适度规模经营。健全农牧业专业化社会化服务体系，建立紧密型农企利益联结机制。健全城乡统一的建设用地市场，探索实施农村牧区集体经营性建设用地入市制度。推进农村宅基地制度改革，保障进城</w:t>
      </w:r>
      <w:r>
        <w:rPr>
          <w:rFonts w:ascii="宋体" w:hAnsi="宋体" w:cs="宋体" w:hint="eastAsia"/>
          <w:kern w:val="0"/>
          <w:szCs w:val="21"/>
        </w:rPr>
        <w:lastRenderedPageBreak/>
        <w:t>落户农牧民土地承包权、宅基地使用权、集体收益分配权。深化农村牧区集体产权制度改革，健全集体资产管理制度，发展新型集体经济。加快种植养殖业结构调整，推进质量兴农兴牧、绿色优农优牧、品牌强农强牧，构建现代农牧业产业体系、生产体系、经营体系，推动农牧业发展质量变革、效率变革、动力变革。加大种业工程实施力度。培育壮大蒙中药材、甘薯、畜产品、粮油等特色农畜产品加工龙头企业，构筑“从田间到餐桌”的全产业链，充分实现市场运作、全程质量监管和社会化服务，确保粮食和重要副食品供应安全，着力建设绿色农畜产品生产加工输出基地。</w:t>
      </w:r>
    </w:p>
    <w:p w:rsidR="00000000" w:rsidRDefault="00000000">
      <w:pPr>
        <w:spacing w:line="480" w:lineRule="exact"/>
        <w:ind w:firstLineChars="200" w:firstLine="420"/>
        <w:rPr>
          <w:rFonts w:ascii="宋体" w:hAnsi="宋体" w:cs="宋体" w:hint="eastAsia"/>
          <w:kern w:val="0"/>
          <w:szCs w:val="21"/>
        </w:rPr>
      </w:pPr>
      <w:r>
        <w:rPr>
          <w:rFonts w:eastAsia="楷体_GB2312"/>
          <w:szCs w:val="21"/>
        </w:rPr>
        <w:t>坚决扛稳粮食安全重任。</w:t>
      </w:r>
      <w:r>
        <w:rPr>
          <w:rFonts w:ascii="宋体" w:hAnsi="宋体" w:cs="宋体" w:hint="eastAsia"/>
          <w:kern w:val="0"/>
          <w:szCs w:val="21"/>
        </w:rPr>
        <w:t>实施“藏粮于地、藏粮于技”战略。坚持最严格的耕地保护制度，坚决遏制耕地“非农化”，毫不放松抓好粮食生产。把粮食安全作为“六稳”、“六保”的重要基础，加快建设现代化粮食流通和储备体系，把粮食储备好，保管好。完善粮食产购储加销安全保障体系，培育壮大市场主体，提升粮食产业链协同发展水平。推进优质粮食工程，加快粮食产业高质量发展，增强应对风险挑战能力，提高粮食流通现代化水平。做好粮食执法监督检查，规范粮食收购市场管理秩序。实施“科技兴粮”和“人才兴粮”，提高教育培训水平，推动粮食产业创新发展、转型升级</w:t>
      </w:r>
      <w:r>
        <w:rPr>
          <w:rFonts w:ascii="宋体" w:hAnsi="宋体" w:cs="宋体" w:hint="eastAsia"/>
          <w:kern w:val="0"/>
          <w:szCs w:val="21"/>
        </w:rPr>
        <w:lastRenderedPageBreak/>
        <w:t>和提质增效，形成“粮食兴、产业旺、经济强”的良性循环。推进粮食应急管理科学化、规范化、制度化建设，提升粮食应急管理工作水平。营造“爱粮节粮、厉行节约”的良好氛围，开展科技活动周、世界粮食日、粮食安全宣传活动周等活动，普及节粮减损知识。完善粮食信息化建设规划，加强信息化资源整合，科学有序推进“数字粮食”工程建设。</w:t>
      </w:r>
    </w:p>
    <w:p w:rsidR="00000000" w:rsidRDefault="00000000">
      <w:pPr>
        <w:spacing w:line="480" w:lineRule="exact"/>
        <w:ind w:firstLineChars="200" w:firstLine="420"/>
        <w:rPr>
          <w:rFonts w:ascii="宋体" w:hAnsi="宋体" w:cs="宋体" w:hint="eastAsia"/>
          <w:kern w:val="0"/>
          <w:szCs w:val="21"/>
        </w:rPr>
      </w:pPr>
      <w:r>
        <w:rPr>
          <w:rFonts w:eastAsia="楷体_GB2312"/>
          <w:szCs w:val="21"/>
        </w:rPr>
        <w:t>发展绿色高效种植业。</w:t>
      </w:r>
      <w:r>
        <w:rPr>
          <w:rFonts w:ascii="宋体" w:hAnsi="宋体" w:cs="宋体" w:hint="eastAsia"/>
          <w:kern w:val="0"/>
          <w:szCs w:val="21"/>
        </w:rPr>
        <w:t>坚持量水而行、以水定地、以水定需。推进种植业基础设施建设。坚持用地养地结合、生态兼顾的耕作制度，努力提升耕地质量，实施高标准农田、水平梯田、黑土地保护性耕作、耕地质量保护提升等项目，推广肥沃耕层构建、轮作休耕、免耕栽培等综合技术。重点实施化肥减量增效、种植业生产标准化、粮改饲、退耕还林还草等项目，推动种植业高质量发展。加快设施农业建设，提升“菜篮子”工程。优化种植业区域布局，构建“三区三园”种植业产业布局，</w:t>
      </w:r>
      <w:r>
        <w:rPr>
          <w:rFonts w:ascii="黑体" w:eastAsia="黑体" w:hAnsi="黑体" w:cs="黑体" w:hint="eastAsia"/>
          <w:kern w:val="0"/>
          <w:szCs w:val="21"/>
        </w:rPr>
        <w:t>壮大“三区”</w:t>
      </w:r>
      <w:r>
        <w:rPr>
          <w:rFonts w:ascii="宋体" w:hAnsi="宋体" w:cs="宋体" w:hint="eastAsia"/>
          <w:kern w:val="0"/>
          <w:szCs w:val="21"/>
        </w:rPr>
        <w:t>，山区建设以甘薯、杂粮杂豆等为重点的“浅山丘陵旱作农业示范区”，沙区建设以青贮玉米、牧草、西瓜等为重点的“沙地生态综合治理循环发展示范区”，平原区建设以玉米、甜菜、蒙中药材等种植为主的“节水高产高效粮食功能区”，适度发展林下经济，鼓励发展庭院经济；</w:t>
      </w:r>
      <w:r>
        <w:rPr>
          <w:rFonts w:ascii="黑体" w:eastAsia="黑体" w:hAnsi="黑体" w:cs="黑体" w:hint="eastAsia"/>
          <w:kern w:val="0"/>
          <w:szCs w:val="21"/>
        </w:rPr>
        <w:t>提升“三</w:t>
      </w:r>
      <w:r>
        <w:rPr>
          <w:rFonts w:ascii="黑体" w:eastAsia="黑体" w:hAnsi="黑体" w:cs="黑体" w:hint="eastAsia"/>
          <w:kern w:val="0"/>
          <w:szCs w:val="21"/>
        </w:rPr>
        <w:lastRenderedPageBreak/>
        <w:t>园”，</w:t>
      </w:r>
      <w:r>
        <w:rPr>
          <w:rFonts w:ascii="宋体" w:hAnsi="宋体" w:cs="宋体" w:hint="eastAsia"/>
          <w:kern w:val="0"/>
          <w:szCs w:val="21"/>
        </w:rPr>
        <w:t>发挥示范引领作用，打造大沁他拉镇现代农业科技园、占布拉道尔吉蒙中药健康产业园、奈曼甘薯现代农业产业园，走产城融合发展道路，助推产业转型升级。</w:t>
      </w:r>
    </w:p>
    <w:p w:rsidR="00000000" w:rsidRDefault="00000000">
      <w:pPr>
        <w:spacing w:line="480" w:lineRule="exact"/>
        <w:ind w:firstLineChars="200" w:firstLine="420"/>
        <w:rPr>
          <w:rFonts w:ascii="宋体" w:hAnsi="宋体" w:cs="宋体" w:hint="eastAsia"/>
          <w:kern w:val="0"/>
          <w:szCs w:val="21"/>
        </w:rPr>
      </w:pPr>
      <w:r>
        <w:rPr>
          <w:rFonts w:eastAsia="楷体_GB2312"/>
          <w:szCs w:val="21"/>
        </w:rPr>
        <w:t>发展现代养殖业。</w:t>
      </w:r>
      <w:r>
        <w:rPr>
          <w:rFonts w:ascii="宋体" w:hAnsi="宋体" w:cs="宋体" w:hint="eastAsia"/>
          <w:kern w:val="0"/>
          <w:szCs w:val="21"/>
        </w:rPr>
        <w:t>坚持以草定畜，种养加结合，草畜一体化，优化养殖业发展布局，加快完善现代养殖体系。构建“两线三区”养殖业发展布局，国道“111”线和大库线两侧重点发展黄牛养殖，沙区以黄牛为主兼顾肉羊，山区突出发展肉羊，平原区自主发展牲畜养殖，扶持发展肉驴和以农户为主的生猪养殖。以富民为核心，扶持中小养殖户发展适度规模经营，逐步推行“人畜分离”养殖模式，推进畜禽养殖废弃物资源化利用，推动畜牧业绿色循环发展。实施“牧草增量提质”工程，有效引导支持农牧民在沙地、林间地、退化草场和25度以上坡耕地退耕种植牧草。实施畜禽遗传改良计划和</w:t>
      </w:r>
      <w:bookmarkStart w:id="167" w:name="_Hlk56335038"/>
      <w:r>
        <w:rPr>
          <w:rFonts w:ascii="宋体" w:hAnsi="宋体" w:cs="宋体" w:hint="eastAsia"/>
          <w:kern w:val="0"/>
          <w:szCs w:val="21"/>
        </w:rPr>
        <w:t>现代种业提升工程</w:t>
      </w:r>
      <w:bookmarkEnd w:id="167"/>
      <w:r>
        <w:rPr>
          <w:rFonts w:ascii="宋体" w:hAnsi="宋体" w:cs="宋体" w:hint="eastAsia"/>
          <w:kern w:val="0"/>
          <w:szCs w:val="21"/>
        </w:rPr>
        <w:t>，加大能繁殖母畜比重，提升畜牧业机械化水平。落实动物防疫主体责任，完善动物防疫体系建设，突出强化动物防疫执法力量，增强早期监测、发现、报告和处置能力，提升动物疫病防控和防疫监管能力。重点实施以棚舍、饲草储备设施为重点的畜牧业基础设施项目。完善牲畜交易市场体系建设，提升活畜交易能力。推进肉牛肉羊生猪屠宰加工项目建设，提升畜禽屠宰加</w:t>
      </w:r>
      <w:r>
        <w:rPr>
          <w:rFonts w:ascii="宋体" w:hAnsi="宋体" w:cs="宋体" w:hint="eastAsia"/>
          <w:kern w:val="0"/>
          <w:szCs w:val="21"/>
        </w:rPr>
        <w:lastRenderedPageBreak/>
        <w:t>工行业整体水平，健全畜禽产品冷链加工配送流通体系，增强畜牧业质量效益和竞争力。到2025年，</w:t>
      </w:r>
      <w:bookmarkStart w:id="168" w:name="_Hlk56347095"/>
      <w:r>
        <w:rPr>
          <w:rFonts w:ascii="宋体" w:hAnsi="宋体" w:cs="宋体" w:hint="eastAsia"/>
          <w:kern w:val="0"/>
          <w:szCs w:val="21"/>
        </w:rPr>
        <w:t>肉牛存栏量达到60万头，肉羊存栏量达到100万只以上，生猪出栏量100万头左右。</w:t>
      </w:r>
    </w:p>
    <w:p w:rsidR="00000000" w:rsidRDefault="00000000">
      <w:pPr>
        <w:spacing w:line="480" w:lineRule="exact"/>
        <w:ind w:firstLineChars="200" w:firstLine="420"/>
        <w:rPr>
          <w:rFonts w:ascii="宋体" w:hAnsi="宋体" w:cs="宋体" w:hint="eastAsia"/>
          <w:kern w:val="0"/>
          <w:szCs w:val="21"/>
        </w:rPr>
      </w:pPr>
      <w:r>
        <w:rPr>
          <w:rFonts w:eastAsia="楷体_GB2312"/>
          <w:szCs w:val="21"/>
        </w:rPr>
        <w:t>构建农牧业发展支撑体系</w:t>
      </w:r>
      <w:bookmarkEnd w:id="168"/>
      <w:r>
        <w:rPr>
          <w:rFonts w:eastAsia="楷体_GB2312"/>
          <w:szCs w:val="21"/>
        </w:rPr>
        <w:t>。</w:t>
      </w:r>
      <w:r>
        <w:rPr>
          <w:rFonts w:ascii="宋体" w:hAnsi="宋体" w:cs="宋体" w:hint="eastAsia"/>
          <w:kern w:val="0"/>
          <w:szCs w:val="21"/>
        </w:rPr>
        <w:t>落实“农牧业农村牧区高质量发展10大行动计划”和惠农惠牧政策。加大政府投入支持农牧业和农村牧区发展力度，健全公共服务保障支持体系。协调信贷资金、整合各类涉农项目资金、鼓励社会各界投入资金、引导农牧民自我积累资金向农牧业重点领域倾斜。强化农业科技和装备支撑，提高农牧业良种化水平，健全动物防疫和农作物病虫害防治体系，建设智慧农业。完善基层农技推广服务体系，配齐配强农业技术人员队伍，推广农牧业节水、水肥一体化、测土配方施肥、绿色防控、人工授精和胚胎移植、疫病防治等实用技术，提升农牧业生产效益。落实农机购置补贴政策，推进农牧业生产全程机械化。开展农产品原产地认证，提升无公害、绿色、有机农畜产品供给能力。深入实施好农牧业品牌战略，做好品牌商标培育申创，扩大科尔沁肉羊、奈曼甘薯、奈曼甘草等区域公用品牌影响力，提升市场竞争力。建立“电商平台+直销中心+零售体验”一体化的农畜产品宣传、展示、销售平台。提高农牧业综合执法力度，维护农牧业安全生产秩序，提升</w:t>
      </w:r>
      <w:r>
        <w:rPr>
          <w:rFonts w:ascii="宋体" w:hAnsi="宋体" w:cs="宋体" w:hint="eastAsia"/>
          <w:kern w:val="0"/>
          <w:szCs w:val="21"/>
        </w:rPr>
        <w:lastRenderedPageBreak/>
        <w:t>农产品质量安全监管能力。到2025年，农牧业科技进步贡献率达到全区平均水平。</w:t>
      </w:r>
    </w:p>
    <w:p w:rsidR="00000000" w:rsidRDefault="00000000">
      <w:pPr>
        <w:spacing w:line="480" w:lineRule="exact"/>
        <w:ind w:firstLineChars="200" w:firstLine="420"/>
        <w:rPr>
          <w:rFonts w:ascii="宋体" w:hAnsi="宋体" w:cs="宋体" w:hint="eastAsia"/>
          <w:kern w:val="0"/>
          <w:szCs w:val="21"/>
        </w:rPr>
      </w:pP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5820"/>
      </w:tblGrid>
      <w:tr w:rsidR="00000000">
        <w:trPr>
          <w:trHeight w:hRule="exact" w:val="518"/>
          <w:jc w:val="center"/>
        </w:trPr>
        <w:tc>
          <w:tcPr>
            <w:tcW w:w="5820" w:type="dxa"/>
            <w:tcBorders>
              <w:top w:val="single" w:sz="12" w:space="0" w:color="auto"/>
              <w:left w:val="single" w:sz="12" w:space="0" w:color="auto"/>
              <w:right w:val="single" w:sz="12" w:space="0" w:color="auto"/>
            </w:tcBorders>
            <w:shd w:val="clear" w:color="auto" w:fill="95DAF3"/>
            <w:vAlign w:val="center"/>
          </w:tcPr>
          <w:p w:rsidR="00000000" w:rsidRDefault="00000000">
            <w:pPr>
              <w:spacing w:line="360" w:lineRule="exact"/>
              <w:jc w:val="center"/>
              <w:rPr>
                <w:rFonts w:eastAsia="黑体"/>
                <w:szCs w:val="21"/>
              </w:rPr>
            </w:pPr>
            <w:r>
              <w:rPr>
                <w:rFonts w:eastAsia="黑体"/>
                <w:szCs w:val="21"/>
              </w:rPr>
              <w:t>专栏</w:t>
            </w:r>
            <w:r>
              <w:rPr>
                <w:rFonts w:eastAsia="黑体"/>
                <w:szCs w:val="21"/>
              </w:rPr>
              <w:t xml:space="preserve">3  </w:t>
            </w:r>
            <w:r>
              <w:rPr>
                <w:rFonts w:eastAsia="黑体"/>
                <w:szCs w:val="21"/>
              </w:rPr>
              <w:t>现代农牧业重点项目工程</w:t>
            </w:r>
          </w:p>
        </w:tc>
      </w:tr>
      <w:tr w:rsidR="00000000">
        <w:trPr>
          <w:trHeight w:hRule="exact" w:val="5505"/>
          <w:jc w:val="center"/>
        </w:trPr>
        <w:tc>
          <w:tcPr>
            <w:tcW w:w="5820" w:type="dxa"/>
            <w:tcBorders>
              <w:left w:val="single" w:sz="12" w:space="0" w:color="auto"/>
              <w:bottom w:val="single" w:sz="12" w:space="0" w:color="auto"/>
              <w:right w:val="single" w:sz="12" w:space="0" w:color="auto"/>
            </w:tcBorders>
            <w:shd w:val="clear" w:color="auto" w:fill="C8EEFC"/>
          </w:tcPr>
          <w:p w:rsidR="00000000" w:rsidRDefault="00000000">
            <w:pPr>
              <w:spacing w:line="360" w:lineRule="exact"/>
              <w:ind w:firstLineChars="200" w:firstLine="400"/>
              <w:jc w:val="left"/>
              <w:rPr>
                <w:rFonts w:ascii="黑体" w:eastAsia="黑体" w:hAnsi="黑体" w:cs="黑体" w:hint="eastAsia"/>
                <w:sz w:val="20"/>
                <w:szCs w:val="20"/>
              </w:rPr>
            </w:pPr>
            <w:r>
              <w:rPr>
                <w:rFonts w:ascii="黑体" w:eastAsia="黑体" w:hAnsi="黑体" w:cs="黑体" w:hint="eastAsia"/>
                <w:sz w:val="20"/>
                <w:szCs w:val="20"/>
              </w:rPr>
              <w:t>（一）农业</w:t>
            </w:r>
          </w:p>
          <w:p w:rsidR="00000000" w:rsidRDefault="00000000">
            <w:pPr>
              <w:spacing w:line="360" w:lineRule="exact"/>
              <w:ind w:firstLineChars="200" w:firstLine="400"/>
              <w:rPr>
                <w:rFonts w:ascii="宋体" w:hAnsi="宋体" w:cs="宋体" w:hint="eastAsia"/>
                <w:sz w:val="20"/>
                <w:szCs w:val="20"/>
              </w:rPr>
            </w:pPr>
            <w:r>
              <w:rPr>
                <w:rFonts w:ascii="宋体" w:hAnsi="宋体" w:cs="宋体" w:hint="eastAsia"/>
                <w:sz w:val="20"/>
                <w:szCs w:val="20"/>
              </w:rPr>
              <w:t>实施现代农业示范园区、高标准农田建设（高效节水）、优质粮食工程、耕地保护与质量提升和化肥减量增效、粮改饲项目、盐碱地治理、耕地轮作休耕、土地流转整村推进、种业工程、农作物品种试验展示示范能力提升、种质资源保护、玉米绿色高质高效创建、高产优质苜蓿种植、果菜茶有机肥代替化肥试点县、玉米全程机械化作业、粮食增产田间工程、旱作节水农业、农作物秸秆综合利用、深松深翻作业补助、食用菌产业基地、优势特色产业示范乡镇、耕地占补平衡、新型经营主体建设、高质量发展10大行动计划等建设项目。</w:t>
            </w:r>
          </w:p>
          <w:p w:rsidR="00000000" w:rsidRDefault="00000000">
            <w:pPr>
              <w:spacing w:line="360" w:lineRule="exact"/>
              <w:ind w:firstLineChars="200" w:firstLine="400"/>
              <w:jc w:val="left"/>
              <w:rPr>
                <w:rFonts w:ascii="黑体" w:eastAsia="黑体" w:hAnsi="黑体" w:cs="黑体" w:hint="eastAsia"/>
                <w:sz w:val="20"/>
                <w:szCs w:val="20"/>
              </w:rPr>
            </w:pPr>
            <w:r>
              <w:rPr>
                <w:rFonts w:ascii="黑体" w:eastAsia="黑体" w:hAnsi="黑体" w:cs="黑体" w:hint="eastAsia"/>
                <w:sz w:val="20"/>
                <w:szCs w:val="20"/>
              </w:rPr>
              <w:t>（二）畜牧业</w:t>
            </w:r>
          </w:p>
          <w:p w:rsidR="00000000" w:rsidRDefault="00000000">
            <w:pPr>
              <w:spacing w:line="360" w:lineRule="exact"/>
              <w:ind w:firstLineChars="200" w:firstLine="400"/>
              <w:rPr>
                <w:rFonts w:eastAsia="楷体_GB2312"/>
                <w:szCs w:val="21"/>
              </w:rPr>
            </w:pPr>
            <w:r>
              <w:rPr>
                <w:rFonts w:ascii="宋体" w:hAnsi="宋体" w:cs="宋体" w:hint="eastAsia"/>
                <w:sz w:val="20"/>
                <w:szCs w:val="20"/>
              </w:rPr>
              <w:t>支持高效养殖示范园区、现代肉牛养殖基地、育肥羊基础设施、饲草料基地、动物防疫专用设施建设、免疫无口蹄疫区、动物疫病预警预报能力提升行动、</w:t>
            </w:r>
            <w:r>
              <w:rPr>
                <w:rFonts w:ascii="Calibri" w:hAnsi="Calibri" w:cs="TechnicLite" w:hint="eastAsia"/>
                <w:iCs/>
                <w:spacing w:val="-6"/>
                <w:sz w:val="20"/>
                <w:szCs w:val="20"/>
              </w:rPr>
              <w:t>母牛一年产一胎饲养管理模式推广、肉牛质量和价值行动、产业扶贫、京蒙帮扶等建设项目。</w:t>
            </w:r>
          </w:p>
        </w:tc>
      </w:tr>
    </w:tbl>
    <w:p w:rsidR="00000000" w:rsidRDefault="00000000">
      <w:pPr>
        <w:pStyle w:val="2"/>
        <w:spacing w:before="0" w:after="0" w:line="40" w:lineRule="exact"/>
        <w:jc w:val="center"/>
        <w:rPr>
          <w:rFonts w:ascii="Times New Roman" w:eastAsia="楷体_GB2312" w:hAnsi="Times New Roman"/>
          <w:bCs w:val="0"/>
          <w:kern w:val="0"/>
          <w:sz w:val="28"/>
          <w:szCs w:val="28"/>
        </w:rPr>
      </w:pPr>
      <w:bookmarkStart w:id="169" w:name="_Toc59084997"/>
      <w:bookmarkStart w:id="170" w:name="_Toc57106157"/>
      <w:bookmarkStart w:id="171" w:name="_Toc65938209"/>
      <w:bookmarkStart w:id="172" w:name="_Toc55167063"/>
      <w:r>
        <w:rPr>
          <w:rFonts w:ascii="Times New Roman" w:eastAsia="楷体_GB2312" w:hAnsi="Times New Roman"/>
          <w:bCs w:val="0"/>
          <w:kern w:val="0"/>
          <w:sz w:val="28"/>
          <w:szCs w:val="28"/>
        </w:rPr>
        <w:br w:type="page"/>
      </w:r>
      <w:bookmarkStart w:id="173" w:name="_Toc29041"/>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t>第二节</w:t>
      </w:r>
      <w:r>
        <w:rPr>
          <w:rFonts w:ascii="Times New Roman" w:eastAsia="楷体_GB2312" w:hAnsi="Times New Roman"/>
          <w:bCs w:val="0"/>
          <w:kern w:val="0"/>
          <w:sz w:val="24"/>
          <w:szCs w:val="24"/>
        </w:rPr>
        <w:t xml:space="preserve">  </w:t>
      </w:r>
      <w:r>
        <w:rPr>
          <w:rFonts w:ascii="Times New Roman" w:eastAsia="楷体_GB2312" w:hAnsi="Times New Roman" w:hint="eastAsia"/>
          <w:bCs w:val="0"/>
          <w:kern w:val="0"/>
          <w:sz w:val="24"/>
          <w:szCs w:val="24"/>
        </w:rPr>
        <w:t>实施</w:t>
      </w:r>
      <w:bookmarkEnd w:id="169"/>
      <w:bookmarkEnd w:id="170"/>
      <w:bookmarkEnd w:id="171"/>
      <w:bookmarkEnd w:id="172"/>
      <w:r>
        <w:rPr>
          <w:rFonts w:ascii="Times New Roman" w:eastAsia="楷体_GB2312" w:hAnsi="Times New Roman"/>
          <w:bCs w:val="0"/>
          <w:kern w:val="0"/>
          <w:sz w:val="24"/>
          <w:szCs w:val="24"/>
        </w:rPr>
        <w:t>乡村建设行动</w:t>
      </w:r>
      <w:bookmarkEnd w:id="173"/>
    </w:p>
    <w:p w:rsidR="00000000" w:rsidRDefault="00000000">
      <w:pPr>
        <w:spacing w:line="480" w:lineRule="exact"/>
        <w:ind w:firstLineChars="200" w:firstLine="420"/>
        <w:rPr>
          <w:rFonts w:ascii="宋体" w:hAnsi="宋体" w:cs="宋体" w:hint="eastAsia"/>
          <w:kern w:val="0"/>
          <w:szCs w:val="21"/>
        </w:rPr>
      </w:pPr>
      <w:r>
        <w:rPr>
          <w:rFonts w:eastAsia="楷体_GB2312"/>
          <w:szCs w:val="21"/>
        </w:rPr>
        <w:t>构建乡村产业体系。</w:t>
      </w:r>
      <w:r>
        <w:rPr>
          <w:rFonts w:ascii="宋体" w:hAnsi="宋体" w:cs="宋体" w:hint="eastAsia"/>
          <w:kern w:val="0"/>
          <w:szCs w:val="21"/>
        </w:rPr>
        <w:t>培育壮大特色优势产业，调整优化农牧业产业结构，全面提升农畜产品质量，实施农牧业品牌战略，推进农村牧区产业融合发展。开展标准化基地建设和高产创建活动，提高规模化生产经营水平，发展新型农村牧区集体经济。建设现代农牧业经营体系，壮大新型农牧业经营主体，完善社会化服务体系，加强农牧业信息化建设，促进小农牧户生产与现代农牧业发展有机衔接。建设农牧业绿色发展体系，加强资源保护与节约利用，完善农牧业资源管控制度。</w:t>
      </w:r>
    </w:p>
    <w:p w:rsidR="00000000" w:rsidRDefault="00000000">
      <w:pPr>
        <w:spacing w:line="480" w:lineRule="exact"/>
        <w:ind w:firstLineChars="200" w:firstLine="420"/>
        <w:rPr>
          <w:rFonts w:ascii="宋体" w:hAnsi="宋体" w:cs="宋体" w:hint="eastAsia"/>
          <w:kern w:val="0"/>
          <w:szCs w:val="21"/>
        </w:rPr>
      </w:pPr>
      <w:r>
        <w:rPr>
          <w:rFonts w:eastAsia="楷体_GB2312"/>
          <w:szCs w:val="21"/>
        </w:rPr>
        <w:t>发展高质量劳务产业。</w:t>
      </w:r>
      <w:r>
        <w:rPr>
          <w:rFonts w:ascii="宋体" w:hAnsi="宋体" w:cs="宋体" w:hint="eastAsia"/>
          <w:kern w:val="0"/>
          <w:szCs w:val="21"/>
        </w:rPr>
        <w:t>加快农村劳动力转移就业，实现劳动力转移向技能型、组织化方向发展。面向旗内、旗外两个市场，建立健全旗镇村三级劳动力转移就业服务网，提供职业介绍、技能培训、权益保障等全要素精细化服务。加快推进劳动力转移就业服务市场化、社会化，增强劳务产业发展的内生动力。以有稳定多元的转移就业基地、满足市场需求的转移就业技能、持续可观的转移就业收入为目标，打造农民工劳务输出品牌，创建自治区劳动力转移就业强旗，年转移就业人数稳定在8万人左右，工资性收入成为农民增</w:t>
      </w:r>
      <w:r>
        <w:rPr>
          <w:rFonts w:ascii="宋体" w:hAnsi="宋体" w:cs="宋体" w:hint="eastAsia"/>
          <w:kern w:val="0"/>
          <w:szCs w:val="21"/>
        </w:rPr>
        <w:lastRenderedPageBreak/>
        <w:t>收的重要增长极。到2025年，劳务收入达到20亿元以上。</w:t>
      </w:r>
    </w:p>
    <w:p w:rsidR="00000000" w:rsidRDefault="00000000">
      <w:pPr>
        <w:spacing w:line="480" w:lineRule="exact"/>
        <w:ind w:firstLineChars="200" w:firstLine="420"/>
        <w:rPr>
          <w:rFonts w:ascii="宋体" w:hAnsi="宋体" w:cs="宋体" w:hint="eastAsia"/>
          <w:kern w:val="0"/>
          <w:szCs w:val="21"/>
        </w:rPr>
      </w:pPr>
      <w:r>
        <w:rPr>
          <w:rFonts w:eastAsia="楷体_GB2312" w:hint="eastAsia"/>
          <w:szCs w:val="21"/>
        </w:rPr>
        <w:t>持续开展农村牧区人居环境整治</w:t>
      </w:r>
      <w:r>
        <w:rPr>
          <w:rFonts w:eastAsia="楷体_GB2312"/>
          <w:szCs w:val="21"/>
        </w:rPr>
        <w:t>。</w:t>
      </w:r>
      <w:r>
        <w:rPr>
          <w:rFonts w:ascii="宋体" w:hAnsi="宋体" w:cs="宋体" w:hint="eastAsia"/>
          <w:kern w:val="0"/>
          <w:szCs w:val="21"/>
        </w:rPr>
        <w:t>强化城关镇综合服务能力和苏木乡镇服务农牧民区域中心功能，以典型村庄为试点，探索多规合一、覆盖全域、分类分级的新型村庄建设规划模式，旗统筹规划、镇连片推进、村整体实施。建立政府主导、分级负担、集体补充、群众参与、社会支持、多元筹集的投融资机制。加强农村牧区生态保护与修复，统筹实施山水林田湖草沙系统治理，推进造林绿化、农药化肥“双减”农膜回收等行动，落实生态系统保护制度，发挥自然资源多重效益。深入推进“厕所革命”，提升垃圾处理水平，加强生活污水治理，推进畜禽粪污资源化利用整县推进项目，改善村容村貌。提升农村牧区基础设施水平，推进“四好农村路”建设，加强水利基础网络建设，加快乡村能源革命，强化乡村信息化基础支撑。</w:t>
      </w:r>
    </w:p>
    <w:p w:rsidR="00000000" w:rsidRDefault="00000000">
      <w:pPr>
        <w:pStyle w:val="Normal24"/>
        <w:widowControl w:val="0"/>
        <w:spacing w:before="0" w:after="0" w:line="480" w:lineRule="exact"/>
        <w:ind w:firstLineChars="200" w:firstLine="420"/>
        <w:rPr>
          <w:rFonts w:ascii="宋体" w:eastAsia="宋体" w:hAnsi="宋体" w:cs="宋体" w:hint="eastAsia"/>
          <w:sz w:val="21"/>
          <w:szCs w:val="21"/>
          <w:lang w:eastAsia="zh-CN"/>
        </w:rPr>
      </w:pPr>
      <w:r>
        <w:rPr>
          <w:rFonts w:eastAsia="楷体_GB2312"/>
          <w:kern w:val="2"/>
          <w:sz w:val="21"/>
          <w:szCs w:val="21"/>
          <w:lang w:eastAsia="zh-CN"/>
        </w:rPr>
        <w:t>加强乡风文明建设。</w:t>
      </w:r>
      <w:r>
        <w:rPr>
          <w:rFonts w:ascii="宋体" w:eastAsia="宋体" w:hAnsi="宋体" w:cs="宋体" w:hint="eastAsia"/>
          <w:sz w:val="21"/>
          <w:szCs w:val="21"/>
          <w:lang w:eastAsia="zh-CN"/>
        </w:rPr>
        <w:t>全面推进新时代文明实践“五个一”机制，推动习近平新时代中国特色社会主义思想深入人心。加强农村牧区思想道德建设，坚持教育引导、实践养成、制度保障三管齐下，推动社会主义核心价值观转化为农民的情感认同和行为习惯。深化农村牧区精神文明创建，弘扬中华美德新风尚，实施全民素质提升工</w:t>
      </w:r>
      <w:r>
        <w:rPr>
          <w:rFonts w:ascii="宋体" w:eastAsia="宋体" w:hAnsi="宋体" w:cs="宋体" w:hint="eastAsia"/>
          <w:sz w:val="21"/>
          <w:szCs w:val="21"/>
          <w:lang w:eastAsia="zh-CN"/>
        </w:rPr>
        <w:lastRenderedPageBreak/>
        <w:t>程，倡导树立文明新风，广泛开展文明村镇、文明家庭、道德模范、身边好人系列评选等文明创建活动。加强公共文化设施建设，提高文化产品和服务供给质量，积极开展集体过大年、民间乌兰牧骑等群众性文化活动，培育壮大农村牧区文化队伍，丰富农牧民精神文化生活。弘扬中华优秀传统文化，传承发展红色革命文化，加强保护传承与创新发展，守护民族根脉，坚定文化自信。充分发挥乌兰牧骑宣传、演出、辅导、服务、创作、创新、传承、交流等职能，更好的为基层群众服务。到2025年，旗级及以上文明苏木乡镇、嘎查村的比例达到65%。</w:t>
      </w:r>
    </w:p>
    <w:p w:rsidR="00000000" w:rsidRDefault="00000000">
      <w:pPr>
        <w:pStyle w:val="Normal24"/>
        <w:widowControl w:val="0"/>
        <w:tabs>
          <w:tab w:val="left" w:pos="728"/>
        </w:tabs>
        <w:spacing w:before="0" w:after="0" w:line="480" w:lineRule="exact"/>
        <w:ind w:firstLineChars="200" w:firstLine="420"/>
        <w:rPr>
          <w:rFonts w:ascii="宋体" w:eastAsia="宋体" w:hAnsi="宋体" w:cs="宋体" w:hint="eastAsia"/>
          <w:sz w:val="21"/>
          <w:szCs w:val="21"/>
          <w:lang w:eastAsia="zh-CN"/>
        </w:rPr>
      </w:pPr>
      <w:r>
        <w:rPr>
          <w:rFonts w:eastAsia="楷体_GB2312"/>
          <w:kern w:val="2"/>
          <w:sz w:val="21"/>
          <w:szCs w:val="21"/>
          <w:lang w:eastAsia="zh-CN"/>
        </w:rPr>
        <w:t>健全乡村治理体系。</w:t>
      </w:r>
      <w:r>
        <w:rPr>
          <w:rFonts w:ascii="宋体" w:eastAsia="宋体" w:hAnsi="宋体" w:cs="宋体" w:hint="eastAsia"/>
          <w:sz w:val="21"/>
          <w:szCs w:val="21"/>
          <w:lang w:eastAsia="zh-CN"/>
        </w:rPr>
        <w:t>坚持“党建引领，三治融合”，健全以党组织为核心的组织体系，加强农村牧区基层党组织带头人和农村牧区党员队伍建设，强化农村牧区基层党组织建设责任和保障。深化乡村 自治法治德治建设，完善嘎查村级党组织领导的村民自治机制，开展“法律进乡村”等法治宣传教育活动，发挥先进典型示范引领作用。多措并举畅通群众诉求渠道，开展矛盾纠纷排查化解集中攻坚行动。加快农村牧区综合服务、便民利民服务设施建设。</w:t>
      </w:r>
    </w:p>
    <w:p w:rsidR="00000000" w:rsidRDefault="00000000">
      <w:pPr>
        <w:pStyle w:val="Normal24"/>
        <w:widowControl w:val="0"/>
        <w:spacing w:before="0" w:after="0" w:line="480" w:lineRule="exact"/>
        <w:ind w:firstLineChars="200" w:firstLine="420"/>
        <w:rPr>
          <w:rFonts w:ascii="宋体" w:eastAsia="宋体" w:hAnsi="宋体" w:cs="宋体" w:hint="eastAsia"/>
          <w:sz w:val="21"/>
          <w:szCs w:val="21"/>
          <w:lang w:eastAsia="zh-CN"/>
        </w:rPr>
      </w:pPr>
      <w:r>
        <w:rPr>
          <w:rFonts w:eastAsia="楷体_GB2312"/>
          <w:kern w:val="2"/>
          <w:sz w:val="21"/>
          <w:szCs w:val="21"/>
          <w:lang w:eastAsia="zh-CN"/>
        </w:rPr>
        <w:t>提升乡村幸福指数。</w:t>
      </w:r>
      <w:r>
        <w:rPr>
          <w:rFonts w:ascii="宋体" w:eastAsia="宋体" w:hAnsi="宋体" w:cs="宋体" w:hint="eastAsia"/>
          <w:sz w:val="21"/>
          <w:szCs w:val="21"/>
          <w:lang w:eastAsia="zh-CN"/>
        </w:rPr>
        <w:t>多渠道促进农牧民增收，拓宽农牧民就业渠道。增加农村牧区公共服务供给，优先发展农村牧区教育事业，</w:t>
      </w:r>
      <w:r>
        <w:rPr>
          <w:rFonts w:ascii="宋体" w:eastAsia="宋体" w:hAnsi="宋体" w:cs="宋体" w:hint="eastAsia"/>
          <w:sz w:val="21"/>
          <w:szCs w:val="21"/>
          <w:lang w:eastAsia="zh-CN"/>
        </w:rPr>
        <w:lastRenderedPageBreak/>
        <w:t>加强健康乡村建设，推进农村牧区社会保障体系建设，提升农村养老服务能力，加强防灾减灾救灾能力建设。巩固脱贫攻坚成果，对贫困户脱贫后进行针对性后续扶持和跟踪观测，健全防范返贫可持续发展长效机制。</w:t>
      </w:r>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bookmarkStart w:id="174" w:name="_Toc4565"/>
      <w:bookmarkStart w:id="175" w:name="_Toc59084998"/>
      <w:bookmarkStart w:id="176" w:name="_Toc57106158"/>
      <w:bookmarkStart w:id="177" w:name="_Toc65938210"/>
      <w:r>
        <w:rPr>
          <w:rFonts w:ascii="Times New Roman" w:eastAsia="楷体_GB2312" w:hAnsi="Times New Roman"/>
          <w:bCs w:val="0"/>
          <w:kern w:val="0"/>
          <w:sz w:val="24"/>
          <w:szCs w:val="24"/>
        </w:rPr>
        <w:t>第三节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巩固提升脱贫攻坚成果与乡村振兴有效衔接</w:t>
      </w:r>
      <w:bookmarkEnd w:id="174"/>
      <w:bookmarkEnd w:id="175"/>
      <w:bookmarkEnd w:id="176"/>
      <w:bookmarkEnd w:id="177"/>
    </w:p>
    <w:p w:rsidR="00000000" w:rsidRDefault="00000000">
      <w:pPr>
        <w:spacing w:line="480" w:lineRule="exact"/>
        <w:ind w:firstLineChars="200" w:firstLine="420"/>
        <w:rPr>
          <w:rFonts w:ascii="宋体" w:hAnsi="宋体" w:cs="宋体" w:hint="eastAsia"/>
          <w:spacing w:val="1"/>
          <w:kern w:val="0"/>
          <w:szCs w:val="21"/>
        </w:rPr>
      </w:pPr>
      <w:r>
        <w:rPr>
          <w:rFonts w:ascii="宋体" w:hAnsi="宋体" w:cs="宋体" w:hint="eastAsia"/>
          <w:kern w:val="0"/>
          <w:szCs w:val="21"/>
        </w:rPr>
        <w:t>按照中央脱贫攻坚五年过渡期的政策安排，做好脱贫攻坚同乡村振兴有效衔接，保持主要帮扶政策和财政投入总体稳定。过渡期内严格落实摘帽不摘责任、摘帽不摘政策、摘帽不摘帮扶、摘帽不摘监管“四个不摘”要求，推进抓党建促乡村振兴，充分发挥组织保障作用，逐步实现由集中资源支持脱贫攻坚向全面推进乡村振兴平稳过渡。建立健全防止返贫监测和帮扶机制，对易致贫人口开展常态化监测预警，及时发现、动态清零，对脱贫户中完全或部分丧失劳动能力的及时纳入社保，做到应保尽保、应兜尽兜，切实保障他们的基本生活。接续推进脱贫地区乡村振兴。统筹产业、资产、资金整合，持续巩固“两不愁三保障”成果。增强产业扶贫持续性，推动特色产业持续稳定发展。增强就业稳定性，通过劳务输出、稳岗补贴、以工代赈、公益岗位等多种途径，促进脱贫人口稳定就业。</w:t>
      </w:r>
      <w:r>
        <w:rPr>
          <w:rFonts w:ascii="宋体" w:hAnsi="宋体" w:cs="宋体" w:hint="eastAsia"/>
          <w:kern w:val="0"/>
          <w:szCs w:val="21"/>
        </w:rPr>
        <w:lastRenderedPageBreak/>
        <w:t>增强易地搬迁的长效性，持续提高配套基础设施和公共服务水平，确保搬迁群众稳得住、有就业、能致富。增强脱贫工作的延续性，加强小额信贷、村级光伏电站、扶贫公益岗位、扶贫车间管理和信息化建设，防范化解风险。注重扶智扶志相结合，激励和引导脱贫户靠自己努力过上更好生活。坚持和完善京蒙帮扶和对口支援、社会力量参与帮扶机制，进一步优化结对帮扶关系和协作帮扶方式。</w:t>
      </w:r>
    </w:p>
    <w:p w:rsidR="00000000" w:rsidRDefault="00000000">
      <w:pPr>
        <w:spacing w:line="480" w:lineRule="exact"/>
        <w:ind w:firstLineChars="200" w:firstLine="424"/>
        <w:rPr>
          <w:rFonts w:ascii="宋体" w:hAnsi="宋体" w:cs="宋体" w:hint="eastAsia"/>
          <w:spacing w:val="1"/>
          <w:kern w:val="0"/>
          <w:szCs w:val="21"/>
        </w:rPr>
      </w:pPr>
      <w:bookmarkStart w:id="178" w:name="_Toc59084999"/>
      <w:bookmarkStart w:id="179" w:name="_Toc57106159"/>
    </w:p>
    <w:p w:rsidR="00000000" w:rsidRDefault="00000000">
      <w:pPr>
        <w:spacing w:line="480" w:lineRule="exact"/>
        <w:ind w:firstLineChars="200" w:firstLine="424"/>
        <w:rPr>
          <w:rFonts w:ascii="宋体" w:hAnsi="宋体" w:cs="宋体" w:hint="eastAsia"/>
          <w:spacing w:val="1"/>
          <w:kern w:val="0"/>
          <w:szCs w:val="21"/>
        </w:rPr>
        <w:sectPr w:rsidR="00000000">
          <w:headerReference w:type="even" r:id="rId37"/>
          <w:headerReference w:type="default" r:id="rId38"/>
          <w:footerReference w:type="even" r:id="rId39"/>
          <w:footerReference w:type="default" r:id="rId40"/>
          <w:pgSz w:w="8390" w:h="11905"/>
          <w:pgMar w:top="1701" w:right="1134" w:bottom="1134" w:left="1134" w:header="1304" w:footer="850" w:gutter="0"/>
          <w:pgNumType w:fmt="numberInDash" w:start="34"/>
          <w:cols w:space="720"/>
          <w:docGrid w:type="lines" w:linePitch="321"/>
        </w:sectPr>
      </w:pPr>
    </w:p>
    <w:p w:rsidR="00000000" w:rsidRDefault="00D54102">
      <w:pPr>
        <w:spacing w:line="480" w:lineRule="exact"/>
        <w:ind w:firstLineChars="200" w:firstLine="420"/>
        <w:rPr>
          <w:rFonts w:ascii="宋体" w:hAnsi="宋体" w:cs="宋体" w:hint="eastAsia"/>
          <w:spacing w:val="1"/>
          <w:kern w:val="0"/>
          <w:szCs w:val="21"/>
        </w:rPr>
        <w:sectPr w:rsidR="00000000">
          <w:headerReference w:type="default" r:id="rId41"/>
          <w:footerReference w:type="even" r:id="rId42"/>
          <w:footerReference w:type="default" r:id="rId43"/>
          <w:pgSz w:w="8390" w:h="11905"/>
          <w:pgMar w:top="1701" w:right="1134" w:bottom="1134" w:left="1134" w:header="1304" w:footer="850" w:gutter="0"/>
          <w:pgNumType w:fmt="numberInDash" w:start="45"/>
          <w:cols w:space="720"/>
          <w:docGrid w:type="lines" w:linePitch="321"/>
        </w:sectPr>
      </w:pPr>
      <w:r>
        <w:rPr>
          <w:noProof/>
        </w:rPr>
        <w:lastRenderedPageBreak/>
        <mc:AlternateContent>
          <mc:Choice Requires="wps">
            <w:drawing>
              <wp:anchor distT="0" distB="0" distL="114300" distR="114300" simplePos="0" relativeHeight="251655168" behindDoc="0" locked="0" layoutInCell="1" allowOverlap="1">
                <wp:simplePos x="0" y="0"/>
                <wp:positionH relativeFrom="column">
                  <wp:posOffset>-720090</wp:posOffset>
                </wp:positionH>
                <wp:positionV relativeFrom="paragraph">
                  <wp:posOffset>1737995</wp:posOffset>
                </wp:positionV>
                <wp:extent cx="5374005" cy="1113790"/>
                <wp:effectExtent l="3810" t="0" r="3810" b="1905"/>
                <wp:wrapSquare wrapText="bothSides"/>
                <wp:docPr id="65"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13790"/>
                        </a:xfrm>
                        <a:prstGeom prst="rect">
                          <a:avLst/>
                        </a:prstGeom>
                        <a:solidFill>
                          <a:srgbClr val="C8EEFC"/>
                        </a:solidFill>
                        <a:ln>
                          <a:noFill/>
                        </a:ln>
                        <a:effectLst/>
                        <a:extLs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第六章  推动产业集群化发展</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构建现代产业新支撑</w:t>
                            </w:r>
                          </w:p>
                        </w:txbxContent>
                      </wps:txbx>
                      <wps:bodyPr rot="0" vert="horz" wrap="square" lIns="91440" tIns="251998" rIns="91440" bIns="71999"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6" o:spid="_x0000_s1031" type="#_x0000_t202" style="position:absolute;left:0;text-align:left;margin-left:-56.7pt;margin-top:136.85pt;width:423.15pt;height:87.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" fillcolor="#c8eefc" stroked="f">
                <v:textbox inset=",6.99994mm,,1.99997mm">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第六章  推动产业集群化发展</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构建现代产业新支撑</w:t>
                      </w:r>
                    </w:p>
                  </w:txbxContent>
                </v:textbox>
                <w10:wrap type="square"/>
              </v:shape>
            </w:pict>
          </mc:Fallback>
        </mc:AlternateContent>
      </w:r>
    </w:p>
    <w:p w:rsidR="00000000" w:rsidRDefault="00000000">
      <w:pPr>
        <w:pStyle w:val="Normal24"/>
        <w:widowControl w:val="0"/>
        <w:spacing w:before="0" w:after="0" w:line="480" w:lineRule="exact"/>
        <w:ind w:firstLineChars="200" w:firstLine="420"/>
        <w:rPr>
          <w:rFonts w:eastAsia="楷体_GB2312"/>
          <w:bCs/>
          <w:sz w:val="28"/>
          <w:szCs w:val="28"/>
          <w:lang w:eastAsia="zh-CN"/>
        </w:rPr>
      </w:pPr>
      <w:bookmarkStart w:id="180" w:name="_Toc17325"/>
      <w:bookmarkEnd w:id="178"/>
      <w:bookmarkEnd w:id="179"/>
      <w:r>
        <w:rPr>
          <w:rFonts w:ascii="宋体" w:eastAsia="宋体" w:hAnsi="宋体" w:cs="宋体" w:hint="eastAsia"/>
          <w:sz w:val="21"/>
          <w:szCs w:val="21"/>
          <w:lang w:eastAsia="zh-CN"/>
        </w:rPr>
        <w:lastRenderedPageBreak/>
        <w:t>按照自治区促进东部盟市放大和发挥绿色生态优势推动高质量发展的要求，围绕主导产业，构建“一园三区”的产业发展空间，推动产业发展园区化、集约化、高端化，构建现代优势特色产业体系，在全区“两个基地”和全市优势特色产业建设中彰显奈曼特色，打造工业强旗。</w:t>
      </w:r>
      <w:bookmarkStart w:id="181" w:name="_Toc59085000"/>
      <w:bookmarkStart w:id="182" w:name="_Toc57106160"/>
      <w:bookmarkStart w:id="183" w:name="_Toc65938212"/>
      <w:bookmarkEnd w:id="180"/>
    </w:p>
    <w:p w:rsidR="00000000" w:rsidRDefault="00000000">
      <w:pPr>
        <w:pStyle w:val="2"/>
        <w:spacing w:beforeLines="100" w:before="321" w:afterLines="50" w:after="160" w:line="480" w:lineRule="exact"/>
        <w:jc w:val="center"/>
        <w:rPr>
          <w:rFonts w:ascii="Times New Roman" w:eastAsia="楷体_GB2312" w:hAnsi="Times New Roman" w:hint="eastAsia"/>
          <w:bCs w:val="0"/>
          <w:kern w:val="0"/>
          <w:sz w:val="24"/>
          <w:szCs w:val="24"/>
        </w:rPr>
      </w:pPr>
      <w:bookmarkStart w:id="184" w:name="_Toc32367"/>
      <w:r>
        <w:rPr>
          <w:rFonts w:ascii="Times New Roman" w:eastAsia="楷体_GB2312" w:hAnsi="Times New Roman"/>
          <w:bCs w:val="0"/>
          <w:kern w:val="0"/>
          <w:sz w:val="24"/>
          <w:szCs w:val="24"/>
        </w:rPr>
        <w:t>第一节</w:t>
      </w:r>
      <w:r>
        <w:rPr>
          <w:rFonts w:ascii="Times New Roman" w:eastAsia="楷体_GB2312" w:hAnsi="Times New Roman"/>
          <w:bCs w:val="0"/>
          <w:kern w:val="0"/>
          <w:sz w:val="24"/>
          <w:szCs w:val="24"/>
        </w:rPr>
        <w:t xml:space="preserve">  </w:t>
      </w:r>
      <w:bookmarkEnd w:id="181"/>
      <w:bookmarkEnd w:id="182"/>
      <w:r>
        <w:rPr>
          <w:rFonts w:ascii="Times New Roman" w:eastAsia="楷体_GB2312" w:hAnsi="Times New Roman"/>
          <w:bCs w:val="0"/>
          <w:kern w:val="0"/>
          <w:sz w:val="24"/>
          <w:szCs w:val="24"/>
        </w:rPr>
        <w:t>打造优势特色现代产业</w:t>
      </w:r>
      <w:bookmarkEnd w:id="183"/>
      <w:bookmarkEnd w:id="184"/>
      <w:r>
        <w:rPr>
          <w:rFonts w:ascii="Times New Roman" w:eastAsia="楷体_GB2312" w:hAnsi="Times New Roman" w:hint="eastAsia"/>
          <w:bCs w:val="0"/>
          <w:kern w:val="0"/>
          <w:sz w:val="24"/>
          <w:szCs w:val="24"/>
        </w:rPr>
        <w:t xml:space="preserve"> </w:t>
      </w:r>
    </w:p>
    <w:p w:rsidR="00000000" w:rsidRDefault="00000000">
      <w:pPr>
        <w:spacing w:line="480" w:lineRule="exact"/>
        <w:ind w:firstLineChars="200" w:firstLine="420"/>
        <w:rPr>
          <w:rFonts w:ascii="宋体" w:hAnsi="宋体" w:cs="宋体" w:hint="eastAsia"/>
          <w:kern w:val="0"/>
          <w:szCs w:val="21"/>
        </w:rPr>
      </w:pPr>
      <w:r>
        <w:rPr>
          <w:rFonts w:eastAsia="楷体_GB2312"/>
          <w:szCs w:val="21"/>
        </w:rPr>
        <w:t>镍循环经济产业集群。</w:t>
      </w:r>
      <w:r>
        <w:rPr>
          <w:rFonts w:ascii="宋体" w:hAnsi="宋体" w:cs="宋体" w:hint="eastAsia"/>
          <w:kern w:val="0"/>
          <w:szCs w:val="21"/>
          <w:lang w:val="zh-CN"/>
        </w:rPr>
        <w:t>依托区位优势和产业基础，</w:t>
      </w:r>
      <w:r>
        <w:rPr>
          <w:rFonts w:ascii="宋体" w:hAnsi="宋体" w:cs="宋体" w:hint="eastAsia"/>
          <w:kern w:val="0"/>
          <w:szCs w:val="21"/>
        </w:rPr>
        <w:t>积极承接京津冀地区钢铁工业产业转移，举全旗之力推进经安镍基新材料项目建设，做好上下游产业配套。以毕氏集团、新华联集团为资源基础打造镍循环经济的产业链、供应链，围绕新型功能材料、高性能结构材料和先进复合材料，发展高性能不锈钢等制品，提高精深加工水平，</w:t>
      </w:r>
      <w:r>
        <w:rPr>
          <w:rFonts w:ascii="宋体" w:hAnsi="宋体" w:cs="宋体" w:hint="eastAsia"/>
          <w:kern w:val="0"/>
          <w:szCs w:val="21"/>
          <w:lang w:val="zh-CN"/>
        </w:rPr>
        <w:t>实现镍基新材料全部就地转化，</w:t>
      </w:r>
      <w:r>
        <w:rPr>
          <w:rFonts w:ascii="宋体" w:hAnsi="宋体" w:cs="宋体" w:hint="eastAsia"/>
          <w:kern w:val="0"/>
          <w:szCs w:val="21"/>
        </w:rPr>
        <w:t>推进产业链向高端化、绿色化、智能化迈进</w:t>
      </w:r>
      <w:r>
        <w:rPr>
          <w:rFonts w:ascii="宋体" w:hAnsi="宋体" w:cs="宋体" w:hint="eastAsia"/>
          <w:kern w:val="0"/>
          <w:szCs w:val="21"/>
          <w:lang w:val="zh-CN"/>
        </w:rPr>
        <w:t>。</w:t>
      </w:r>
      <w:r>
        <w:rPr>
          <w:rFonts w:ascii="宋体" w:hAnsi="宋体" w:cs="宋体" w:hint="eastAsia"/>
          <w:kern w:val="0"/>
          <w:szCs w:val="21"/>
        </w:rPr>
        <w:t>配套建设固废综合利用、废水资源化、余热发电供热等循环经济产业项目，优化企业能源供给结构，降低能耗水平，推动产业绿色发展。建成集镍基合金、不锈钢、新材料生产及深加工和现代物流于一体的自治区级新材料循环经济产业园区，打造配套服务东北制造业的最大镍基合金新材料加工基地，</w:t>
      </w:r>
      <w:r>
        <w:rPr>
          <w:rFonts w:ascii="宋体" w:hAnsi="宋体" w:cs="宋体" w:hint="eastAsia"/>
          <w:kern w:val="0"/>
          <w:szCs w:val="21"/>
          <w:lang w:val="zh-CN"/>
        </w:rPr>
        <w:t>建立具备较强</w:t>
      </w:r>
      <w:r>
        <w:rPr>
          <w:rFonts w:ascii="宋体" w:hAnsi="宋体" w:cs="宋体" w:hint="eastAsia"/>
          <w:kern w:val="0"/>
          <w:szCs w:val="21"/>
          <w:lang w:val="zh-CN"/>
        </w:rPr>
        <w:lastRenderedPageBreak/>
        <w:t>自主创新能力和可持续发展能力、产学研用紧密结合的</w:t>
      </w:r>
      <w:r>
        <w:rPr>
          <w:rFonts w:ascii="宋体" w:hAnsi="宋体" w:cs="宋体" w:hint="eastAsia"/>
          <w:kern w:val="0"/>
          <w:szCs w:val="21"/>
        </w:rPr>
        <w:t>镍循环经济产业集群。到2025年，年产值达到500亿元。</w:t>
      </w:r>
    </w:p>
    <w:p w:rsidR="00000000" w:rsidRDefault="00000000">
      <w:pPr>
        <w:spacing w:line="480" w:lineRule="exact"/>
        <w:ind w:firstLineChars="200" w:firstLine="420"/>
        <w:rPr>
          <w:rFonts w:ascii="宋体" w:hAnsi="宋体" w:cs="宋体" w:hint="eastAsia"/>
          <w:kern w:val="0"/>
          <w:szCs w:val="21"/>
        </w:rPr>
      </w:pPr>
      <w:r>
        <w:rPr>
          <w:rFonts w:eastAsia="楷体_GB2312"/>
          <w:szCs w:val="21"/>
        </w:rPr>
        <w:t>绿色农畜产品生产加工输出基地。</w:t>
      </w:r>
      <w:r>
        <w:rPr>
          <w:rFonts w:ascii="宋体" w:hAnsi="宋体" w:cs="宋体" w:hint="eastAsia"/>
          <w:kern w:val="0"/>
          <w:szCs w:val="21"/>
        </w:rPr>
        <w:t>坚持绿色兴农、特色兴农、品牌兴农，推动全产业链培育、价值链攀升。立足特色农畜产品资源，引进、培育、扶持农畜产品加工龙头企业，壮大牧原、凌云海、老哈河粮油、蒙古包、金泉等农畜产品加工龙头企业，提高农畜产品加工转化程度和精深加工水平，发展城乡冷链物流，完善产品产业链和供应链，拉长产业链条，实现产供销一体化，促进一二三产业融合发展。突出发展生猪和牛羊屠宰加工，大力发展甘薯、甜菜、西瓜、菌类、杂粮杂豆等特色农产品精深加工。发展生物制药类产品，推进玉米产业链延伸和差异化发展，启动玉米生物制药项目建设。高标准建设大沁他拉镇现代农业科技园、奈曼甘薯现代农业产业园和白音他拉轻工食品产业园区。以绿色生态农畜产品名优品牌创建为目标，培育推广使用奈曼甘薯、科尔沁肉羊区域公用品牌，健全质量安全追溯体系，建设服务国家粮食安全的绿色农畜产品生产加工输出基地。到2025年，年产值达到80亿元。</w:t>
      </w:r>
    </w:p>
    <w:p w:rsidR="00000000" w:rsidRDefault="00000000">
      <w:pPr>
        <w:spacing w:line="480" w:lineRule="exact"/>
        <w:ind w:firstLineChars="200" w:firstLine="420"/>
        <w:rPr>
          <w:rFonts w:ascii="宋体" w:hAnsi="宋体" w:cs="宋体" w:hint="eastAsia"/>
          <w:kern w:val="0"/>
          <w:szCs w:val="21"/>
        </w:rPr>
      </w:pPr>
      <w:r>
        <w:rPr>
          <w:rFonts w:eastAsia="楷体_GB2312"/>
          <w:szCs w:val="21"/>
        </w:rPr>
        <w:t>玻纤硅砂及复合新材料产业基地。</w:t>
      </w:r>
      <w:r>
        <w:rPr>
          <w:rFonts w:ascii="宋体" w:hAnsi="宋体" w:cs="宋体" w:hint="eastAsia"/>
          <w:kern w:val="0"/>
          <w:szCs w:val="21"/>
        </w:rPr>
        <w:t>坚持保护优先，开发利用硅砂、石灰石、镍矿渣以及沙地等资源，加快硅砂产业开发和人才培</w:t>
      </w:r>
      <w:r>
        <w:rPr>
          <w:rFonts w:ascii="宋体" w:hAnsi="宋体" w:cs="宋体" w:hint="eastAsia"/>
          <w:kern w:val="0"/>
          <w:szCs w:val="21"/>
        </w:rPr>
        <w:lastRenderedPageBreak/>
        <w:t>养，以玻纤产业园为支撑，持续引进建设一批玻纤及复合新材料项目，延伸下游绿色高端产业链条，加快玻丝特、盈石、明强等企业特种玻纤生产项目投产，提升整体规模效应，推动玻纤、玻璃制品、铸造、建材等玻纤硅砂产业绿色低碳发展，实现产业园扩容提质。加快硅砂产品的深度开发和多样化发展，扶持中联、宏基、仁创、乃蛮商砼、华明商砼等传统建材企业转型升级，大力发展纳米微晶石、新型干法水泥、覆膜砂等复合型节能型建材，推进产业融合错位发展，实现经济、社会、生态三效统一，打造东北地区重要的玻纤硅砂及复合新材料产业基地。到2025年，年产值达到60亿元。</w:t>
      </w:r>
    </w:p>
    <w:p w:rsidR="00000000" w:rsidRDefault="00000000">
      <w:pPr>
        <w:spacing w:line="480" w:lineRule="exact"/>
        <w:ind w:firstLineChars="200" w:firstLine="420"/>
        <w:rPr>
          <w:rFonts w:ascii="宋体" w:hAnsi="宋体" w:cs="宋体" w:hint="eastAsia"/>
          <w:kern w:val="0"/>
          <w:szCs w:val="21"/>
        </w:rPr>
      </w:pPr>
      <w:r>
        <w:rPr>
          <w:rFonts w:eastAsia="楷体_GB2312"/>
          <w:szCs w:val="21"/>
        </w:rPr>
        <w:t>蒙中医药产业基地。</w:t>
      </w:r>
      <w:r>
        <w:rPr>
          <w:rFonts w:ascii="宋体" w:hAnsi="宋体" w:cs="宋体" w:hint="eastAsia"/>
          <w:kern w:val="0"/>
          <w:szCs w:val="21"/>
        </w:rPr>
        <w:t>依托厚重的蒙医药文化和蒙中药材种植历史，围绕“优布局、建基地、育主体、铸品牌”，建立健全蒙药材种植标准体系，发展奈曼甘草、黄芪、苦参、桔梗、防风等道地蒙中药材种植，增加优质药材供给，创建国家级蒙中药材种植农业标准化示范区。打通药材种植、加工、交易、研发等关键环节，加快蒙药材城、占布拉道尔吉蒙中药健康产业园、蒙中医药特色小镇建设，创建“占布拉道尔吉”品牌，培育现代蒙中医药全产业链，打造东北地区最大的蒙中药材集散地。培育壮大专业技术人才队伍，推动蒙中西医结合、药食健同源、医康养一体化发展，提升蒙医诊</w:t>
      </w:r>
      <w:r>
        <w:rPr>
          <w:rFonts w:ascii="宋体" w:hAnsi="宋体" w:cs="宋体" w:hint="eastAsia"/>
          <w:kern w:val="0"/>
          <w:szCs w:val="21"/>
        </w:rPr>
        <w:lastRenderedPageBreak/>
        <w:t>疗能力水平，助力提升通辽“中国蒙医药之都”市场影响力。到2025年，蒙中药材种植面积达到40万亩，年产值达到30亿元。</w:t>
      </w:r>
    </w:p>
    <w:p w:rsidR="00000000" w:rsidRDefault="00000000">
      <w:pPr>
        <w:pStyle w:val="Normal24"/>
        <w:widowControl w:val="0"/>
        <w:spacing w:before="0" w:after="0" w:line="480" w:lineRule="exact"/>
        <w:ind w:firstLineChars="200" w:firstLine="420"/>
        <w:rPr>
          <w:rFonts w:ascii="宋体" w:eastAsia="宋体" w:hAnsi="宋体" w:cs="宋体" w:hint="eastAsia"/>
          <w:sz w:val="21"/>
          <w:szCs w:val="21"/>
          <w:lang w:eastAsia="zh-CN"/>
        </w:rPr>
      </w:pPr>
      <w:bookmarkStart w:id="185" w:name="_Hlk56369545"/>
      <w:r>
        <w:rPr>
          <w:rFonts w:eastAsia="楷体_GB2312"/>
          <w:kern w:val="2"/>
          <w:sz w:val="21"/>
          <w:szCs w:val="21"/>
          <w:lang w:eastAsia="zh-CN"/>
        </w:rPr>
        <w:t>绿色能源</w:t>
      </w:r>
      <w:bookmarkEnd w:id="185"/>
      <w:r>
        <w:rPr>
          <w:rFonts w:eastAsia="楷体_GB2312"/>
          <w:kern w:val="2"/>
          <w:sz w:val="21"/>
          <w:szCs w:val="21"/>
          <w:lang w:eastAsia="zh-CN"/>
        </w:rPr>
        <w:t>基地。</w:t>
      </w:r>
      <w:r>
        <w:rPr>
          <w:rFonts w:ascii="宋体" w:eastAsia="宋体" w:hAnsi="宋体" w:cs="宋体" w:hint="eastAsia"/>
          <w:sz w:val="21"/>
          <w:szCs w:val="21"/>
          <w:lang w:eastAsia="zh-CN"/>
        </w:rPr>
        <w:t>抢抓通辽创建国家现代能源经济示范市有利机遇，遵循国土空间规划，有序开发新能源资源，加快中机国能、明阳、源怡等新能源项目建设，大力发展以风电光伏和生物质等清洁能源为支撑的新能源产业，新能源装机达到200万千瓦以上，年发电量40亿度以上，打造“双百万千瓦”能源基地。加快推进天然气长输管道建设。积极推进原油开采、油页岩、地热等开发项目。持续增强清洁能源消纳能力，实施清洁供暖工程，大力推进新能源发电配套供暖示范，积极推广多能互补、综合利用、集约高效的能源供给模式，为保障国家能源安全、促进清洁发展做出新的贡献。到2025年，年产值达到30亿元。</w:t>
      </w:r>
    </w:p>
    <w:p w:rsidR="00000000" w:rsidRDefault="00000000">
      <w:pPr>
        <w:spacing w:line="480" w:lineRule="exact"/>
        <w:rPr>
          <w:rFonts w:ascii="宋体" w:hAnsi="宋体" w:cs="宋体" w:hint="eastAsia"/>
          <w:kern w:val="0"/>
          <w:szCs w:val="21"/>
        </w:rPr>
      </w:pPr>
    </w:p>
    <w:p w:rsidR="00000000" w:rsidRDefault="00000000">
      <w:pPr>
        <w:spacing w:line="480" w:lineRule="exact"/>
        <w:rPr>
          <w:rFonts w:ascii="宋体" w:hAnsi="宋体" w:cs="宋体" w:hint="eastAsia"/>
          <w:kern w:val="0"/>
          <w:szCs w:val="21"/>
        </w:rPr>
      </w:pPr>
    </w:p>
    <w:p w:rsidR="00000000" w:rsidRDefault="00000000">
      <w:pPr>
        <w:spacing w:line="480" w:lineRule="exact"/>
        <w:rPr>
          <w:rFonts w:ascii="宋体" w:hAnsi="宋体" w:cs="宋体" w:hint="eastAsia"/>
          <w:kern w:val="0"/>
          <w:szCs w:val="21"/>
        </w:rPr>
      </w:pPr>
    </w:p>
    <w:p w:rsidR="00000000" w:rsidRDefault="00000000">
      <w:pPr>
        <w:spacing w:line="480" w:lineRule="exact"/>
        <w:rPr>
          <w:rFonts w:ascii="宋体" w:hAnsi="宋体" w:cs="宋体" w:hint="eastAsia"/>
          <w:kern w:val="0"/>
          <w:szCs w:val="21"/>
        </w:rPr>
      </w:pPr>
    </w:p>
    <w:p w:rsidR="00000000" w:rsidRDefault="00000000">
      <w:pPr>
        <w:spacing w:line="480" w:lineRule="exact"/>
        <w:rPr>
          <w:rFonts w:ascii="宋体" w:hAnsi="宋体" w:cs="宋体" w:hint="eastAsia"/>
          <w:kern w:val="0"/>
          <w:szCs w:val="21"/>
        </w:rPr>
      </w:pPr>
    </w:p>
    <w:p w:rsidR="00000000" w:rsidRDefault="00000000">
      <w:pPr>
        <w:spacing w:line="480" w:lineRule="exact"/>
        <w:rPr>
          <w:rFonts w:ascii="宋体" w:hAnsi="宋体" w:cs="宋体" w:hint="eastAsia"/>
          <w:kern w:val="0"/>
          <w:szCs w:val="21"/>
        </w:rPr>
      </w:pPr>
    </w:p>
    <w:tbl>
      <w:tblPr>
        <w:tblpPr w:leftFromText="180" w:rightFromText="180" w:vertAnchor="text" w:horzAnchor="page" w:tblpX="1237" w:tblpY="188"/>
        <w:tblOverlap w:val="neve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6160"/>
      </w:tblGrid>
      <w:tr w:rsidR="00000000">
        <w:trPr>
          <w:trHeight w:hRule="exact" w:val="493"/>
        </w:trPr>
        <w:tc>
          <w:tcPr>
            <w:tcW w:w="6160" w:type="dxa"/>
            <w:tcBorders>
              <w:top w:val="single" w:sz="12" w:space="0" w:color="auto"/>
              <w:left w:val="single" w:sz="12" w:space="0" w:color="auto"/>
              <w:right w:val="single" w:sz="12" w:space="0" w:color="auto"/>
            </w:tcBorders>
            <w:shd w:val="clear" w:color="auto" w:fill="95DAF3"/>
          </w:tcPr>
          <w:p w:rsidR="00000000" w:rsidRDefault="00000000">
            <w:pPr>
              <w:spacing w:line="360" w:lineRule="exact"/>
              <w:jc w:val="center"/>
              <w:rPr>
                <w:rFonts w:eastAsia="黑体"/>
                <w:szCs w:val="21"/>
              </w:rPr>
            </w:pPr>
            <w:r>
              <w:rPr>
                <w:rFonts w:eastAsia="黑体"/>
                <w:szCs w:val="21"/>
              </w:rPr>
              <w:lastRenderedPageBreak/>
              <w:t>专栏</w:t>
            </w:r>
            <w:r>
              <w:rPr>
                <w:rFonts w:eastAsia="黑体"/>
                <w:szCs w:val="21"/>
              </w:rPr>
              <w:t xml:space="preserve">4  </w:t>
            </w:r>
            <w:r>
              <w:rPr>
                <w:rFonts w:eastAsia="黑体" w:hint="eastAsia"/>
                <w:szCs w:val="21"/>
              </w:rPr>
              <w:t>优势特色</w:t>
            </w:r>
            <w:r>
              <w:rPr>
                <w:rFonts w:eastAsia="黑体"/>
                <w:szCs w:val="21"/>
              </w:rPr>
              <w:t>产业稳定优化工程</w:t>
            </w:r>
          </w:p>
        </w:tc>
      </w:tr>
      <w:tr w:rsidR="00000000">
        <w:trPr>
          <w:trHeight w:hRule="exact" w:val="7612"/>
        </w:trPr>
        <w:tc>
          <w:tcPr>
            <w:tcW w:w="6160" w:type="dxa"/>
            <w:tcBorders>
              <w:top w:val="single" w:sz="12" w:space="0" w:color="auto"/>
              <w:left w:val="single" w:sz="12" w:space="0" w:color="auto"/>
              <w:bottom w:val="single" w:sz="12" w:space="0" w:color="auto"/>
              <w:right w:val="single" w:sz="12" w:space="0" w:color="auto"/>
            </w:tcBorders>
            <w:shd w:val="clear" w:color="auto" w:fill="C8EEFC"/>
            <w:vAlign w:val="center"/>
          </w:tcPr>
          <w:p w:rsidR="00000000" w:rsidRDefault="00000000">
            <w:pPr>
              <w:spacing w:line="360" w:lineRule="exact"/>
              <w:ind w:firstLineChars="200" w:firstLine="400"/>
              <w:rPr>
                <w:rFonts w:ascii="黑体" w:eastAsia="黑体" w:hAnsi="黑体" w:cs="黑体" w:hint="eastAsia"/>
                <w:sz w:val="20"/>
                <w:szCs w:val="20"/>
              </w:rPr>
            </w:pPr>
            <w:r>
              <w:rPr>
                <w:rFonts w:ascii="黑体" w:eastAsia="黑体" w:hAnsi="黑体" w:cs="黑体" w:hint="eastAsia"/>
                <w:sz w:val="20"/>
                <w:szCs w:val="20"/>
              </w:rPr>
              <w:t>（一）镍循环经济产业集群</w:t>
            </w:r>
          </w:p>
          <w:p w:rsidR="00000000" w:rsidRDefault="00000000">
            <w:pPr>
              <w:spacing w:line="360" w:lineRule="exact"/>
              <w:ind w:firstLineChars="200" w:firstLine="400"/>
              <w:rPr>
                <w:rFonts w:ascii="宋体" w:hAnsi="宋体" w:cs="宋体" w:hint="eastAsia"/>
                <w:sz w:val="20"/>
                <w:szCs w:val="20"/>
              </w:rPr>
            </w:pPr>
            <w:r>
              <w:rPr>
                <w:rFonts w:ascii="宋体" w:hAnsi="宋体" w:cs="宋体" w:hint="eastAsia"/>
                <w:sz w:val="20"/>
                <w:szCs w:val="20"/>
              </w:rPr>
              <w:t>延伸镍基合金新材料-不锈钢加工-铸件生产-镍基固体废弃物-冶金石灰-综合利用产业链。</w:t>
            </w:r>
          </w:p>
          <w:p w:rsidR="00000000" w:rsidRDefault="00000000">
            <w:pPr>
              <w:spacing w:line="360" w:lineRule="exact"/>
              <w:ind w:firstLineChars="200" w:firstLine="400"/>
              <w:rPr>
                <w:rFonts w:ascii="黑体" w:eastAsia="黑体" w:hAnsi="黑体" w:cs="黑体" w:hint="eastAsia"/>
                <w:sz w:val="20"/>
                <w:szCs w:val="20"/>
              </w:rPr>
            </w:pPr>
            <w:r>
              <w:rPr>
                <w:rFonts w:ascii="黑体" w:eastAsia="黑体" w:hAnsi="黑体" w:cs="黑体" w:hint="eastAsia"/>
                <w:sz w:val="20"/>
                <w:szCs w:val="20"/>
              </w:rPr>
              <w:t>（二）绿色农畜产品生产加工输出基地</w:t>
            </w:r>
          </w:p>
          <w:p w:rsidR="00000000" w:rsidRDefault="00000000">
            <w:pPr>
              <w:spacing w:line="360" w:lineRule="exact"/>
              <w:ind w:firstLineChars="200" w:firstLine="424"/>
              <w:rPr>
                <w:rFonts w:ascii="宋体" w:hAnsi="宋体" w:cs="宋体" w:hint="eastAsia"/>
                <w:spacing w:val="6"/>
                <w:kern w:val="0"/>
                <w:sz w:val="20"/>
                <w:szCs w:val="20"/>
              </w:rPr>
            </w:pPr>
            <w:r>
              <w:rPr>
                <w:rFonts w:ascii="宋体" w:hAnsi="宋体" w:cs="宋体" w:hint="eastAsia"/>
                <w:spacing w:val="6"/>
                <w:kern w:val="0"/>
                <w:sz w:val="20"/>
                <w:szCs w:val="20"/>
              </w:rPr>
              <w:t>牧原现代农业产业化养殖体系、肉羊肉牛生猪屠宰加工、作坊式奶制品加工生产、玉米循环经济产业园区、蔬菜产业发展、辣椒种植加工、绿色农产品精深加工、粮食储库及饲料加工等项目。</w:t>
            </w:r>
          </w:p>
          <w:p w:rsidR="00000000" w:rsidRDefault="00000000">
            <w:pPr>
              <w:spacing w:line="360" w:lineRule="exact"/>
              <w:ind w:firstLineChars="200" w:firstLine="400"/>
              <w:rPr>
                <w:rFonts w:ascii="黑体" w:eastAsia="黑体" w:hAnsi="黑体" w:cs="黑体" w:hint="eastAsia"/>
                <w:sz w:val="20"/>
                <w:szCs w:val="20"/>
              </w:rPr>
            </w:pPr>
            <w:r>
              <w:rPr>
                <w:rFonts w:ascii="黑体" w:eastAsia="黑体" w:hAnsi="黑体" w:cs="黑体" w:hint="eastAsia"/>
                <w:sz w:val="20"/>
                <w:szCs w:val="20"/>
              </w:rPr>
              <w:t>（三）玻纤硅砂及复合新材料产业基地</w:t>
            </w:r>
          </w:p>
          <w:p w:rsidR="00000000" w:rsidRDefault="00000000">
            <w:pPr>
              <w:spacing w:line="360" w:lineRule="exact"/>
              <w:ind w:firstLineChars="200" w:firstLine="400"/>
              <w:rPr>
                <w:rFonts w:ascii="宋体" w:hAnsi="宋体" w:cs="宋体" w:hint="eastAsia"/>
                <w:sz w:val="20"/>
                <w:szCs w:val="20"/>
              </w:rPr>
            </w:pPr>
            <w:r>
              <w:rPr>
                <w:rFonts w:ascii="宋体" w:hAnsi="宋体" w:cs="宋体" w:hint="eastAsia"/>
                <w:sz w:val="20"/>
                <w:szCs w:val="20"/>
              </w:rPr>
              <w:t>玻纤及复合新材料产业、纳米微晶新材料生产线、新型微晶耐磨材料、断桥铝材门窗、装配式混凝土构件生产等项目。</w:t>
            </w:r>
          </w:p>
          <w:p w:rsidR="00000000" w:rsidRDefault="00000000">
            <w:pPr>
              <w:spacing w:line="360" w:lineRule="exact"/>
              <w:ind w:firstLineChars="200" w:firstLine="400"/>
              <w:rPr>
                <w:rFonts w:ascii="黑体" w:eastAsia="黑体" w:hAnsi="黑体" w:cs="黑体" w:hint="eastAsia"/>
                <w:sz w:val="20"/>
                <w:szCs w:val="20"/>
              </w:rPr>
            </w:pPr>
            <w:r>
              <w:rPr>
                <w:rFonts w:ascii="黑体" w:eastAsia="黑体" w:hAnsi="黑体" w:cs="黑体" w:hint="eastAsia"/>
                <w:sz w:val="20"/>
                <w:szCs w:val="20"/>
              </w:rPr>
              <w:t>（四）绿色能源基地</w:t>
            </w:r>
          </w:p>
          <w:p w:rsidR="00000000" w:rsidRDefault="00000000">
            <w:pPr>
              <w:spacing w:line="360" w:lineRule="exact"/>
              <w:ind w:firstLineChars="200" w:firstLine="400"/>
              <w:rPr>
                <w:rFonts w:ascii="宋体" w:hAnsi="宋体" w:cs="宋体" w:hint="eastAsia"/>
                <w:sz w:val="20"/>
                <w:szCs w:val="20"/>
              </w:rPr>
            </w:pPr>
            <w:r>
              <w:rPr>
                <w:rFonts w:ascii="宋体" w:hAnsi="宋体" w:cs="宋体" w:hint="eastAsia"/>
                <w:sz w:val="20"/>
                <w:szCs w:val="20"/>
              </w:rPr>
              <w:t>推动风电基地、光伏基地、分散式风电、分布式光伏、清洁供暖工程、生活垃圾焚烧发电、生物质发电等项目建设。</w:t>
            </w:r>
          </w:p>
          <w:p w:rsidR="00000000" w:rsidRDefault="00000000">
            <w:pPr>
              <w:spacing w:line="360" w:lineRule="exact"/>
              <w:ind w:firstLineChars="200" w:firstLine="400"/>
              <w:rPr>
                <w:rFonts w:ascii="黑体" w:eastAsia="黑体" w:hAnsi="黑体" w:cs="黑体" w:hint="eastAsia"/>
                <w:sz w:val="20"/>
                <w:szCs w:val="20"/>
              </w:rPr>
            </w:pPr>
            <w:r>
              <w:rPr>
                <w:rFonts w:ascii="黑体" w:eastAsia="黑体" w:hAnsi="黑体" w:cs="黑体" w:hint="eastAsia"/>
                <w:sz w:val="20"/>
                <w:szCs w:val="20"/>
              </w:rPr>
              <w:t>（五）蒙中医药基地</w:t>
            </w:r>
          </w:p>
          <w:p w:rsidR="00000000" w:rsidRDefault="00000000">
            <w:pPr>
              <w:spacing w:line="360" w:lineRule="exact"/>
              <w:ind w:firstLineChars="200" w:firstLine="400"/>
              <w:rPr>
                <w:rFonts w:eastAsia="楷体_GB2312"/>
                <w:szCs w:val="21"/>
              </w:rPr>
            </w:pPr>
            <w:r>
              <w:rPr>
                <w:rFonts w:ascii="宋体" w:hAnsi="宋体" w:cs="宋体" w:hint="eastAsia"/>
                <w:sz w:val="20"/>
                <w:szCs w:val="20"/>
              </w:rPr>
              <w:t>蒙药材城二期工程、占布拉道尔吉博物馆、蒙中医药科技产业园项目、蒙中药产业种植基地、蒙中药材标准化种植示范区（蒙中药材农业科技园区）和蒙中药、维生素B1及系列产品生产、生物兽药生产、延康蒙中药饮片加工、蒙中药材仓储、蒙中药材溯源体系、蒙中医药蒙医康养体验。</w:t>
            </w:r>
          </w:p>
        </w:tc>
      </w:tr>
    </w:tbl>
    <w:p w:rsidR="00000000" w:rsidRDefault="00000000">
      <w:pPr>
        <w:pStyle w:val="2"/>
        <w:spacing w:before="0" w:after="0" w:line="40" w:lineRule="exact"/>
        <w:jc w:val="center"/>
        <w:rPr>
          <w:rFonts w:ascii="Times New Roman" w:eastAsia="楷体_GB2312" w:hAnsi="Times New Roman"/>
          <w:bCs w:val="0"/>
          <w:kern w:val="0"/>
          <w:sz w:val="24"/>
          <w:szCs w:val="24"/>
        </w:rPr>
      </w:pPr>
      <w:bookmarkStart w:id="186" w:name="_Toc59085002"/>
      <w:bookmarkStart w:id="187" w:name="_Toc65938213"/>
      <w:bookmarkStart w:id="188" w:name="_Toc57106162"/>
      <w:bookmarkStart w:id="189" w:name="_Toc18631"/>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lastRenderedPageBreak/>
        <w:t>第二节</w:t>
      </w:r>
      <w:r>
        <w:rPr>
          <w:rFonts w:ascii="Times New Roman" w:eastAsia="楷体_GB2312" w:hAnsi="Times New Roman"/>
          <w:bCs w:val="0"/>
          <w:kern w:val="0"/>
          <w:sz w:val="24"/>
          <w:szCs w:val="24"/>
        </w:rPr>
        <w:t xml:space="preserve">  </w:t>
      </w:r>
      <w:bookmarkEnd w:id="186"/>
      <w:bookmarkEnd w:id="187"/>
      <w:bookmarkEnd w:id="188"/>
      <w:r>
        <w:rPr>
          <w:rFonts w:ascii="Times New Roman" w:eastAsia="楷体_GB2312" w:hAnsi="Times New Roman"/>
          <w:bCs w:val="0"/>
          <w:kern w:val="0"/>
          <w:sz w:val="24"/>
          <w:szCs w:val="24"/>
        </w:rPr>
        <w:t>建设</w:t>
      </w:r>
      <w:r>
        <w:rPr>
          <w:rFonts w:ascii="Times New Roman" w:eastAsia="楷体_GB2312" w:hAnsi="Times New Roman" w:hint="eastAsia"/>
          <w:bCs w:val="0"/>
          <w:kern w:val="0"/>
          <w:sz w:val="24"/>
          <w:szCs w:val="24"/>
        </w:rPr>
        <w:t>绿色园区</w:t>
      </w:r>
      <w:bookmarkEnd w:id="189"/>
    </w:p>
    <w:p w:rsidR="00000000" w:rsidRDefault="00000000">
      <w:pPr>
        <w:spacing w:line="480" w:lineRule="exact"/>
        <w:ind w:firstLineChars="200" w:firstLine="420"/>
        <w:rPr>
          <w:rFonts w:ascii="宋体" w:hAnsi="宋体" w:cs="宋体" w:hint="eastAsia"/>
          <w:kern w:val="0"/>
          <w:szCs w:val="21"/>
        </w:rPr>
      </w:pPr>
      <w:r>
        <w:rPr>
          <w:rFonts w:eastAsia="楷体_GB2312"/>
          <w:szCs w:val="21"/>
        </w:rPr>
        <w:t>打造发展硬环境。</w:t>
      </w:r>
      <w:r>
        <w:rPr>
          <w:rFonts w:ascii="宋体" w:hAnsi="宋体" w:cs="宋体" w:hint="eastAsia"/>
          <w:kern w:val="0"/>
          <w:szCs w:val="21"/>
        </w:rPr>
        <w:t>围绕构建现代产业体系，优化完善工业园区产业布局，积极承接产业转移，加快产业链条拉长补齐，着力引进建设服务“1+5”现代产业体系相关联的、衔接配套的企业和项目。完善园区用地保障体系，保障园区土地供应。推进园区增量配电，构建以电网为主体，新能源发电为补充的能源供应保障体系。实施辽西北供水、牤牛河引蓄水入园工程，加大中水回用力度，升级改造给排水设施。推进园区铁路专用线服务功能延伸和服务半径扩大，提升园区与外域公路的连接服务功能。完善工业园区电力、道路、通讯、给排水、绿化等基础设施建设，做好园区净化、绿化、美化、亮化，完善基础功能配套，搭建好企业入驻平台，发挥工业园区的窗口、示范、辐射带动作用。建设绿色园区、绿色工厂、绿色车间，倡导资源集约高效利用，推动镍渣和固体废物资源高效利用，实现产业绿色循环发展，打造循环经济示范园区。</w:t>
      </w:r>
    </w:p>
    <w:p w:rsidR="00000000" w:rsidRDefault="00000000">
      <w:pPr>
        <w:spacing w:line="480" w:lineRule="exact"/>
        <w:ind w:firstLineChars="200" w:firstLine="420"/>
        <w:jc w:val="center"/>
        <w:rPr>
          <w:rFonts w:ascii="宋体" w:hAnsi="宋体" w:cs="宋体" w:hint="eastAsia"/>
          <w:kern w:val="0"/>
          <w:szCs w:val="21"/>
        </w:rPr>
      </w:pPr>
      <w:r>
        <w:rPr>
          <w:rFonts w:eastAsia="楷体_GB2312"/>
          <w:szCs w:val="21"/>
        </w:rPr>
        <w:t>提升服务软环境。</w:t>
      </w:r>
      <w:r>
        <w:rPr>
          <w:rFonts w:ascii="宋体" w:hAnsi="宋体" w:cs="宋体" w:hint="eastAsia"/>
          <w:kern w:val="0"/>
          <w:szCs w:val="21"/>
        </w:rPr>
        <w:t>调整完善工业园区整体规划布局，推动工业企业向园区集中，资金、金融、土地、人才、技术向园区集聚，增强园区产业集聚能力，提高投资强度与产出率。依托智慧城市建设，推进产业数字化，打造智慧园区。提升园区对优化产业结构的拉动</w:t>
      </w:r>
      <w:r>
        <w:rPr>
          <w:rFonts w:ascii="宋体" w:hAnsi="宋体" w:cs="宋体" w:hint="eastAsia"/>
          <w:kern w:val="0"/>
          <w:szCs w:val="21"/>
        </w:rPr>
        <w:lastRenderedPageBreak/>
        <w:t>能力和对周边地区的辐射能力，提升园区形象和品质。完善工业园区管理办法，推进园区产业统筹，搭建好企业入驻平台。坚持“以亩产论英雄”，清理僵尸企业和闲置低效用地，最大限度地提高单位面积投入产出率，推进奈曼工业园区晋升为自治区级工业园区。</w:t>
      </w:r>
      <w:bookmarkStart w:id="190" w:name="_Toc7763"/>
      <w:bookmarkStart w:id="191" w:name="_Toc21535"/>
    </w:p>
    <w:p w:rsidR="00000000" w:rsidRDefault="00000000">
      <w:pPr>
        <w:spacing w:line="480" w:lineRule="exact"/>
        <w:ind w:firstLineChars="200" w:firstLine="720"/>
        <w:jc w:val="center"/>
        <w:rPr>
          <w:rFonts w:ascii="方正小标宋简体" w:eastAsia="方正小标宋简体" w:hAnsi="方正小标宋简体" w:cs="方正小标宋简体" w:hint="eastAsia"/>
          <w:b/>
          <w:bCs/>
          <w:sz w:val="36"/>
          <w:szCs w:val="36"/>
        </w:rPr>
      </w:pPr>
    </w:p>
    <w:p w:rsidR="00000000" w:rsidRDefault="00000000">
      <w:pPr>
        <w:spacing w:line="480" w:lineRule="exact"/>
        <w:ind w:firstLineChars="200" w:firstLine="720"/>
        <w:jc w:val="center"/>
        <w:rPr>
          <w:rFonts w:ascii="方正小标宋简体" w:eastAsia="方正小标宋简体" w:hAnsi="方正小标宋简体" w:cs="方正小标宋简体" w:hint="eastAsia"/>
          <w:b/>
          <w:bCs/>
          <w:sz w:val="36"/>
          <w:szCs w:val="36"/>
        </w:rPr>
        <w:sectPr w:rsidR="00000000">
          <w:headerReference w:type="even" r:id="rId44"/>
          <w:headerReference w:type="default" r:id="rId45"/>
          <w:footerReference w:type="even" r:id="rId46"/>
          <w:footerReference w:type="default" r:id="rId47"/>
          <w:pgSz w:w="8390" w:h="11905"/>
          <w:pgMar w:top="1701" w:right="1134" w:bottom="1134" w:left="1134" w:header="1304" w:footer="850" w:gutter="0"/>
          <w:pgNumType w:fmt="numberInDash" w:start="46"/>
          <w:cols w:space="720"/>
          <w:docGrid w:type="lines" w:linePitch="321"/>
        </w:sectPr>
      </w:pPr>
    </w:p>
    <w:p w:rsidR="00000000" w:rsidRDefault="00D54102">
      <w:pPr>
        <w:spacing w:line="480" w:lineRule="exact"/>
        <w:ind w:firstLineChars="200" w:firstLine="420"/>
        <w:jc w:val="center"/>
        <w:rPr>
          <w:rFonts w:ascii="方正小标宋简体" w:eastAsia="方正小标宋简体" w:hAnsi="方正小标宋简体" w:cs="方正小标宋简体" w:hint="eastAsia"/>
          <w:b/>
          <w:bCs/>
          <w:sz w:val="36"/>
          <w:szCs w:val="36"/>
        </w:rPr>
        <w:sectPr w:rsidR="00000000">
          <w:headerReference w:type="default" r:id="rId48"/>
          <w:footerReference w:type="even" r:id="rId49"/>
          <w:footerReference w:type="default" r:id="rId50"/>
          <w:pgSz w:w="8390" w:h="11905"/>
          <w:pgMar w:top="1701" w:right="1134" w:bottom="1134" w:left="1134" w:header="1304" w:footer="850" w:gutter="0"/>
          <w:pgNumType w:fmt="numberInDash" w:start="53"/>
          <w:cols w:space="720"/>
          <w:docGrid w:type="lines" w:linePitch="321"/>
        </w:sectPr>
      </w:pPr>
      <w:r>
        <w:rPr>
          <w:noProof/>
        </w:rPr>
        <w:lastRenderedPageBreak/>
        <mc:AlternateContent>
          <mc:Choice Requires="wps">
            <w:drawing>
              <wp:anchor distT="0" distB="0" distL="114300" distR="114300" simplePos="0" relativeHeight="251656192" behindDoc="0" locked="0" layoutInCell="1" allowOverlap="1">
                <wp:simplePos x="0" y="0"/>
                <wp:positionH relativeFrom="column">
                  <wp:posOffset>-720090</wp:posOffset>
                </wp:positionH>
                <wp:positionV relativeFrom="paragraph">
                  <wp:posOffset>1737995</wp:posOffset>
                </wp:positionV>
                <wp:extent cx="5374005" cy="1113790"/>
                <wp:effectExtent l="3810" t="0" r="3810" b="1905"/>
                <wp:wrapSquare wrapText="bothSides"/>
                <wp:docPr id="64" name="文本框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13790"/>
                        </a:xfrm>
                        <a:prstGeom prst="rect">
                          <a:avLst/>
                        </a:prstGeom>
                        <a:solidFill>
                          <a:srgbClr val="C8EEFC"/>
                        </a:solidFill>
                        <a:ln>
                          <a:noFill/>
                        </a:ln>
                        <a:effectLst/>
                        <a:extLs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第七章  发挥资源禀赋优势</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促进现代服务业发展</w:t>
                            </w:r>
                          </w:p>
                        </w:txbxContent>
                      </wps:txbx>
                      <wps:bodyPr rot="0" vert="horz" wrap="square" lIns="91440" tIns="251998" rIns="91440" bIns="71999"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7" o:spid="_x0000_s1032" type="#_x0000_t202" style="position:absolute;left:0;text-align:left;margin-left:-56.7pt;margin-top:136.85pt;width:423.15pt;height:87.7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" fillcolor="#c8eefc" stroked="f">
                <v:textbox inset=",6.99994mm,,1.99997mm">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第七章  发挥资源禀赋优势</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促进现代服务业发展</w:t>
                      </w:r>
                    </w:p>
                  </w:txbxContent>
                </v:textbox>
                <w10:wrap type="square"/>
              </v:shape>
            </w:pict>
          </mc:Fallback>
        </mc:AlternateContent>
      </w:r>
    </w:p>
    <w:bookmarkEnd w:id="190"/>
    <w:bookmarkEnd w:id="191"/>
    <w:p w:rsidR="00000000" w:rsidRDefault="00000000">
      <w:pPr>
        <w:pStyle w:val="Normal24"/>
        <w:widowControl w:val="0"/>
        <w:spacing w:before="0" w:after="0" w:line="480" w:lineRule="exact"/>
        <w:ind w:firstLineChars="200" w:firstLine="420"/>
        <w:rPr>
          <w:rFonts w:eastAsia="楷体_GB2312"/>
          <w:bCs/>
          <w:sz w:val="28"/>
          <w:szCs w:val="28"/>
          <w:lang w:eastAsia="zh-CN"/>
        </w:rPr>
      </w:pPr>
      <w:r>
        <w:rPr>
          <w:rFonts w:ascii="宋体" w:eastAsia="宋体" w:hAnsi="宋体" w:cs="宋体" w:hint="eastAsia"/>
          <w:sz w:val="21"/>
          <w:szCs w:val="21"/>
          <w:lang w:eastAsia="zh-CN"/>
        </w:rPr>
        <w:lastRenderedPageBreak/>
        <w:t>立足现有基础，把握产业发展环境和趋势，围绕现代服务业发展要求，大力发展现代服务业，重点发展文旅、现代物流产业，培育康养、金融产业，提升现代服务业绿色发展水平，打造经济转型发展新引擎。</w:t>
      </w:r>
      <w:bookmarkStart w:id="192" w:name="_Hlk56088142"/>
      <w:bookmarkStart w:id="193" w:name="_Toc59085004"/>
      <w:bookmarkStart w:id="194" w:name="_Toc65938215"/>
      <w:bookmarkStart w:id="195" w:name="_Toc57106164"/>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bookmarkStart w:id="196" w:name="_Toc21153"/>
      <w:r>
        <w:rPr>
          <w:rFonts w:ascii="Times New Roman" w:eastAsia="楷体_GB2312" w:hAnsi="Times New Roman"/>
          <w:bCs w:val="0"/>
          <w:kern w:val="0"/>
          <w:sz w:val="24"/>
          <w:szCs w:val="24"/>
        </w:rPr>
        <w:t>第一节</w:t>
      </w:r>
      <w:r>
        <w:rPr>
          <w:rFonts w:ascii="Times New Roman" w:eastAsia="楷体_GB2312" w:hAnsi="Times New Roman"/>
          <w:bCs w:val="0"/>
          <w:kern w:val="0"/>
          <w:sz w:val="24"/>
          <w:szCs w:val="24"/>
        </w:rPr>
        <w:t xml:space="preserve">  </w:t>
      </w:r>
      <w:bookmarkEnd w:id="192"/>
      <w:r>
        <w:rPr>
          <w:rFonts w:ascii="Times New Roman" w:eastAsia="楷体_GB2312" w:hAnsi="Times New Roman"/>
          <w:bCs w:val="0"/>
          <w:kern w:val="0"/>
          <w:sz w:val="24"/>
          <w:szCs w:val="24"/>
        </w:rPr>
        <w:t>提升旅游业发展品质</w:t>
      </w:r>
      <w:bookmarkEnd w:id="193"/>
      <w:bookmarkEnd w:id="194"/>
      <w:bookmarkEnd w:id="195"/>
      <w:bookmarkEnd w:id="196"/>
    </w:p>
    <w:p w:rsidR="00000000" w:rsidRDefault="00000000">
      <w:pPr>
        <w:spacing w:line="480" w:lineRule="exact"/>
        <w:ind w:firstLineChars="200" w:firstLine="420"/>
        <w:rPr>
          <w:rFonts w:ascii="宋体" w:hAnsi="宋体" w:cs="宋体" w:hint="eastAsia"/>
          <w:kern w:val="0"/>
          <w:szCs w:val="21"/>
        </w:rPr>
      </w:pPr>
      <w:r>
        <w:rPr>
          <w:rFonts w:eastAsia="楷体_GB2312"/>
          <w:szCs w:val="21"/>
        </w:rPr>
        <w:t>打造精品旅游线路。</w:t>
      </w:r>
      <w:r>
        <w:rPr>
          <w:rFonts w:ascii="宋体" w:hAnsi="宋体" w:cs="宋体" w:hint="eastAsia"/>
          <w:kern w:val="0"/>
          <w:szCs w:val="21"/>
        </w:rPr>
        <w:t>以沙漠旅游为核心，以湿地、草原、怪柳和清王府为依托，推动沙漠生态文化旅游融合发展。加快融入“科尔沁500公里文化旅游风景大道”和“一带三区”全域旅游发展格局。打造“百里沙漠运动休闲走廊”主题游、沙漠游、自驾游、森林草原体验游等区域合作旅游线路。构建北部生态休闲体验游、中部历史民族文化游、南部观光休闲度假游的“三大旅游聚集区”。优化乡村旅游资源，结合乡村振兴，推进二个旅游特色小镇和十个乡村旅游特色嘎查村建设，形成“一心一廊三区十组团”的乡村旅游空间体系开发格局，推动全域旅游发展。推进大沁他拉至宝古图沙漠景区公路、孟家段环湖路、青龙山景区路、平安地至朝古台公路等旅游道路建设，形成“高速+国道+景区直达道路+旅游风景道”的“快旅慢游”交通体系。</w:t>
      </w:r>
    </w:p>
    <w:p w:rsidR="00000000" w:rsidRDefault="00000000">
      <w:pPr>
        <w:spacing w:line="480" w:lineRule="exact"/>
        <w:ind w:firstLineChars="200" w:firstLine="420"/>
        <w:rPr>
          <w:rFonts w:eastAsia="楷体_GB2312"/>
          <w:bCs/>
          <w:kern w:val="0"/>
          <w:sz w:val="28"/>
          <w:szCs w:val="28"/>
        </w:rPr>
      </w:pPr>
      <w:r>
        <w:rPr>
          <w:rFonts w:eastAsia="楷体_GB2312"/>
          <w:szCs w:val="21"/>
        </w:rPr>
        <w:lastRenderedPageBreak/>
        <w:t>提升旅游景区品质。</w:t>
      </w:r>
      <w:r>
        <w:rPr>
          <w:rFonts w:ascii="宋体" w:hAnsi="宋体" w:cs="宋体" w:hint="eastAsia"/>
          <w:kern w:val="0"/>
          <w:szCs w:val="21"/>
        </w:rPr>
        <w:t>打造精品旅游景区点，促进旅游产业提质升级，重点推进宝古图沙漠、奈曼王府、孟家段湿地、爱吉奈怪柳、青龙山洼、兴隆沼林场、八虎山庄等旅游景区建设。提升内蒙古东部影视城、苏勒德旅游区、宝古图与青龙山自驾车露营地、越野家园等重点景区景点接待和服务水平。增强基础设施建设保障能力，优化旅游服务体系。推进业态转型，实施“互联网+旅游”数字化升级，拓展旅游产业链，打造核心吸引力。加大哲里木版画、中华麦饭石等文创产品和民宿、民俗、摄影、窑洞、原生态饮食等体验式产品开发力度，增加文化旅游产品供给。办好内蒙古沙漠那达慕、越野群英会、国际摄影采风、诺恩吉雅文化系列活动等招牌式文旅活动。打响“沙海明珠•奇美奈曼”旅游品牌，建设全国知名沙漠旅游目的地和户外生态运动休闲养生基地。到2025年，晋升4A景区3个，3A景区2个。</w:t>
      </w:r>
      <w:bookmarkStart w:id="197" w:name="_Toc59085006"/>
      <w:bookmarkStart w:id="198" w:name="_Toc57106166"/>
      <w:bookmarkStart w:id="199" w:name="_Toc65938216"/>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bookmarkStart w:id="200" w:name="_Toc24275"/>
      <w:r>
        <w:rPr>
          <w:rFonts w:ascii="Times New Roman" w:eastAsia="楷体_GB2312" w:hAnsi="Times New Roman"/>
          <w:bCs w:val="0"/>
          <w:kern w:val="0"/>
          <w:sz w:val="24"/>
          <w:szCs w:val="24"/>
        </w:rPr>
        <w:t>第二节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推动现代物流业发展</w:t>
      </w:r>
      <w:bookmarkEnd w:id="197"/>
      <w:bookmarkEnd w:id="198"/>
      <w:bookmarkEnd w:id="199"/>
      <w:bookmarkEnd w:id="200"/>
    </w:p>
    <w:p w:rsidR="00000000" w:rsidRDefault="00000000">
      <w:pPr>
        <w:pStyle w:val="Normal24"/>
        <w:widowControl w:val="0"/>
        <w:spacing w:before="0" w:after="0" w:line="480" w:lineRule="exact"/>
        <w:ind w:firstLineChars="200" w:firstLine="420"/>
        <w:rPr>
          <w:rFonts w:eastAsia="楷体_GB2312"/>
          <w:bCs/>
          <w:sz w:val="28"/>
          <w:szCs w:val="28"/>
          <w:lang w:eastAsia="zh-CN"/>
        </w:rPr>
      </w:pPr>
      <w:r>
        <w:rPr>
          <w:rFonts w:ascii="宋体" w:eastAsia="宋体" w:hAnsi="宋体" w:cs="宋体" w:hint="eastAsia"/>
          <w:sz w:val="21"/>
          <w:szCs w:val="21"/>
          <w:lang w:eastAsia="zh-CN"/>
        </w:rPr>
        <w:t>立足区位交通优势和资源要素特点，围绕服务区域中心城市建设，加快发展现代物流业。整合优化商贸物流空间布局，统筹推进硬件和软件、渠道和平台建设，培育现代物流企业。打造大沁他拉</w:t>
      </w:r>
      <w:r>
        <w:rPr>
          <w:rFonts w:ascii="宋体" w:eastAsia="宋体" w:hAnsi="宋体" w:cs="宋体" w:hint="eastAsia"/>
          <w:sz w:val="21"/>
          <w:szCs w:val="21"/>
          <w:lang w:eastAsia="zh-CN"/>
        </w:rPr>
        <w:lastRenderedPageBreak/>
        <w:t>镇区域物流高地，建设奈曼物流园区，重点推进城市矿产、电商物流、汽贸、天然气、物流服务等分区建设；建设八仙筒集装箱物流园，搭建大宗商品物流平台。发挥现有仓储保鲜库作用，建成集丰粮贸粮食中转物流园；推进牲畜交易市场、建材市场、农机市场、农资市场提质升级。构建以京通铁路、通赤高速、奈营高速、国道111线等为物流运输的八条通道，锦州港和珠恩嘎达布其口岸为两个国际出入口的物流发展格局，提升对区域中心城市的综合物流服务和保障功能。加快推进城乡冷链物流体系建设，完善物流公共信息查询系统和物流电子商务信息系统，建设全旗物流公共信息服务平台。完善商贸物流市场体系，健全城乡商贸物流配送体系，强化物流寄递行业安全查控力度，推进电子商务进农村，培育壮大商贸物流企业。</w:t>
      </w:r>
      <w:bookmarkStart w:id="201" w:name="_Toc10009"/>
      <w:bookmarkStart w:id="202" w:name="_Toc65938217"/>
      <w:bookmarkStart w:id="203" w:name="_Toc59085005"/>
      <w:bookmarkStart w:id="204" w:name="_Toc57106165"/>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t>第三节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培育康养产业品牌</w:t>
      </w:r>
      <w:bookmarkEnd w:id="201"/>
      <w:bookmarkEnd w:id="202"/>
      <w:bookmarkEnd w:id="203"/>
      <w:bookmarkEnd w:id="204"/>
    </w:p>
    <w:p w:rsidR="00000000" w:rsidRDefault="00000000">
      <w:pPr>
        <w:spacing w:line="460" w:lineRule="exact"/>
        <w:ind w:firstLineChars="200" w:firstLine="420"/>
        <w:rPr>
          <w:rFonts w:ascii="宋体" w:hAnsi="宋体" w:cs="宋体" w:hint="eastAsia"/>
          <w:kern w:val="0"/>
          <w:szCs w:val="21"/>
          <w:lang w:val="en"/>
        </w:rPr>
      </w:pPr>
      <w:r>
        <w:rPr>
          <w:rFonts w:eastAsia="楷体_GB2312"/>
          <w:szCs w:val="21"/>
        </w:rPr>
        <w:t>加快养老服务产业发展。</w:t>
      </w:r>
      <w:r>
        <w:rPr>
          <w:rFonts w:ascii="宋体" w:hAnsi="宋体" w:cs="宋体" w:hint="eastAsia"/>
          <w:kern w:val="0"/>
          <w:szCs w:val="21"/>
          <w:lang w:val="en"/>
        </w:rPr>
        <w:t>统筹做好城乡养老服务设施建设规划，加快发展医养结合、社区养老及居家养老等服务。完成康德苑老年公寓、诺恩吉雅健康养老中心改造升级</w:t>
      </w:r>
      <w:r>
        <w:rPr>
          <w:rFonts w:ascii="宋体" w:hAnsi="宋体" w:cs="宋体" w:hint="eastAsia"/>
          <w:kern w:val="0"/>
          <w:szCs w:val="21"/>
        </w:rPr>
        <w:t>和</w:t>
      </w:r>
      <w:r>
        <w:rPr>
          <w:rFonts w:ascii="宋体" w:hAnsi="宋体" w:cs="宋体" w:hint="eastAsia"/>
          <w:kern w:val="0"/>
          <w:szCs w:val="21"/>
          <w:lang w:val="en"/>
        </w:rPr>
        <w:t>青龙山镇敬老院建设，满足农村留守老人养老服务需求。建立政府购买服务和养老服务需求</w:t>
      </w:r>
      <w:r>
        <w:rPr>
          <w:rFonts w:ascii="宋体" w:hAnsi="宋体" w:cs="宋体" w:hint="eastAsia"/>
          <w:kern w:val="0"/>
          <w:szCs w:val="21"/>
          <w:lang w:val="en"/>
        </w:rPr>
        <w:lastRenderedPageBreak/>
        <w:t>评估机制，培育养老服务产业集群和知名品牌。开展养老院服务质量提升年活动。</w:t>
      </w:r>
    </w:p>
    <w:p w:rsidR="00000000" w:rsidRDefault="00000000">
      <w:pPr>
        <w:spacing w:line="460" w:lineRule="exact"/>
        <w:ind w:firstLineChars="196" w:firstLine="412"/>
        <w:rPr>
          <w:rFonts w:ascii="宋体" w:hAnsi="宋体" w:cs="宋体" w:hint="eastAsia"/>
          <w:kern w:val="0"/>
          <w:szCs w:val="21"/>
        </w:rPr>
      </w:pPr>
      <w:r>
        <w:rPr>
          <w:rFonts w:eastAsia="楷体_GB2312"/>
          <w:szCs w:val="21"/>
        </w:rPr>
        <w:t>做大做强蒙中医药康养。</w:t>
      </w:r>
      <w:r>
        <w:rPr>
          <w:rFonts w:ascii="宋体" w:hAnsi="宋体" w:cs="宋体" w:hint="eastAsia"/>
          <w:kern w:val="0"/>
          <w:szCs w:val="21"/>
        </w:rPr>
        <w:t>依托丰富的蒙中医药资源和占布拉道尔吉品牌，推进医养结合，加快发展健康产业，培育大健康产业基地。建立蒙医药养生保健服务体系，支持蒙医院与社会资本联合开展服务，鼓励社会力量举办蒙中医医疗机构、蒙中医经络按摩馆、养生馆、药膳馆，开展蒙中医特色治疗、康复理疗、针灸推拿、药浴、药膳、情志养生等服务项目，走集团化发展或连锁化经营道路，做大做强蒙中医药康养产业。加快引进和培养蒙中医药专业技术人才，加快蒙中医、康复、疗养服务体系建设，提升蒙中医药保健服务水平，为康养产业发展提供技术支撑。</w:t>
      </w:r>
    </w:p>
    <w:p w:rsidR="00000000" w:rsidRDefault="00000000">
      <w:pPr>
        <w:spacing w:line="460" w:lineRule="exact"/>
        <w:ind w:firstLineChars="200" w:firstLine="420"/>
        <w:rPr>
          <w:rFonts w:eastAsia="楷体_GB2312"/>
          <w:bCs/>
          <w:kern w:val="0"/>
          <w:sz w:val="28"/>
          <w:szCs w:val="28"/>
        </w:rPr>
      </w:pPr>
      <w:r>
        <w:rPr>
          <w:rFonts w:eastAsia="楷体_GB2312"/>
          <w:szCs w:val="21"/>
        </w:rPr>
        <w:t>推动康养产业与旅游业融合。</w:t>
      </w:r>
      <w:r>
        <w:rPr>
          <w:rFonts w:ascii="宋体" w:hAnsi="宋体" w:cs="宋体" w:hint="eastAsia"/>
          <w:kern w:val="0"/>
          <w:szCs w:val="21"/>
        </w:rPr>
        <w:t>实施“健康+旅游”战略，依托诺恩吉雅健康养老中心，推动特色康复疗养、休闲养生与旅游深度融合，加快开发沙地康养、运动康养等健康旅游业态，构建全域多种资源要素集成的康养旅游线路，培育蒙中医药“康养之旅”旅游品牌。聚焦运动康复、运动疗养等特色领域，完善健身场馆设施，建设运动康复基地，发挥自然资源优势和气候特点，开发运动医学、康复、蒙中医理疗等服务项目，打造运动、康复、休闲、旅游于一体的运动康养旅游产业体系。</w:t>
      </w:r>
      <w:bookmarkStart w:id="205" w:name="_Toc57106167"/>
      <w:bookmarkStart w:id="206" w:name="_Toc59085007"/>
      <w:bookmarkStart w:id="207" w:name="_Toc65938218"/>
    </w:p>
    <w:p w:rsidR="00000000" w:rsidRDefault="00000000">
      <w:pPr>
        <w:pStyle w:val="2"/>
        <w:spacing w:before="0" w:after="0" w:line="40" w:lineRule="exact"/>
        <w:jc w:val="center"/>
        <w:rPr>
          <w:rFonts w:ascii="Times New Roman" w:eastAsia="楷体_GB2312" w:hAnsi="Times New Roman"/>
          <w:bCs w:val="0"/>
          <w:kern w:val="0"/>
          <w:sz w:val="24"/>
          <w:szCs w:val="24"/>
        </w:rPr>
      </w:pPr>
      <w:bookmarkStart w:id="208" w:name="_Toc3879"/>
    </w:p>
    <w:p w:rsidR="00000000" w:rsidRDefault="00000000">
      <w:pPr>
        <w:pStyle w:val="2"/>
        <w:spacing w:beforeLines="50" w:before="160" w:afterLines="50" w:after="160" w:line="46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t>第四节</w:t>
      </w:r>
      <w:r>
        <w:rPr>
          <w:rFonts w:ascii="Times New Roman" w:eastAsia="楷体_GB2312" w:hAnsi="Times New Roman"/>
          <w:bCs w:val="0"/>
          <w:kern w:val="0"/>
          <w:sz w:val="24"/>
          <w:szCs w:val="24"/>
        </w:rPr>
        <w:t xml:space="preserve">  </w:t>
      </w:r>
      <w:bookmarkEnd w:id="205"/>
      <w:bookmarkEnd w:id="206"/>
      <w:r>
        <w:rPr>
          <w:rFonts w:ascii="Times New Roman" w:eastAsia="楷体_GB2312" w:hAnsi="Times New Roman"/>
          <w:bCs w:val="0"/>
          <w:kern w:val="0"/>
          <w:sz w:val="24"/>
          <w:szCs w:val="24"/>
        </w:rPr>
        <w:t>增强金融</w:t>
      </w:r>
      <w:r>
        <w:rPr>
          <w:rFonts w:ascii="Times New Roman" w:eastAsia="楷体_GB2312" w:hAnsi="Times New Roman" w:hint="eastAsia"/>
          <w:bCs w:val="0"/>
          <w:kern w:val="0"/>
          <w:sz w:val="24"/>
          <w:szCs w:val="24"/>
        </w:rPr>
        <w:t>服务</w:t>
      </w:r>
      <w:r>
        <w:rPr>
          <w:rFonts w:ascii="Times New Roman" w:eastAsia="楷体_GB2312" w:hAnsi="Times New Roman"/>
          <w:bCs w:val="0"/>
          <w:kern w:val="0"/>
          <w:sz w:val="24"/>
          <w:szCs w:val="24"/>
        </w:rPr>
        <w:t>能力</w:t>
      </w:r>
      <w:bookmarkEnd w:id="207"/>
      <w:bookmarkEnd w:id="208"/>
    </w:p>
    <w:p w:rsidR="00000000" w:rsidRDefault="00000000">
      <w:pPr>
        <w:spacing w:line="440" w:lineRule="exact"/>
        <w:ind w:firstLineChars="200" w:firstLine="420"/>
        <w:rPr>
          <w:rFonts w:eastAsia="仿宋_GB2312"/>
          <w:spacing w:val="-6"/>
          <w:sz w:val="28"/>
          <w:szCs w:val="28"/>
        </w:rPr>
      </w:pPr>
      <w:r>
        <w:rPr>
          <w:rFonts w:ascii="宋体" w:hAnsi="宋体" w:cs="宋体" w:hint="eastAsia"/>
          <w:bCs/>
          <w:szCs w:val="21"/>
        </w:rPr>
        <w:t>抓住建设县域金融工程试点机遇，推动现有金融机构提高服务能力，积极引进金融机构，丰富金融产品和服务，活跃金融市场，降低信贷融资成本。提升金融服务水平，加大对民营企业、新型经营主体和“三农三牧”的支持力度。设立农村金融服务站，完善农村金融服务体系。构建金融信用体系，支持金融机构依法清收不良贷款。加快信用担保机构建设，增强融资担保能力，加大信贷投放量，扩大贷款规模。</w:t>
      </w:r>
      <w:r>
        <w:rPr>
          <w:rFonts w:ascii="宋体" w:hAnsi="宋体" w:cs="宋体" w:hint="eastAsia"/>
          <w:bCs/>
          <w:spacing w:val="-6"/>
          <w:szCs w:val="21"/>
        </w:rPr>
        <w:t>发挥好产权交易市场作用，搭建面向中小企业的一站式投融资信息服务体系，做实金融服务中心。健全突发性金融风险事件快速反应机制，提高应急处置能力，及时有效防控突发</w:t>
      </w:r>
      <w:r>
        <w:rPr>
          <w:rFonts w:ascii="宋体" w:hAnsi="宋体" w:cs="宋体" w:hint="eastAsia"/>
          <w:bCs/>
          <w:szCs w:val="21"/>
        </w:rPr>
        <w:t>性金融风险。</w:t>
      </w:r>
    </w:p>
    <w:tbl>
      <w:tblPr>
        <w:tblpPr w:leftFromText="180" w:rightFromText="180" w:vertAnchor="text" w:horzAnchor="page" w:tblpXSpec="center" w:tblpY="220"/>
        <w:tblOverlap w:val="neve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6240"/>
      </w:tblGrid>
      <w:tr w:rsidR="00000000">
        <w:trPr>
          <w:trHeight w:hRule="exact" w:val="461"/>
          <w:jc w:val="center"/>
        </w:trPr>
        <w:tc>
          <w:tcPr>
            <w:tcW w:w="6240" w:type="dxa"/>
            <w:tcBorders>
              <w:top w:val="single" w:sz="12" w:space="0" w:color="auto"/>
              <w:left w:val="single" w:sz="12" w:space="0" w:color="auto"/>
              <w:right w:val="single" w:sz="12" w:space="0" w:color="auto"/>
            </w:tcBorders>
            <w:shd w:val="clear" w:color="auto" w:fill="95DAF3"/>
            <w:vAlign w:val="center"/>
          </w:tcPr>
          <w:p w:rsidR="00000000" w:rsidRDefault="00000000">
            <w:pPr>
              <w:spacing w:line="300" w:lineRule="exact"/>
              <w:jc w:val="center"/>
              <w:rPr>
                <w:rFonts w:eastAsia="黑体"/>
                <w:szCs w:val="21"/>
              </w:rPr>
            </w:pPr>
            <w:r>
              <w:rPr>
                <w:rFonts w:eastAsia="黑体"/>
                <w:szCs w:val="21"/>
              </w:rPr>
              <w:t>专栏</w:t>
            </w:r>
            <w:r>
              <w:rPr>
                <w:rFonts w:eastAsia="黑体"/>
                <w:szCs w:val="21"/>
              </w:rPr>
              <w:t xml:space="preserve">5  </w:t>
            </w:r>
            <w:r>
              <w:rPr>
                <w:rFonts w:eastAsia="黑体"/>
                <w:szCs w:val="21"/>
              </w:rPr>
              <w:t>现代服务业重点工程</w:t>
            </w:r>
          </w:p>
        </w:tc>
      </w:tr>
      <w:tr w:rsidR="00000000">
        <w:trPr>
          <w:trHeight w:hRule="exact" w:val="3138"/>
          <w:jc w:val="center"/>
        </w:trPr>
        <w:tc>
          <w:tcPr>
            <w:tcW w:w="6240" w:type="dxa"/>
            <w:tcBorders>
              <w:left w:val="single" w:sz="12" w:space="0" w:color="auto"/>
              <w:bottom w:val="single" w:sz="12" w:space="0" w:color="auto"/>
              <w:right w:val="single" w:sz="12" w:space="0" w:color="auto"/>
            </w:tcBorders>
            <w:shd w:val="clear" w:color="auto" w:fill="C8EEFC"/>
          </w:tcPr>
          <w:p w:rsidR="00000000" w:rsidRDefault="00000000">
            <w:pPr>
              <w:spacing w:line="340" w:lineRule="exact"/>
              <w:ind w:firstLineChars="200" w:firstLine="400"/>
              <w:rPr>
                <w:rFonts w:ascii="黑体" w:eastAsia="黑体" w:hAnsi="黑体" w:cs="黑体" w:hint="eastAsia"/>
                <w:sz w:val="20"/>
                <w:szCs w:val="20"/>
              </w:rPr>
            </w:pPr>
            <w:r>
              <w:rPr>
                <w:rFonts w:ascii="黑体" w:eastAsia="黑体" w:hAnsi="黑体" w:cs="黑体" w:hint="eastAsia"/>
                <w:sz w:val="20"/>
                <w:szCs w:val="20"/>
              </w:rPr>
              <w:t>（一）旅游</w:t>
            </w:r>
          </w:p>
          <w:p w:rsidR="00000000" w:rsidRDefault="00000000">
            <w:pPr>
              <w:spacing w:line="340" w:lineRule="exact"/>
              <w:ind w:firstLineChars="200" w:firstLine="400"/>
              <w:rPr>
                <w:rFonts w:ascii="宋体" w:hAnsi="宋体" w:cs="宋体" w:hint="eastAsia"/>
                <w:bCs/>
                <w:sz w:val="20"/>
                <w:szCs w:val="20"/>
              </w:rPr>
            </w:pPr>
            <w:r>
              <w:rPr>
                <w:rFonts w:ascii="宋体" w:hAnsi="宋体" w:cs="宋体" w:hint="eastAsia"/>
                <w:bCs/>
                <w:sz w:val="20"/>
                <w:szCs w:val="20"/>
              </w:rPr>
              <w:t>创建全域旅游、文化旅游中心、沙漠旅游产业一体化发展、孟家段湿地旅游景区、怪柳旅游景区、宝古图沙漠旅游区基础设施、宝古图沙漠景区、苏布日干塔拉怪柳林景区、大沁他拉镇至怪柳林景区旅游路等工程建设。</w:t>
            </w:r>
          </w:p>
          <w:p w:rsidR="00000000" w:rsidRDefault="00000000">
            <w:pPr>
              <w:spacing w:line="340" w:lineRule="exact"/>
              <w:ind w:firstLineChars="200" w:firstLine="400"/>
              <w:rPr>
                <w:rFonts w:ascii="黑体" w:eastAsia="黑体" w:hAnsi="黑体" w:cs="黑体" w:hint="eastAsia"/>
                <w:sz w:val="20"/>
                <w:szCs w:val="20"/>
              </w:rPr>
            </w:pPr>
            <w:r>
              <w:rPr>
                <w:rFonts w:ascii="黑体" w:eastAsia="黑体" w:hAnsi="黑体" w:cs="黑体" w:hint="eastAsia"/>
                <w:sz w:val="20"/>
                <w:szCs w:val="20"/>
              </w:rPr>
              <w:t>（二）商贸物流</w:t>
            </w:r>
          </w:p>
          <w:p w:rsidR="00000000" w:rsidRDefault="00000000">
            <w:pPr>
              <w:spacing w:line="340" w:lineRule="exact"/>
              <w:ind w:firstLineChars="200" w:firstLine="400"/>
              <w:rPr>
                <w:rFonts w:eastAsia="楷体_GB2312"/>
                <w:szCs w:val="21"/>
              </w:rPr>
            </w:pPr>
            <w:r>
              <w:rPr>
                <w:rFonts w:ascii="宋体" w:hAnsi="宋体" w:cs="宋体" w:hint="eastAsia"/>
                <w:bCs/>
                <w:sz w:val="20"/>
                <w:szCs w:val="20"/>
              </w:rPr>
              <w:t>物流园区、粮食仓储设施及粮食现代物流体系、大镇农产品批发市场、沙日浩来镇蔬菜果品气调保鲜库和交易市场扩建、八仙筒镇农贸市场、曼沙冷库、蒙休冷库、古长城冷库等项目建设。</w:t>
            </w:r>
          </w:p>
        </w:tc>
      </w:tr>
    </w:tbl>
    <w:p w:rsidR="00000000" w:rsidRDefault="00000000">
      <w:pPr>
        <w:spacing w:line="480" w:lineRule="exact"/>
        <w:ind w:firstLineChars="200" w:firstLine="536"/>
        <w:rPr>
          <w:rFonts w:eastAsia="仿宋_GB2312"/>
          <w:spacing w:val="-6"/>
          <w:sz w:val="28"/>
          <w:szCs w:val="28"/>
        </w:rPr>
        <w:sectPr w:rsidR="00000000">
          <w:headerReference w:type="default" r:id="rId51"/>
          <w:footerReference w:type="even" r:id="rId52"/>
          <w:footerReference w:type="default" r:id="rId53"/>
          <w:pgSz w:w="8390" w:h="11905"/>
          <w:pgMar w:top="1701" w:right="1134" w:bottom="1134" w:left="1134" w:header="1304" w:footer="850" w:gutter="0"/>
          <w:pgNumType w:fmt="numberInDash" w:start="54"/>
          <w:cols w:space="720"/>
          <w:docGrid w:type="lines" w:linePitch="321"/>
        </w:sectPr>
      </w:pPr>
    </w:p>
    <w:p w:rsidR="00000000" w:rsidRDefault="00D54102">
      <w:pPr>
        <w:spacing w:line="480" w:lineRule="exact"/>
        <w:rPr>
          <w:rFonts w:eastAsia="仿宋_GB2312"/>
          <w:spacing w:val="-6"/>
          <w:sz w:val="28"/>
          <w:szCs w:val="28"/>
        </w:rPr>
        <w:sectPr w:rsidR="00000000">
          <w:headerReference w:type="even" r:id="rId54"/>
          <w:headerReference w:type="default" r:id="rId55"/>
          <w:footerReference w:type="even" r:id="rId56"/>
          <w:footerReference w:type="default" r:id="rId57"/>
          <w:pgSz w:w="8390" w:h="11905"/>
          <w:pgMar w:top="1701" w:right="1134" w:bottom="1134" w:left="1134" w:header="1304" w:footer="850" w:gutter="0"/>
          <w:pgNumType w:fmt="numberInDash" w:start="59"/>
          <w:cols w:space="720"/>
          <w:docGrid w:type="lines" w:linePitch="321"/>
        </w:sectPr>
      </w:pPr>
      <w:r>
        <w:rPr>
          <w:noProof/>
        </w:rPr>
        <w:lastRenderedPageBreak/>
        <mc:AlternateContent>
          <mc:Choice Requires="wps">
            <w:drawing>
              <wp:anchor distT="0" distB="0" distL="114300" distR="114300" simplePos="0" relativeHeight="251657216" behindDoc="0" locked="0" layoutInCell="1" allowOverlap="1">
                <wp:simplePos x="0" y="0"/>
                <wp:positionH relativeFrom="column">
                  <wp:posOffset>-720090</wp:posOffset>
                </wp:positionH>
                <wp:positionV relativeFrom="paragraph">
                  <wp:posOffset>1737995</wp:posOffset>
                </wp:positionV>
                <wp:extent cx="5374005" cy="1113790"/>
                <wp:effectExtent l="3810" t="0" r="3810" b="1905"/>
                <wp:wrapSquare wrapText="bothSides"/>
                <wp:docPr id="63" name="文本框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13790"/>
                        </a:xfrm>
                        <a:prstGeom prst="rect">
                          <a:avLst/>
                        </a:prstGeom>
                        <a:solidFill>
                          <a:srgbClr val="C8EEFC"/>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第八章  发展数字经济</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推进智慧奈曼建设</w:t>
                            </w:r>
                          </w:p>
                        </w:txbxContent>
                      </wps:txbx>
                      <wps:bodyPr rot="0" vert="horz" wrap="square" lIns="91440" tIns="251998" rIns="91440" bIns="71999"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8" o:spid="_x0000_s1033" type="#_x0000_t202" style="position:absolute;left:0;text-align:left;margin-left:-56.7pt;margin-top:136.85pt;width:423.15pt;height:87.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" fillcolor="#c8eefc" stroked="f">
                <v:textbox inset=",6.99994mm,,1.99997mm">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第八章  发展数字经济</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推进智慧奈曼建设</w:t>
                      </w:r>
                    </w:p>
                  </w:txbxContent>
                </v:textbox>
                <w10:wrap type="square"/>
              </v:shape>
            </w:pict>
          </mc:Fallback>
        </mc:AlternateContent>
      </w:r>
    </w:p>
    <w:p w:rsidR="00000000" w:rsidRDefault="00000000">
      <w:pPr>
        <w:spacing w:line="480" w:lineRule="exact"/>
        <w:ind w:firstLineChars="200" w:firstLine="420"/>
        <w:rPr>
          <w:rFonts w:eastAsia="楷体_GB2312"/>
          <w:bCs/>
          <w:kern w:val="0"/>
          <w:sz w:val="28"/>
          <w:szCs w:val="28"/>
        </w:rPr>
      </w:pPr>
      <w:r>
        <w:rPr>
          <w:rFonts w:ascii="宋体" w:hAnsi="宋体" w:cs="宋体" w:hint="eastAsia"/>
          <w:kern w:val="0"/>
          <w:szCs w:val="21"/>
        </w:rPr>
        <w:lastRenderedPageBreak/>
        <w:t>顺应新一轮技术革命和产业变革趋势，大力发展数字经济，推进数字产业化、产业数字化，推动经济社会各领域数字化优化升级，加快推进数字经济迈入新阶段，推进智慧奈曼建设。</w:t>
      </w:r>
      <w:bookmarkStart w:id="209" w:name="_Toc59085009"/>
      <w:bookmarkStart w:id="210" w:name="_Toc57106169"/>
      <w:bookmarkStart w:id="211" w:name="_Toc65938220"/>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bookmarkStart w:id="212" w:name="_Toc2609"/>
      <w:r>
        <w:rPr>
          <w:rFonts w:ascii="Times New Roman" w:eastAsia="楷体_GB2312" w:hAnsi="Times New Roman"/>
          <w:bCs w:val="0"/>
          <w:kern w:val="0"/>
          <w:sz w:val="24"/>
          <w:szCs w:val="24"/>
        </w:rPr>
        <w:t>第一节</w:t>
      </w:r>
      <w:r>
        <w:rPr>
          <w:rFonts w:ascii="Times New Roman" w:eastAsia="楷体_GB2312" w:hAnsi="Times New Roman"/>
          <w:bCs w:val="0"/>
          <w:kern w:val="0"/>
          <w:sz w:val="24"/>
          <w:szCs w:val="24"/>
        </w:rPr>
        <w:t xml:space="preserve">  </w:t>
      </w:r>
      <w:bookmarkEnd w:id="209"/>
      <w:bookmarkEnd w:id="210"/>
      <w:r>
        <w:rPr>
          <w:rFonts w:ascii="Times New Roman" w:eastAsia="楷体_GB2312" w:hAnsi="Times New Roman"/>
          <w:bCs w:val="0"/>
          <w:kern w:val="0"/>
          <w:sz w:val="24"/>
          <w:szCs w:val="24"/>
        </w:rPr>
        <w:t>完善数字经济基础设施</w:t>
      </w:r>
      <w:bookmarkEnd w:id="211"/>
      <w:bookmarkEnd w:id="212"/>
    </w:p>
    <w:p w:rsidR="00000000" w:rsidRDefault="00000000">
      <w:pPr>
        <w:spacing w:line="540" w:lineRule="exact"/>
        <w:ind w:firstLineChars="200" w:firstLine="420"/>
        <w:rPr>
          <w:rFonts w:eastAsia="楷体_GB2312"/>
          <w:bCs/>
          <w:kern w:val="0"/>
          <w:sz w:val="28"/>
          <w:szCs w:val="28"/>
        </w:rPr>
      </w:pPr>
      <w:r>
        <w:rPr>
          <w:rFonts w:ascii="宋体" w:hAnsi="宋体" w:cs="宋体" w:hint="eastAsia"/>
          <w:kern w:val="0"/>
          <w:szCs w:val="21"/>
        </w:rPr>
        <w:t>以5G移动宽带及信息服务为基础，加快推进大数据云计算和蒙东卫星遥感数据应用两个中心，一个城市大脑，视频资源融合共享、人口与法人和空间地理三个数据库建设，着力打造智慧政务、智慧城市管理、智慧交通、智慧公安、智慧社区、智慧旅游等平台，构建“两个中心、一个大脑、三个数据库、多个平台”的“智慧奈曼”。支持电信企业持续加大投入，普遍提供固定百兆宽带接入能力，提高光纤网络和5G网络用户覆盖率。加强“三网融合”基础设施建设，拓展高清互动、IPTV、云媒体等服务的用户规模和服务范围。深化广电和电信业务双向进入，引导通信、广电企业不断创新合作模式，全面推进“三网融合”。抓好融媒体中心建设。探索“三网”与物联网、无线宽带网和新一代互联网的“多网融合”。</w:t>
      </w:r>
      <w:bookmarkStart w:id="213" w:name="_Toc59085010"/>
      <w:bookmarkStart w:id="214" w:name="_Toc65938221"/>
      <w:bookmarkStart w:id="215" w:name="_Toc57106171"/>
    </w:p>
    <w:p w:rsidR="00000000" w:rsidRDefault="00000000">
      <w:pPr>
        <w:pStyle w:val="2"/>
        <w:spacing w:before="0" w:after="0" w:line="40" w:lineRule="exact"/>
        <w:jc w:val="center"/>
        <w:rPr>
          <w:rFonts w:ascii="Times New Roman" w:eastAsia="楷体_GB2312" w:hAnsi="Times New Roman"/>
          <w:bCs w:val="0"/>
          <w:kern w:val="0"/>
          <w:sz w:val="24"/>
          <w:szCs w:val="24"/>
        </w:rPr>
      </w:pPr>
      <w:bookmarkStart w:id="216" w:name="_Toc6382"/>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t>第二节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培育壮大数字经济</w:t>
      </w:r>
      <w:bookmarkEnd w:id="213"/>
      <w:bookmarkEnd w:id="214"/>
      <w:bookmarkEnd w:id="215"/>
      <w:bookmarkEnd w:id="216"/>
    </w:p>
    <w:p w:rsidR="00000000" w:rsidRDefault="00000000">
      <w:pPr>
        <w:spacing w:line="520" w:lineRule="exact"/>
        <w:ind w:firstLineChars="200" w:firstLine="420"/>
        <w:rPr>
          <w:rFonts w:ascii="宋体" w:hAnsi="宋体" w:cs="宋体" w:hint="eastAsia"/>
          <w:kern w:val="0"/>
          <w:szCs w:val="21"/>
        </w:rPr>
      </w:pPr>
      <w:r>
        <w:rPr>
          <w:rFonts w:ascii="宋体" w:hAnsi="宋体" w:cs="宋体" w:hint="eastAsia"/>
          <w:kern w:val="0"/>
          <w:szCs w:val="21"/>
        </w:rPr>
        <w:t>推进“互联网＋”与农牧业、工业、服务业的全面融合发展，汇聚创新要素，促进商业模式创新、应用创新、服务创新，实现产业数字化、数字产业化。建成蒙东5G智慧综合产业园、大数据云计算中心、蒙东卫星遥感数据应用中心。加大农村电商培训和配套设施建设力度，推进国家级电子商务进农村综合示范县项目建设。推动电子商务线上线下融合发展，促进消费互联网和产业互联网对接，支持快递、外卖配送、直播带货等新业态发展，搭建地方特色优势产品销售平台。鼓励工业企业进行数字化转型，引导企业利用物联网、大数据、云计算等数字技术创造更多价值。推进服务业数字化转型，加快旅游、物流、信息咨询、商品交易等平台数字化升级。培育智慧物流、智慧商贸、智慧科技服务等智慧生产性服务业，持续壮大智慧健康、智慧医疗等智慧生活性服务业，推动共享经济产品服务体系创新、平台创新和协同式生活方式创新。到2025年，电子商务成交额达到10亿元以上。</w:t>
      </w:r>
    </w:p>
    <w:p w:rsidR="00000000" w:rsidRDefault="00000000">
      <w:pPr>
        <w:spacing w:line="520" w:lineRule="exact"/>
        <w:ind w:firstLineChars="200" w:firstLine="420"/>
        <w:rPr>
          <w:rFonts w:ascii="宋体" w:hAnsi="宋体" w:cs="宋体" w:hint="eastAsia"/>
          <w:kern w:val="0"/>
          <w:szCs w:val="21"/>
        </w:rPr>
      </w:pPr>
      <w:bookmarkStart w:id="217" w:name="_Toc59085011"/>
      <w:bookmarkStart w:id="218" w:name="_Toc57106172"/>
    </w:p>
    <w:p w:rsidR="00000000" w:rsidRDefault="00000000">
      <w:pPr>
        <w:spacing w:line="520" w:lineRule="exact"/>
        <w:ind w:firstLineChars="200" w:firstLine="420"/>
        <w:rPr>
          <w:rFonts w:ascii="宋体" w:hAnsi="宋体" w:cs="宋体" w:hint="eastAsia"/>
          <w:kern w:val="0"/>
          <w:szCs w:val="21"/>
        </w:rPr>
        <w:sectPr w:rsidR="00000000">
          <w:headerReference w:type="even" r:id="rId58"/>
          <w:headerReference w:type="default" r:id="rId59"/>
          <w:footerReference w:type="even" r:id="rId60"/>
          <w:footerReference w:type="default" r:id="rId61"/>
          <w:pgSz w:w="8390" w:h="11905"/>
          <w:pgMar w:top="1701" w:right="1134" w:bottom="1134" w:left="1134" w:header="1304" w:footer="850" w:gutter="0"/>
          <w:pgNumType w:fmt="numberInDash" w:start="60"/>
          <w:cols w:space="720"/>
          <w:docGrid w:type="lines" w:linePitch="321"/>
        </w:sectPr>
      </w:pPr>
    </w:p>
    <w:p w:rsidR="00000000" w:rsidRDefault="00D54102">
      <w:pPr>
        <w:spacing w:line="520" w:lineRule="exact"/>
        <w:ind w:firstLineChars="200" w:firstLine="420"/>
        <w:rPr>
          <w:rFonts w:ascii="宋体" w:hAnsi="宋体" w:cs="宋体" w:hint="eastAsia"/>
          <w:kern w:val="0"/>
          <w:szCs w:val="21"/>
        </w:rPr>
        <w:sectPr w:rsidR="00000000">
          <w:headerReference w:type="even" r:id="rId62"/>
          <w:footerReference w:type="even" r:id="rId63"/>
          <w:footerReference w:type="default" r:id="rId64"/>
          <w:pgSz w:w="8390" w:h="11905"/>
          <w:pgMar w:top="1701" w:right="1134" w:bottom="1134" w:left="1134" w:header="1304" w:footer="850" w:gutter="0"/>
          <w:pgNumType w:fmt="numberInDash" w:start="62"/>
          <w:cols w:space="720"/>
          <w:docGrid w:type="lines" w:linePitch="321"/>
        </w:sectPr>
      </w:pPr>
      <w:r>
        <w:rPr>
          <w:noProof/>
        </w:rPr>
        <w:lastRenderedPageBreak/>
        <mc:AlternateContent>
          <mc:Choice Requires="wps">
            <w:drawing>
              <wp:anchor distT="0" distB="0" distL="114300" distR="114300" simplePos="0" relativeHeight="251658240" behindDoc="0" locked="0" layoutInCell="1" allowOverlap="1">
                <wp:simplePos x="0" y="0"/>
                <wp:positionH relativeFrom="column">
                  <wp:posOffset>-720090</wp:posOffset>
                </wp:positionH>
                <wp:positionV relativeFrom="paragraph">
                  <wp:posOffset>1737995</wp:posOffset>
                </wp:positionV>
                <wp:extent cx="5374005" cy="1113790"/>
                <wp:effectExtent l="3810" t="635" r="3810" b="0"/>
                <wp:wrapSquare wrapText="bothSides"/>
                <wp:docPr id="62"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13790"/>
                        </a:xfrm>
                        <a:prstGeom prst="rect">
                          <a:avLst/>
                        </a:prstGeom>
                        <a:solidFill>
                          <a:srgbClr val="C8EEFC"/>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第九章  加快改革开放步伐</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融入服务新发展格局</w:t>
                            </w:r>
                          </w:p>
                        </w:txbxContent>
                      </wps:txbx>
                      <wps:bodyPr rot="0" vert="horz" wrap="square" lIns="91440" tIns="251998" rIns="91440" bIns="71999"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9" o:spid="_x0000_s1034" type="#_x0000_t202" style="position:absolute;left:0;text-align:left;margin-left:-56.7pt;margin-top:136.85pt;width:423.15pt;height:87.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" fillcolor="#c8eefc" stroked="f">
                <v:textbox inset=",6.99994mm,,1.99997mm">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第九章  加快改革开放步伐</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融入服务新发展格局</w:t>
                      </w:r>
                    </w:p>
                  </w:txbxContent>
                </v:textbox>
                <w10:wrap type="square"/>
              </v:shape>
            </w:pict>
          </mc:Fallback>
        </mc:AlternateContent>
      </w:r>
    </w:p>
    <w:bookmarkEnd w:id="217"/>
    <w:bookmarkEnd w:id="218"/>
    <w:p w:rsidR="00000000" w:rsidRDefault="00000000">
      <w:pPr>
        <w:pStyle w:val="Normal24"/>
        <w:widowControl w:val="0"/>
        <w:spacing w:before="0" w:after="0" w:line="480" w:lineRule="exact"/>
        <w:ind w:firstLineChars="200" w:firstLine="420"/>
        <w:rPr>
          <w:rFonts w:eastAsia="楷体_GB2312"/>
          <w:bCs/>
          <w:sz w:val="28"/>
          <w:szCs w:val="28"/>
          <w:lang w:eastAsia="zh-CN"/>
        </w:rPr>
      </w:pPr>
      <w:r>
        <w:rPr>
          <w:rFonts w:ascii="宋体" w:eastAsia="宋体" w:hAnsi="宋体" w:cs="宋体" w:hint="eastAsia"/>
          <w:sz w:val="21"/>
          <w:szCs w:val="21"/>
          <w:lang w:eastAsia="zh-CN"/>
        </w:rPr>
        <w:lastRenderedPageBreak/>
        <w:t>紧紧扭住供给侧结构性改革这条主线，深化重点领域改革，加快完善市场机制，充分释放市场活力，注重需求侧管理，打通堵点，补齐短板，贯通生产、分配、流通、消费各环节，融入服务新发展格局。</w:t>
      </w:r>
      <w:bookmarkStart w:id="219" w:name="_Toc57106173"/>
      <w:bookmarkStart w:id="220" w:name="_Toc59085012"/>
      <w:bookmarkStart w:id="221" w:name="_Toc65938223"/>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bookmarkStart w:id="222" w:name="_Toc16111"/>
      <w:r>
        <w:rPr>
          <w:rFonts w:ascii="Times New Roman" w:eastAsia="楷体_GB2312" w:hAnsi="Times New Roman"/>
          <w:bCs w:val="0"/>
          <w:kern w:val="0"/>
          <w:sz w:val="24"/>
          <w:szCs w:val="24"/>
        </w:rPr>
        <w:t>第一节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深化基础性关键领域改革</w:t>
      </w:r>
      <w:bookmarkEnd w:id="219"/>
      <w:bookmarkEnd w:id="220"/>
      <w:bookmarkEnd w:id="221"/>
      <w:bookmarkEnd w:id="222"/>
    </w:p>
    <w:p w:rsidR="00000000" w:rsidRDefault="00000000">
      <w:pPr>
        <w:tabs>
          <w:tab w:val="left" w:pos="378"/>
        </w:tabs>
        <w:spacing w:line="480" w:lineRule="exact"/>
        <w:ind w:firstLineChars="196" w:firstLine="412"/>
        <w:rPr>
          <w:rFonts w:ascii="宋体" w:hAnsi="宋体" w:cs="宋体" w:hint="eastAsia"/>
          <w:kern w:val="0"/>
          <w:szCs w:val="21"/>
        </w:rPr>
      </w:pPr>
      <w:r>
        <w:rPr>
          <w:rFonts w:eastAsia="楷体_GB2312"/>
          <w:szCs w:val="21"/>
        </w:rPr>
        <w:t>全面推进放管服改革。</w:t>
      </w:r>
      <w:r>
        <w:rPr>
          <w:rFonts w:ascii="宋体" w:hAnsi="宋体" w:cs="宋体" w:hint="eastAsia"/>
          <w:kern w:val="0"/>
          <w:szCs w:val="21"/>
        </w:rPr>
        <w:t>持续深化“放管服”改革、商事制度改革，简化行政审批，完成行政审批和政务服务体制改革，全部事项移交行政审批和政务服务局办理。积极推行企业名称登记制度改革。推进“互联网+政务服务”，建设智能化的行政审批许可系统。压实企业开办环节，推行行政许可事项、企业开办注销全程“一网通”。实行注册资本登记制度、“先照后证”制度、“五证合一”、网上审批、“三张清单一张网”制度。探索“证照分离”改革等重点改革举措，扩大电子营业执照适用范围。全面提升审批效率和质量，制定统一服务标准，推动同一事项同标准受理、无差别办理，设立容缺机制，推行“容缺审批”和告知承诺制审批。构建一枚印章管审批、一个窗口管服务、一个平台管全程、一支队伍强监管“四个一”服务体系。</w:t>
      </w:r>
    </w:p>
    <w:p w:rsidR="00000000" w:rsidRDefault="00000000">
      <w:pPr>
        <w:spacing w:line="480" w:lineRule="exact"/>
        <w:ind w:firstLineChars="200" w:firstLine="420"/>
        <w:rPr>
          <w:rFonts w:ascii="宋体" w:hAnsi="宋体" w:cs="宋体" w:hint="eastAsia"/>
          <w:kern w:val="0"/>
          <w:szCs w:val="21"/>
        </w:rPr>
      </w:pPr>
      <w:r>
        <w:rPr>
          <w:rFonts w:eastAsia="楷体_GB2312"/>
          <w:szCs w:val="21"/>
        </w:rPr>
        <w:lastRenderedPageBreak/>
        <w:t>强力推进重点领域和环节改革。</w:t>
      </w:r>
      <w:r>
        <w:rPr>
          <w:rFonts w:ascii="宋体" w:hAnsi="宋体" w:cs="宋体" w:hint="eastAsia"/>
          <w:kern w:val="0"/>
          <w:szCs w:val="21"/>
        </w:rPr>
        <w:t>深化投资项目审批制度改革，加强与金融机构合作，拓展中小企业和农业经营主体融资渠道，健全完善预算绩效管理体制，落实税改任务。着重在放开市场准入、激发市场活力、搞活市场机制、优化市场环境四大方向，深入推动市场配置工作，完善市场化价格形成机制，拓展市场化融资渠道，加大市场化服务购买力度。</w:t>
      </w:r>
    </w:p>
    <w:p w:rsidR="00000000" w:rsidRDefault="00000000">
      <w:pPr>
        <w:spacing w:line="480" w:lineRule="exact"/>
        <w:ind w:firstLineChars="200" w:firstLine="420"/>
        <w:rPr>
          <w:rFonts w:eastAsia="楷体_GB2312"/>
          <w:bCs/>
          <w:kern w:val="0"/>
          <w:sz w:val="28"/>
          <w:szCs w:val="28"/>
        </w:rPr>
      </w:pPr>
      <w:r>
        <w:rPr>
          <w:rFonts w:eastAsia="楷体_GB2312"/>
          <w:szCs w:val="21"/>
        </w:rPr>
        <w:t>全面落实鼓励民营企业发展政策。</w:t>
      </w:r>
      <w:r>
        <w:rPr>
          <w:rFonts w:ascii="宋体" w:hAnsi="宋体" w:cs="宋体" w:hint="eastAsia"/>
          <w:kern w:val="0"/>
          <w:szCs w:val="21"/>
        </w:rPr>
        <w:t>抓好供给侧结构性改革降成本行动各项工作，减轻企业税费负担，清理、精简行政审批事项和涉企收费。改革和完善金融机构监管考核和内部激励机制，解决民营企业融资难融资贵问题。打破“卷帘门”“玻璃门”“旋转门”，帮助民营企业实现创新发展。加强政策协调性，完善政策执行方式，制定相关配套举措，推动各项政策落地落细落实。构建亲清新型政商关系，关心民营企业发展、民营企业家成长。</w:t>
      </w:r>
      <w:bookmarkStart w:id="223" w:name="_Toc57106174"/>
      <w:bookmarkStart w:id="224" w:name="_Toc65938224"/>
      <w:bookmarkStart w:id="225" w:name="_Toc59085013"/>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bookmarkStart w:id="226" w:name="_Toc30088"/>
      <w:r>
        <w:rPr>
          <w:rFonts w:ascii="Times New Roman" w:eastAsia="楷体_GB2312" w:hAnsi="Times New Roman"/>
          <w:bCs w:val="0"/>
          <w:kern w:val="0"/>
          <w:sz w:val="24"/>
          <w:szCs w:val="24"/>
        </w:rPr>
        <w:t>第二节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优化营商环境</w:t>
      </w:r>
      <w:bookmarkEnd w:id="223"/>
      <w:bookmarkEnd w:id="224"/>
      <w:bookmarkEnd w:id="225"/>
      <w:bookmarkEnd w:id="226"/>
    </w:p>
    <w:p w:rsidR="00000000" w:rsidRDefault="00000000">
      <w:pPr>
        <w:tabs>
          <w:tab w:val="left" w:pos="378"/>
        </w:tabs>
        <w:spacing w:line="480" w:lineRule="exact"/>
        <w:ind w:firstLineChars="200" w:firstLine="420"/>
        <w:rPr>
          <w:rFonts w:ascii="宋体" w:hAnsi="宋体" w:cs="宋体" w:hint="eastAsia"/>
          <w:szCs w:val="21"/>
        </w:rPr>
      </w:pPr>
      <w:r>
        <w:rPr>
          <w:rFonts w:eastAsia="楷体_GB2312"/>
          <w:szCs w:val="21"/>
        </w:rPr>
        <w:t>加快转变政府职能。</w:t>
      </w:r>
      <w:r>
        <w:rPr>
          <w:rFonts w:ascii="宋体" w:hAnsi="宋体" w:cs="宋体" w:hint="eastAsia"/>
          <w:szCs w:val="21"/>
        </w:rPr>
        <w:t>深化简政放权、放管结合、优化服务改革，全面实行政府权责清单制度，建设职责明确、依法行政的政府治理体系。推进土地、劳动力、资本、技术、数据等要素市场化改革。</w:t>
      </w:r>
      <w:r>
        <w:rPr>
          <w:rFonts w:ascii="宋体" w:hAnsi="宋体" w:cs="宋体" w:hint="eastAsia"/>
          <w:szCs w:val="21"/>
        </w:rPr>
        <w:lastRenderedPageBreak/>
        <w:t>健全要素市场运行机制，完善要素交易规则和服务体系。聚焦监管模式，梳理风险点，健全风险管控体系，加强事中事后监管，健全新型监管机制，提升监管体系信息化水平，构建大系统融合、大协同监管、大平台支撑的新型市场监管体系，持续优化市场化法治化营商环境。实施涉企经营许可事项清单管理，对新产业新业态实行包容审慎监管。推进政务服务标准化、规范化、便利化，深化政务公开。严格落实行政执法公示、执法全过程记录、重大执法决定法制审核“三项制度”。健全公平竞争审查机制，加强反垄断和反不正当竞争执法司法，提升市场综合监管能力。</w:t>
      </w:r>
    </w:p>
    <w:p w:rsidR="00000000" w:rsidRDefault="00000000">
      <w:pPr>
        <w:tabs>
          <w:tab w:val="left" w:pos="378"/>
        </w:tabs>
        <w:spacing w:line="480" w:lineRule="exact"/>
        <w:ind w:firstLineChars="200" w:firstLine="420"/>
        <w:rPr>
          <w:rFonts w:ascii="宋体" w:hAnsi="宋体" w:cs="宋体" w:hint="eastAsia"/>
          <w:szCs w:val="21"/>
        </w:rPr>
      </w:pPr>
      <w:r>
        <w:rPr>
          <w:rFonts w:eastAsia="楷体_GB2312"/>
          <w:szCs w:val="21"/>
        </w:rPr>
        <w:t>建设高标准市场体系。</w:t>
      </w:r>
      <w:r>
        <w:rPr>
          <w:rFonts w:ascii="宋体" w:hAnsi="宋体" w:cs="宋体" w:hint="eastAsia"/>
          <w:szCs w:val="21"/>
        </w:rPr>
        <w:t>健全市场体系基础制度，坚持平等准入、公正监管、开放有序、诚信守法，形成高效规范、公平竞争的市场体系。实施统一的市场准入负面清单制度。加强统筹规划和统一管理计量、标准化、检验检测、认证认可等质量基础设施，提升产业基础能力和产业链现代化水平。引导企业申报地理标志保护和生态原产地产品，加大地理标志产品和生态原产地产品保护力度。加快建立蒙中药材种植、科尔沁肉羊等标准体系，全力推动“蒙字标”认证。抓好标准化试点项目创建和标准制修订与宣贯工作。着力净化竞争环境，规范市场秩序。提升消费维权力度和监管执法精度，</w:t>
      </w:r>
      <w:r>
        <w:rPr>
          <w:rFonts w:ascii="宋体" w:hAnsi="宋体" w:cs="宋体" w:hint="eastAsia"/>
          <w:szCs w:val="21"/>
        </w:rPr>
        <w:lastRenderedPageBreak/>
        <w:t>确保抽检不合格商品下架率、结案率“两个100%”。</w:t>
      </w:r>
    </w:p>
    <w:p w:rsidR="00000000" w:rsidRDefault="00000000">
      <w:pPr>
        <w:tabs>
          <w:tab w:val="left" w:pos="378"/>
        </w:tabs>
        <w:spacing w:line="480" w:lineRule="exact"/>
        <w:ind w:firstLineChars="200" w:firstLine="420"/>
        <w:rPr>
          <w:rFonts w:eastAsia="楷体_GB2312"/>
          <w:bCs/>
          <w:kern w:val="0"/>
          <w:sz w:val="28"/>
          <w:szCs w:val="28"/>
        </w:rPr>
      </w:pPr>
      <w:r>
        <w:rPr>
          <w:rFonts w:eastAsia="楷体_GB2312"/>
          <w:szCs w:val="21"/>
        </w:rPr>
        <w:t>激活市场主体活力。</w:t>
      </w:r>
      <w:bookmarkStart w:id="227" w:name="baidusnap6"/>
      <w:bookmarkEnd w:id="227"/>
      <w:r>
        <w:rPr>
          <w:rFonts w:ascii="宋体" w:hAnsi="宋体" w:cs="宋体" w:hint="eastAsia"/>
          <w:szCs w:val="21"/>
        </w:rPr>
        <w:t>完善支持非公经济发展的政策措施，激活</w:t>
      </w:r>
      <w:bookmarkStart w:id="228" w:name="baidusnap7"/>
      <w:bookmarkEnd w:id="228"/>
      <w:r>
        <w:rPr>
          <w:rFonts w:ascii="宋体" w:hAnsi="宋体" w:cs="宋体" w:hint="eastAsia"/>
          <w:szCs w:val="21"/>
        </w:rPr>
        <w:t>各类市场主体活力。发挥财政资金带动作用，通过投资补助、资本金注入、设立基金等方式，激活各类社会资本。积极把握国家产业政策调整和产业加速转移的有利契机，全方位多领域承接发达地区产业转移，着力引进一批关联度高、产业链长、带动力强的大项目。优化民营经济发展环境，继续降低企业融资成本、压缩制度性交易成本，全力推进营商环境法治化。促进非公有制经济健康发展，依法平等保护民营企业产权和企业家权益，破除制约民营企业发展的各种壁垒，完善促进中小微企业和个体工商户发展的法律环境和政策体系。支持双创示范基地、产业园区公共服务平台建设，提升为民营企业投资兴业服务能力和水平。</w:t>
      </w:r>
      <w:bookmarkStart w:id="229" w:name="_Toc55167074"/>
      <w:bookmarkStart w:id="230" w:name="_Toc59085014"/>
      <w:bookmarkStart w:id="231" w:name="_Toc57106175"/>
      <w:bookmarkStart w:id="232" w:name="_Toc65938225"/>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bookmarkStart w:id="233" w:name="_Toc18450"/>
      <w:r>
        <w:rPr>
          <w:rFonts w:ascii="Times New Roman" w:eastAsia="楷体_GB2312" w:hAnsi="Times New Roman"/>
          <w:bCs w:val="0"/>
          <w:kern w:val="0"/>
          <w:sz w:val="24"/>
          <w:szCs w:val="24"/>
        </w:rPr>
        <w:t>第三节</w:t>
      </w:r>
      <w:r>
        <w:rPr>
          <w:rFonts w:ascii="Times New Roman" w:eastAsia="楷体_GB2312" w:hAnsi="Times New Roman"/>
          <w:bCs w:val="0"/>
          <w:kern w:val="0"/>
          <w:sz w:val="24"/>
          <w:szCs w:val="24"/>
        </w:rPr>
        <w:t xml:space="preserve"> </w:t>
      </w:r>
      <w:bookmarkEnd w:id="229"/>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融入</w:t>
      </w:r>
      <w:bookmarkEnd w:id="230"/>
      <w:bookmarkEnd w:id="231"/>
      <w:r>
        <w:rPr>
          <w:rFonts w:ascii="Times New Roman" w:eastAsia="楷体_GB2312" w:hAnsi="Times New Roman"/>
          <w:bCs w:val="0"/>
          <w:kern w:val="0"/>
          <w:sz w:val="24"/>
          <w:szCs w:val="24"/>
        </w:rPr>
        <w:t>区域</w:t>
      </w:r>
      <w:r>
        <w:rPr>
          <w:rFonts w:ascii="Times New Roman" w:eastAsia="楷体_GB2312" w:hAnsi="Times New Roman" w:hint="eastAsia"/>
          <w:bCs w:val="0"/>
          <w:kern w:val="0"/>
          <w:sz w:val="24"/>
          <w:szCs w:val="24"/>
        </w:rPr>
        <w:t>合作</w:t>
      </w:r>
      <w:r>
        <w:rPr>
          <w:rFonts w:ascii="Times New Roman" w:eastAsia="楷体_GB2312" w:hAnsi="Times New Roman"/>
          <w:bCs w:val="0"/>
          <w:kern w:val="0"/>
          <w:sz w:val="24"/>
          <w:szCs w:val="24"/>
        </w:rPr>
        <w:t>发展</w:t>
      </w:r>
      <w:bookmarkEnd w:id="232"/>
      <w:bookmarkEnd w:id="233"/>
    </w:p>
    <w:p w:rsidR="00000000" w:rsidRDefault="00000000">
      <w:pPr>
        <w:tabs>
          <w:tab w:val="left" w:pos="378"/>
        </w:tabs>
        <w:spacing w:line="480" w:lineRule="exact"/>
        <w:ind w:firstLineChars="196" w:firstLine="412"/>
        <w:rPr>
          <w:rFonts w:ascii="宋体" w:hAnsi="宋体" w:cs="宋体" w:hint="eastAsia"/>
          <w:szCs w:val="21"/>
        </w:rPr>
      </w:pPr>
      <w:r>
        <w:rPr>
          <w:rFonts w:eastAsia="楷体_GB2312"/>
          <w:szCs w:val="21"/>
        </w:rPr>
        <w:t>构建全方位开放新格局。</w:t>
      </w:r>
      <w:r>
        <w:rPr>
          <w:rFonts w:ascii="宋体" w:hAnsi="宋体" w:cs="宋体" w:hint="eastAsia"/>
          <w:szCs w:val="21"/>
        </w:rPr>
        <w:t>参与中蒙俄经济走廊建设，借助蒙渤（辽宁渤海湾）和京通（通辽）两个陆路大通道和连通中蒙的巴新铁路、阜奈高速公路与锦州港的紧密联系，完善跨境物流产业链条，打通南至锦州港，北至珠恩嘎达布其口岸的物流大通道，推进大宗</w:t>
      </w:r>
      <w:r>
        <w:rPr>
          <w:rFonts w:ascii="宋体" w:hAnsi="宋体" w:cs="宋体" w:hint="eastAsia"/>
          <w:szCs w:val="21"/>
        </w:rPr>
        <w:lastRenderedPageBreak/>
        <w:t>粮食出口和工业原辅材料进口。深化与俄蒙等国家在文化旅游、蒙医药、科技教育、资源开发等领域合作。推动双边经贸合作及人文交流，加快构建形成双向互动、内外联动的开发开放新格局。聚力发展泛口岸（港口）经济，探索内陆港、飞地经济等合作模式，扩大贸易规模，推进口岸功能内移，加快发展跨境电商贸易、市场采购贸易等外贸新业态新模式。以“物流+发展”的思路，主动融入蒙东地区物流枢纽基地建设，打造现代化进出口商品仓储、交易、加工、配送的综合服务平台。</w:t>
      </w:r>
    </w:p>
    <w:p w:rsidR="00000000" w:rsidRDefault="00000000">
      <w:pPr>
        <w:pStyle w:val="Normal24"/>
        <w:widowControl w:val="0"/>
        <w:spacing w:before="0" w:after="0" w:line="480" w:lineRule="exact"/>
        <w:ind w:firstLineChars="200" w:firstLine="420"/>
        <w:rPr>
          <w:rFonts w:ascii="宋体" w:eastAsia="宋体" w:hAnsi="宋体" w:cs="宋体" w:hint="eastAsia"/>
          <w:kern w:val="2"/>
          <w:sz w:val="21"/>
          <w:szCs w:val="21"/>
          <w:lang w:eastAsia="zh-CN"/>
        </w:rPr>
      </w:pPr>
      <w:r>
        <w:rPr>
          <w:rFonts w:eastAsia="楷体_GB2312"/>
          <w:kern w:val="2"/>
          <w:sz w:val="21"/>
          <w:szCs w:val="21"/>
          <w:lang w:eastAsia="zh-CN"/>
        </w:rPr>
        <w:t>主动融入国内国际大市场。</w:t>
      </w:r>
      <w:r>
        <w:rPr>
          <w:rFonts w:ascii="宋体" w:eastAsia="宋体" w:hAnsi="宋体" w:cs="宋体" w:hint="eastAsia"/>
          <w:kern w:val="2"/>
          <w:sz w:val="21"/>
          <w:szCs w:val="21"/>
          <w:lang w:eastAsia="zh-CN"/>
        </w:rPr>
        <w:t>加强与锦州、大连港口交通基础设施对接，发展陆海联运服务模式，全方位融入国内国际大市场。参与区域内交通物流网、消费供需网的分工，扩大农产品出口，加大矿产品进口，积极融入国内国际双循环相互促进的新发展格局。深度参与“锡赤通朝锦”产业分工，深化与京津冀、东三省等对接协作，深入开展京蒙帮扶合作，承接落地一批产业转移项目。完善招商平台，创新招商引资方式，围绕主导产业开展精准招商，积极引进高端项目、技术、人才、先进理念和新型业态，签约落地一批大项目好项目。用好发达地区资金、技术、人才等要素，建设承接产业转移示范区和共建产业园区，加快培育壮大地方经济发展动力源。</w:t>
      </w:r>
    </w:p>
    <w:p w:rsidR="00000000" w:rsidRDefault="00000000">
      <w:pPr>
        <w:pStyle w:val="Normal24"/>
        <w:widowControl w:val="0"/>
        <w:spacing w:before="0" w:after="0" w:line="480" w:lineRule="exact"/>
        <w:ind w:firstLineChars="200" w:firstLine="420"/>
        <w:rPr>
          <w:rFonts w:eastAsia="楷体_GB2312"/>
          <w:bCs/>
          <w:sz w:val="28"/>
          <w:szCs w:val="28"/>
          <w:lang w:eastAsia="zh-CN"/>
        </w:rPr>
      </w:pPr>
      <w:r>
        <w:rPr>
          <w:rFonts w:eastAsia="楷体_GB2312"/>
          <w:kern w:val="2"/>
          <w:sz w:val="21"/>
          <w:szCs w:val="21"/>
          <w:lang w:eastAsia="zh-CN"/>
        </w:rPr>
        <w:lastRenderedPageBreak/>
        <w:t>打造区域中心城市节点城市。</w:t>
      </w:r>
      <w:r>
        <w:rPr>
          <w:rFonts w:ascii="宋体" w:eastAsia="宋体" w:hAnsi="宋体" w:cs="宋体" w:hint="eastAsia"/>
          <w:kern w:val="2"/>
          <w:sz w:val="21"/>
          <w:szCs w:val="21"/>
          <w:lang w:eastAsia="zh-CN"/>
        </w:rPr>
        <w:t>抢抓通辽赤峰区域中心城市建设的机遇，立足区位优势，围绕增强服务功能、辐射带动能力，推动区域交通、水利、电力等基础设施互联互通，畅通资源要素双向流动渠道。加强与通辽、赤峰在基础设施、要素流动、产业布局、文化旅游、蒙中医药、现代物流、生态建设等方面紧密对接，融入双城经济圈，在一体联动、分工合作中释放规模效应、实现错位发展，打造枢纽型产业体系。加快培育新市民，不断扩大城市人口规模，努力成为人口活跃区。加强优质公共服务供给，增强城市吸引力，提高文化软实力，塑造城市气质，加强生态保护与修复，提升生态环境承载力，形成核心载体，建设大城区、大平台。拓展区域合作，在更大范围配置资源，提高在市场分工中的参与度，在更高水平上服务区域性中心城市建设，努力打造双城经济圈承接产业转移重要承载区、物流仓储节点和“康养宜居地”。</w:t>
      </w:r>
      <w:bookmarkStart w:id="234" w:name="_Toc59085015"/>
      <w:bookmarkStart w:id="235" w:name="_Toc57106176"/>
      <w:bookmarkStart w:id="236" w:name="_Toc65938226"/>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bookmarkStart w:id="237" w:name="_Toc21794"/>
      <w:r>
        <w:rPr>
          <w:rFonts w:ascii="Times New Roman" w:eastAsia="楷体_GB2312" w:hAnsi="Times New Roman"/>
          <w:bCs w:val="0"/>
          <w:kern w:val="0"/>
          <w:sz w:val="24"/>
          <w:szCs w:val="24"/>
        </w:rPr>
        <w:t>第四节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扩大消费投资规模</w:t>
      </w:r>
      <w:bookmarkEnd w:id="234"/>
      <w:bookmarkEnd w:id="235"/>
      <w:bookmarkEnd w:id="236"/>
      <w:bookmarkEnd w:id="237"/>
    </w:p>
    <w:p w:rsidR="00000000" w:rsidRDefault="00000000">
      <w:pPr>
        <w:spacing w:line="480" w:lineRule="exact"/>
        <w:ind w:firstLineChars="200" w:firstLine="420"/>
        <w:rPr>
          <w:rFonts w:ascii="宋体" w:hAnsi="宋体" w:cs="宋体" w:hint="eastAsia"/>
          <w:spacing w:val="6"/>
          <w:szCs w:val="21"/>
        </w:rPr>
      </w:pPr>
      <w:r>
        <w:rPr>
          <w:rFonts w:eastAsia="楷体_GB2312"/>
          <w:szCs w:val="21"/>
        </w:rPr>
        <w:t>促进消费扩容提质。</w:t>
      </w:r>
      <w:r>
        <w:rPr>
          <w:rFonts w:ascii="宋体" w:hAnsi="宋体" w:cs="宋体" w:hint="eastAsia"/>
          <w:spacing w:val="6"/>
          <w:szCs w:val="21"/>
        </w:rPr>
        <w:t>实施消费升级和质量提升行动，提高人民消费品质。参与区域消费网络重要节点布局，完善城乡物流配送体系，建设蒙东地区消费节点。提升传统消费，加快发展城区</w:t>
      </w:r>
      <w:r>
        <w:rPr>
          <w:rFonts w:ascii="宋体" w:hAnsi="宋体" w:cs="宋体" w:hint="eastAsia"/>
          <w:spacing w:val="6"/>
          <w:szCs w:val="21"/>
        </w:rPr>
        <w:lastRenderedPageBreak/>
        <w:t>商业，培育商业特色街区，推动“智慧商店”、“智慧街区”、“智慧商圈”建设，提升新天地、嘉汇等重点商圈便利智慧服务功能，发展城市商业综合体，形成以商贸为主、商务为辅的新商圈。引导和支持商贸餐饮、文化旅游等领域服务业企业加快向数字化、品牌化转型。全面促进服务消费提质扩容，加快释放文化、旅游、体育、教育培训等服务业消费潜力。培育新型消费，深入研究信息消费等新消费内容、“指尖经济”等新消费习惯、直播带货等新消费场景的政策需求，推出加快“互联网+”、文商旅融合、夜间经济等新业态发展的专项举措，促进消费向绿色健康安全发展。推动汽车、电子信息等消费品由购买管理向使用管理转变，促进住房消费健康发展。鼓励消费新模式新业态，促进线上线下消费融合发展，培育绿色、信息、定制、体验等消费新增长点，促进新兴消费扩容增量。推进电商进农村，完善末端销售网络，开拓城乡消费市场，推动农村牧区居民消费梯次升级。落实带薪休假制度，扩大节假日消费。强化消费者权益保护，优化消费环境，吸引更多人在奈曼消费、到奈曼消费。</w:t>
      </w:r>
    </w:p>
    <w:p w:rsidR="00000000" w:rsidRDefault="00000000">
      <w:pPr>
        <w:pStyle w:val="Normal24"/>
        <w:widowControl w:val="0"/>
        <w:spacing w:before="0" w:after="0" w:line="480" w:lineRule="exact"/>
        <w:ind w:firstLineChars="200" w:firstLine="420"/>
        <w:rPr>
          <w:rFonts w:ascii="宋体" w:eastAsia="宋体" w:hAnsi="宋体" w:cs="宋体" w:hint="eastAsia"/>
          <w:spacing w:val="6"/>
          <w:kern w:val="2"/>
          <w:sz w:val="21"/>
          <w:szCs w:val="21"/>
          <w:lang w:eastAsia="zh-CN"/>
        </w:rPr>
      </w:pPr>
      <w:r>
        <w:rPr>
          <w:rFonts w:eastAsia="楷体_GB2312"/>
          <w:kern w:val="2"/>
          <w:sz w:val="21"/>
          <w:szCs w:val="21"/>
          <w:lang w:eastAsia="zh-CN"/>
        </w:rPr>
        <w:t>精准扩大有效投资。</w:t>
      </w:r>
      <w:r>
        <w:rPr>
          <w:rFonts w:ascii="宋体" w:eastAsia="宋体" w:hAnsi="宋体" w:cs="宋体" w:hint="eastAsia"/>
          <w:spacing w:val="6"/>
          <w:kern w:val="2"/>
          <w:sz w:val="21"/>
          <w:szCs w:val="21"/>
          <w:lang w:eastAsia="zh-CN"/>
        </w:rPr>
        <w:t>发挥投资对优化供给结构的关键作用，聚焦产业提质增效、基础设施提级扩能、公共服务提标扩面，加</w:t>
      </w:r>
      <w:r>
        <w:rPr>
          <w:rFonts w:ascii="宋体" w:eastAsia="宋体" w:hAnsi="宋体" w:cs="宋体" w:hint="eastAsia"/>
          <w:spacing w:val="6"/>
          <w:kern w:val="2"/>
          <w:sz w:val="21"/>
          <w:szCs w:val="21"/>
          <w:lang w:eastAsia="zh-CN"/>
        </w:rPr>
        <w:lastRenderedPageBreak/>
        <w:t>大“两新一重”、“1+5”现代产业体系、社会民生等重点领域投资力度，加快补齐各领域发展短板。围绕疫情防控短板，加大公共卫生设施、应急物资储备体系、市政设施等重点领域投入，推进新型城镇化建设。启动以5G通信、云计算中心、智慧城市为重点的新型基础设施项目。加快推进域内高速公路、高速铁路、引蓄水工程、增量配电网业务改革试点等重大基础设施建设项目，着力实施一批关系社会民生和社会事业发展的重点项目。发挥政府投资撬动作用，激发民间投资活力，形成市场主导投资内生增长机制。对接上级重大建设规划，加强重大项目库建设，完善项目储备和滚动接续机制，拓展投资空间。</w:t>
      </w:r>
    </w:p>
    <w:p w:rsidR="00000000" w:rsidRDefault="00000000">
      <w:pPr>
        <w:spacing w:line="480" w:lineRule="exact"/>
        <w:ind w:firstLineChars="200" w:firstLine="584"/>
        <w:rPr>
          <w:rFonts w:eastAsia="仿宋_GB2312"/>
          <w:spacing w:val="6"/>
          <w:kern w:val="0"/>
          <w:sz w:val="28"/>
          <w:szCs w:val="28"/>
        </w:rPr>
        <w:sectPr w:rsidR="00000000">
          <w:headerReference w:type="even" r:id="rId65"/>
          <w:headerReference w:type="default" r:id="rId66"/>
          <w:footerReference w:type="even" r:id="rId67"/>
          <w:footerReference w:type="default" r:id="rId68"/>
          <w:pgSz w:w="8390" w:h="11905"/>
          <w:pgMar w:top="1701" w:right="1134" w:bottom="1134" w:left="1134" w:header="1304" w:footer="850" w:gutter="0"/>
          <w:pgNumType w:fmt="numberInDash" w:start="63"/>
          <w:cols w:space="720"/>
          <w:docGrid w:type="lines" w:linePitch="321"/>
        </w:sectPr>
      </w:pPr>
      <w:bookmarkStart w:id="238" w:name="_Toc57106177"/>
      <w:bookmarkStart w:id="239" w:name="_Toc59085016"/>
    </w:p>
    <w:p w:rsidR="00000000" w:rsidRDefault="00D54102">
      <w:pPr>
        <w:spacing w:line="480" w:lineRule="exact"/>
        <w:ind w:firstLineChars="200" w:firstLine="420"/>
        <w:rPr>
          <w:rFonts w:eastAsia="仿宋_GB2312"/>
          <w:spacing w:val="6"/>
          <w:kern w:val="0"/>
          <w:sz w:val="28"/>
          <w:szCs w:val="28"/>
        </w:rPr>
        <w:sectPr w:rsidR="00000000">
          <w:headerReference w:type="default" r:id="rId69"/>
          <w:footerReference w:type="even" r:id="rId70"/>
          <w:footerReference w:type="default" r:id="rId71"/>
          <w:pgSz w:w="8390" w:h="11905"/>
          <w:pgMar w:top="1701" w:right="1134" w:bottom="1134" w:left="1134" w:header="1304" w:footer="850" w:gutter="0"/>
          <w:pgNumType w:fmt="numberInDash" w:start="71"/>
          <w:cols w:space="720"/>
          <w:docGrid w:type="lines" w:linePitch="321"/>
        </w:sectPr>
      </w:pPr>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-720090</wp:posOffset>
                </wp:positionH>
                <wp:positionV relativeFrom="paragraph">
                  <wp:posOffset>1737995</wp:posOffset>
                </wp:positionV>
                <wp:extent cx="5374005" cy="1113790"/>
                <wp:effectExtent l="3810" t="0" r="3810" b="1905"/>
                <wp:wrapSquare wrapText="bothSides"/>
                <wp:docPr id="61" name="文本框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13790"/>
                        </a:xfrm>
                        <a:prstGeom prst="rect">
                          <a:avLst/>
                        </a:prstGeom>
                        <a:solidFill>
                          <a:srgbClr val="C8EEFC"/>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第十章  补齐基础设施短板</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夯实经济发展基础</w:t>
                            </w:r>
                          </w:p>
                        </w:txbxContent>
                      </wps:txbx>
                      <wps:bodyPr rot="0" vert="horz" wrap="square" lIns="91440" tIns="251998" rIns="91440" bIns="71999"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0" o:spid="_x0000_s1035" type="#_x0000_t202" style="position:absolute;left:0;text-align:left;margin-left:-56.7pt;margin-top:136.85pt;width:423.15pt;height:8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" fillcolor="#c8eefc" stroked="f">
                <v:textbox inset=",6.99994mm,,1.99997mm">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第十章  补齐基础设施短板</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夯实经济发展基础</w:t>
                      </w:r>
                    </w:p>
                  </w:txbxContent>
                </v:textbox>
                <w10:wrap type="square"/>
              </v:shape>
            </w:pict>
          </mc:Fallback>
        </mc:AlternateContent>
      </w:r>
    </w:p>
    <w:bookmarkEnd w:id="238"/>
    <w:bookmarkEnd w:id="239"/>
    <w:p w:rsidR="00000000" w:rsidRDefault="00000000">
      <w:pPr>
        <w:pStyle w:val="Normal24"/>
        <w:widowControl w:val="0"/>
        <w:spacing w:before="0" w:after="0" w:line="500" w:lineRule="exact"/>
        <w:ind w:firstLineChars="200" w:firstLine="42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lastRenderedPageBreak/>
        <w:t>抓住国家支持“两新一重”建设机遇，面向产业布局优化和重大区域战略需求，按照适度超前的原则，实施一批交通、水利、能源、信息等重大基础设施工程，加快补齐基础设施网络前后一公里和关键节点短板，打造集约高效、经济适用、智能绿色、安全可靠的现代化基础设施体系。</w:t>
      </w:r>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bookmarkStart w:id="240" w:name="_Toc57106178"/>
      <w:bookmarkStart w:id="241" w:name="_Toc59085017"/>
      <w:bookmarkStart w:id="242" w:name="_Toc65938228"/>
      <w:bookmarkStart w:id="243" w:name="_Toc25130"/>
      <w:r>
        <w:rPr>
          <w:rFonts w:ascii="Times New Roman" w:eastAsia="楷体_GB2312" w:hAnsi="Times New Roman"/>
          <w:bCs w:val="0"/>
          <w:kern w:val="0"/>
          <w:sz w:val="24"/>
          <w:szCs w:val="24"/>
        </w:rPr>
        <w:t>第一节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畅通综合交通运输网络</w:t>
      </w:r>
      <w:bookmarkEnd w:id="240"/>
      <w:bookmarkEnd w:id="241"/>
      <w:bookmarkEnd w:id="242"/>
      <w:bookmarkEnd w:id="243"/>
    </w:p>
    <w:p w:rsidR="00000000" w:rsidRDefault="00000000">
      <w:pPr>
        <w:pStyle w:val="Normal24"/>
        <w:widowControl w:val="0"/>
        <w:spacing w:before="0" w:after="0" w:line="520" w:lineRule="exact"/>
        <w:ind w:firstLineChars="200" w:firstLine="420"/>
        <w:rPr>
          <w:rFonts w:ascii="宋体" w:eastAsia="宋体" w:hAnsi="宋体" w:cs="宋体" w:hint="eastAsia"/>
          <w:kern w:val="2"/>
          <w:sz w:val="21"/>
          <w:szCs w:val="21"/>
          <w:lang w:eastAsia="zh-CN"/>
        </w:rPr>
      </w:pPr>
      <w:r>
        <w:rPr>
          <w:rFonts w:eastAsia="楷体_GB2312"/>
          <w:kern w:val="2"/>
          <w:sz w:val="21"/>
          <w:szCs w:val="21"/>
          <w:lang w:eastAsia="zh-CN"/>
        </w:rPr>
        <w:t>构建现代综合立体交通网络体系。</w:t>
      </w:r>
      <w:r>
        <w:rPr>
          <w:rFonts w:ascii="宋体" w:eastAsia="宋体" w:hAnsi="宋体" w:cs="宋体" w:hint="eastAsia"/>
          <w:kern w:val="2"/>
          <w:sz w:val="21"/>
          <w:szCs w:val="21"/>
          <w:lang w:eastAsia="zh-CN"/>
        </w:rPr>
        <w:t>加快交通基础设施建设，完善“三横三纵两环城一条景观带”的“3321”公路网格局，重点在总量增长和存量提升两方面下功夫，加快构建层级分明的枢纽体系，强化内外通道布局、做好廊道预留，构建起内通外达、高效便捷的现代综合立体交通网络体系，推进交通综合化、立体化、网络化。</w:t>
      </w:r>
    </w:p>
    <w:p w:rsidR="00000000" w:rsidRDefault="00000000">
      <w:pPr>
        <w:spacing w:line="500" w:lineRule="exact"/>
        <w:ind w:firstLineChars="200" w:firstLine="420"/>
        <w:rPr>
          <w:rFonts w:ascii="宋体" w:hAnsi="宋体" w:cs="宋体" w:hint="eastAsia"/>
          <w:szCs w:val="21"/>
        </w:rPr>
      </w:pPr>
      <w:r>
        <w:rPr>
          <w:rFonts w:eastAsia="楷体_GB2312"/>
          <w:szCs w:val="21"/>
        </w:rPr>
        <w:t>完善综合运输通道和交通枢纽布局。</w:t>
      </w:r>
      <w:r>
        <w:rPr>
          <w:rFonts w:ascii="宋体" w:hAnsi="宋体" w:cs="宋体" w:hint="eastAsia"/>
          <w:szCs w:val="21"/>
        </w:rPr>
        <w:t>统筹经济布局、国土开发、人口和资源分布，进一步优化综合交通枢纽层级和功能。推动大阜线升级改造及北延、盘奈高速北延申报工作和国道111线奈曼过境线公路升级改造前期工作，建成大沁他拉至宝古图沙漠景区旅游公路和孟家段环湖路，推进平清线平安地至朝古台段、乌力吉木仁至</w:t>
      </w:r>
      <w:r>
        <w:rPr>
          <w:rFonts w:ascii="宋体" w:hAnsi="宋体" w:cs="宋体" w:hint="eastAsia"/>
          <w:szCs w:val="21"/>
        </w:rPr>
        <w:lastRenderedPageBreak/>
        <w:t>扣河子公路（奈曼段）、大镇城区西外环路等县乡公路建设。配合做好通辽-奈曼-赤峰高铁前期工作，推进甘库铁路二期（奈曼段）建设，工业东区和宏基铁路专用线建成使用，力争实现京通铁路与巴新铁路接轨。推进通用机场升级为运输机场，提升民航服务水平，完善航空网络布局。加强公共交通基础设施建设，形成安全便捷、低碳高效的公共交通运输体系。</w:t>
      </w:r>
    </w:p>
    <w:p w:rsidR="00000000" w:rsidRDefault="00000000">
      <w:pPr>
        <w:autoSpaceDE w:val="0"/>
        <w:autoSpaceDN w:val="0"/>
        <w:spacing w:line="500" w:lineRule="exact"/>
        <w:ind w:firstLineChars="200" w:firstLine="420"/>
        <w:rPr>
          <w:rFonts w:ascii="宋体" w:hAnsi="宋体" w:cs="宋体" w:hint="eastAsia"/>
          <w:spacing w:val="-6"/>
          <w:szCs w:val="21"/>
        </w:rPr>
      </w:pPr>
      <w:r>
        <w:rPr>
          <w:rFonts w:eastAsia="楷体_GB2312"/>
          <w:szCs w:val="21"/>
        </w:rPr>
        <w:t>推动</w:t>
      </w:r>
      <w:r>
        <w:rPr>
          <w:rFonts w:eastAsia="楷体_GB2312" w:hint="eastAsia"/>
          <w:szCs w:val="21"/>
        </w:rPr>
        <w:t>“</w:t>
      </w:r>
      <w:r>
        <w:rPr>
          <w:rFonts w:eastAsia="楷体_GB2312"/>
          <w:szCs w:val="21"/>
        </w:rPr>
        <w:t>四好农村路</w:t>
      </w:r>
      <w:r>
        <w:rPr>
          <w:rFonts w:eastAsia="楷体_GB2312" w:hint="eastAsia"/>
          <w:szCs w:val="21"/>
        </w:rPr>
        <w:t>”</w:t>
      </w:r>
      <w:r>
        <w:rPr>
          <w:rFonts w:eastAsia="楷体_GB2312"/>
          <w:szCs w:val="21"/>
        </w:rPr>
        <w:t>高质量发展。</w:t>
      </w:r>
      <w:r>
        <w:rPr>
          <w:rFonts w:ascii="宋体" w:hAnsi="宋体" w:cs="宋体" w:hint="eastAsia"/>
          <w:szCs w:val="21"/>
        </w:rPr>
        <w:t>立足农村产业布局、资源开发、旅游发展，推动串联乡村主要产业节点、旅游景区景点、资源开发地等乡村旅游路、产业路和资源路建设，开展自然村通水泥路和农村公路双车道改造，逐步推进农村公路干线成网，提升农村公路网密度和技术等级。维护好通村畅乡、连田达园的农村牧区公路。加大农村公路管理养护力度，加强农村公路危桥改造，加快建设标准适宜、经济实用的农村客货运站点</w:t>
      </w:r>
      <w:r>
        <w:rPr>
          <w:rFonts w:ascii="宋体" w:hAnsi="宋体" w:cs="宋体" w:hint="eastAsia"/>
          <w:spacing w:val="-6"/>
          <w:szCs w:val="21"/>
        </w:rPr>
        <w:t>，积极推进农村停车设施建设。实施新建桥梁、村道安保、危桥改造、修复性养护、预防性养护等工程。</w:t>
      </w:r>
    </w:p>
    <w:p w:rsidR="00000000" w:rsidRDefault="00000000">
      <w:pPr>
        <w:autoSpaceDE w:val="0"/>
        <w:autoSpaceDN w:val="0"/>
        <w:spacing w:line="500" w:lineRule="exact"/>
        <w:ind w:firstLineChars="200" w:firstLine="396"/>
        <w:rPr>
          <w:rFonts w:ascii="宋体" w:hAnsi="宋体" w:cs="宋体" w:hint="eastAsia"/>
          <w:spacing w:val="-6"/>
          <w:szCs w:val="21"/>
        </w:rPr>
      </w:pPr>
    </w:p>
    <w:p w:rsidR="00000000" w:rsidRDefault="00000000">
      <w:pPr>
        <w:autoSpaceDE w:val="0"/>
        <w:autoSpaceDN w:val="0"/>
        <w:spacing w:line="450" w:lineRule="exact"/>
        <w:ind w:firstLineChars="200" w:firstLine="396"/>
        <w:rPr>
          <w:rFonts w:ascii="宋体" w:hAnsi="宋体" w:cs="宋体" w:hint="eastAsia"/>
          <w:spacing w:val="-6"/>
          <w:szCs w:val="21"/>
        </w:rPr>
      </w:pPr>
    </w:p>
    <w:p w:rsidR="00000000" w:rsidRDefault="00000000">
      <w:pPr>
        <w:autoSpaceDE w:val="0"/>
        <w:autoSpaceDN w:val="0"/>
        <w:spacing w:line="450" w:lineRule="exact"/>
        <w:ind w:firstLineChars="200" w:firstLine="396"/>
        <w:rPr>
          <w:rFonts w:ascii="宋体" w:hAnsi="宋体" w:cs="宋体" w:hint="eastAsia"/>
          <w:spacing w:val="-6"/>
          <w:szCs w:val="21"/>
        </w:rPr>
      </w:pPr>
    </w:p>
    <w:p w:rsidR="00000000" w:rsidRDefault="00000000">
      <w:pPr>
        <w:autoSpaceDE w:val="0"/>
        <w:autoSpaceDN w:val="0"/>
        <w:spacing w:line="450" w:lineRule="exact"/>
        <w:rPr>
          <w:rFonts w:ascii="宋体" w:hAnsi="宋体" w:cs="宋体" w:hint="eastAsia"/>
          <w:spacing w:val="-6"/>
          <w:szCs w:val="21"/>
        </w:rPr>
      </w:pPr>
    </w:p>
    <w:tbl>
      <w:tblPr>
        <w:tblpPr w:leftFromText="180" w:rightFromText="180" w:vertAnchor="text" w:horzAnchor="page" w:tblpX="1178" w:tblpY="308"/>
        <w:tblOverlap w:val="neve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6280"/>
      </w:tblGrid>
      <w:tr w:rsidR="00000000">
        <w:trPr>
          <w:trHeight w:hRule="exact" w:val="461"/>
        </w:trPr>
        <w:tc>
          <w:tcPr>
            <w:tcW w:w="6280" w:type="dxa"/>
            <w:tcBorders>
              <w:top w:val="single" w:sz="12" w:space="0" w:color="auto"/>
              <w:left w:val="single" w:sz="12" w:space="0" w:color="auto"/>
              <w:right w:val="single" w:sz="12" w:space="0" w:color="auto"/>
            </w:tcBorders>
            <w:shd w:val="clear" w:color="auto" w:fill="95DAF3"/>
            <w:vAlign w:val="center"/>
          </w:tcPr>
          <w:p w:rsidR="00000000" w:rsidRDefault="00000000">
            <w:pPr>
              <w:spacing w:line="360" w:lineRule="exact"/>
              <w:jc w:val="center"/>
              <w:rPr>
                <w:rFonts w:eastAsia="黑体"/>
                <w:szCs w:val="21"/>
              </w:rPr>
            </w:pPr>
            <w:r>
              <w:rPr>
                <w:rFonts w:eastAsia="黑体"/>
                <w:szCs w:val="21"/>
              </w:rPr>
              <w:t>专栏</w:t>
            </w:r>
            <w:r>
              <w:rPr>
                <w:rFonts w:eastAsia="黑体"/>
                <w:szCs w:val="21"/>
              </w:rPr>
              <w:t xml:space="preserve">6  </w:t>
            </w:r>
            <w:r>
              <w:rPr>
                <w:rFonts w:eastAsia="黑体"/>
                <w:szCs w:val="21"/>
              </w:rPr>
              <w:t>综合交通运输网络建设工程</w:t>
            </w:r>
          </w:p>
        </w:tc>
      </w:tr>
      <w:tr w:rsidR="00000000">
        <w:trPr>
          <w:trHeight w:hRule="exact" w:val="5126"/>
        </w:trPr>
        <w:tc>
          <w:tcPr>
            <w:tcW w:w="6280" w:type="dxa"/>
            <w:tcBorders>
              <w:left w:val="single" w:sz="12" w:space="0" w:color="auto"/>
              <w:bottom w:val="single" w:sz="12" w:space="0" w:color="auto"/>
              <w:right w:val="single" w:sz="12" w:space="0" w:color="auto"/>
            </w:tcBorders>
            <w:shd w:val="clear" w:color="auto" w:fill="C8EEFC"/>
          </w:tcPr>
          <w:p w:rsidR="00000000" w:rsidRDefault="00000000">
            <w:pPr>
              <w:spacing w:line="360" w:lineRule="exact"/>
              <w:ind w:firstLineChars="200" w:firstLine="400"/>
              <w:rPr>
                <w:rFonts w:ascii="黑体" w:eastAsia="黑体" w:hAnsi="黑体" w:cs="黑体" w:hint="eastAsia"/>
                <w:sz w:val="20"/>
                <w:szCs w:val="20"/>
              </w:rPr>
            </w:pPr>
            <w:r>
              <w:rPr>
                <w:rFonts w:ascii="黑体" w:eastAsia="黑体" w:hAnsi="黑体" w:cs="黑体" w:hint="eastAsia"/>
                <w:sz w:val="20"/>
                <w:szCs w:val="20"/>
              </w:rPr>
              <w:t>（一）公路</w:t>
            </w:r>
          </w:p>
          <w:p w:rsidR="00000000" w:rsidRDefault="00000000">
            <w:pPr>
              <w:autoSpaceDE w:val="0"/>
              <w:autoSpaceDN w:val="0"/>
              <w:spacing w:line="360" w:lineRule="exact"/>
              <w:ind w:firstLineChars="200" w:firstLine="404"/>
              <w:rPr>
                <w:rFonts w:ascii="宋体" w:hAnsi="宋体" w:cs="宋体" w:hint="eastAsia"/>
                <w:spacing w:val="1"/>
                <w:kern w:val="0"/>
                <w:sz w:val="20"/>
                <w:szCs w:val="20"/>
              </w:rPr>
            </w:pPr>
            <w:r>
              <w:rPr>
                <w:rFonts w:ascii="宋体" w:hAnsi="宋体" w:cs="宋体" w:hint="eastAsia"/>
                <w:spacing w:val="1"/>
                <w:kern w:val="0"/>
                <w:sz w:val="20"/>
                <w:szCs w:val="20"/>
              </w:rPr>
              <w:t>推进国道505线库伦至奈曼段、大阜线升级改造及北延、阜奈高速北延、国道111线兴隆庄至北嘎什土段（奈曼旗过境线）公路拓宽升级改造、大沁他拉至宝古图沙漠景区旅游公路、乌力吉木仁-扣河子、大沁他拉-治安、沙日浩来-和尚沟、X456线平安地至青龙山公路平安地至东沙力干图段改造、土城子-扣河子、白音昌-哈日干图、白斯朗-库伦、大沁他拉-常胜、联网路工程、桥梁建设、危桥改造、村道安保、修复性养护、预防性养护、村道升级、撤并建制村水泥路等项目建设。</w:t>
            </w:r>
          </w:p>
          <w:p w:rsidR="00000000" w:rsidRDefault="00000000">
            <w:pPr>
              <w:spacing w:line="360" w:lineRule="exact"/>
              <w:ind w:firstLineChars="200" w:firstLine="400"/>
              <w:rPr>
                <w:rFonts w:ascii="黑体" w:eastAsia="黑体" w:hAnsi="黑体" w:cs="黑体" w:hint="eastAsia"/>
                <w:sz w:val="20"/>
                <w:szCs w:val="20"/>
              </w:rPr>
            </w:pPr>
            <w:r>
              <w:rPr>
                <w:rFonts w:ascii="黑体" w:eastAsia="黑体" w:hAnsi="黑体" w:cs="黑体" w:hint="eastAsia"/>
                <w:sz w:val="20"/>
                <w:szCs w:val="20"/>
              </w:rPr>
              <w:t>（二）铁路</w:t>
            </w:r>
          </w:p>
          <w:p w:rsidR="00000000" w:rsidRDefault="00000000">
            <w:pPr>
              <w:autoSpaceDE w:val="0"/>
              <w:autoSpaceDN w:val="0"/>
              <w:spacing w:line="360" w:lineRule="exact"/>
              <w:ind w:firstLineChars="200" w:firstLine="404"/>
              <w:rPr>
                <w:rFonts w:ascii="宋体" w:hAnsi="宋体" w:cs="宋体" w:hint="eastAsia"/>
                <w:spacing w:val="1"/>
                <w:kern w:val="0"/>
                <w:sz w:val="20"/>
                <w:szCs w:val="20"/>
              </w:rPr>
            </w:pPr>
            <w:r>
              <w:rPr>
                <w:rFonts w:ascii="宋体" w:hAnsi="宋体" w:cs="宋体" w:hint="eastAsia"/>
                <w:spacing w:val="1"/>
                <w:kern w:val="0"/>
                <w:sz w:val="20"/>
                <w:szCs w:val="20"/>
              </w:rPr>
              <w:t>配合及推进奈曼至辽宁北票、通辽-奈曼-赤峰高速铁路前期，推进甘库铁路二期、八仙筒集装箱物流园区专用线、工业东区、宏基专用线等铁路项目。</w:t>
            </w:r>
          </w:p>
          <w:p w:rsidR="00000000" w:rsidRDefault="00000000">
            <w:pPr>
              <w:autoSpaceDE w:val="0"/>
              <w:autoSpaceDN w:val="0"/>
              <w:spacing w:line="360" w:lineRule="exact"/>
              <w:ind w:firstLineChars="200" w:firstLine="404"/>
              <w:rPr>
                <w:rFonts w:ascii="黑体" w:eastAsia="黑体" w:hAnsi="黑体" w:cs="黑体" w:hint="eastAsia"/>
                <w:spacing w:val="1"/>
                <w:kern w:val="0"/>
                <w:sz w:val="20"/>
                <w:szCs w:val="20"/>
              </w:rPr>
            </w:pPr>
            <w:r>
              <w:rPr>
                <w:rFonts w:ascii="黑体" w:eastAsia="黑体" w:hAnsi="黑体" w:cs="黑体" w:hint="eastAsia"/>
                <w:spacing w:val="1"/>
                <w:kern w:val="0"/>
                <w:sz w:val="20"/>
                <w:szCs w:val="20"/>
              </w:rPr>
              <w:t>（三）航空</w:t>
            </w:r>
          </w:p>
          <w:p w:rsidR="00000000" w:rsidRDefault="00000000">
            <w:pPr>
              <w:spacing w:line="360" w:lineRule="exact"/>
              <w:ind w:firstLineChars="200" w:firstLine="404"/>
              <w:rPr>
                <w:rFonts w:eastAsia="楷体_GB2312"/>
                <w:szCs w:val="21"/>
              </w:rPr>
            </w:pPr>
            <w:r>
              <w:rPr>
                <w:rFonts w:ascii="宋体" w:hAnsi="宋体" w:cs="宋体" w:hint="eastAsia"/>
                <w:spacing w:val="1"/>
                <w:kern w:val="0"/>
                <w:sz w:val="20"/>
                <w:szCs w:val="20"/>
              </w:rPr>
              <w:t>升级运输机场。</w:t>
            </w:r>
          </w:p>
        </w:tc>
      </w:tr>
    </w:tbl>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bookmarkStart w:id="244" w:name="_Toc26944"/>
      <w:bookmarkStart w:id="245" w:name="_Toc65938229"/>
      <w:bookmarkStart w:id="246" w:name="_Toc57106179"/>
      <w:bookmarkStart w:id="247" w:name="_Toc59085018"/>
      <w:r>
        <w:rPr>
          <w:rFonts w:ascii="Times New Roman" w:eastAsia="楷体_GB2312" w:hAnsi="Times New Roman"/>
          <w:bCs w:val="0"/>
          <w:kern w:val="0"/>
          <w:sz w:val="24"/>
          <w:szCs w:val="24"/>
        </w:rPr>
        <w:t>第二节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构建</w:t>
      </w:r>
      <w:bookmarkStart w:id="248" w:name="_Hlk59044459"/>
      <w:r>
        <w:rPr>
          <w:rFonts w:ascii="Times New Roman" w:eastAsia="楷体_GB2312" w:hAnsi="Times New Roman"/>
          <w:bCs w:val="0"/>
          <w:kern w:val="0"/>
          <w:sz w:val="24"/>
          <w:szCs w:val="24"/>
        </w:rPr>
        <w:t>水利基础设施</w:t>
      </w:r>
      <w:bookmarkEnd w:id="248"/>
      <w:r>
        <w:rPr>
          <w:rFonts w:ascii="Times New Roman" w:eastAsia="楷体_GB2312" w:hAnsi="Times New Roman"/>
          <w:bCs w:val="0"/>
          <w:kern w:val="0"/>
          <w:sz w:val="24"/>
          <w:szCs w:val="24"/>
        </w:rPr>
        <w:t>保障体系</w:t>
      </w:r>
      <w:bookmarkEnd w:id="244"/>
      <w:bookmarkEnd w:id="245"/>
      <w:bookmarkEnd w:id="246"/>
      <w:bookmarkEnd w:id="247"/>
    </w:p>
    <w:p w:rsidR="00000000" w:rsidRDefault="00000000">
      <w:pPr>
        <w:pStyle w:val="Normal24"/>
        <w:widowControl w:val="0"/>
        <w:spacing w:before="0" w:after="0" w:line="460" w:lineRule="exact"/>
        <w:ind w:firstLineChars="200"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坚持节水为先、量水而行，提升水资源优化配置和水旱灾害防御能力。以实现保障生活和生态用水需求为中心，统筹区域供水、灌溉、防洪等各类水利工程，大力推进水利工程改革，逐步建立管</w:t>
      </w:r>
      <w:r>
        <w:rPr>
          <w:rFonts w:ascii="宋体" w:eastAsia="宋体" w:hAnsi="宋体" w:cs="宋体" w:hint="eastAsia"/>
          <w:sz w:val="21"/>
          <w:szCs w:val="21"/>
          <w:lang w:eastAsia="zh-CN"/>
        </w:rPr>
        <w:lastRenderedPageBreak/>
        <w:t>理科学、配套合理和利用高效的用水保障体系。推进辽西北调水配套、牤牛河引蓄水工程，解决水资源短缺难题。增强农村牧区饮水安全巩固提升工程成效，新建改造一批饮水安全巩固提升工程，改善输水管网，实施城镇新水源地工程、苏木乡镇及嘎查村水源保护区规范化建设项目、青龙山镇雨水集蓄利用工程，逐步建立健全“从源头到龙头”的农村牧区饮水安全工程建设和运行管护体系，提高农村牧区供水保障水平。新建污水处理厂配套建设中水生产设施，提升中水资源供给能力。大力发展规模化、组织化、产业化程度较高的农田高效节水工程，因地制宜推广微灌、滴灌、喷灌等节水灌溉技术。结合新建水源工程，实施一批中小型灌区工程。加强南部山区水源工程建设，保障南部山区农牧业稳定发展。持续推进小流域综合治理，实施教来河、牤牛河河道清淤和堤防加固工程，提高防洪安全和灌溉供给保障能力。</w:t>
      </w:r>
    </w:p>
    <w:tbl>
      <w:tblPr>
        <w:tblpPr w:leftFromText="180" w:rightFromText="180" w:vertAnchor="text" w:horzAnchor="page" w:tblpX="1222" w:tblpY="351"/>
        <w:tblOverlap w:val="neve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6220"/>
      </w:tblGrid>
      <w:tr w:rsidR="00000000">
        <w:trPr>
          <w:trHeight w:hRule="exact" w:val="443"/>
        </w:trPr>
        <w:tc>
          <w:tcPr>
            <w:tcW w:w="6220" w:type="dxa"/>
            <w:tcBorders>
              <w:top w:val="single" w:sz="12" w:space="0" w:color="auto"/>
              <w:left w:val="single" w:sz="12" w:space="0" w:color="auto"/>
              <w:right w:val="single" w:sz="12" w:space="0" w:color="auto"/>
            </w:tcBorders>
            <w:shd w:val="clear" w:color="auto" w:fill="95DAF3"/>
            <w:vAlign w:val="center"/>
          </w:tcPr>
          <w:p w:rsidR="00000000" w:rsidRDefault="00000000">
            <w:pPr>
              <w:spacing w:line="360" w:lineRule="exact"/>
              <w:jc w:val="center"/>
              <w:rPr>
                <w:rFonts w:eastAsia="黑体"/>
                <w:szCs w:val="21"/>
              </w:rPr>
            </w:pPr>
            <w:r>
              <w:rPr>
                <w:rFonts w:eastAsia="黑体"/>
                <w:szCs w:val="21"/>
              </w:rPr>
              <w:t>专栏</w:t>
            </w:r>
            <w:r>
              <w:rPr>
                <w:rFonts w:eastAsia="黑体"/>
                <w:szCs w:val="21"/>
              </w:rPr>
              <w:t xml:space="preserve">7  </w:t>
            </w:r>
            <w:r>
              <w:rPr>
                <w:rFonts w:eastAsia="黑体"/>
                <w:szCs w:val="21"/>
              </w:rPr>
              <w:t>水利基础设施建设工程</w:t>
            </w:r>
          </w:p>
        </w:tc>
      </w:tr>
      <w:tr w:rsidR="00000000">
        <w:trPr>
          <w:trHeight w:hRule="exact" w:val="2268"/>
        </w:trPr>
        <w:tc>
          <w:tcPr>
            <w:tcW w:w="6220" w:type="dxa"/>
            <w:tcBorders>
              <w:left w:val="single" w:sz="12" w:space="0" w:color="auto"/>
              <w:bottom w:val="single" w:sz="12" w:space="0" w:color="auto"/>
              <w:right w:val="single" w:sz="12" w:space="0" w:color="auto"/>
            </w:tcBorders>
            <w:shd w:val="clear" w:color="auto" w:fill="C8EEFC"/>
          </w:tcPr>
          <w:p w:rsidR="00000000" w:rsidRDefault="00000000">
            <w:pPr>
              <w:spacing w:line="360" w:lineRule="exact"/>
              <w:ind w:firstLineChars="200" w:firstLine="400"/>
              <w:jc w:val="left"/>
              <w:rPr>
                <w:rFonts w:eastAsia="楷体_GB2312"/>
                <w:szCs w:val="21"/>
              </w:rPr>
            </w:pPr>
            <w:r>
              <w:rPr>
                <w:rFonts w:ascii="宋体" w:hAnsi="宋体" w:cs="宋体" w:hint="eastAsia"/>
                <w:kern w:val="0"/>
                <w:sz w:val="20"/>
                <w:szCs w:val="20"/>
              </w:rPr>
              <w:lastRenderedPageBreak/>
              <w:t>辽西北供水通辽支线工程（奈曼段）、辽西北调水配套工程、牤牛河引蓄水工程、中小河流治理工程、集中式饮用水水源地规范化和环境保护、大沁他拉镇新水源地工程、苏木乡镇及嘎查村水源保护区规范化、青龙山镇雨水集蓄利用工程、河流河道治理、南部山区水土保持综合治理工程、水资源管理信息化系统、抗旱应急水源、坡耕地治理工程。</w:t>
            </w:r>
          </w:p>
        </w:tc>
      </w:tr>
    </w:tbl>
    <w:p w:rsidR="00000000" w:rsidRDefault="00000000">
      <w:pPr>
        <w:pStyle w:val="2"/>
        <w:spacing w:before="0" w:after="0" w:line="100" w:lineRule="exact"/>
        <w:jc w:val="center"/>
        <w:rPr>
          <w:rFonts w:ascii="Times New Roman" w:eastAsia="楷体_GB2312" w:hAnsi="Times New Roman"/>
          <w:bCs w:val="0"/>
          <w:kern w:val="0"/>
          <w:sz w:val="24"/>
          <w:szCs w:val="24"/>
        </w:rPr>
      </w:pPr>
      <w:bookmarkStart w:id="249" w:name="_Toc65938230"/>
      <w:bookmarkStart w:id="250" w:name="_Toc59085019"/>
      <w:bookmarkStart w:id="251" w:name="_Toc57106180"/>
      <w:bookmarkStart w:id="252" w:name="_Toc2465"/>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t>第三节</w:t>
      </w:r>
      <w:r>
        <w:rPr>
          <w:rFonts w:ascii="Times New Roman" w:eastAsia="楷体_GB2312" w:hAnsi="Times New Roman"/>
          <w:bCs w:val="0"/>
          <w:kern w:val="0"/>
          <w:sz w:val="24"/>
          <w:szCs w:val="24"/>
        </w:rPr>
        <w:t xml:space="preserve">  </w:t>
      </w:r>
      <w:hyperlink w:anchor="_Toc441087395" w:history="1">
        <w:r>
          <w:rPr>
            <w:rFonts w:ascii="Times New Roman" w:eastAsia="楷体_GB2312" w:hAnsi="Times New Roman"/>
            <w:bCs w:val="0"/>
            <w:kern w:val="0"/>
            <w:sz w:val="24"/>
            <w:szCs w:val="24"/>
          </w:rPr>
          <w:t>优化能源基础设施布局</w:t>
        </w:r>
        <w:bookmarkEnd w:id="249"/>
        <w:bookmarkEnd w:id="250"/>
        <w:bookmarkEnd w:id="251"/>
      </w:hyperlink>
      <w:bookmarkEnd w:id="252"/>
    </w:p>
    <w:p w:rsidR="00000000" w:rsidRDefault="00000000">
      <w:pPr>
        <w:pStyle w:val="Normal24"/>
        <w:widowControl w:val="0"/>
        <w:spacing w:before="0" w:after="0" w:line="520" w:lineRule="exact"/>
        <w:ind w:firstLineChars="200"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适度超前推进电力建设，推动电网智能化改造，实施增量配电改革试点工程。推进奈曼-巴林500千伏输变电工程，加快500千伏主供电源支撑建设，增加220千伏电源布点，优化66千伏电网布局，推动10千伏及以下电网智能化改造升级，重点实施变电站布点建设、重过载变电站增容扩建、小型化变电站改造项目，建成结构合理、网架坚强的电网，提升可靠供电稳定运行水平，满足经济社会发展用电需求，增强电网对新能源就地消纳能力和外送能力。加快新能源汽车充电桩及配套设施建设。推进甘旗卡-义隆永、通辽-开鲁-奈曼天然气长输管道工程建设，科学布局天然气加气站，完善管网体系，延伸管网服务半径，推进燃气管网向乡村延伸，逐步实现</w:t>
      </w:r>
      <w:r>
        <w:rPr>
          <w:rFonts w:ascii="宋体" w:eastAsia="宋体" w:hAnsi="宋体" w:cs="宋体" w:hint="eastAsia"/>
          <w:sz w:val="21"/>
          <w:szCs w:val="21"/>
          <w:lang w:eastAsia="zh-CN"/>
        </w:rPr>
        <w:lastRenderedPageBreak/>
        <w:t>“镇镇通”。提高天然气气源保障能力，满足城镇、工业园区和农村用气需求。</w:t>
      </w:r>
    </w:p>
    <w:p w:rsidR="00000000" w:rsidRDefault="00000000">
      <w:pPr>
        <w:pStyle w:val="Normal24"/>
        <w:widowControl w:val="0"/>
        <w:spacing w:before="0" w:after="0" w:line="480" w:lineRule="exact"/>
        <w:ind w:firstLineChars="200" w:firstLine="420"/>
        <w:rPr>
          <w:rFonts w:ascii="宋体" w:eastAsia="宋体" w:hAnsi="宋体" w:cs="宋体" w:hint="eastAsia"/>
          <w:sz w:val="21"/>
          <w:szCs w:val="21"/>
          <w:lang w:eastAsia="zh-CN"/>
        </w:rPr>
      </w:pPr>
    </w:p>
    <w:p w:rsidR="00000000" w:rsidRDefault="00000000">
      <w:pPr>
        <w:pStyle w:val="Normal24"/>
        <w:widowControl w:val="0"/>
        <w:spacing w:before="0" w:after="0" w:line="480" w:lineRule="exact"/>
        <w:ind w:firstLineChars="200" w:firstLine="420"/>
        <w:rPr>
          <w:rFonts w:ascii="宋体" w:eastAsia="宋体" w:hAnsi="宋体" w:cs="宋体" w:hint="eastAsia"/>
          <w:sz w:val="21"/>
          <w:szCs w:val="21"/>
          <w:lang w:eastAsia="zh-CN"/>
        </w:rPr>
      </w:pPr>
    </w:p>
    <w:p w:rsidR="00000000" w:rsidRDefault="00000000">
      <w:pPr>
        <w:pStyle w:val="Normal24"/>
        <w:widowControl w:val="0"/>
        <w:spacing w:before="0" w:after="0" w:line="480" w:lineRule="exact"/>
        <w:rPr>
          <w:rFonts w:ascii="宋体" w:eastAsia="宋体" w:hAnsi="宋体" w:cs="宋体" w:hint="eastAsia"/>
          <w:sz w:val="21"/>
          <w:szCs w:val="21"/>
          <w:lang w:eastAsia="zh-CN"/>
        </w:rPr>
      </w:pPr>
    </w:p>
    <w:tbl>
      <w:tblPr>
        <w:tblpPr w:leftFromText="180" w:rightFromText="180" w:vertAnchor="text" w:horzAnchor="page" w:tblpX="1298" w:tblpY="275"/>
        <w:tblOverlap w:val="neve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6020"/>
      </w:tblGrid>
      <w:tr w:rsidR="00000000">
        <w:trPr>
          <w:trHeight w:hRule="exact" w:val="492"/>
        </w:trPr>
        <w:tc>
          <w:tcPr>
            <w:tcW w:w="6020" w:type="dxa"/>
            <w:tcBorders>
              <w:top w:val="single" w:sz="12" w:space="0" w:color="auto"/>
              <w:left w:val="single" w:sz="12" w:space="0" w:color="auto"/>
              <w:right w:val="single" w:sz="12" w:space="0" w:color="auto"/>
            </w:tcBorders>
            <w:shd w:val="clear" w:color="auto" w:fill="95DAF3"/>
            <w:vAlign w:val="center"/>
          </w:tcPr>
          <w:p w:rsidR="00000000" w:rsidRDefault="00000000">
            <w:pPr>
              <w:spacing w:line="360" w:lineRule="exact"/>
              <w:jc w:val="center"/>
              <w:rPr>
                <w:rFonts w:eastAsia="黑体"/>
                <w:szCs w:val="21"/>
              </w:rPr>
            </w:pPr>
            <w:bookmarkStart w:id="253" w:name="_Toc59085020"/>
            <w:bookmarkStart w:id="254" w:name="_Toc65938231"/>
            <w:bookmarkStart w:id="255" w:name="_Toc57106181"/>
            <w:r>
              <w:rPr>
                <w:rFonts w:eastAsia="黑体"/>
                <w:szCs w:val="21"/>
              </w:rPr>
              <w:t>专栏</w:t>
            </w:r>
            <w:r>
              <w:rPr>
                <w:rFonts w:eastAsia="黑体"/>
                <w:szCs w:val="21"/>
              </w:rPr>
              <w:t xml:space="preserve">8  </w:t>
            </w:r>
            <w:r>
              <w:rPr>
                <w:rFonts w:eastAsia="黑体"/>
                <w:szCs w:val="21"/>
              </w:rPr>
              <w:t>能源基础设施建设工程</w:t>
            </w:r>
          </w:p>
        </w:tc>
      </w:tr>
      <w:tr w:rsidR="00000000">
        <w:trPr>
          <w:trHeight w:hRule="exact" w:val="2275"/>
        </w:trPr>
        <w:tc>
          <w:tcPr>
            <w:tcW w:w="6020" w:type="dxa"/>
            <w:tcBorders>
              <w:left w:val="single" w:sz="12" w:space="0" w:color="auto"/>
              <w:bottom w:val="single" w:sz="12" w:space="0" w:color="auto"/>
              <w:right w:val="single" w:sz="12" w:space="0" w:color="auto"/>
            </w:tcBorders>
            <w:shd w:val="clear" w:color="auto" w:fill="C8EEFC"/>
          </w:tcPr>
          <w:p w:rsidR="00000000" w:rsidRDefault="00000000">
            <w:pPr>
              <w:spacing w:line="360" w:lineRule="exact"/>
              <w:ind w:firstLineChars="200" w:firstLine="400"/>
              <w:rPr>
                <w:rFonts w:eastAsia="楷体_GB2312"/>
                <w:szCs w:val="21"/>
              </w:rPr>
            </w:pPr>
            <w:r>
              <w:rPr>
                <w:rFonts w:ascii="宋体" w:hAnsi="宋体" w:cs="宋体" w:hint="eastAsia"/>
                <w:kern w:val="0"/>
                <w:sz w:val="20"/>
                <w:szCs w:val="20"/>
              </w:rPr>
              <w:t>推进66千伏输变电工程、10千伏及以下农网升级改造工程、奈曼-巴林500千伏输变电工程、500千伏变电站配套220千伏输变电工程、500千伏变电扩建工程、工业园区多能互补局域网、增量配电网业务改革试点、甘旗卡-义隆永天然气长输管道工程、气化奈曼“镇镇通”、福安屯-开鲁-奈曼天然气长输管道工程、天然气加气站、液化石油气加气站等能源通道建设工程。</w:t>
            </w:r>
          </w:p>
        </w:tc>
      </w:tr>
    </w:tbl>
    <w:p w:rsidR="00000000" w:rsidRDefault="00000000">
      <w:pPr>
        <w:pStyle w:val="2"/>
        <w:spacing w:beforeLines="80" w:before="256" w:afterLines="20" w:after="64" w:line="480" w:lineRule="exact"/>
        <w:jc w:val="center"/>
        <w:rPr>
          <w:rFonts w:ascii="Times New Roman" w:eastAsia="楷体_GB2312" w:hAnsi="Times New Roman"/>
          <w:bCs w:val="0"/>
          <w:kern w:val="0"/>
          <w:sz w:val="24"/>
          <w:szCs w:val="24"/>
        </w:rPr>
      </w:pPr>
      <w:bookmarkStart w:id="256" w:name="_Toc23424"/>
      <w:r>
        <w:rPr>
          <w:rFonts w:ascii="Times New Roman" w:eastAsia="楷体_GB2312" w:hAnsi="Times New Roman"/>
          <w:bCs w:val="0"/>
          <w:kern w:val="0"/>
          <w:sz w:val="24"/>
          <w:szCs w:val="24"/>
        </w:rPr>
        <w:t>第四节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开拓新型基础设施建设</w:t>
      </w:r>
      <w:bookmarkEnd w:id="253"/>
      <w:bookmarkEnd w:id="254"/>
      <w:bookmarkEnd w:id="255"/>
      <w:bookmarkEnd w:id="256"/>
    </w:p>
    <w:p w:rsidR="00000000" w:rsidRDefault="00000000">
      <w:pPr>
        <w:pStyle w:val="Normal24"/>
        <w:widowControl w:val="0"/>
        <w:spacing w:before="0" w:after="0" w:line="480" w:lineRule="exact"/>
        <w:ind w:firstLineChars="200"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加强基础网络布局与城市建设规划的衔接，加大5G网络、物联网、云计算、区块链等新型基础设施建设力度，完善骨干网、城域网和接入网等网络体系，打造低时延、高可靠、广覆盖的新一代通信网络，建设高速、泛在、智能的信息基础设施。加快新型基础设施建设的拓展应用，打造发展新引擎，为重点企业和园区集约建设、</w:t>
      </w:r>
      <w:r>
        <w:rPr>
          <w:rFonts w:ascii="宋体" w:eastAsia="宋体" w:hAnsi="宋体" w:cs="宋体" w:hint="eastAsia"/>
          <w:sz w:val="21"/>
          <w:szCs w:val="21"/>
          <w:lang w:eastAsia="zh-CN"/>
        </w:rPr>
        <w:lastRenderedPageBreak/>
        <w:t>数据治理、融合应用等提供基础和定制化数字服务支撑。对接中国移动、中国电信、华为公司等5G技术公司，加快5G基站及传输网络布局，提高信号覆盖能力和质量，推动奈曼5G网络和云平台建设。推进公共服务领域“5G+”数字化改造，推动智慧政务网络基础建设，将党政综合办公楼互联网和电子政务外网整合为全旗“一张网”，将公安、交通、卫健、应急、旅游、人社等旗直部门的网站及业务软件系统实现无障碍对接，建成全旗新型智慧城市大脑。促进传统产业与新型基础设施建设的融合发展，支持城市公用设施、建筑等物联网应用和智能化改造，推动5G、工业互联网、物联网等布局应用，形成以数据驱动的旗域综合治理新模式，建设“智慧奈曼”。</w:t>
      </w:r>
    </w:p>
    <w:tbl>
      <w:tblPr>
        <w:tblpPr w:leftFromText="180" w:rightFromText="180" w:vertAnchor="text" w:horzAnchor="page" w:tblpX="1207" w:tblpY="362"/>
        <w:tblOverlap w:val="neve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6214"/>
      </w:tblGrid>
      <w:tr w:rsidR="00000000">
        <w:trPr>
          <w:trHeight w:hRule="exact" w:val="439"/>
        </w:trPr>
        <w:tc>
          <w:tcPr>
            <w:tcW w:w="6214" w:type="dxa"/>
            <w:tcBorders>
              <w:top w:val="single" w:sz="12" w:space="0" w:color="auto"/>
              <w:left w:val="single" w:sz="12" w:space="0" w:color="auto"/>
              <w:right w:val="single" w:sz="12" w:space="0" w:color="auto"/>
            </w:tcBorders>
            <w:shd w:val="clear" w:color="auto" w:fill="95DAF3"/>
            <w:vAlign w:val="center"/>
          </w:tcPr>
          <w:p w:rsidR="00000000" w:rsidRDefault="00000000">
            <w:pPr>
              <w:spacing w:line="360" w:lineRule="exact"/>
              <w:jc w:val="center"/>
              <w:rPr>
                <w:rFonts w:eastAsia="黑体"/>
                <w:szCs w:val="21"/>
              </w:rPr>
            </w:pPr>
            <w:r>
              <w:rPr>
                <w:rFonts w:eastAsia="黑体"/>
                <w:szCs w:val="21"/>
              </w:rPr>
              <w:t>专栏</w:t>
            </w:r>
            <w:r>
              <w:rPr>
                <w:rFonts w:eastAsia="黑体"/>
                <w:szCs w:val="21"/>
              </w:rPr>
              <w:t xml:space="preserve">9  </w:t>
            </w:r>
            <w:r>
              <w:rPr>
                <w:rFonts w:eastAsia="黑体"/>
                <w:szCs w:val="21"/>
              </w:rPr>
              <w:t>新型基础设施建设工程</w:t>
            </w:r>
          </w:p>
        </w:tc>
      </w:tr>
      <w:tr w:rsidR="00000000">
        <w:trPr>
          <w:trHeight w:hRule="exact" w:val="1278"/>
        </w:trPr>
        <w:tc>
          <w:tcPr>
            <w:tcW w:w="6214" w:type="dxa"/>
            <w:tcBorders>
              <w:left w:val="single" w:sz="12" w:space="0" w:color="auto"/>
              <w:bottom w:val="single" w:sz="12" w:space="0" w:color="auto"/>
              <w:right w:val="single" w:sz="12" w:space="0" w:color="auto"/>
            </w:tcBorders>
            <w:shd w:val="clear" w:color="auto" w:fill="C8EEFC"/>
          </w:tcPr>
          <w:p w:rsidR="00000000" w:rsidRDefault="00000000">
            <w:pPr>
              <w:spacing w:line="400" w:lineRule="exact"/>
              <w:ind w:firstLineChars="200" w:firstLine="400"/>
              <w:rPr>
                <w:rFonts w:eastAsia="楷体_GB2312"/>
                <w:szCs w:val="21"/>
              </w:rPr>
            </w:pPr>
            <w:r>
              <w:rPr>
                <w:rFonts w:ascii="宋体" w:hAnsi="宋体" w:cs="宋体" w:hint="eastAsia"/>
                <w:kern w:val="0"/>
                <w:sz w:val="20"/>
                <w:szCs w:val="20"/>
              </w:rPr>
              <w:t>智慧城市、通信及信息服务基础、大数据产业园区与云计算中心、电子政务外网升级改造及政务云机房搬迁、智慧公安、数据标注中心、新媒体推广应用平台、智慧广电进村入户等工程项目。</w:t>
            </w:r>
          </w:p>
        </w:tc>
      </w:tr>
    </w:tbl>
    <w:p w:rsidR="00000000" w:rsidRDefault="00000000">
      <w:pPr>
        <w:pStyle w:val="Normal24"/>
        <w:widowControl w:val="0"/>
        <w:spacing w:before="0" w:after="0" w:line="480" w:lineRule="exact"/>
        <w:ind w:firstLineChars="200" w:firstLine="564"/>
        <w:rPr>
          <w:rFonts w:ascii="仿宋_GB2312" w:eastAsia="仿宋_GB2312" w:hAnsi="仿宋_GB2312" w:cs="仿宋_GB2312" w:hint="eastAsia"/>
          <w:spacing w:val="1"/>
          <w:sz w:val="28"/>
          <w:szCs w:val="28"/>
          <w:lang w:eastAsia="zh-CN"/>
        </w:rPr>
      </w:pPr>
    </w:p>
    <w:p w:rsidR="00000000" w:rsidRDefault="00000000">
      <w:pPr>
        <w:pStyle w:val="Normal24"/>
        <w:widowControl w:val="0"/>
        <w:spacing w:before="0" w:after="0" w:line="480" w:lineRule="exact"/>
        <w:ind w:firstLineChars="200" w:firstLine="723"/>
        <w:rPr>
          <w:rFonts w:eastAsia="黑体"/>
          <w:b/>
          <w:sz w:val="36"/>
          <w:szCs w:val="36"/>
          <w:lang w:eastAsia="zh-CN"/>
        </w:rPr>
      </w:pPr>
      <w:bookmarkStart w:id="257" w:name="_Toc59085021"/>
      <w:bookmarkStart w:id="258" w:name="_Toc57106182"/>
    </w:p>
    <w:p w:rsidR="00000000" w:rsidRDefault="00000000">
      <w:pPr>
        <w:pStyle w:val="Normal24"/>
        <w:widowControl w:val="0"/>
        <w:spacing w:before="0" w:after="0" w:line="480" w:lineRule="exact"/>
        <w:rPr>
          <w:rFonts w:eastAsia="黑体"/>
          <w:b/>
          <w:sz w:val="36"/>
          <w:szCs w:val="36"/>
          <w:lang w:eastAsia="zh-CN"/>
        </w:rPr>
        <w:sectPr w:rsidR="00000000">
          <w:headerReference w:type="even" r:id="rId72"/>
          <w:headerReference w:type="default" r:id="rId73"/>
          <w:footerReference w:type="even" r:id="rId74"/>
          <w:footerReference w:type="default" r:id="rId75"/>
          <w:pgSz w:w="8390" w:h="11905"/>
          <w:pgMar w:top="1701" w:right="1134" w:bottom="1134" w:left="1134" w:header="1304" w:footer="850" w:gutter="0"/>
          <w:pgNumType w:fmt="numberInDash" w:start="72"/>
          <w:cols w:space="720"/>
          <w:docGrid w:type="lines" w:linePitch="321"/>
        </w:sectPr>
      </w:pPr>
    </w:p>
    <w:p w:rsidR="00000000" w:rsidRDefault="00D54102">
      <w:pPr>
        <w:pStyle w:val="Normal24"/>
        <w:widowControl w:val="0"/>
        <w:spacing w:before="0" w:after="0" w:line="480" w:lineRule="exact"/>
        <w:rPr>
          <w:rFonts w:eastAsia="黑体"/>
          <w:b/>
          <w:sz w:val="36"/>
          <w:szCs w:val="36"/>
          <w:lang w:eastAsia="zh-CN"/>
        </w:rPr>
        <w:sectPr w:rsidR="00000000">
          <w:headerReference w:type="default" r:id="rId76"/>
          <w:footerReference w:type="even" r:id="rId77"/>
          <w:footerReference w:type="default" r:id="rId78"/>
          <w:pgSz w:w="8390" w:h="11905"/>
          <w:pgMar w:top="1701" w:right="1134" w:bottom="1134" w:left="1134" w:header="1304" w:footer="850" w:gutter="0"/>
          <w:pgNumType w:fmt="numberInDash" w:start="79"/>
          <w:cols w:space="720"/>
          <w:docGrid w:type="lines" w:linePitch="321"/>
        </w:sectPr>
      </w:pPr>
      <w:r>
        <w:rPr>
          <w:noProof/>
          <w:sz w:val="21"/>
        </w:rPr>
        <w:lastRenderedPageBreak/>
        <mc:AlternateContent>
          <mc:Choice Requires="wps">
            <w:drawing>
              <wp:anchor distT="0" distB="0" distL="114300" distR="114300" simplePos="0" relativeHeight="251660288" behindDoc="0" locked="0" layoutInCell="1" allowOverlap="1">
                <wp:simplePos x="0" y="0"/>
                <wp:positionH relativeFrom="column">
                  <wp:posOffset>-720090</wp:posOffset>
                </wp:positionH>
                <wp:positionV relativeFrom="paragraph">
                  <wp:posOffset>1737995</wp:posOffset>
                </wp:positionV>
                <wp:extent cx="5374005" cy="1113790"/>
                <wp:effectExtent l="3810" t="0" r="3810" b="1905"/>
                <wp:wrapSquare wrapText="bothSides"/>
                <wp:docPr id="60" name="文本框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13790"/>
                        </a:xfrm>
                        <a:prstGeom prst="rect">
                          <a:avLst/>
                        </a:prstGeom>
                        <a:solidFill>
                          <a:srgbClr val="C8EEFC"/>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第十一章  保持生态优先定力</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推进生态文明建设</w:t>
                            </w:r>
                          </w:p>
                        </w:txbxContent>
                      </wps:txbx>
                      <wps:bodyPr rot="0" vert="horz" wrap="square" lIns="91440" tIns="251998" rIns="91440" bIns="71999"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1" o:spid="_x0000_s1036" type="#_x0000_t202" style="position:absolute;left:0;text-align:left;margin-left:-56.7pt;margin-top:136.85pt;width:423.15pt;height:87.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" fillcolor="#c8eefc" stroked="f">
                <v:textbox inset=",6.99994mm,,1.99997mm">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第十一章  保持生态优先定力</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推进生态文明建设</w:t>
                      </w:r>
                    </w:p>
                  </w:txbxContent>
                </v:textbox>
                <w10:wrap type="square"/>
              </v:shape>
            </w:pict>
          </mc:Fallback>
        </mc:AlternateContent>
      </w:r>
    </w:p>
    <w:bookmarkEnd w:id="257"/>
    <w:bookmarkEnd w:id="258"/>
    <w:p w:rsidR="00000000" w:rsidRDefault="00000000">
      <w:pPr>
        <w:pStyle w:val="Normal24"/>
        <w:widowControl w:val="0"/>
        <w:spacing w:before="0" w:after="0" w:line="480" w:lineRule="exact"/>
        <w:ind w:firstLineChars="200" w:firstLine="420"/>
        <w:rPr>
          <w:rFonts w:eastAsia="楷体_GB2312"/>
          <w:bCs/>
          <w:sz w:val="28"/>
          <w:szCs w:val="28"/>
          <w:lang w:eastAsia="zh-CN"/>
        </w:rPr>
      </w:pPr>
      <w:r>
        <w:rPr>
          <w:rFonts w:ascii="宋体" w:eastAsia="宋体" w:hAnsi="宋体" w:cs="宋体" w:hint="eastAsia"/>
          <w:sz w:val="21"/>
          <w:szCs w:val="21"/>
          <w:lang w:eastAsia="zh-CN"/>
        </w:rPr>
        <w:lastRenderedPageBreak/>
        <w:t>深入践行习近平生态文明思想，坚持绿水青山就是金山银山理念，切实走好以生态优先、绿色发展为导向的高质量发展新路子，统筹推进山水林田湖草沙系统治理，走生态建设产业化，产业发展生态化道路，坚决打赢污染防治攻坚战，形成绿色生产生活方式，在筑牢我国北方重要生态安全屏障行动中走在前、做表率，建设生态美城。</w:t>
      </w:r>
    </w:p>
    <w:bookmarkStart w:id="259" w:name="_Toc25196"/>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fldChar w:fldCharType="begin"/>
      </w:r>
      <w:r>
        <w:rPr>
          <w:rFonts w:ascii="Times New Roman" w:eastAsia="楷体_GB2312" w:hAnsi="Times New Roman"/>
          <w:bCs w:val="0"/>
          <w:kern w:val="0"/>
          <w:sz w:val="24"/>
          <w:szCs w:val="24"/>
        </w:rPr>
        <w:instrText>HYPERLINK \l "_Toc441087362"</w:instrText>
      </w:r>
      <w:r>
        <w:rPr>
          <w:rFonts w:ascii="Times New Roman" w:eastAsia="楷体_GB2312" w:hAnsi="Times New Roman"/>
          <w:bCs w:val="0"/>
          <w:kern w:val="0"/>
          <w:sz w:val="24"/>
          <w:szCs w:val="24"/>
        </w:rPr>
        <w:fldChar w:fldCharType="separate"/>
      </w:r>
      <w:bookmarkStart w:id="260" w:name="_Toc59085022"/>
      <w:bookmarkStart w:id="261" w:name="_Toc55167069"/>
      <w:bookmarkStart w:id="262" w:name="_Toc65938233"/>
      <w:bookmarkStart w:id="263" w:name="_Toc57106183"/>
      <w:r>
        <w:rPr>
          <w:rFonts w:ascii="Times New Roman" w:eastAsia="楷体_GB2312" w:hAnsi="Times New Roman"/>
          <w:bCs w:val="0"/>
          <w:kern w:val="0"/>
          <w:sz w:val="24"/>
          <w:szCs w:val="24"/>
        </w:rPr>
        <w:t>第一节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加强生态保护与修复</w:t>
      </w:r>
      <w:bookmarkEnd w:id="260"/>
      <w:bookmarkEnd w:id="261"/>
      <w:bookmarkEnd w:id="262"/>
      <w:bookmarkEnd w:id="263"/>
      <w:r>
        <w:rPr>
          <w:rFonts w:ascii="Times New Roman" w:eastAsia="楷体_GB2312" w:hAnsi="Times New Roman"/>
          <w:bCs w:val="0"/>
          <w:kern w:val="0"/>
          <w:sz w:val="24"/>
          <w:szCs w:val="24"/>
        </w:rPr>
        <w:fldChar w:fldCharType="end"/>
      </w:r>
      <w:bookmarkEnd w:id="259"/>
    </w:p>
    <w:p w:rsidR="00000000" w:rsidRDefault="00000000">
      <w:pPr>
        <w:spacing w:line="450" w:lineRule="exact"/>
        <w:ind w:firstLineChars="200" w:firstLine="420"/>
        <w:rPr>
          <w:rFonts w:ascii="宋体" w:hAnsi="宋体" w:cs="宋体" w:hint="eastAsia"/>
          <w:kern w:val="0"/>
          <w:szCs w:val="21"/>
        </w:rPr>
      </w:pPr>
      <w:r>
        <w:rPr>
          <w:rFonts w:eastAsia="楷体_GB2312" w:hint="eastAsia"/>
          <w:szCs w:val="21"/>
        </w:rPr>
        <w:t>森林生态保护与修复工程。</w:t>
      </w:r>
      <w:r>
        <w:rPr>
          <w:rFonts w:ascii="宋体" w:hAnsi="宋体" w:cs="宋体" w:hint="eastAsia"/>
          <w:kern w:val="0"/>
          <w:szCs w:val="21"/>
        </w:rPr>
        <w:t>推行林长制。依托“三北防护林”、欧投行贷款造林等重点生态工程，按照老哈河南岸沙带、教来河两岸沙带、国道111线沿线、南部丘陵四个治理区开展林业生态建设。在穿沙公路两侧打造“百万亩”生态林。加快城区周边、农村地区、重要生态功能区和自然保护区森林生态系统建设，提高森林覆盖率。推动森林质量精准提升，加强中幼龄林抚育、退化林修复、加强残次林改造、灌木平茬复壮，全面提高森林质量，提高防护综合效能。大力发展林业产业，加快百万亩生态经济林基地、百万亩能源经济林基地、城郊百平方公里沙地生态森林公园“三百”工程建设。打造兴隆沼生态产业示范区、固日班花怪柳林、青龙山洼三点一线的林业旅游产业。合理利用国有林场资源，维护职工利益，实现土地</w:t>
      </w:r>
      <w:r>
        <w:rPr>
          <w:rFonts w:ascii="宋体" w:hAnsi="宋体" w:cs="宋体" w:hint="eastAsia"/>
          <w:kern w:val="0"/>
          <w:szCs w:val="21"/>
        </w:rPr>
        <w:lastRenderedPageBreak/>
        <w:t>增绿、农民增收、社会增效，使全旗森林生态系统整体好转、局部优化。</w:t>
      </w:r>
      <w:bookmarkStart w:id="264" w:name="_Toc1978683"/>
      <w:bookmarkStart w:id="265" w:name="_Toc2726839"/>
      <w:bookmarkStart w:id="266" w:name="_Toc2607697"/>
      <w:bookmarkStart w:id="267" w:name="_Toc2344709"/>
      <w:bookmarkStart w:id="268" w:name="_Toc59085963"/>
    </w:p>
    <w:p w:rsidR="00000000" w:rsidRDefault="00000000">
      <w:pPr>
        <w:spacing w:line="450" w:lineRule="exact"/>
        <w:ind w:firstLineChars="200" w:firstLine="420"/>
        <w:rPr>
          <w:rFonts w:ascii="宋体" w:hAnsi="宋体" w:cs="宋体" w:hint="eastAsia"/>
          <w:kern w:val="0"/>
          <w:szCs w:val="21"/>
        </w:rPr>
      </w:pPr>
      <w:r>
        <w:rPr>
          <w:rFonts w:eastAsia="楷体_GB2312" w:hint="eastAsia"/>
          <w:szCs w:val="21"/>
        </w:rPr>
        <w:t>草原生态保护与修复工程。</w:t>
      </w:r>
      <w:bookmarkEnd w:id="264"/>
      <w:bookmarkEnd w:id="265"/>
      <w:bookmarkEnd w:id="266"/>
      <w:bookmarkEnd w:id="267"/>
      <w:r>
        <w:rPr>
          <w:rFonts w:ascii="宋体" w:hAnsi="宋体" w:cs="宋体" w:hint="eastAsia"/>
          <w:kern w:val="0"/>
          <w:szCs w:val="21"/>
        </w:rPr>
        <w:t>严格落实草原生态保护政策，依托退牧还草、草原补奖、退化草原生态修复等生态建设工程，加快推进全旗草原生态保护与修复。通过“禁”、“休”、“轮”等综合措施，加快构建以基本草原保护制度、草原三权分置制度、禁牧休牧划区轮牧制度、草畜平衡制度、草原监测评价考核制度为主体的草原休养生息制度体系。加强草原监督体系建设，深入贯彻落实草原法律法规，推行草长制，积极推进草原管护员队伍建设，重点抓好乱开滥垦草原、非法征占用草原等执法工作，切实提高保护草原的能力。引导农牧民保护草原植被，严格执行禁牧制度，大力发展人工种草，提高治理区植被覆盖率，形成具有地区特色的区域草原生态保护发展新格局。</w:t>
      </w:r>
      <w:bookmarkEnd w:id="268"/>
    </w:p>
    <w:p w:rsidR="00000000" w:rsidRDefault="00000000">
      <w:pPr>
        <w:spacing w:line="510" w:lineRule="exact"/>
        <w:ind w:firstLineChars="200" w:firstLine="420"/>
        <w:rPr>
          <w:rFonts w:eastAsia="仿宋_GB2312"/>
          <w:sz w:val="28"/>
          <w:szCs w:val="28"/>
        </w:rPr>
      </w:pPr>
      <w:r>
        <w:rPr>
          <w:rFonts w:eastAsia="楷体_GB2312" w:hint="eastAsia"/>
          <w:szCs w:val="21"/>
        </w:rPr>
        <w:t>推进科尔沁沙地综合治理。</w:t>
      </w:r>
      <w:r>
        <w:rPr>
          <w:rFonts w:ascii="宋体" w:hAnsi="宋体" w:cs="宋体" w:hint="eastAsia"/>
          <w:kern w:val="0"/>
          <w:szCs w:val="21"/>
        </w:rPr>
        <w:t>采取“造封飞、乔灌草、带网片”相结合模式，通过封、禁、转、退等措施，统筹山水林田湖草沙综合治理，实现“治理一片、留住一片、管好一片”。严格落实禁垦禁牧政策，合理收缩生态脆弱地区农牧业生产活动，转移农牧民人口，加快转变农牧业发展方式。加强自然保护区、风景名胜区、地</w:t>
      </w:r>
      <w:r>
        <w:rPr>
          <w:rFonts w:ascii="宋体" w:hAnsi="宋体" w:cs="宋体" w:hint="eastAsia"/>
          <w:kern w:val="0"/>
          <w:szCs w:val="21"/>
        </w:rPr>
        <w:lastRenderedPageBreak/>
        <w:t>方公益林、湿地、古树、本土树种等生态敏感区域保护与管理。加大孟家段国家湿地公园、怪柳自然保护区、青龙山洼等自然保护区的保护力度。因地制宜推进水库、塘坝和小流域、经济沟综合治理，加大水源工程建设，加强水土保持和重点流域水土流失治理。引导建立多元投资机制，引入民间资本，实行谁治理、谁开发、谁受益的原则，推广荒沙拍卖、租贷、转让、股份合作等治理方式，形成多元长效投资机制，打造农村牧区生态生产生活“三生共赢”、一二三产业“三产融合”、农业文化旅游“三位一体”的科尔沁沙地综合治理新模式，以生态、经济和社会“三效”促国家、集体、个人和大自然“四方共赢”。</w:t>
      </w:r>
    </w:p>
    <w:p w:rsidR="00000000" w:rsidRDefault="00000000">
      <w:pPr>
        <w:spacing w:line="510" w:lineRule="exact"/>
        <w:ind w:firstLineChars="200" w:firstLine="420"/>
        <w:rPr>
          <w:rFonts w:ascii="宋体" w:hAnsi="宋体" w:cs="宋体" w:hint="eastAsia"/>
          <w:spacing w:val="1"/>
          <w:kern w:val="0"/>
          <w:szCs w:val="21"/>
        </w:rPr>
      </w:pPr>
      <w:r>
        <w:rPr>
          <w:rFonts w:eastAsia="楷体_GB2312" w:hint="eastAsia"/>
          <w:szCs w:val="21"/>
        </w:rPr>
        <w:t>实施城乡绿化工程。</w:t>
      </w:r>
      <w:r>
        <w:rPr>
          <w:rFonts w:ascii="宋体" w:hAnsi="宋体" w:cs="宋体" w:hint="eastAsia"/>
          <w:kern w:val="0"/>
          <w:szCs w:val="21"/>
        </w:rPr>
        <w:t>巩固提升“国家园林城市”创建成果，统筹推进园林城市和美丽乡村建设。继续打好主城区绿化攻坚战，着力抓好沿路、环城绿化景观带和城镇出入口、广场、街心绿地及城郊公园建设。开展单位、庭院、居民小区绿化，打造功能完善的城市森林景观体系和城郊沙地森林公园，改善城市环境。结合农村人居环境整治，推进人畜分离。加强城乡绿化建设，基本形成综合管理到位、绿地建设规范合理、建设管控得力、生态环境优美宜居县</w:t>
      </w:r>
      <w:r>
        <w:rPr>
          <w:rFonts w:ascii="宋体" w:hAnsi="宋体" w:cs="宋体" w:hint="eastAsia"/>
          <w:kern w:val="0"/>
          <w:szCs w:val="21"/>
        </w:rPr>
        <w:lastRenderedPageBreak/>
        <w:t>城。“十四五”期间，实现村屯绿化美化全覆盖。</w:t>
      </w:r>
    </w:p>
    <w:p w:rsidR="00000000" w:rsidRDefault="00000000">
      <w:pPr>
        <w:spacing w:line="500" w:lineRule="exact"/>
        <w:ind w:firstLineChars="200" w:firstLine="420"/>
        <w:rPr>
          <w:rFonts w:eastAsia="楷体_GB2312"/>
          <w:b/>
          <w:bCs/>
          <w:kern w:val="0"/>
          <w:sz w:val="28"/>
          <w:szCs w:val="28"/>
        </w:rPr>
      </w:pPr>
      <w:r>
        <w:rPr>
          <w:rFonts w:eastAsia="楷体_GB2312" w:hint="eastAsia"/>
          <w:szCs w:val="21"/>
        </w:rPr>
        <w:t>培育特色经济林产业。</w:t>
      </w:r>
      <w:r>
        <w:rPr>
          <w:rFonts w:ascii="宋体" w:hAnsi="宋体" w:cs="宋体" w:hint="eastAsia"/>
          <w:kern w:val="0"/>
          <w:szCs w:val="21"/>
        </w:rPr>
        <w:t>坚持“节水为先，三效并重，适地适树、放大特色”原则，把经济林培育成农民增收、山川增绿、振兴增速的富民新产业。南部山区重点发展以山杏、大扁杏和沙果等节水耐旱型树种为主的“两杏一果”，平原区和沙区重点发展鸡心果、沙棘等经济林树种，建设百万亩生态经济林基地、百万亩能源林基地。培育引进果品种收加储销龙头企业，推动产业链条延伸，提高附加值，壮大“蒙沙”野果品牌。推广“公司+基地+农户”、“公司+合作经济组织+农户”等发展模式，提高生产组织化程度。鼓励龙头企业和专业合作社采取股份分红、利润返还等形式，将加工、销售环节的部分收益让利给农户，共享产业化发展成果。</w:t>
      </w:r>
    </w:p>
    <w:bookmarkStart w:id="269" w:name="_Toc32252"/>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fldChar w:fldCharType="begin"/>
      </w:r>
      <w:r>
        <w:rPr>
          <w:rFonts w:ascii="Times New Roman" w:eastAsia="楷体_GB2312" w:hAnsi="Times New Roman"/>
          <w:bCs w:val="0"/>
          <w:kern w:val="0"/>
          <w:sz w:val="24"/>
          <w:szCs w:val="24"/>
        </w:rPr>
        <w:instrText>HYPERLINK \l "_Toc441087363"</w:instrText>
      </w:r>
      <w:r>
        <w:rPr>
          <w:rFonts w:ascii="Times New Roman" w:eastAsia="楷体_GB2312" w:hAnsi="Times New Roman"/>
          <w:bCs w:val="0"/>
          <w:kern w:val="0"/>
          <w:sz w:val="24"/>
          <w:szCs w:val="24"/>
        </w:rPr>
        <w:fldChar w:fldCharType="separate"/>
      </w:r>
      <w:bookmarkStart w:id="270" w:name="_Toc55167070"/>
      <w:bookmarkStart w:id="271" w:name="_Toc59085023"/>
      <w:bookmarkStart w:id="272" w:name="_Toc57106184"/>
      <w:bookmarkStart w:id="273" w:name="_Toc65938234"/>
      <w:r>
        <w:rPr>
          <w:rFonts w:ascii="Times New Roman" w:eastAsia="楷体_GB2312" w:hAnsi="Times New Roman"/>
          <w:bCs w:val="0"/>
          <w:kern w:val="0"/>
          <w:sz w:val="24"/>
          <w:szCs w:val="24"/>
        </w:rPr>
        <w:t>第二节</w:t>
      </w:r>
      <w:r>
        <w:rPr>
          <w:rFonts w:ascii="Times New Roman" w:eastAsia="楷体_GB2312" w:hAnsi="Times New Roman"/>
          <w:bCs w:val="0"/>
          <w:kern w:val="0"/>
          <w:sz w:val="24"/>
          <w:szCs w:val="24"/>
        </w:rPr>
        <w:t xml:space="preserve">  </w:t>
      </w:r>
      <w:bookmarkEnd w:id="270"/>
      <w:r>
        <w:rPr>
          <w:rFonts w:ascii="Times New Roman" w:eastAsia="楷体_GB2312" w:hAnsi="Times New Roman"/>
          <w:bCs w:val="0"/>
          <w:kern w:val="0"/>
          <w:sz w:val="24"/>
          <w:szCs w:val="24"/>
        </w:rPr>
        <w:t>改善环境质量</w:t>
      </w:r>
      <w:bookmarkEnd w:id="271"/>
      <w:bookmarkEnd w:id="272"/>
      <w:bookmarkEnd w:id="273"/>
      <w:r>
        <w:rPr>
          <w:rFonts w:ascii="Times New Roman" w:eastAsia="楷体_GB2312" w:hAnsi="Times New Roman"/>
          <w:bCs w:val="0"/>
          <w:kern w:val="0"/>
          <w:sz w:val="24"/>
          <w:szCs w:val="24"/>
        </w:rPr>
        <w:fldChar w:fldCharType="end"/>
      </w:r>
      <w:bookmarkEnd w:id="269"/>
    </w:p>
    <w:p w:rsidR="00000000" w:rsidRDefault="00000000">
      <w:pPr>
        <w:spacing w:line="480" w:lineRule="exact"/>
        <w:ind w:firstLineChars="200" w:firstLine="420"/>
        <w:rPr>
          <w:rFonts w:ascii="宋体" w:hAnsi="宋体" w:cs="宋体" w:hint="eastAsia"/>
          <w:spacing w:val="-6"/>
          <w:kern w:val="0"/>
          <w:szCs w:val="21"/>
        </w:rPr>
      </w:pPr>
      <w:r>
        <w:rPr>
          <w:rFonts w:eastAsia="楷体_GB2312" w:hint="eastAsia"/>
          <w:szCs w:val="21"/>
        </w:rPr>
        <w:t>坚决打赢蓝天保卫战。</w:t>
      </w:r>
      <w:r>
        <w:rPr>
          <w:rFonts w:ascii="宋体" w:hAnsi="宋体" w:cs="宋体" w:hint="eastAsia"/>
          <w:kern w:val="0"/>
          <w:szCs w:val="21"/>
        </w:rPr>
        <w:t>落实大气联防联控联治机制，加强工业企业大气污染综合治理，深入整治“散乱污”企业，实行拉网式排查和清单式、台账式、网格化管理。持续推进重点行业企业污染源全面达标排放，加强金属冶炼、水泥建材、生物质电厂等企业烟气</w:t>
      </w:r>
      <w:r>
        <w:rPr>
          <w:rFonts w:ascii="宋体" w:hAnsi="宋体" w:cs="宋体" w:hint="eastAsia"/>
          <w:kern w:val="0"/>
          <w:szCs w:val="21"/>
        </w:rPr>
        <w:lastRenderedPageBreak/>
        <w:t>污染物超低排放工程稳定运行，加大超标处罚力度和联合惩戒力度。开展在用散煤消费情况和散煤经营单位排查，全面禁止劣质散煤的销售。推进农村地区“煤改电”、“煤改气”等清洁供暖工程，在苏木乡镇、嘎查村推广使用清洁环保炉具。综合整治城市扬尘，严格落实施工现场围挡、工地物料堆放覆盖、施工现场路面硬化、驶出工地车辆冲洗、拆迁工地湿法作业、渣土运输车辆密闭六个百分之百。强化移动源污染防治，加快淘汰污染严重老旧车辆。加强重污染天气应对，提高监测预警、预报的准确度，根据污染天气级别提前发布监测预警信息，改善大气环境质量，</w:t>
      </w:r>
      <w:r>
        <w:rPr>
          <w:rFonts w:ascii="宋体" w:hAnsi="宋体" w:cs="宋体" w:hint="eastAsia"/>
          <w:spacing w:val="-6"/>
          <w:kern w:val="0"/>
          <w:szCs w:val="21"/>
        </w:rPr>
        <w:t>增强人民的蓝天幸福感。</w:t>
      </w:r>
    </w:p>
    <w:p w:rsidR="00000000" w:rsidRDefault="00000000">
      <w:pPr>
        <w:pStyle w:val="af0"/>
        <w:widowControl w:val="0"/>
        <w:spacing w:before="0" w:beforeAutospacing="0" w:after="0" w:afterAutospacing="0" w:line="464" w:lineRule="exact"/>
        <w:ind w:firstLineChars="200" w:firstLine="420"/>
        <w:jc w:val="both"/>
        <w:rPr>
          <w:rFonts w:hint="eastAsia"/>
          <w:spacing w:val="1"/>
          <w:sz w:val="21"/>
          <w:szCs w:val="21"/>
        </w:rPr>
      </w:pPr>
      <w:r>
        <w:rPr>
          <w:rFonts w:ascii="Times New Roman" w:eastAsia="楷体_GB2312" w:hAnsi="Times New Roman" w:cs="Times New Roman" w:hint="eastAsia"/>
          <w:kern w:val="2"/>
          <w:sz w:val="21"/>
          <w:szCs w:val="21"/>
        </w:rPr>
        <w:t>全力打好碧水保卫战。</w:t>
      </w:r>
      <w:r>
        <w:rPr>
          <w:rFonts w:hint="eastAsia"/>
          <w:spacing w:val="1"/>
          <w:sz w:val="21"/>
          <w:szCs w:val="21"/>
        </w:rPr>
        <w:t>全面推行河湖长制，加强水源地保护，强化水功能区的监督管理。实施最严格水资源管理，禁止工业企业违规使用地下水。继续推进集中式饮用水水源保护区调整划定工作，完善集中式饮用水源地规范化建设，稳步提升地表水、地下水质量，强化“从源头到龙头”的全流程饮用水安全保障体系。加强地下水污染防治。深入推进工业水污染防治，严格执行排污许可证制度，全面开展重点行业清洁化改造，集中治理工业集聚区污染。强化城镇生活污染治理，实施城镇污水处理“提质增效”行动，加快推进城镇污水管网收集系统，提升主城区、工业园区污水处理能</w:t>
      </w:r>
      <w:r>
        <w:rPr>
          <w:rFonts w:hint="eastAsia"/>
          <w:spacing w:val="1"/>
          <w:sz w:val="21"/>
          <w:szCs w:val="21"/>
        </w:rPr>
        <w:lastRenderedPageBreak/>
        <w:t>力。加强城镇污水处理厂监管，确保污染防治设施及在线监控设施稳定运行、污染物稳定达标排放。开展养殖业粪便污水处理和资源化利用工作，全面提升粪污资源化利用率和覆盖面。到2025年，工业废水排放达标率达到100%。</w:t>
      </w:r>
    </w:p>
    <w:p w:rsidR="00000000" w:rsidRDefault="00000000">
      <w:pPr>
        <w:pStyle w:val="Normal24"/>
        <w:widowControl w:val="0"/>
        <w:spacing w:before="0" w:after="0" w:line="464" w:lineRule="exact"/>
        <w:ind w:firstLineChars="200" w:firstLine="420"/>
        <w:rPr>
          <w:rFonts w:ascii="宋体" w:eastAsia="宋体" w:hAnsi="宋体" w:cs="宋体" w:hint="eastAsia"/>
          <w:kern w:val="2"/>
          <w:sz w:val="21"/>
          <w:szCs w:val="21"/>
          <w:lang w:eastAsia="zh-CN"/>
        </w:rPr>
      </w:pPr>
      <w:r>
        <w:rPr>
          <w:rFonts w:eastAsia="楷体_GB2312" w:hint="eastAsia"/>
          <w:kern w:val="2"/>
          <w:sz w:val="21"/>
          <w:szCs w:val="21"/>
          <w:lang w:eastAsia="zh-CN"/>
        </w:rPr>
        <w:t>扎实推进净土保卫战。</w:t>
      </w:r>
      <w:r>
        <w:rPr>
          <w:rFonts w:ascii="宋体" w:eastAsia="宋体" w:hAnsi="宋体" w:cs="宋体" w:hint="eastAsia"/>
          <w:spacing w:val="1"/>
          <w:sz w:val="21"/>
          <w:szCs w:val="21"/>
          <w:lang w:eastAsia="zh-CN"/>
        </w:rPr>
        <w:t>深</w:t>
      </w:r>
      <w:r>
        <w:rPr>
          <w:rFonts w:ascii="宋体" w:eastAsia="宋体" w:hAnsi="宋体" w:cs="宋体" w:hint="eastAsia"/>
          <w:kern w:val="2"/>
          <w:sz w:val="21"/>
          <w:szCs w:val="21"/>
          <w:lang w:eastAsia="zh-CN"/>
        </w:rPr>
        <w:t>入开展全旗土壤污染情况调查，强化农用地环境风险管控和污染防治，建立污染地块联动监管机制，严格控制用地准入，防止造成土壤污染。加大财政投入，推进农村和城镇垃圾处理设施建设，推进农村牧区改厕，实施生活垃圾分类管理。确保垃圾焚烧发电项目投入运营。积极防止农业面源污染，推动化肥、农药、农膜减量使用，大力推广使用农家肥，提高养殖业粪污和秸秆资源化利用率。提升工业固体废物处理水平，推进工业固体废物源头减量和综合利用，集中整治大宗工业固体废物堆放场所。严格排放重金属重点污染物建设项目的准入门槛。加强对全旗固体废物管理信息系统、持久性有机污染物申报系统和危险化学品产生调查系统的运行维护，提高危险废物和废旧放射源规范化管理水平。严格实施危险废物经营许可证制度，严厉打击危险废物非法转移、倾倒和利用处置等违法犯罪活动。监督医疗废物产生单位按照要求处置医疗废物。到2025年，耕地土壤环境质量达标率达到90%以上。</w:t>
      </w:r>
    </w:p>
    <w:p w:rsidR="00000000" w:rsidRDefault="00000000">
      <w:pPr>
        <w:pStyle w:val="2"/>
        <w:spacing w:before="0" w:after="0" w:line="40" w:lineRule="exact"/>
        <w:jc w:val="center"/>
        <w:rPr>
          <w:rFonts w:ascii="Times New Roman" w:eastAsia="楷体_GB2312" w:hAnsi="Times New Roman"/>
          <w:bCs w:val="0"/>
          <w:kern w:val="0"/>
          <w:sz w:val="24"/>
          <w:szCs w:val="24"/>
        </w:rPr>
      </w:pPr>
      <w:bookmarkStart w:id="274" w:name="_Toc2838"/>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hyperlink w:anchor="_Toc441087365" w:history="1">
        <w:bookmarkStart w:id="275" w:name="_Toc55167071"/>
        <w:bookmarkStart w:id="276" w:name="_Toc59085024"/>
        <w:bookmarkStart w:id="277" w:name="_Toc57106185"/>
        <w:bookmarkStart w:id="278" w:name="_Toc65938235"/>
        <w:r>
          <w:rPr>
            <w:rFonts w:ascii="Times New Roman" w:eastAsia="楷体_GB2312" w:hAnsi="Times New Roman"/>
            <w:bCs w:val="0"/>
            <w:kern w:val="0"/>
            <w:sz w:val="24"/>
            <w:szCs w:val="24"/>
          </w:rPr>
          <w:t>第三节</w:t>
        </w:r>
        <w:r>
          <w:rPr>
            <w:rFonts w:ascii="Times New Roman" w:eastAsia="楷体_GB2312" w:hAnsi="Times New Roman"/>
            <w:bCs w:val="0"/>
            <w:kern w:val="0"/>
            <w:sz w:val="24"/>
            <w:szCs w:val="24"/>
          </w:rPr>
          <w:t xml:space="preserve"> </w:t>
        </w:r>
        <w:bookmarkEnd w:id="275"/>
        <w:r>
          <w:rPr>
            <w:rFonts w:ascii="Times New Roman" w:eastAsia="楷体_GB2312" w:hAnsi="Times New Roman"/>
            <w:bCs w:val="0"/>
            <w:kern w:val="0"/>
            <w:sz w:val="24"/>
            <w:szCs w:val="24"/>
          </w:rPr>
          <w:t xml:space="preserve"> </w:t>
        </w:r>
        <w:bookmarkEnd w:id="276"/>
        <w:bookmarkEnd w:id="277"/>
        <w:r>
          <w:rPr>
            <w:rFonts w:ascii="Times New Roman" w:eastAsia="楷体_GB2312" w:hAnsi="Times New Roman"/>
            <w:bCs w:val="0"/>
            <w:kern w:val="0"/>
            <w:sz w:val="24"/>
            <w:szCs w:val="24"/>
          </w:rPr>
          <w:t>推动绿色低碳发展</w:t>
        </w:r>
        <w:bookmarkEnd w:id="278"/>
      </w:hyperlink>
      <w:bookmarkEnd w:id="274"/>
    </w:p>
    <w:p w:rsidR="00000000" w:rsidRDefault="00000000">
      <w:pPr>
        <w:pStyle w:val="Normal24"/>
        <w:widowControl w:val="0"/>
        <w:spacing w:before="0" w:after="0" w:line="480" w:lineRule="exact"/>
        <w:ind w:firstLineChars="200" w:firstLine="420"/>
        <w:rPr>
          <w:rFonts w:eastAsia="楷体_GB2312"/>
          <w:b/>
          <w:bCs/>
          <w:sz w:val="28"/>
          <w:szCs w:val="28"/>
          <w:lang w:eastAsia="zh-CN"/>
        </w:rPr>
      </w:pPr>
      <w:r>
        <w:rPr>
          <w:rFonts w:ascii="宋体" w:eastAsia="宋体" w:hAnsi="宋体" w:cs="宋体" w:hint="eastAsia"/>
          <w:kern w:val="2"/>
          <w:sz w:val="21"/>
          <w:szCs w:val="21"/>
          <w:lang w:eastAsia="zh-CN"/>
        </w:rPr>
        <w:t>构建绿色低碳循环发展经济体系，建设清洁低碳社会，发展清洁生产，提高资源利用效率，从源头减少资源消耗，推进节能减排，推动工业固废资源化利用，因地制宜发展工业固废高值、绿色、综合利用产业，全面推进绿色产业、绿色企业、绿色园区发展。开展碳排放达峰行动，探索重点行业碳排放达峰路径，调整能源结构，推动金属冶炼、玻纤、水泥等重点用能企业降低能耗，加快工业、交通、建筑等能源清洁替代，实施能耗总量和强度“双控”。建设清洁低碳社会，加快生物质能源开发利用，鼓励可再生能源供暖，支持生物质热电联产做为城市主要热源规划建设。充分发挥市场配置土地资源基础性作用，健全节约集约用地长效机制。持续开展国土综合整治，健全耕地保护补偿制度，合理调整优化建设用地结构和布局，降低工业用地比例，保障新型城镇化用地需求，推动土地节约利用。坚持以水定城、以水定地、以水定人、以水定产推动水资源节约，落实最严格水资源管理制度，强化水资源开发利用控制红线、用水效率控制红线和水功能区限制纳污红线的刚性约束，提高中水利用率。</w:t>
      </w:r>
      <w:bookmarkStart w:id="279" w:name="_Toc59085025"/>
      <w:bookmarkStart w:id="280" w:name="_Toc55167072"/>
      <w:bookmarkStart w:id="281" w:name="_Toc57106186"/>
      <w:bookmarkStart w:id="282" w:name="_Toc65938236"/>
    </w:p>
    <w:p w:rsidR="00000000" w:rsidRDefault="00000000">
      <w:pPr>
        <w:pStyle w:val="2"/>
        <w:spacing w:before="0" w:after="0" w:line="40" w:lineRule="exact"/>
        <w:jc w:val="center"/>
        <w:rPr>
          <w:rFonts w:ascii="Times New Roman" w:eastAsia="楷体_GB2312" w:hAnsi="Times New Roman"/>
          <w:bCs w:val="0"/>
          <w:kern w:val="0"/>
          <w:sz w:val="24"/>
          <w:szCs w:val="24"/>
        </w:rPr>
      </w:pPr>
      <w:bookmarkStart w:id="283" w:name="_Toc22424"/>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t>第四节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构建生态文明体制机制保障体系</w:t>
      </w:r>
      <w:bookmarkEnd w:id="279"/>
      <w:bookmarkEnd w:id="280"/>
      <w:bookmarkEnd w:id="281"/>
      <w:bookmarkEnd w:id="282"/>
      <w:bookmarkEnd w:id="283"/>
    </w:p>
    <w:p w:rsidR="00000000" w:rsidRDefault="00000000">
      <w:pPr>
        <w:pStyle w:val="Normal24"/>
        <w:widowControl w:val="0"/>
        <w:spacing w:before="0" w:after="0" w:line="520" w:lineRule="exact"/>
        <w:ind w:firstLineChars="200" w:firstLine="42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严格落实生态环境保护制度，推进生态文明领域治理体系和治理能力现代化。构建党委领导、政府主导、人大监督、企业治污、司法保障、公众参与的现代环境治理体系。运用市场经济激励手段促进污染防治，实施重点行业超低排放改造税收优惠和折旧鼓励，支持生态环境产品价值转化。创新精准治污、科学治污、依法治污模式。构建生态环境保护和污染防治攻坚技术投入的长效机制。加快农村牧区环境基础设施建设，健全环境基础设施投入维护、公共服务设施建设运营长效机制，实现苏木乡镇环境整治全覆盖。深化全民绿色行动，开展绿色生活创建活动，鼓励社会群体、居民个人主动践行绿色生活方式，推广绿色建筑，发展绿色交通，倡导绿色消费、绿色出行，增强全社会生态环保意识。</w:t>
      </w:r>
    </w:p>
    <w:p w:rsidR="00000000" w:rsidRDefault="00000000">
      <w:pPr>
        <w:pStyle w:val="Normal24"/>
        <w:widowControl w:val="0"/>
        <w:spacing w:before="0" w:after="0" w:line="400" w:lineRule="exact"/>
        <w:ind w:firstLineChars="200" w:firstLine="420"/>
        <w:rPr>
          <w:rFonts w:ascii="宋体" w:eastAsia="宋体" w:hAnsi="宋体" w:cs="宋体" w:hint="eastAsia"/>
          <w:kern w:val="2"/>
          <w:sz w:val="21"/>
          <w:szCs w:val="21"/>
          <w:lang w:eastAsia="zh-CN"/>
        </w:rPr>
      </w:pPr>
    </w:p>
    <w:p w:rsidR="00000000" w:rsidRDefault="00000000">
      <w:pPr>
        <w:pStyle w:val="Normal24"/>
        <w:widowControl w:val="0"/>
        <w:spacing w:before="0" w:after="0" w:line="400" w:lineRule="exact"/>
        <w:ind w:firstLineChars="200" w:firstLine="420"/>
        <w:rPr>
          <w:rFonts w:ascii="宋体" w:eastAsia="宋体" w:hAnsi="宋体" w:cs="宋体" w:hint="eastAsia"/>
          <w:kern w:val="2"/>
          <w:sz w:val="21"/>
          <w:szCs w:val="21"/>
          <w:lang w:eastAsia="zh-CN"/>
        </w:rPr>
      </w:pPr>
    </w:p>
    <w:p w:rsidR="00000000" w:rsidRDefault="00000000">
      <w:pPr>
        <w:pStyle w:val="Normal24"/>
        <w:widowControl w:val="0"/>
        <w:spacing w:before="0" w:after="0" w:line="400" w:lineRule="exact"/>
        <w:ind w:firstLineChars="200" w:firstLine="420"/>
        <w:rPr>
          <w:rFonts w:ascii="宋体" w:eastAsia="宋体" w:hAnsi="宋体" w:cs="宋体" w:hint="eastAsia"/>
          <w:kern w:val="2"/>
          <w:sz w:val="21"/>
          <w:szCs w:val="21"/>
          <w:lang w:eastAsia="zh-CN"/>
        </w:rPr>
      </w:pPr>
    </w:p>
    <w:p w:rsidR="00000000" w:rsidRDefault="00000000">
      <w:pPr>
        <w:pStyle w:val="Normal24"/>
        <w:widowControl w:val="0"/>
        <w:spacing w:before="0" w:after="0" w:line="400" w:lineRule="exact"/>
        <w:ind w:firstLineChars="200" w:firstLine="420"/>
        <w:rPr>
          <w:rFonts w:ascii="宋体" w:eastAsia="宋体" w:hAnsi="宋体" w:cs="宋体" w:hint="eastAsia"/>
          <w:kern w:val="2"/>
          <w:sz w:val="21"/>
          <w:szCs w:val="21"/>
          <w:lang w:eastAsia="zh-CN"/>
        </w:rPr>
      </w:pPr>
    </w:p>
    <w:p w:rsidR="00000000" w:rsidRDefault="00000000">
      <w:pPr>
        <w:pStyle w:val="Normal24"/>
        <w:widowControl w:val="0"/>
        <w:spacing w:before="0" w:after="0" w:line="400" w:lineRule="exact"/>
        <w:ind w:firstLineChars="200" w:firstLine="420"/>
        <w:rPr>
          <w:rFonts w:ascii="宋体" w:eastAsia="宋体" w:hAnsi="宋体" w:cs="宋体" w:hint="eastAsia"/>
          <w:kern w:val="2"/>
          <w:sz w:val="21"/>
          <w:szCs w:val="21"/>
          <w:lang w:eastAsia="zh-CN"/>
        </w:rPr>
      </w:pPr>
    </w:p>
    <w:p w:rsidR="00000000" w:rsidRDefault="00000000">
      <w:pPr>
        <w:pStyle w:val="Normal24"/>
        <w:widowControl w:val="0"/>
        <w:spacing w:before="0" w:after="0" w:line="400" w:lineRule="exact"/>
        <w:ind w:firstLineChars="200" w:firstLine="420"/>
        <w:rPr>
          <w:rFonts w:ascii="宋体" w:eastAsia="宋体" w:hAnsi="宋体" w:cs="宋体" w:hint="eastAsia"/>
          <w:kern w:val="2"/>
          <w:sz w:val="21"/>
          <w:szCs w:val="21"/>
          <w:lang w:eastAsia="zh-CN"/>
        </w:rPr>
      </w:pP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6100"/>
      </w:tblGrid>
      <w:tr w:rsidR="00000000">
        <w:trPr>
          <w:trHeight w:hRule="exact" w:val="478"/>
          <w:jc w:val="center"/>
        </w:trPr>
        <w:tc>
          <w:tcPr>
            <w:tcW w:w="6100" w:type="dxa"/>
            <w:tcBorders>
              <w:top w:val="single" w:sz="12" w:space="0" w:color="auto"/>
              <w:left w:val="single" w:sz="12" w:space="0" w:color="auto"/>
              <w:right w:val="single" w:sz="12" w:space="0" w:color="auto"/>
            </w:tcBorders>
            <w:shd w:val="clear" w:color="auto" w:fill="95DAF3"/>
            <w:vAlign w:val="center"/>
          </w:tcPr>
          <w:p w:rsidR="00000000" w:rsidRDefault="00000000">
            <w:pPr>
              <w:spacing w:line="360" w:lineRule="exact"/>
              <w:jc w:val="center"/>
              <w:rPr>
                <w:rFonts w:eastAsia="黑体"/>
                <w:szCs w:val="21"/>
              </w:rPr>
            </w:pPr>
            <w:r>
              <w:rPr>
                <w:rFonts w:eastAsia="黑体"/>
                <w:szCs w:val="21"/>
              </w:rPr>
              <w:t>专栏</w:t>
            </w:r>
            <w:r>
              <w:rPr>
                <w:rFonts w:eastAsia="黑体"/>
                <w:szCs w:val="21"/>
              </w:rPr>
              <w:t xml:space="preserve">10  </w:t>
            </w:r>
            <w:r>
              <w:rPr>
                <w:rFonts w:eastAsia="黑体"/>
                <w:szCs w:val="21"/>
              </w:rPr>
              <w:t>生态环境保护与治理工程</w:t>
            </w:r>
          </w:p>
        </w:tc>
      </w:tr>
      <w:tr w:rsidR="00000000">
        <w:trPr>
          <w:trHeight w:hRule="exact" w:val="4280"/>
          <w:jc w:val="center"/>
        </w:trPr>
        <w:tc>
          <w:tcPr>
            <w:tcW w:w="6100" w:type="dxa"/>
            <w:tcBorders>
              <w:left w:val="single" w:sz="12" w:space="0" w:color="auto"/>
              <w:bottom w:val="single" w:sz="12" w:space="0" w:color="auto"/>
              <w:right w:val="single" w:sz="12" w:space="0" w:color="auto"/>
            </w:tcBorders>
            <w:shd w:val="clear" w:color="auto" w:fill="C8EEFC"/>
          </w:tcPr>
          <w:p w:rsidR="00000000" w:rsidRDefault="00000000">
            <w:pPr>
              <w:spacing w:line="380" w:lineRule="exact"/>
              <w:ind w:firstLineChars="200" w:firstLine="400"/>
              <w:rPr>
                <w:rFonts w:ascii="黑体" w:eastAsia="黑体" w:hAnsi="黑体" w:cs="黑体" w:hint="eastAsia"/>
                <w:bCs/>
                <w:sz w:val="20"/>
                <w:szCs w:val="20"/>
              </w:rPr>
            </w:pPr>
            <w:r>
              <w:rPr>
                <w:rFonts w:ascii="黑体" w:eastAsia="黑体" w:hAnsi="黑体" w:cs="黑体" w:hint="eastAsia"/>
                <w:bCs/>
                <w:sz w:val="20"/>
                <w:szCs w:val="20"/>
              </w:rPr>
              <w:t>（一）生态保护与修复工程</w:t>
            </w:r>
          </w:p>
          <w:p w:rsidR="00000000" w:rsidRDefault="00000000">
            <w:pPr>
              <w:autoSpaceDE w:val="0"/>
              <w:autoSpaceDN w:val="0"/>
              <w:spacing w:line="380" w:lineRule="exact"/>
              <w:ind w:firstLineChars="200" w:firstLine="404"/>
              <w:rPr>
                <w:rFonts w:ascii="宋体" w:hAnsi="宋体" w:cs="宋体" w:hint="eastAsia"/>
                <w:spacing w:val="1"/>
                <w:kern w:val="0"/>
                <w:sz w:val="20"/>
                <w:szCs w:val="20"/>
              </w:rPr>
            </w:pPr>
            <w:r>
              <w:rPr>
                <w:rFonts w:ascii="宋体" w:hAnsi="宋体" w:cs="宋体" w:hint="eastAsia"/>
                <w:spacing w:val="1"/>
                <w:kern w:val="0"/>
                <w:sz w:val="20"/>
                <w:szCs w:val="20"/>
              </w:rPr>
              <w:t>实施三北防护林、退牧还草、科尔沁沙地治理、蚂蚁森林、百万亩经济林、封育保护治理、村屯绿化美化、土地整治修复、森林植被恢复、绿色矿山综合治理、砂石采选及生态修复工程、造林补贴、珍稀树种培育、科尔沁沙地生态保护与产业开发、草原后续产业、欧投行贷款林业生态建设项目。</w:t>
            </w:r>
          </w:p>
          <w:p w:rsidR="00000000" w:rsidRDefault="00000000">
            <w:pPr>
              <w:spacing w:line="380" w:lineRule="exact"/>
              <w:ind w:firstLineChars="200" w:firstLine="400"/>
              <w:rPr>
                <w:rFonts w:ascii="黑体" w:eastAsia="黑体" w:hAnsi="黑体" w:cs="黑体" w:hint="eastAsia"/>
                <w:bCs/>
                <w:sz w:val="20"/>
                <w:szCs w:val="20"/>
              </w:rPr>
            </w:pPr>
            <w:r>
              <w:rPr>
                <w:rFonts w:ascii="黑体" w:eastAsia="黑体" w:hAnsi="黑体" w:cs="黑体" w:hint="eastAsia"/>
                <w:bCs/>
                <w:sz w:val="20"/>
                <w:szCs w:val="20"/>
              </w:rPr>
              <w:t>（二）环境污染防治工程</w:t>
            </w:r>
          </w:p>
          <w:p w:rsidR="00000000" w:rsidRDefault="00000000">
            <w:pPr>
              <w:spacing w:line="380" w:lineRule="exact"/>
              <w:ind w:firstLineChars="200" w:firstLine="404"/>
              <w:rPr>
                <w:rFonts w:eastAsia="楷体"/>
                <w:bCs/>
                <w:sz w:val="24"/>
                <w:szCs w:val="24"/>
              </w:rPr>
            </w:pPr>
            <w:r>
              <w:rPr>
                <w:rFonts w:ascii="宋体" w:hAnsi="宋体" w:cs="宋体" w:hint="eastAsia"/>
                <w:spacing w:val="1"/>
                <w:kern w:val="0"/>
                <w:sz w:val="20"/>
                <w:szCs w:val="20"/>
              </w:rPr>
              <w:t>推进行政执法和环境监测综合办公大楼、环境监测站能力建设、水污染防治工程、大气污染防治工程、农村环境保护工程、生态环境保护工程、重金属污染防治工程、固体废弃物治理工程、环境能力建设工程。</w:t>
            </w:r>
          </w:p>
        </w:tc>
      </w:tr>
    </w:tbl>
    <w:p w:rsidR="00000000" w:rsidRDefault="00000000">
      <w:pPr>
        <w:pStyle w:val="1"/>
        <w:spacing w:before="0" w:after="0" w:line="480" w:lineRule="exact"/>
        <w:jc w:val="center"/>
        <w:rPr>
          <w:rFonts w:ascii="方正小标宋简体" w:eastAsia="方正小标宋简体" w:hAnsi="方正小标宋简体" w:cs="方正小标宋简体" w:hint="eastAsia"/>
          <w:b w:val="0"/>
          <w:sz w:val="32"/>
          <w:szCs w:val="32"/>
        </w:rPr>
        <w:sectPr w:rsidR="00000000">
          <w:headerReference w:type="even" r:id="rId79"/>
          <w:headerReference w:type="default" r:id="rId80"/>
          <w:footerReference w:type="even" r:id="rId81"/>
          <w:footerReference w:type="default" r:id="rId82"/>
          <w:pgSz w:w="8390" w:h="11905"/>
          <w:pgMar w:top="1701" w:right="1134" w:bottom="1134" w:left="1134" w:header="1304" w:footer="850" w:gutter="0"/>
          <w:pgNumType w:fmt="numberInDash" w:start="80"/>
          <w:cols w:space="720"/>
          <w:docGrid w:type="lines" w:linePitch="321"/>
        </w:sectPr>
      </w:pPr>
      <w:bookmarkStart w:id="284" w:name="_Toc57106187"/>
      <w:bookmarkStart w:id="285" w:name="_Toc7445"/>
      <w:bookmarkStart w:id="286" w:name="_Toc65938237"/>
      <w:bookmarkStart w:id="287" w:name="_Toc59085026"/>
      <w:bookmarkStart w:id="288" w:name="_Toc31295"/>
    </w:p>
    <w:p w:rsidR="00000000" w:rsidRDefault="00D54102">
      <w:pPr>
        <w:rPr>
          <w:rFonts w:hint="eastAsia"/>
        </w:rPr>
        <w:sectPr w:rsidR="00000000">
          <w:headerReference w:type="default" r:id="rId83"/>
          <w:footerReference w:type="even" r:id="rId84"/>
          <w:footerReference w:type="default" r:id="rId85"/>
          <w:pgSz w:w="8390" w:h="11905"/>
          <w:pgMar w:top="1701" w:right="1134" w:bottom="1134" w:left="1134" w:header="1304" w:footer="850" w:gutter="0"/>
          <w:pgNumType w:fmt="numberInDash" w:start="89"/>
          <w:cols w:space="720"/>
          <w:docGrid w:type="lines" w:linePitch="321"/>
        </w:sectPr>
      </w:pPr>
      <w:r>
        <w:rPr>
          <w:noProof/>
        </w:rPr>
        <w:lastRenderedPageBreak/>
        <mc:AlternateContent>
          <mc:Choice Requires="wps">
            <w:drawing>
              <wp:anchor distT="0" distB="0" distL="114300" distR="114300" simplePos="0" relativeHeight="251661312" behindDoc="0" locked="0" layoutInCell="1" allowOverlap="1">
                <wp:simplePos x="0" y="0"/>
                <wp:positionH relativeFrom="column">
                  <wp:posOffset>-709930</wp:posOffset>
                </wp:positionH>
                <wp:positionV relativeFrom="paragraph">
                  <wp:posOffset>1737995</wp:posOffset>
                </wp:positionV>
                <wp:extent cx="5374005" cy="1113790"/>
                <wp:effectExtent l="4445" t="0" r="3175" b="1905"/>
                <wp:wrapSquare wrapText="bothSides"/>
                <wp:docPr id="59" name="文本框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13790"/>
                        </a:xfrm>
                        <a:prstGeom prst="rect">
                          <a:avLst/>
                        </a:prstGeom>
                        <a:solidFill>
                          <a:srgbClr val="C8EEFC"/>
                        </a:solidFill>
                        <a:ln>
                          <a:noFill/>
                        </a:ln>
                        <a:effectLst/>
                        <a:extLs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第十二章  全面增进民生福祉</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稳固社会发展基石</w:t>
                            </w:r>
                          </w:p>
                        </w:txbxContent>
                      </wps:txbx>
                      <wps:bodyPr rot="0" vert="horz" wrap="square" lIns="91440" tIns="251998" rIns="91440" bIns="71999"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2" o:spid="_x0000_s1037" type="#_x0000_t202" style="position:absolute;left:0;text-align:left;margin-left:-55.9pt;margin-top:136.85pt;width:423.15pt;height:87.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" fillcolor="#c8eefc" stroked="f">
                <v:textbox inset=",6.99994mm,,1.99997mm">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第十二章  全面增进民生福祉</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稳固社会发展基石</w:t>
                      </w:r>
                    </w:p>
                  </w:txbxContent>
                </v:textbox>
                <w10:wrap type="square"/>
              </v:shape>
            </w:pict>
          </mc:Fallback>
        </mc:AlternateContent>
      </w:r>
    </w:p>
    <w:bookmarkEnd w:id="284"/>
    <w:bookmarkEnd w:id="285"/>
    <w:bookmarkEnd w:id="286"/>
    <w:bookmarkEnd w:id="287"/>
    <w:bookmarkEnd w:id="288"/>
    <w:p w:rsidR="00000000" w:rsidRDefault="00000000">
      <w:pPr>
        <w:pStyle w:val="Normal24"/>
        <w:widowControl w:val="0"/>
        <w:spacing w:before="0" w:after="0" w:line="450" w:lineRule="exact"/>
        <w:ind w:firstLineChars="200" w:firstLine="420"/>
        <w:rPr>
          <w:rFonts w:ascii="宋体" w:eastAsia="宋体" w:hAnsi="宋体" w:cs="宋体" w:hint="eastAsia"/>
          <w:spacing w:val="1"/>
          <w:sz w:val="21"/>
          <w:szCs w:val="21"/>
          <w:lang w:eastAsia="zh-CN"/>
        </w:rPr>
      </w:pPr>
      <w:r>
        <w:rPr>
          <w:rFonts w:ascii="宋体" w:eastAsia="宋体" w:hAnsi="宋体" w:cs="宋体" w:hint="eastAsia"/>
          <w:sz w:val="21"/>
          <w:szCs w:val="21"/>
          <w:lang w:eastAsia="zh-CN"/>
        </w:rPr>
        <w:lastRenderedPageBreak/>
        <w:t>坚持以人民为中心，秉承尽力而为、量力而行，健全基本公共服务体系，提高人民生活品质，推动实现共同富裕，不断满足人民日益增长的美好生活需要，共建幸福新城。</w:t>
      </w:r>
    </w:p>
    <w:bookmarkStart w:id="289" w:name="_Toc7605"/>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fldChar w:fldCharType="begin"/>
      </w:r>
      <w:r>
        <w:rPr>
          <w:rFonts w:ascii="Times New Roman" w:eastAsia="楷体_GB2312" w:hAnsi="Times New Roman"/>
          <w:bCs w:val="0"/>
          <w:kern w:val="0"/>
          <w:sz w:val="24"/>
          <w:szCs w:val="24"/>
        </w:rPr>
        <w:instrText>HYPERLINK \l "_Toc441087371"</w:instrText>
      </w:r>
      <w:r>
        <w:rPr>
          <w:rFonts w:ascii="Times New Roman" w:eastAsia="楷体_GB2312" w:hAnsi="Times New Roman"/>
          <w:bCs w:val="0"/>
          <w:kern w:val="0"/>
          <w:sz w:val="24"/>
          <w:szCs w:val="24"/>
        </w:rPr>
        <w:fldChar w:fldCharType="separate"/>
      </w:r>
      <w:bookmarkStart w:id="290" w:name="_Toc59085027"/>
      <w:bookmarkStart w:id="291" w:name="_Toc55167078"/>
      <w:bookmarkStart w:id="292" w:name="_Toc57106189"/>
      <w:bookmarkStart w:id="293" w:name="_Toc65938238"/>
      <w:r>
        <w:rPr>
          <w:rFonts w:ascii="Times New Roman" w:eastAsia="楷体_GB2312" w:hAnsi="Times New Roman"/>
          <w:bCs w:val="0"/>
          <w:kern w:val="0"/>
          <w:sz w:val="24"/>
          <w:szCs w:val="24"/>
        </w:rPr>
        <w:t>第一节</w:t>
      </w:r>
      <w:r>
        <w:rPr>
          <w:rFonts w:ascii="Times New Roman" w:eastAsia="楷体_GB2312" w:hAnsi="Times New Roman"/>
          <w:bCs w:val="0"/>
          <w:kern w:val="0"/>
          <w:sz w:val="24"/>
          <w:szCs w:val="24"/>
        </w:rPr>
        <w:t xml:space="preserve">  </w:t>
      </w:r>
      <w:bookmarkEnd w:id="290"/>
      <w:bookmarkEnd w:id="291"/>
      <w:bookmarkEnd w:id="292"/>
      <w:r>
        <w:rPr>
          <w:rFonts w:ascii="Times New Roman" w:eastAsia="楷体_GB2312" w:hAnsi="Times New Roman"/>
          <w:bCs w:val="0"/>
          <w:kern w:val="0"/>
          <w:sz w:val="24"/>
          <w:szCs w:val="24"/>
        </w:rPr>
        <w:t>实施就业优先战略</w:t>
      </w:r>
      <w:bookmarkEnd w:id="293"/>
      <w:r>
        <w:rPr>
          <w:rFonts w:ascii="Times New Roman" w:eastAsia="楷体_GB2312" w:hAnsi="Times New Roman"/>
          <w:bCs w:val="0"/>
          <w:kern w:val="0"/>
          <w:sz w:val="24"/>
          <w:szCs w:val="24"/>
        </w:rPr>
        <w:fldChar w:fldCharType="end"/>
      </w:r>
      <w:bookmarkEnd w:id="289"/>
    </w:p>
    <w:p w:rsidR="00000000" w:rsidRDefault="00000000">
      <w:pPr>
        <w:spacing w:line="450" w:lineRule="exact"/>
        <w:ind w:firstLineChars="200" w:firstLine="420"/>
        <w:rPr>
          <w:rFonts w:ascii="宋体" w:hAnsi="宋体" w:cs="宋体" w:hint="eastAsia"/>
          <w:kern w:val="0"/>
          <w:szCs w:val="21"/>
        </w:rPr>
      </w:pPr>
      <w:r>
        <w:rPr>
          <w:rFonts w:eastAsia="楷体_GB2312" w:hint="eastAsia"/>
          <w:szCs w:val="21"/>
        </w:rPr>
        <w:t>促进高质量就业。</w:t>
      </w:r>
      <w:r>
        <w:rPr>
          <w:rFonts w:ascii="宋体" w:hAnsi="宋体" w:cs="宋体" w:hint="eastAsia"/>
          <w:kern w:val="0"/>
          <w:szCs w:val="21"/>
        </w:rPr>
        <w:t>强化就业优先政策，千方百计稳定和扩大就业。精准施策支持产业发展，开发产业链促进就业链，促进稳定就业。实施大学生创业引领和高校毕业生就业计划，鼓励高校毕业生到基层和小微企业就业。扶持壮大劳务中介机构、劳务经纪人、劳务带头人队伍，推进农村牧区富余劳动力有序外出就业和就地就近转移就业。加大对就业困难人员援助力度，积极开发公益性岗位安置就业困难人员，确保零就业家庭至少有一人就业。完善退役军人就业服务保障体系建设，加强自主就业退役士兵参加职业教育和技能培训。</w:t>
      </w:r>
    </w:p>
    <w:p w:rsidR="00000000" w:rsidRDefault="00000000">
      <w:pPr>
        <w:spacing w:line="450" w:lineRule="exact"/>
        <w:ind w:firstLineChars="200" w:firstLine="420"/>
        <w:rPr>
          <w:rFonts w:ascii="宋体" w:hAnsi="宋体" w:cs="宋体" w:hint="eastAsia"/>
          <w:kern w:val="0"/>
          <w:szCs w:val="21"/>
        </w:rPr>
      </w:pPr>
      <w:r>
        <w:rPr>
          <w:rFonts w:eastAsia="楷体_GB2312" w:hint="eastAsia"/>
          <w:szCs w:val="21"/>
        </w:rPr>
        <w:t>营造宽松便捷的创业环境。</w:t>
      </w:r>
      <w:r>
        <w:rPr>
          <w:rFonts w:ascii="宋体" w:hAnsi="宋体" w:cs="宋体" w:hint="eastAsia"/>
          <w:kern w:val="0"/>
          <w:szCs w:val="21"/>
        </w:rPr>
        <w:t>拓宽创业投融资渠道，鼓励企业、社会组织以多种形式向创业者提供资金支持。加强对灵活就业、新就业形态的支持，促进劳动者自主就业。加强创业教育和培训，大规模开展职业技能培训，深入实施职业技能提升行动，完善职业培训政策，提高劳动者创业创新能力。开展农村牧区青年创业富民行</w:t>
      </w:r>
      <w:r>
        <w:rPr>
          <w:rFonts w:ascii="宋体" w:hAnsi="宋体" w:cs="宋体" w:hint="eastAsia"/>
          <w:kern w:val="0"/>
          <w:szCs w:val="21"/>
        </w:rPr>
        <w:lastRenderedPageBreak/>
        <w:t>动，支持农民工返乡创业。</w:t>
      </w:r>
    </w:p>
    <w:p w:rsidR="00000000" w:rsidRDefault="00000000">
      <w:pPr>
        <w:spacing w:line="450" w:lineRule="exact"/>
        <w:ind w:firstLineChars="200" w:firstLine="420"/>
        <w:rPr>
          <w:rFonts w:ascii="宋体" w:hAnsi="宋体" w:cs="宋体" w:hint="eastAsia"/>
          <w:spacing w:val="1"/>
          <w:kern w:val="0"/>
          <w:szCs w:val="21"/>
        </w:rPr>
      </w:pPr>
      <w:r>
        <w:rPr>
          <w:rFonts w:eastAsia="楷体_GB2312" w:hint="eastAsia"/>
          <w:szCs w:val="21"/>
        </w:rPr>
        <w:t>打开新经济新业态新模式就业空间。</w:t>
      </w:r>
      <w:r>
        <w:rPr>
          <w:rFonts w:ascii="宋体" w:hAnsi="宋体" w:cs="宋体" w:hint="eastAsia"/>
          <w:spacing w:val="1"/>
          <w:kern w:val="0"/>
          <w:szCs w:val="21"/>
        </w:rPr>
        <w:t>积极培育新个体，支持自主就业。进一步降低个体经营者线上创业就业成本，提供多样化的就业机会。引导“宅经济”合理发展，支持微商电商、网络直播等多样化的自主就业、分时就业，促进线上直播等服务新方式规范健康发展。着力激发各类主体的创新动力和创造活力，打造“兼职就业”、“副业创业”等多种形式蓬勃发展格局。</w:t>
      </w:r>
    </w:p>
    <w:p w:rsidR="00000000" w:rsidRDefault="00000000">
      <w:pPr>
        <w:spacing w:line="450" w:lineRule="exact"/>
        <w:ind w:firstLineChars="200" w:firstLine="420"/>
        <w:rPr>
          <w:rFonts w:ascii="宋体" w:hAnsi="宋体" w:cs="宋体" w:hint="eastAsia"/>
          <w:spacing w:val="1"/>
          <w:kern w:val="0"/>
          <w:szCs w:val="21"/>
        </w:rPr>
      </w:pPr>
      <w:r>
        <w:rPr>
          <w:rFonts w:eastAsia="楷体_GB2312" w:hint="eastAsia"/>
          <w:szCs w:val="21"/>
        </w:rPr>
        <w:t>加强基层就业服务平台建设。</w:t>
      </w:r>
      <w:r>
        <w:rPr>
          <w:rFonts w:ascii="宋体" w:hAnsi="宋体" w:cs="宋体" w:hint="eastAsia"/>
          <w:spacing w:val="1"/>
          <w:kern w:val="0"/>
          <w:szCs w:val="21"/>
        </w:rPr>
        <w:t>扩大企业技术工人群体培训范围，推行终身职业技能培训制度，实施新生代农民工职业技能提升计划。开展贫困家庭子女、未升学初高中毕业生、失业人员和转岗职工、退役军人、残疾人免费接受职业培训行动。建立工学结合、校企合作的技术工人培养模式，推行企业新型学徒制。建设“互联网+”创业孵化基地、职业技能实训基地、创业园区和基层就业社保服务平台。</w:t>
      </w:r>
    </w:p>
    <w:p w:rsidR="00000000" w:rsidRDefault="00000000">
      <w:pPr>
        <w:spacing w:line="480" w:lineRule="exact"/>
        <w:ind w:firstLineChars="200" w:firstLine="420"/>
        <w:rPr>
          <w:rFonts w:eastAsia="楷体_GB2312"/>
          <w:b/>
          <w:bCs/>
          <w:sz w:val="28"/>
          <w:szCs w:val="28"/>
        </w:rPr>
      </w:pPr>
      <w:r>
        <w:rPr>
          <w:rFonts w:eastAsia="楷体_GB2312" w:hint="eastAsia"/>
          <w:szCs w:val="21"/>
        </w:rPr>
        <w:t>完善高质量就业保障体系。</w:t>
      </w:r>
      <w:r>
        <w:rPr>
          <w:rFonts w:ascii="宋体" w:hAnsi="宋体" w:cs="宋体" w:hint="eastAsia"/>
          <w:spacing w:val="1"/>
          <w:kern w:val="0"/>
          <w:szCs w:val="21"/>
        </w:rPr>
        <w:t>认真落实促进就业创业的各项政策措施，拓宽就业渠道，积极发展劳动密集型产业，增加就业岗位。设立就业创业基金，纳入财政预算。强化就业公共服务职能，加强城镇待业人员和农村劳动力职业技能培训，鼓励灵活就业、弹性就业和自主创业。进一步健全以公共就业服务为主的城乡就业社会化</w:t>
      </w:r>
      <w:r>
        <w:rPr>
          <w:rFonts w:ascii="宋体" w:hAnsi="宋体" w:cs="宋体" w:hint="eastAsia"/>
          <w:spacing w:val="1"/>
          <w:kern w:val="0"/>
          <w:szCs w:val="21"/>
        </w:rPr>
        <w:lastRenderedPageBreak/>
        <w:t>服务体系。发展和规范劳动力市场，建立统一规范灵活的人力资源市场与和谐劳动关系，切实维护职工和企业合法权益。</w:t>
      </w:r>
      <w:bookmarkStart w:id="294" w:name="_Toc57106188"/>
      <w:bookmarkStart w:id="295" w:name="_Toc59085028"/>
      <w:bookmarkStart w:id="296" w:name="_Toc55167077"/>
      <w:bookmarkStart w:id="297" w:name="_Toc65938239"/>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t>第二节</w:t>
      </w:r>
      <w:r>
        <w:rPr>
          <w:rFonts w:ascii="Times New Roman" w:eastAsia="楷体_GB2312" w:hAnsi="Times New Roman"/>
          <w:bCs w:val="0"/>
          <w:kern w:val="0"/>
          <w:sz w:val="24"/>
          <w:szCs w:val="24"/>
        </w:rPr>
        <w:t xml:space="preserve">  </w:t>
      </w:r>
      <w:bookmarkEnd w:id="294"/>
      <w:bookmarkEnd w:id="295"/>
      <w:bookmarkEnd w:id="296"/>
      <w:r>
        <w:rPr>
          <w:rFonts w:ascii="Times New Roman" w:eastAsia="楷体_GB2312" w:hAnsi="Times New Roman"/>
          <w:bCs w:val="0"/>
          <w:kern w:val="0"/>
          <w:sz w:val="24"/>
          <w:szCs w:val="24"/>
        </w:rPr>
        <w:t>拓宽居民收入增长渠道</w:t>
      </w:r>
      <w:bookmarkEnd w:id="297"/>
    </w:p>
    <w:p w:rsidR="00000000" w:rsidRDefault="00000000">
      <w:pPr>
        <w:spacing w:line="480" w:lineRule="exact"/>
        <w:ind w:firstLineChars="200" w:firstLine="420"/>
        <w:rPr>
          <w:rFonts w:ascii="宋体" w:hAnsi="宋体" w:cs="宋体" w:hint="eastAsia"/>
          <w:kern w:val="0"/>
          <w:szCs w:val="21"/>
        </w:rPr>
      </w:pPr>
      <w:r>
        <w:rPr>
          <w:rFonts w:eastAsia="楷体_GB2312" w:hint="eastAsia"/>
          <w:szCs w:val="21"/>
        </w:rPr>
        <w:t>提高城镇居民收入水平。</w:t>
      </w:r>
      <w:r>
        <w:rPr>
          <w:rFonts w:ascii="宋体" w:hAnsi="宋体" w:cs="宋体" w:hint="eastAsia"/>
          <w:kern w:val="0"/>
          <w:szCs w:val="21"/>
        </w:rPr>
        <w:t>完善最低工资评估机制，合理调整最低工资标准，逐步缩小行业之间工资差距，完善企业工资指导制度。健全职工福利待遇与社会平均工资动态调整制度，提高职工工资收入。深化企业工资分配制度改革，完善劳动、资本、土地、技术、管理等市场要素由市场评价贡献、按贡献决定报酬的机制，实行差异化薪酬分配制度，鼓励企业探索协议工资、项目工资、岗位分红、项目收益分红等多种分配形式。完善公务员工资正常增长机制，落实事业单位工资制度，提高技能人才和专业技术人员工资水平。推进全民创业，发挥创业增富效应，壮大主导产业，提高经营性收入。推进金融创新，扩宽理财渠道，引导居民合理支配财富，提高财产性收入。稳步提高各类社会保障标准，增加城镇居民转移性收入。</w:t>
      </w:r>
    </w:p>
    <w:p w:rsidR="00000000" w:rsidRDefault="00000000">
      <w:pPr>
        <w:spacing w:line="480" w:lineRule="exact"/>
        <w:ind w:firstLineChars="200" w:firstLine="420"/>
        <w:rPr>
          <w:rFonts w:eastAsia="楷体_GB2312"/>
          <w:b/>
          <w:bCs/>
          <w:sz w:val="28"/>
          <w:szCs w:val="28"/>
        </w:rPr>
      </w:pPr>
      <w:r>
        <w:rPr>
          <w:rFonts w:eastAsia="楷体_GB2312" w:hint="eastAsia"/>
          <w:szCs w:val="21"/>
        </w:rPr>
        <w:t>拓宽农牧民增收渠道。</w:t>
      </w:r>
      <w:r>
        <w:rPr>
          <w:rFonts w:ascii="宋体" w:hAnsi="宋体" w:cs="宋体" w:hint="eastAsia"/>
          <w:kern w:val="0"/>
          <w:szCs w:val="21"/>
        </w:rPr>
        <w:t>提高农牧业生产效益，引导农村劳动力转移就业，建立农民工工资支付保障长效机制，完善工资保障金制度、欠薪应急周转金制度，提高农民工工资性收入。鼓励农牧民优</w:t>
      </w:r>
      <w:r>
        <w:rPr>
          <w:rFonts w:ascii="宋体" w:hAnsi="宋体" w:cs="宋体" w:hint="eastAsia"/>
          <w:kern w:val="0"/>
          <w:szCs w:val="21"/>
        </w:rPr>
        <w:lastRenderedPageBreak/>
        <w:t>化种养结构，发展特色农牧业和设施农牧业，提高农畜产品附加值，增加经营性收入。健全资源开发补偿机制，依法保障农牧民土地、宅基地和集体资产权益，拓展农牧民财产性收入。落实惠农惠牧政策，完善农村牧区社会保障机制，提高保障标准，提升农牧民转移性收入。拓宽低收入群体增收渠道，健全农牧民工资性、经营性、财产性、转移性收入增长机制，建立普惠性农牧民补贴长效机制。</w:t>
      </w:r>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hyperlink w:anchor="_Toc441087373" w:history="1">
        <w:bookmarkStart w:id="298" w:name="_Toc55167080"/>
        <w:bookmarkStart w:id="299" w:name="_Toc57106191"/>
        <w:bookmarkStart w:id="300" w:name="_Toc59085030"/>
        <w:bookmarkStart w:id="301" w:name="_Toc65938240"/>
        <w:r>
          <w:rPr>
            <w:rFonts w:ascii="Times New Roman" w:eastAsia="楷体_GB2312" w:hAnsi="Times New Roman"/>
            <w:bCs w:val="0"/>
            <w:kern w:val="0"/>
            <w:sz w:val="24"/>
            <w:szCs w:val="24"/>
          </w:rPr>
          <w:t>第三节</w:t>
        </w:r>
      </w:hyperlink>
      <w:bookmarkEnd w:id="298"/>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推进教育</w:t>
      </w:r>
      <w:bookmarkEnd w:id="299"/>
      <w:bookmarkEnd w:id="300"/>
      <w:r>
        <w:rPr>
          <w:rFonts w:ascii="Times New Roman" w:eastAsia="楷体_GB2312" w:hAnsi="Times New Roman"/>
          <w:bCs w:val="0"/>
          <w:kern w:val="0"/>
          <w:sz w:val="24"/>
          <w:szCs w:val="24"/>
        </w:rPr>
        <w:t>全面发展</w:t>
      </w:r>
      <w:bookmarkEnd w:id="301"/>
    </w:p>
    <w:p w:rsidR="00000000" w:rsidRDefault="00000000">
      <w:pPr>
        <w:spacing w:line="480" w:lineRule="exact"/>
        <w:ind w:firstLineChars="200" w:firstLine="420"/>
        <w:rPr>
          <w:rFonts w:ascii="宋体" w:hAnsi="宋体" w:cs="宋体" w:hint="eastAsia"/>
          <w:kern w:val="0"/>
          <w:szCs w:val="21"/>
        </w:rPr>
      </w:pPr>
      <w:r>
        <w:rPr>
          <w:rFonts w:eastAsia="楷体_GB2312" w:hint="eastAsia"/>
          <w:szCs w:val="21"/>
        </w:rPr>
        <w:t>深入实施立德树人体制机制。</w:t>
      </w:r>
      <w:r>
        <w:rPr>
          <w:rFonts w:ascii="宋体" w:hAnsi="宋体" w:cs="宋体" w:hint="eastAsia"/>
          <w:kern w:val="0"/>
          <w:szCs w:val="21"/>
        </w:rPr>
        <w:t>全面贯彻党的教育方针，聚焦办好人民满意教育，健全学校家庭社会协同育人机制，完善终身学习体系，建设学习型社会。突出德育实效，以社会主义核心价值观统领中小学德育工作，全面推动习近平新时代中国特色社会主义思想“进教材、进课堂、进师生头脑”，以课堂为主渠道，培育强有力的德育工作者队伍。推进智育创新，着力培养学生认知能力，注重启发式、探究式、参与式、合作式等教学模式，加强对学生科学素质、信息素养和创新能力的培养。注重体育健康，加强和改进新时代学校体育工作，开齐开足体育课，推进“小学兴趣化、初中多样化、高中专项化”体育课程改革。重视美育熏陶，把美育纳入各级</w:t>
      </w:r>
      <w:r>
        <w:rPr>
          <w:rFonts w:ascii="宋体" w:hAnsi="宋体" w:cs="宋体" w:hint="eastAsia"/>
          <w:kern w:val="0"/>
          <w:szCs w:val="21"/>
        </w:rPr>
        <w:lastRenderedPageBreak/>
        <w:t>各类学校人才培养全过程，贯穿学校教育各学段，开展形式多样的德育活动和书法、绘画、民族音乐等中华民族优秀传统文化进校园、进课堂教育，全面提高思政课质量和水平。创新家庭教育方式，强化民族团结教育，增强学生综合素质培养。加强劳动教育，开展好中小学生研学旅行工作，规划建设研学旅行基地，强化学生社会实践活动，建设劳动教育基地，根据学生年龄特点组织开展校内劳动、校外劳动和家庭劳动。</w:t>
      </w:r>
    </w:p>
    <w:p w:rsidR="00000000" w:rsidRDefault="00000000">
      <w:pPr>
        <w:spacing w:line="480" w:lineRule="exact"/>
        <w:ind w:firstLineChars="200" w:firstLine="420"/>
        <w:jc w:val="left"/>
        <w:rPr>
          <w:rFonts w:ascii="宋体" w:hAnsi="宋体" w:cs="宋体" w:hint="eastAsia"/>
          <w:kern w:val="0"/>
          <w:szCs w:val="21"/>
        </w:rPr>
      </w:pPr>
      <w:r>
        <w:rPr>
          <w:rFonts w:eastAsia="楷体_GB2312" w:hint="eastAsia"/>
          <w:szCs w:val="21"/>
        </w:rPr>
        <w:t>统筹教育基础设施建设。</w:t>
      </w:r>
      <w:r>
        <w:rPr>
          <w:rFonts w:ascii="宋体" w:hAnsi="宋体" w:cs="宋体" w:hint="eastAsia"/>
          <w:kern w:val="0"/>
          <w:szCs w:val="21"/>
        </w:rPr>
        <w:t>优化学校布局，推进农村牧区基础教育均衡发展。以义务教育标准化建设为契机，以提升教学楼、宿舍、风雨操场、运动场、食堂等基础设施保障能力为抓手，统筹安排建设项目，集中使用建设资金，均衡配置校舍、图书、设备，扩展优质硬件资源，促进办学条件均衡。规划建设城镇小区配套幼儿园，完善保障体系。启动建设第六中学、第五小学，合理规划幼儿园配建项目。</w:t>
      </w:r>
    </w:p>
    <w:p w:rsidR="00000000" w:rsidRDefault="00000000">
      <w:pPr>
        <w:spacing w:line="480" w:lineRule="exact"/>
        <w:ind w:firstLineChars="200" w:firstLine="420"/>
        <w:rPr>
          <w:rFonts w:ascii="宋体" w:hAnsi="宋体" w:cs="宋体" w:hint="eastAsia"/>
          <w:kern w:val="0"/>
          <w:szCs w:val="21"/>
        </w:rPr>
      </w:pPr>
      <w:r>
        <w:rPr>
          <w:rFonts w:eastAsia="楷体_GB2312" w:hint="eastAsia"/>
          <w:szCs w:val="21"/>
        </w:rPr>
        <w:t>加强新时代教师队伍建设。</w:t>
      </w:r>
      <w:r>
        <w:rPr>
          <w:rFonts w:ascii="宋体" w:hAnsi="宋体" w:cs="宋体" w:hint="eastAsia"/>
          <w:kern w:val="0"/>
          <w:szCs w:val="21"/>
        </w:rPr>
        <w:t>加强师德师风建设。建立全旗中小学教师常态化招聘补充机制，采取人才引进、特岗计划、公开招录等形式补充教师队伍，通过补齐短缺编制，优化教师队伍结构。健全中小学教师工资长效联动机制，确保中小学教师平均工资收入水</w:t>
      </w:r>
      <w:r>
        <w:rPr>
          <w:rFonts w:ascii="宋体" w:hAnsi="宋体" w:cs="宋体" w:hint="eastAsia"/>
          <w:kern w:val="0"/>
          <w:szCs w:val="21"/>
        </w:rPr>
        <w:lastRenderedPageBreak/>
        <w:t>平不低于公务员。加强在职中小学教师的教学能力提升培养，着力培养市级名师和自治区级学科带头人。</w:t>
      </w:r>
    </w:p>
    <w:p w:rsidR="00000000" w:rsidRDefault="00000000">
      <w:pPr>
        <w:spacing w:line="480" w:lineRule="exact"/>
        <w:ind w:firstLineChars="200" w:firstLine="420"/>
        <w:rPr>
          <w:rFonts w:ascii="宋体" w:hAnsi="宋体" w:cs="宋体" w:hint="eastAsia"/>
          <w:kern w:val="0"/>
          <w:szCs w:val="21"/>
        </w:rPr>
      </w:pPr>
      <w:r>
        <w:rPr>
          <w:rFonts w:eastAsia="楷体_GB2312" w:hint="eastAsia"/>
          <w:szCs w:val="21"/>
        </w:rPr>
        <w:t>深化教育教学改革。</w:t>
      </w:r>
      <w:r>
        <w:rPr>
          <w:rFonts w:ascii="宋体" w:hAnsi="宋体" w:cs="宋体" w:hint="eastAsia"/>
          <w:kern w:val="0"/>
          <w:szCs w:val="21"/>
        </w:rPr>
        <w:t>推进教育对外开放与友好合作交流。落实教育行政部门对中小学教师的职称评聘、校际调配、培养培训、考核奖励等管理职责。推进义务教育阶段学校教师校长交流轮岗。创新和规范中小学教师编制管理，统一城乡编制标准，实施编制动态管理备案机制。深化新时代教育督导体制机制改革，开展义务教育质量监测和评价。</w:t>
      </w:r>
    </w:p>
    <w:p w:rsidR="00000000" w:rsidRDefault="00000000">
      <w:pPr>
        <w:spacing w:line="480" w:lineRule="exact"/>
        <w:ind w:firstLineChars="200" w:firstLine="420"/>
        <w:rPr>
          <w:rFonts w:ascii="宋体" w:hAnsi="宋体" w:cs="宋体" w:hint="eastAsia"/>
          <w:kern w:val="0"/>
          <w:szCs w:val="21"/>
        </w:rPr>
      </w:pPr>
      <w:r>
        <w:rPr>
          <w:rFonts w:eastAsia="楷体_GB2312" w:hint="eastAsia"/>
          <w:szCs w:val="21"/>
        </w:rPr>
        <w:t>推动学前教育公益普惠发展。</w:t>
      </w:r>
      <w:r>
        <w:rPr>
          <w:rFonts w:ascii="宋体" w:hAnsi="宋体" w:cs="宋体" w:hint="eastAsia"/>
          <w:kern w:val="0"/>
          <w:szCs w:val="21"/>
        </w:rPr>
        <w:t>继续实施学前教育行动计划，大力发展公办幼儿园，加大普惠性民办幼儿园扶持力度。将学前教育设施纳入城乡建设规划，合理布局幼儿园，促进就近入园。发展公办园，积极扶持普惠性民办园建设。新建三所公办幼儿园，普惠性幼儿园覆盖率达到80%，城乡学前三年幼儿入园率达到98%以上，逐步缩小农牧区与中心城区、民办与公办幼儿园的发展差距。培育两所幼儿园进入“自治区示范园”行列。健全0-3岁婴幼儿早期教育服务体系。</w:t>
      </w:r>
    </w:p>
    <w:p w:rsidR="00000000" w:rsidRDefault="00000000">
      <w:pPr>
        <w:spacing w:line="500" w:lineRule="exact"/>
        <w:ind w:firstLineChars="200" w:firstLine="420"/>
        <w:rPr>
          <w:rFonts w:ascii="宋体" w:hAnsi="宋体" w:cs="宋体" w:hint="eastAsia"/>
          <w:kern w:val="0"/>
          <w:szCs w:val="21"/>
        </w:rPr>
      </w:pPr>
      <w:r>
        <w:rPr>
          <w:rFonts w:eastAsia="楷体_GB2312" w:hint="eastAsia"/>
          <w:szCs w:val="21"/>
        </w:rPr>
        <w:t>推动义务教育优质均衡发展。</w:t>
      </w:r>
      <w:r>
        <w:rPr>
          <w:rFonts w:ascii="宋体" w:hAnsi="宋体" w:cs="宋体" w:hint="eastAsia"/>
          <w:kern w:val="0"/>
          <w:szCs w:val="21"/>
        </w:rPr>
        <w:t>加大教育经费投入，健全教育经费投入稳定增长的长效机制。优化城乡义务教育布局，实施乡村教</w:t>
      </w:r>
      <w:r>
        <w:rPr>
          <w:rFonts w:ascii="宋体" w:hAnsi="宋体" w:cs="宋体" w:hint="eastAsia"/>
          <w:kern w:val="0"/>
          <w:szCs w:val="21"/>
        </w:rPr>
        <w:lastRenderedPageBreak/>
        <w:t>师和教师教育振兴行动计划，全面推行义务教育阶段教师“县管校聘”改革，统筹城乡师资配置，全面推进义务教育均衡发展。加强乡村小规模学校和乡镇寄宿制学校建设，提升办学水平。严格落实各项学生资助政策，及时下达各类资助专项资金，对资金落实情况进行专项督查和审计，实现家庭困难学生全覆盖。着力解决中小学生课业负担过重问题。到2025年，所有学校通过国家义务教育优质均衡发展评估验收。</w:t>
      </w:r>
    </w:p>
    <w:p w:rsidR="00000000" w:rsidRDefault="00000000">
      <w:pPr>
        <w:spacing w:line="460" w:lineRule="exact"/>
        <w:ind w:firstLineChars="200" w:firstLine="420"/>
        <w:rPr>
          <w:rFonts w:ascii="宋体" w:hAnsi="宋体" w:cs="宋体" w:hint="eastAsia"/>
          <w:kern w:val="0"/>
          <w:szCs w:val="21"/>
        </w:rPr>
      </w:pPr>
      <w:r>
        <w:rPr>
          <w:rFonts w:eastAsia="楷体_GB2312" w:hint="eastAsia"/>
          <w:szCs w:val="21"/>
        </w:rPr>
        <w:t>推进普通高中优质特色发展。</w:t>
      </w:r>
      <w:r>
        <w:rPr>
          <w:rFonts w:ascii="宋体" w:hAnsi="宋体" w:cs="宋体" w:hint="eastAsia"/>
          <w:kern w:val="0"/>
          <w:szCs w:val="21"/>
        </w:rPr>
        <w:t>稳步推进高考综合改革，落实普通高中课程方案和课程标准，分步实施新课程，使用新教材，加强选修课建设。引导各高中学校在培养目标、课程设置、教学方法、培养模式等方面形成自身文化和教学特色，满足不同学生的发展需求。实施普通高中学业水平考试办法，开展学生综合素质评价，全面提升教学质量。按照“十四五”期末，国家普及高中教育的政策要求，压缩第一中学和实验中学两所大校普通高中招生规模，规划新建一所普通高中。“十四五”期间，高中阶段毛入学率达到99%以上。</w:t>
      </w:r>
    </w:p>
    <w:p w:rsidR="00000000" w:rsidRDefault="00000000">
      <w:pPr>
        <w:spacing w:line="460" w:lineRule="exact"/>
        <w:ind w:firstLineChars="200" w:firstLine="420"/>
        <w:rPr>
          <w:rFonts w:ascii="宋体" w:hAnsi="宋体" w:cs="宋体" w:hint="eastAsia"/>
          <w:kern w:val="0"/>
          <w:szCs w:val="21"/>
        </w:rPr>
      </w:pPr>
      <w:r>
        <w:rPr>
          <w:rFonts w:eastAsia="楷体_GB2312" w:hint="eastAsia"/>
          <w:szCs w:val="21"/>
        </w:rPr>
        <w:t>推进职业教育协调发展。</w:t>
      </w:r>
      <w:r>
        <w:rPr>
          <w:rFonts w:ascii="宋体" w:hAnsi="宋体" w:cs="宋体" w:hint="eastAsia"/>
          <w:kern w:val="0"/>
          <w:szCs w:val="21"/>
        </w:rPr>
        <w:t>提高职普比例，以面向市场需求、服务产业发展、促进充分就业为导向，推进民族职专加快发展。提高</w:t>
      </w:r>
      <w:r>
        <w:rPr>
          <w:rFonts w:ascii="宋体" w:hAnsi="宋体" w:cs="宋体" w:hint="eastAsia"/>
          <w:kern w:val="0"/>
          <w:szCs w:val="21"/>
        </w:rPr>
        <w:lastRenderedPageBreak/>
        <w:t>职教级别，加强“双师型”队伍建设，落实职业学校专业课教师五年一轮企业实践工作。推动“1+X”证书制度改革，推广产教融合、校企合作的“双元”育人模式，加快职业教育“双高”建设步伐。重点培育一批校企深度合作共建的高水平实训基地、创业孵化器和企业大学，开展市场化培训，积极开展面向各类人群的就业创业培训。按照职普比达到4:6的阶段性目标，扩大职业教育办学规模，新建一所职业高中或职业中专分校。</w:t>
      </w:r>
    </w:p>
    <w:p w:rsidR="00000000" w:rsidRDefault="00000000">
      <w:pPr>
        <w:spacing w:line="460" w:lineRule="exact"/>
        <w:ind w:firstLineChars="200" w:firstLine="420"/>
        <w:rPr>
          <w:rFonts w:ascii="宋体" w:hAnsi="宋体" w:cs="宋体" w:hint="eastAsia"/>
          <w:kern w:val="0"/>
          <w:szCs w:val="21"/>
        </w:rPr>
      </w:pPr>
      <w:r>
        <w:rPr>
          <w:rFonts w:eastAsia="楷体_GB2312" w:hint="eastAsia"/>
          <w:szCs w:val="21"/>
        </w:rPr>
        <w:t>重点保障民族教育发展。</w:t>
      </w:r>
      <w:r>
        <w:rPr>
          <w:rFonts w:ascii="宋体" w:hAnsi="宋体" w:cs="宋体" w:hint="eastAsia"/>
          <w:kern w:val="0"/>
          <w:szCs w:val="21"/>
        </w:rPr>
        <w:t>落实民族教育保障机制，提高民族教育质量和水平。落实国家统编教材使用政策，加大国家通用语言文字推广力度，开展民族语言授课学校使用三科统编教材教师培训。提高民族学校助学金标准和民族学校公用经费保障水平，改善民族学校办学条件。加强双语教师配备，深化民族教育改革，稳定民族语言教师待遇。提升全旗义务教育阶段民族教育质量，增强民族教育内涵发展能力。</w:t>
      </w:r>
    </w:p>
    <w:p w:rsidR="00000000" w:rsidRDefault="00000000">
      <w:pPr>
        <w:spacing w:line="480" w:lineRule="exact"/>
        <w:ind w:firstLineChars="200" w:firstLine="420"/>
        <w:rPr>
          <w:rFonts w:ascii="宋体" w:hAnsi="宋体" w:cs="宋体" w:hint="eastAsia"/>
          <w:kern w:val="0"/>
          <w:szCs w:val="21"/>
        </w:rPr>
      </w:pPr>
      <w:r>
        <w:rPr>
          <w:rFonts w:eastAsia="楷体_GB2312" w:hint="eastAsia"/>
          <w:szCs w:val="21"/>
        </w:rPr>
        <w:t>促进特殊教育普惠发展。</w:t>
      </w:r>
      <w:r>
        <w:rPr>
          <w:rFonts w:ascii="宋体" w:hAnsi="宋体" w:cs="宋体" w:hint="eastAsia"/>
          <w:kern w:val="0"/>
          <w:szCs w:val="21"/>
        </w:rPr>
        <w:t>实施特殊教育提升计划，加快推进特教学校工程建设。推动有五人以上残疾儿童随班就读的学校全部建设资源中心、资源教室，推动医教结合、送教上门、随班就读。落实进城务工随迁子女入学政策，保障进城务工人员子女平等享有受教育权利。加强中小学留守儿童之家建设，创新关爱与教育形式，</w:t>
      </w:r>
      <w:r>
        <w:rPr>
          <w:rFonts w:ascii="宋体" w:hAnsi="宋体" w:cs="宋体" w:hint="eastAsia"/>
          <w:kern w:val="0"/>
          <w:szCs w:val="21"/>
        </w:rPr>
        <w:lastRenderedPageBreak/>
        <w:t>强化家长法定责任，加强心理辅导、法治教育和安全教育，确保留守儿童健康成长。</w:t>
      </w:r>
    </w:p>
    <w:p w:rsidR="00000000" w:rsidRDefault="00000000">
      <w:pPr>
        <w:spacing w:line="480" w:lineRule="exact"/>
        <w:ind w:firstLineChars="200" w:firstLine="420"/>
        <w:rPr>
          <w:rFonts w:ascii="宋体" w:hAnsi="宋体" w:cs="宋体" w:hint="eastAsia"/>
          <w:kern w:val="0"/>
          <w:szCs w:val="21"/>
        </w:rPr>
      </w:pPr>
      <w:r>
        <w:rPr>
          <w:rFonts w:eastAsia="楷体_GB2312" w:hint="eastAsia"/>
          <w:szCs w:val="21"/>
        </w:rPr>
        <w:t>规范民办教育发展。</w:t>
      </w:r>
      <w:r>
        <w:rPr>
          <w:rFonts w:ascii="宋体" w:hAnsi="宋体" w:cs="宋体" w:hint="eastAsia"/>
          <w:kern w:val="0"/>
          <w:szCs w:val="21"/>
        </w:rPr>
        <w:t>贯彻国家和自治区促进民办教育发展的政策措施，鼓励社会力量依法兴办教育。加强民办教育管理，加大信息公开力度。加强教师队伍建设，在职称评聘、工龄计算等方面与公办学校教师同等对待。完善民办学校财务管理办法及预决算报告报备制度。</w:t>
      </w:r>
    </w:p>
    <w:p w:rsidR="00000000" w:rsidRDefault="00000000">
      <w:pPr>
        <w:spacing w:line="480" w:lineRule="exact"/>
        <w:ind w:firstLineChars="200" w:firstLine="420"/>
        <w:rPr>
          <w:rFonts w:eastAsia="仿宋_GB2312"/>
          <w:sz w:val="32"/>
          <w:szCs w:val="32"/>
        </w:rPr>
      </w:pPr>
      <w:r>
        <w:rPr>
          <w:rFonts w:eastAsia="楷体_GB2312" w:hint="eastAsia"/>
          <w:szCs w:val="21"/>
        </w:rPr>
        <w:t>提升教育共享水平。</w:t>
      </w:r>
      <w:r>
        <w:rPr>
          <w:rFonts w:ascii="宋体" w:hAnsi="宋体" w:cs="宋体" w:hint="eastAsia"/>
          <w:kern w:val="0"/>
          <w:szCs w:val="21"/>
        </w:rPr>
        <w:t>优先保证教育经费投入。推进教育信息化，探索“互联网+”教育发展新模式，推动教育理念更新、模式变革、体系重构。推动智慧教育，推进“三通两平台”建设，提高“同频互动课堂”应用水平，融入全旗优质数字化教学资源建设平台，加快从数字化校园转向智慧化校园建设。加强教师信息技术应用培训，加大科技馆、青少年活动中心等科普基础设施建设，实施科普人才建设工程。规范中小学办学行为，实施好阳光招生均衡分班，促进教育资源共享。加强中小学幼儿园安全管理和综合治理，持续开展法治宣传教育，开展心理健康教育，有效预防未成年人违法犯罪，严格防范校园安全事故和侵害师生事件发生，切实保障未成年人安全和身心健康。</w:t>
      </w:r>
    </w:p>
    <w:tbl>
      <w:tblPr>
        <w:tblpPr w:leftFromText="180" w:rightFromText="180" w:vertAnchor="text" w:horzAnchor="page" w:tblpX="1208" w:tblpY="282"/>
        <w:tblOverlap w:val="neve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6080"/>
      </w:tblGrid>
      <w:tr w:rsidR="00000000">
        <w:trPr>
          <w:trHeight w:hRule="exact" w:val="447"/>
        </w:trPr>
        <w:tc>
          <w:tcPr>
            <w:tcW w:w="6080" w:type="dxa"/>
            <w:tcBorders>
              <w:top w:val="single" w:sz="12" w:space="0" w:color="auto"/>
              <w:left w:val="single" w:sz="12" w:space="0" w:color="auto"/>
              <w:right w:val="single" w:sz="12" w:space="0" w:color="auto"/>
            </w:tcBorders>
            <w:shd w:val="clear" w:color="auto" w:fill="95DAF3"/>
            <w:vAlign w:val="center"/>
          </w:tcPr>
          <w:p w:rsidR="00000000" w:rsidRDefault="00000000">
            <w:pPr>
              <w:spacing w:line="360" w:lineRule="exact"/>
              <w:jc w:val="center"/>
              <w:rPr>
                <w:rFonts w:eastAsia="黑体"/>
                <w:szCs w:val="21"/>
              </w:rPr>
            </w:pPr>
            <w:r>
              <w:rPr>
                <w:rFonts w:eastAsia="黑体"/>
                <w:szCs w:val="21"/>
              </w:rPr>
              <w:lastRenderedPageBreak/>
              <w:t>专栏</w:t>
            </w:r>
            <w:r>
              <w:rPr>
                <w:rFonts w:eastAsia="黑体"/>
                <w:szCs w:val="21"/>
              </w:rPr>
              <w:t xml:space="preserve">11  </w:t>
            </w:r>
            <w:r>
              <w:rPr>
                <w:rFonts w:eastAsia="黑体"/>
                <w:szCs w:val="21"/>
              </w:rPr>
              <w:t>教育全面发展重点工程</w:t>
            </w:r>
          </w:p>
        </w:tc>
      </w:tr>
      <w:tr w:rsidR="00000000">
        <w:trPr>
          <w:trHeight w:hRule="exact" w:val="4072"/>
        </w:trPr>
        <w:tc>
          <w:tcPr>
            <w:tcW w:w="6080" w:type="dxa"/>
            <w:tcBorders>
              <w:left w:val="single" w:sz="12" w:space="0" w:color="auto"/>
              <w:bottom w:val="single" w:sz="12" w:space="0" w:color="auto"/>
              <w:right w:val="single" w:sz="12" w:space="0" w:color="auto"/>
            </w:tcBorders>
            <w:shd w:val="clear" w:color="auto" w:fill="C8EEFC"/>
          </w:tcPr>
          <w:p w:rsidR="00000000" w:rsidRDefault="00000000">
            <w:pPr>
              <w:spacing w:line="360" w:lineRule="exact"/>
              <w:ind w:firstLineChars="200" w:firstLine="404"/>
              <w:rPr>
                <w:rFonts w:eastAsia="楷体"/>
                <w:szCs w:val="21"/>
              </w:rPr>
            </w:pPr>
            <w:r>
              <w:rPr>
                <w:rFonts w:ascii="宋体" w:hAnsi="宋体" w:cs="宋体" w:hint="eastAsia"/>
                <w:spacing w:val="1"/>
                <w:kern w:val="0"/>
                <w:sz w:val="20"/>
                <w:szCs w:val="20"/>
              </w:rPr>
              <w:t>新建第六中学、大沁他拉镇第五小学、新镇学区中心校；推进第一中学、实验中学、青龙山中学、东明中学、大沁他拉镇第四小学、第二小学、黄花塔拉学区中心校、东明学区中心校等教学综合楼建设；第一、二、三、四中学、实验中学第三小学风雨操场、运动场、塑胶跑道及足球场等建设；青龙山学区中心校、东明学区中心校、八仙筒学区中心校、黄花塔拉学区中心校、第四小学、蒙古族小学、第五中学、实验中学等宿舍楼、食堂、附属用房建设；东明学区中心校等10所学校教师周转宿舍、第三幼儿园等17所学校村幼儿园教室、蒙古族中学科技事业艺术楼、民族职业中等专业学校扩建和护理专业养老康复实训基地、旗公共实训基地、旗教育教研培训中心等建设。</w:t>
            </w:r>
          </w:p>
        </w:tc>
      </w:tr>
    </w:tbl>
    <w:bookmarkStart w:id="302" w:name="_Toc6805"/>
    <w:p w:rsidR="00000000" w:rsidRDefault="00000000">
      <w:pPr>
        <w:pStyle w:val="2"/>
        <w:spacing w:beforeLines="100" w:before="321" w:afterLines="50" w:after="160" w:line="480" w:lineRule="exact"/>
        <w:jc w:val="center"/>
        <w:rPr>
          <w:rFonts w:ascii="Times New Roman" w:eastAsia="楷体_GB2312" w:hAnsi="Times New Roman" w:hint="eastAsia"/>
          <w:bCs w:val="0"/>
          <w:kern w:val="0"/>
          <w:sz w:val="24"/>
          <w:szCs w:val="24"/>
        </w:rPr>
      </w:pPr>
      <w:r>
        <w:rPr>
          <w:rFonts w:ascii="Times New Roman" w:eastAsia="楷体_GB2312" w:hAnsi="Times New Roman"/>
          <w:bCs w:val="0"/>
          <w:kern w:val="0"/>
          <w:sz w:val="24"/>
          <w:szCs w:val="24"/>
        </w:rPr>
        <w:fldChar w:fldCharType="begin"/>
      </w:r>
      <w:r>
        <w:rPr>
          <w:rFonts w:ascii="Times New Roman" w:eastAsia="楷体_GB2312" w:hAnsi="Times New Roman"/>
          <w:bCs w:val="0"/>
          <w:kern w:val="0"/>
          <w:sz w:val="24"/>
          <w:szCs w:val="24"/>
        </w:rPr>
        <w:instrText>HYPERLINK \l "_Toc441087374"</w:instrText>
      </w:r>
      <w:r>
        <w:rPr>
          <w:rFonts w:ascii="Times New Roman" w:eastAsia="楷体_GB2312" w:hAnsi="Times New Roman"/>
          <w:bCs w:val="0"/>
          <w:kern w:val="0"/>
          <w:sz w:val="24"/>
          <w:szCs w:val="24"/>
        </w:rPr>
        <w:fldChar w:fldCharType="separate"/>
      </w:r>
      <w:bookmarkStart w:id="303" w:name="_Toc55167081"/>
      <w:bookmarkStart w:id="304" w:name="_Toc59085031"/>
      <w:bookmarkStart w:id="305" w:name="_Toc57106192"/>
      <w:bookmarkStart w:id="306" w:name="_Toc65938241"/>
      <w:r>
        <w:rPr>
          <w:rFonts w:ascii="Times New Roman" w:eastAsia="楷体_GB2312" w:hAnsi="Times New Roman"/>
          <w:bCs w:val="0"/>
          <w:kern w:val="0"/>
          <w:sz w:val="24"/>
          <w:szCs w:val="24"/>
        </w:rPr>
        <w:t>第四节</w:t>
      </w:r>
      <w:r>
        <w:rPr>
          <w:rFonts w:ascii="Times New Roman" w:eastAsia="楷体_GB2312" w:hAnsi="Times New Roman"/>
          <w:bCs w:val="0"/>
          <w:kern w:val="0"/>
          <w:sz w:val="24"/>
          <w:szCs w:val="24"/>
        </w:rPr>
        <w:t xml:space="preserve"> </w:t>
      </w:r>
      <w:bookmarkEnd w:id="303"/>
      <w:r>
        <w:rPr>
          <w:rFonts w:ascii="Times New Roman" w:eastAsia="楷体_GB2312" w:hAnsi="Times New Roman"/>
          <w:bCs w:val="0"/>
          <w:kern w:val="0"/>
          <w:sz w:val="24"/>
          <w:szCs w:val="24"/>
        </w:rPr>
        <w:t xml:space="preserve"> </w:t>
      </w:r>
      <w:bookmarkEnd w:id="304"/>
      <w:bookmarkEnd w:id="305"/>
      <w:r>
        <w:rPr>
          <w:rFonts w:ascii="Times New Roman" w:eastAsia="楷体_GB2312" w:hAnsi="Times New Roman"/>
          <w:bCs w:val="0"/>
          <w:kern w:val="0"/>
          <w:sz w:val="24"/>
          <w:szCs w:val="24"/>
        </w:rPr>
        <w:fldChar w:fldCharType="end"/>
      </w:r>
      <w:r>
        <w:rPr>
          <w:rFonts w:ascii="Times New Roman" w:eastAsia="楷体_GB2312" w:hAnsi="Times New Roman" w:hint="eastAsia"/>
          <w:bCs w:val="0"/>
          <w:kern w:val="0"/>
          <w:sz w:val="24"/>
          <w:szCs w:val="24"/>
        </w:rPr>
        <w:t>全面保障人民健康</w:t>
      </w:r>
      <w:bookmarkEnd w:id="302"/>
      <w:bookmarkEnd w:id="306"/>
    </w:p>
    <w:p w:rsidR="00000000" w:rsidRDefault="00000000">
      <w:pPr>
        <w:spacing w:line="480" w:lineRule="exact"/>
        <w:ind w:firstLineChars="200" w:firstLine="420"/>
        <w:textAlignment w:val="bottom"/>
        <w:rPr>
          <w:rFonts w:ascii="宋体" w:hAnsi="宋体" w:cs="宋体" w:hint="eastAsia"/>
          <w:kern w:val="0"/>
          <w:szCs w:val="21"/>
        </w:rPr>
      </w:pPr>
      <w:r>
        <w:rPr>
          <w:rFonts w:eastAsia="楷体_GB2312" w:hint="eastAsia"/>
          <w:szCs w:val="21"/>
        </w:rPr>
        <w:t>全面深化医药卫生体制改革。</w:t>
      </w:r>
      <w:r>
        <w:rPr>
          <w:rFonts w:ascii="宋体" w:hAnsi="宋体" w:cs="宋体" w:hint="eastAsia"/>
          <w:kern w:val="0"/>
          <w:szCs w:val="21"/>
        </w:rPr>
        <w:t>坚持基本医疗卫生事业公益属性，按照“一体两翼五支撑”的总体思路，加快建设分级诊疗体系。建立完善现代医院管理制度。深化三医联动改革，推动基本医保、大病保险、医疗救助、商业健康保险、社会慈善等衔接配合，努力构建多层次医疗保障网。深化药品全流程改革，巩固完善基本药物制度，完善药品集中采购政策措施，建立规范有序的药品供应保障制</w:t>
      </w:r>
      <w:r>
        <w:rPr>
          <w:rFonts w:ascii="宋体" w:hAnsi="宋体" w:cs="宋体" w:hint="eastAsia"/>
          <w:kern w:val="0"/>
          <w:szCs w:val="21"/>
        </w:rPr>
        <w:lastRenderedPageBreak/>
        <w:t>度。建立健全职责明确、分工协作、运行规范、科学有效的综合监管长效机制，推进监管法制化和规范化。加快供给侧结构性改革，构建与经济社会发展水平相适应、与居民健康需求相匹配、体系完整、分工明确、功能互补、密切协作的整合型医疗卫生服务体系。</w:t>
      </w:r>
    </w:p>
    <w:p w:rsidR="00000000" w:rsidRDefault="00000000">
      <w:pPr>
        <w:spacing w:line="480" w:lineRule="exact"/>
        <w:ind w:firstLineChars="200" w:firstLine="420"/>
        <w:rPr>
          <w:rFonts w:ascii="宋体" w:hAnsi="宋体" w:cs="宋体" w:hint="eastAsia"/>
          <w:kern w:val="0"/>
          <w:szCs w:val="21"/>
        </w:rPr>
      </w:pPr>
      <w:r>
        <w:rPr>
          <w:rFonts w:eastAsia="楷体_GB2312" w:hint="eastAsia"/>
          <w:szCs w:val="21"/>
        </w:rPr>
        <w:t>完善卫生服务体系。</w:t>
      </w:r>
      <w:r>
        <w:rPr>
          <w:rFonts w:ascii="宋体" w:hAnsi="宋体" w:cs="宋体" w:hint="eastAsia"/>
          <w:kern w:val="0"/>
          <w:szCs w:val="21"/>
        </w:rPr>
        <w:t>统筹医疗卫生资源布局，对中心城区卫生服务体系和现有医疗卫生机构进行全面规划，控制新增设施，整合现有存量，切实提高现有卫生资源利用率和卫生服务绩效。完善公共医疗服务体系，加强医疗机构传染病区建设，强化旗、乡、村三级医疗卫生服务网络建设。建立全旗“固定+流动”相结合的基层医疗卫生服务体系，苏木乡镇卫生院配套设施和诊疗装备达到国家标准，每个行政村有医疗点，每个街道有一个社区卫生服务中心，提供全方位全周期健康服务。完善城乡医疗机构对口支援的长效机制，推动综合医院在农牧区卫生站挂钩设点，逐步缩小城乡居民基本公共卫生服务差距。</w:t>
      </w:r>
    </w:p>
    <w:p w:rsidR="00000000" w:rsidRDefault="00000000">
      <w:pPr>
        <w:spacing w:line="480" w:lineRule="exact"/>
        <w:ind w:firstLineChars="200" w:firstLine="420"/>
        <w:rPr>
          <w:rFonts w:ascii="宋体" w:hAnsi="宋体" w:cs="宋体" w:hint="eastAsia"/>
          <w:kern w:val="0"/>
          <w:szCs w:val="21"/>
        </w:rPr>
      </w:pPr>
      <w:r>
        <w:rPr>
          <w:rFonts w:eastAsia="楷体_GB2312" w:hint="eastAsia"/>
          <w:szCs w:val="21"/>
        </w:rPr>
        <w:t>提升医疗服务水平。</w:t>
      </w:r>
      <w:r>
        <w:rPr>
          <w:rFonts w:ascii="宋体" w:hAnsi="宋体" w:cs="宋体" w:hint="eastAsia"/>
          <w:kern w:val="0"/>
          <w:szCs w:val="21"/>
        </w:rPr>
        <w:t>加快医院结构调整，推进特色办医、错位发展，加强综合性医院、专科医院与基层医疗卫生机构的分工协作。推动城镇优质医疗资源下沉，强化苏木乡镇卫生院基础设施建设，提升公共卫生和医疗服务能力，订单式培养基层农村全科医生，实</w:t>
      </w:r>
      <w:r>
        <w:rPr>
          <w:rFonts w:ascii="宋体" w:hAnsi="宋体" w:cs="宋体" w:hint="eastAsia"/>
          <w:kern w:val="0"/>
          <w:szCs w:val="21"/>
        </w:rPr>
        <w:lastRenderedPageBreak/>
        <w:t>现设备、人员和管理三配套。加强传染病和地方病防控工作，大力实施健康知识普及、开展心理健康、妇幼健康、中小学健康、老年健康等健康促进活动，完善健康服务体系。鼓励非公立医疗机构发展高端、紧缺医疗服务。加强医疗服务人才队伍建设，加大医疗卫生人才引进和培养，强化公立医院骨干医师培训，实施专科特设岗位计划。深化与首都医科大学附属北京中医医院、北京世纪坛医院，解放军总医院等医疗机构对口支援协作和内蒙古民族大学附属医院合作。引进一批医疗高层次人才，培育自治区级名医和学科带头人。完善远程会诊、远程诊断、远程监护等现代信息化医疗服务系统建设。进一步完善全旗急救系统，装备好旗人民医院急救中心，发挥全旗急救指挥、抢救和指导作用。到2025年，旗人民医院达到三级医院水平。</w:t>
      </w:r>
    </w:p>
    <w:p w:rsidR="00000000" w:rsidRDefault="00000000">
      <w:pPr>
        <w:spacing w:line="480" w:lineRule="exact"/>
        <w:ind w:firstLineChars="200" w:firstLine="420"/>
        <w:textAlignment w:val="bottom"/>
        <w:rPr>
          <w:rFonts w:ascii="宋体" w:hAnsi="宋体" w:cs="宋体" w:hint="eastAsia"/>
          <w:kern w:val="0"/>
          <w:szCs w:val="21"/>
        </w:rPr>
      </w:pPr>
      <w:r>
        <w:rPr>
          <w:rFonts w:eastAsia="楷体_GB2312" w:hint="eastAsia"/>
          <w:szCs w:val="21"/>
        </w:rPr>
        <w:t>提升蒙中医服务能力。</w:t>
      </w:r>
      <w:r>
        <w:rPr>
          <w:rFonts w:ascii="宋体" w:hAnsi="宋体" w:cs="宋体" w:hint="eastAsia"/>
          <w:kern w:val="0"/>
          <w:szCs w:val="21"/>
        </w:rPr>
        <w:t>加强旗蒙医医院基础设施建设，启动蒙中医馆建设。加强蒙中医药特色优势人才培训，开展乡村医生蒙中医药知识培训。强化蒙中医药健康养老、健康旅游、养生保健一体化服务能力和特色品牌打造。到2025年，基层卫生院蒙中医馆覆盖率达100%。</w:t>
      </w:r>
    </w:p>
    <w:p w:rsidR="00000000" w:rsidRDefault="00000000">
      <w:pPr>
        <w:spacing w:line="480" w:lineRule="exact"/>
        <w:ind w:firstLineChars="200" w:firstLine="420"/>
        <w:rPr>
          <w:rFonts w:eastAsia="仿宋_GB2312"/>
          <w:sz w:val="32"/>
          <w:szCs w:val="32"/>
        </w:rPr>
      </w:pPr>
      <w:r>
        <w:rPr>
          <w:rFonts w:eastAsia="楷体_GB2312" w:hint="eastAsia"/>
          <w:szCs w:val="21"/>
        </w:rPr>
        <w:t>增强公共卫生保障能力。</w:t>
      </w:r>
      <w:r>
        <w:rPr>
          <w:rFonts w:ascii="宋体" w:hAnsi="宋体" w:cs="宋体" w:hint="eastAsia"/>
          <w:kern w:val="0"/>
          <w:szCs w:val="21"/>
        </w:rPr>
        <w:t>健全公共卫生应急体系，强化应急救</w:t>
      </w:r>
      <w:r>
        <w:rPr>
          <w:rFonts w:ascii="宋体" w:hAnsi="宋体" w:cs="宋体" w:hint="eastAsia"/>
          <w:kern w:val="0"/>
          <w:szCs w:val="21"/>
        </w:rPr>
        <w:lastRenderedPageBreak/>
        <w:t>助、医疗救治、科技支撑和物资保障，完善突发公共卫生事件监测预警处置机制。加强疾病预防控制、妇幼保健、精神卫生、职业卫生、应急救治、120指挥系统、采供血和卫生监督等专业公共卫生能力建设。推进卫生信息化建设，实施“互联网+人口健康”项目，建立以居民电子健康档案、电子病历和全员人口信息为重点的人口卫生信息平台，加强居民健康管理。加大重大传染病的监测和预警，改善疾控基础条件，推进传染病房楼、检测实验室建设。深入开展爱国卫生运动，推广普及文明健康生活方式。</w:t>
      </w:r>
    </w:p>
    <w:p w:rsidR="00000000" w:rsidRDefault="00000000">
      <w:pPr>
        <w:spacing w:line="360" w:lineRule="exact"/>
        <w:ind w:firstLineChars="200" w:firstLine="640"/>
        <w:textAlignment w:val="bottom"/>
        <w:rPr>
          <w:rFonts w:eastAsia="仿宋_GB2312"/>
          <w:sz w:val="32"/>
          <w:szCs w:val="32"/>
        </w:rPr>
      </w:pP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6300"/>
      </w:tblGrid>
      <w:tr w:rsidR="00000000">
        <w:trPr>
          <w:trHeight w:hRule="exact" w:val="465"/>
          <w:jc w:val="center"/>
        </w:trPr>
        <w:tc>
          <w:tcPr>
            <w:tcW w:w="6300" w:type="dxa"/>
            <w:tcBorders>
              <w:top w:val="single" w:sz="12" w:space="0" w:color="auto"/>
              <w:left w:val="single" w:sz="12" w:space="0" w:color="auto"/>
              <w:right w:val="single" w:sz="12" w:space="0" w:color="auto"/>
            </w:tcBorders>
            <w:shd w:val="clear" w:color="auto" w:fill="95DAF3"/>
            <w:vAlign w:val="center"/>
          </w:tcPr>
          <w:p w:rsidR="00000000" w:rsidRDefault="00000000">
            <w:pPr>
              <w:spacing w:line="360" w:lineRule="exact"/>
              <w:jc w:val="center"/>
              <w:rPr>
                <w:rFonts w:eastAsia="黑体"/>
                <w:szCs w:val="21"/>
              </w:rPr>
            </w:pPr>
            <w:r>
              <w:rPr>
                <w:rFonts w:eastAsia="黑体"/>
                <w:szCs w:val="21"/>
              </w:rPr>
              <w:t>专栏</w:t>
            </w:r>
            <w:r>
              <w:rPr>
                <w:rFonts w:eastAsia="黑体"/>
                <w:szCs w:val="21"/>
              </w:rPr>
              <w:t xml:space="preserve">12  </w:t>
            </w:r>
            <w:r>
              <w:rPr>
                <w:rFonts w:eastAsia="黑体"/>
                <w:szCs w:val="21"/>
              </w:rPr>
              <w:t>卫生健康保障能力建设工程</w:t>
            </w:r>
          </w:p>
        </w:tc>
      </w:tr>
      <w:tr w:rsidR="00000000">
        <w:trPr>
          <w:trHeight w:hRule="exact" w:val="3215"/>
          <w:jc w:val="center"/>
        </w:trPr>
        <w:tc>
          <w:tcPr>
            <w:tcW w:w="6300" w:type="dxa"/>
            <w:tcBorders>
              <w:left w:val="single" w:sz="12" w:space="0" w:color="auto"/>
              <w:bottom w:val="single" w:sz="12" w:space="0" w:color="auto"/>
              <w:right w:val="single" w:sz="12" w:space="0" w:color="auto"/>
            </w:tcBorders>
            <w:shd w:val="clear" w:color="auto" w:fill="C8EEFC"/>
          </w:tcPr>
          <w:p w:rsidR="00000000" w:rsidRDefault="00000000">
            <w:pPr>
              <w:spacing w:line="380" w:lineRule="exact"/>
              <w:ind w:firstLineChars="200" w:firstLine="404"/>
              <w:rPr>
                <w:rFonts w:eastAsia="楷体"/>
                <w:szCs w:val="21"/>
              </w:rPr>
            </w:pPr>
            <w:r>
              <w:rPr>
                <w:rFonts w:ascii="宋体" w:hAnsi="宋体" w:cs="宋体" w:hint="eastAsia"/>
                <w:spacing w:val="1"/>
                <w:kern w:val="0"/>
                <w:sz w:val="20"/>
                <w:szCs w:val="20"/>
              </w:rPr>
              <w:t>实施人民医院、蒙医医院传染病房楼，蒙医医院蒙药制剂室等项目建设；沙日浩来镇、东明镇得胜、义隆永镇、新镇、明仁苏木等卫生院建设；大沁他拉镇社区卫生服务中心、治安镇、青龙山镇、八仙筒镇、东明镇等门诊病房综合楼及附属用房建设；蒙中医馆、区域互联网﹢医疗健康大数据、婴幼儿照护服务中心、老年健康服务体系和医养结合、蒙医医院蒙医疗术康复医养结合楼和急需医疗设备更新购置、疾控中心免疫规划数字化接种门诊和业务楼综合楼项目、旗医疗垃圾存放转运处理能力等建设。</w:t>
            </w:r>
          </w:p>
        </w:tc>
      </w:tr>
    </w:tbl>
    <w:p w:rsidR="00000000" w:rsidRDefault="00000000">
      <w:pPr>
        <w:pStyle w:val="2"/>
        <w:spacing w:before="0" w:after="0" w:line="100" w:lineRule="exact"/>
        <w:jc w:val="center"/>
        <w:rPr>
          <w:rFonts w:ascii="Times New Roman" w:eastAsia="楷体_GB2312" w:hAnsi="Times New Roman"/>
          <w:bCs w:val="0"/>
          <w:kern w:val="0"/>
          <w:sz w:val="24"/>
          <w:szCs w:val="24"/>
        </w:rPr>
      </w:pPr>
      <w:bookmarkStart w:id="307" w:name="_Toc26058"/>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hyperlink w:anchor="_Toc441087372" w:history="1">
        <w:bookmarkStart w:id="308" w:name="_Toc55167079"/>
        <w:bookmarkStart w:id="309" w:name="_Toc57106190"/>
        <w:bookmarkStart w:id="310" w:name="_Toc65938242"/>
        <w:bookmarkStart w:id="311" w:name="_Toc59085029"/>
        <w:r>
          <w:rPr>
            <w:rFonts w:ascii="Times New Roman" w:eastAsia="楷体_GB2312" w:hAnsi="Times New Roman"/>
            <w:bCs w:val="0"/>
            <w:kern w:val="0"/>
            <w:sz w:val="24"/>
            <w:szCs w:val="24"/>
          </w:rPr>
          <w:t>第五节</w:t>
        </w:r>
        <w:r>
          <w:rPr>
            <w:rFonts w:ascii="Times New Roman" w:eastAsia="楷体_GB2312" w:hAnsi="Times New Roman"/>
            <w:bCs w:val="0"/>
            <w:kern w:val="0"/>
            <w:sz w:val="24"/>
            <w:szCs w:val="24"/>
          </w:rPr>
          <w:t xml:space="preserve"> </w:t>
        </w:r>
        <w:bookmarkEnd w:id="308"/>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完善社会保障体系</w:t>
        </w:r>
        <w:bookmarkEnd w:id="309"/>
        <w:bookmarkEnd w:id="310"/>
        <w:bookmarkEnd w:id="311"/>
      </w:hyperlink>
      <w:bookmarkEnd w:id="307"/>
    </w:p>
    <w:p w:rsidR="00000000" w:rsidRDefault="00000000">
      <w:pPr>
        <w:spacing w:line="500" w:lineRule="exact"/>
        <w:ind w:firstLineChars="200" w:firstLine="420"/>
        <w:rPr>
          <w:rFonts w:ascii="宋体" w:hAnsi="宋体" w:cs="宋体" w:hint="eastAsia"/>
          <w:kern w:val="0"/>
          <w:szCs w:val="21"/>
        </w:rPr>
      </w:pPr>
      <w:r>
        <w:rPr>
          <w:rFonts w:eastAsia="楷体_GB2312" w:hint="eastAsia"/>
          <w:szCs w:val="21"/>
        </w:rPr>
        <w:t>建立公平可持续的社会保障制度。</w:t>
      </w:r>
      <w:r>
        <w:rPr>
          <w:rFonts w:ascii="宋体" w:hAnsi="宋体" w:cs="宋体" w:hint="eastAsia"/>
          <w:kern w:val="0"/>
          <w:szCs w:val="21"/>
        </w:rPr>
        <w:t>实施全民参保计划，以民营企业、新兴业态从业人员和个体工商户、灵活就业人员为重点，扩大养老保险覆盖范围。缩小企业与机关事业单位养老金差距。完善低保申请对象认定标准，实现低保应保尽保。坚持提高社会保障水平与改善民生紧密结合，稳步提高各项社会保险待遇保障水平。不断完善基本医疗保险、大病保险、医疗救助三重保障制度，深入推进医保、医疗、医药三医联动，改革医保支付方式，发挥医保控费作用。鼓励发展补充医疗保险、补充工伤保险和商业健康保险。完善职工养老保险个人账户制度，健全多缴多得激励机制。做好职业年金、企业年金、商业养老保险工作。完善医疗保障体系，健全重特大疾病医疗保险和救助制度，推进医保、医疗、医药联动改革系统集成，保障群众获得优质实惠的医药服务。</w:t>
      </w:r>
    </w:p>
    <w:p w:rsidR="00000000" w:rsidRDefault="00000000">
      <w:pPr>
        <w:spacing w:line="520" w:lineRule="exact"/>
        <w:ind w:firstLineChars="200" w:firstLine="420"/>
        <w:rPr>
          <w:rFonts w:ascii="宋体" w:hAnsi="宋体" w:cs="宋体" w:hint="eastAsia"/>
          <w:kern w:val="0"/>
          <w:szCs w:val="21"/>
        </w:rPr>
      </w:pPr>
      <w:r>
        <w:rPr>
          <w:rFonts w:eastAsia="楷体_GB2312" w:hint="eastAsia"/>
          <w:szCs w:val="21"/>
        </w:rPr>
        <w:t>稳步推进社会救助综合改革。</w:t>
      </w:r>
      <w:r>
        <w:rPr>
          <w:rFonts w:ascii="宋体" w:hAnsi="宋体" w:cs="宋体" w:hint="eastAsia"/>
          <w:kern w:val="0"/>
          <w:szCs w:val="21"/>
        </w:rPr>
        <w:t>健全政府领导、民政牵头、部门配合、社会力量参与的社会救助工作协调机制。健全优抚安置、社会福利、慈善事业等制度。全面做好特困人员、低保家庭、低收入</w:t>
      </w:r>
      <w:r>
        <w:rPr>
          <w:rFonts w:ascii="宋体" w:hAnsi="宋体" w:cs="宋体" w:hint="eastAsia"/>
          <w:kern w:val="0"/>
          <w:szCs w:val="21"/>
        </w:rPr>
        <w:lastRenderedPageBreak/>
        <w:t>家庭、支出型贫困家庭等不同群体的救助需求，统筹整合社会资源，提供多元化、精准化、针对性救助服务，实现社会救助城乡一体化。开展最低生活保障规范化治理，加强和改进临时救助工作，完善社会福利、慈善事业等制度，健全妇女、儿童、老年人关爱服务和残疾人帮扶机制。推进儿童福利院、流浪乞讨救助管理站建设。积极发挥红十字会、慈善组织、基金会等公益组织的示范作用，引导并规范社会各方面积极参与慈善和公益事业。</w:t>
      </w:r>
    </w:p>
    <w:p w:rsidR="00000000" w:rsidRDefault="00000000">
      <w:pPr>
        <w:spacing w:line="520" w:lineRule="exact"/>
        <w:ind w:firstLineChars="200" w:firstLine="420"/>
        <w:rPr>
          <w:rFonts w:ascii="宋体" w:hAnsi="宋体" w:cs="宋体" w:hint="eastAsia"/>
          <w:kern w:val="0"/>
          <w:szCs w:val="21"/>
        </w:rPr>
      </w:pPr>
      <w:r>
        <w:rPr>
          <w:rFonts w:eastAsia="楷体_GB2312" w:hint="eastAsia"/>
          <w:szCs w:val="21"/>
        </w:rPr>
        <w:t>加快建设基本养老服务体系。</w:t>
      </w:r>
      <w:r>
        <w:rPr>
          <w:rFonts w:ascii="宋体" w:hAnsi="宋体" w:cs="宋体" w:hint="eastAsia"/>
          <w:kern w:val="0"/>
          <w:szCs w:val="21"/>
        </w:rPr>
        <w:t>积极应对人口老龄化，加快发展医养结合、社区养老及居家养老等服务。突出做好养老、敬老、孝老工作。在提升服务质量和保障水平的同时，满足农村留守老人养老服务需求。建立政府购买服务和养老服务需求评估机制。培育养老服务产业和知名品牌，发展老年体育、老年旅游、老年健康等多元服务业态，扩大适老产品和服务供给。推进八仙筒中心敬老院、青龙山镇敬老院、大沁他拉镇敬老院等养老服务新建、改扩建。合理整合现有五保供养服务机构资源，不断提高敬老院管理服务水平，提高入住率。</w:t>
      </w:r>
    </w:p>
    <w:p w:rsidR="00000000" w:rsidRDefault="00000000">
      <w:pPr>
        <w:pStyle w:val="2"/>
        <w:spacing w:before="0" w:after="0" w:line="40" w:lineRule="exact"/>
        <w:jc w:val="center"/>
        <w:rPr>
          <w:rFonts w:ascii="Times New Roman" w:eastAsia="楷体_GB2312" w:hAnsi="Times New Roman"/>
          <w:kern w:val="0"/>
          <w:sz w:val="28"/>
          <w:szCs w:val="28"/>
        </w:rPr>
      </w:pPr>
      <w:bookmarkStart w:id="312" w:name="_Toc65938243"/>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t xml:space="preserve"> </w:t>
      </w:r>
      <w:bookmarkStart w:id="313" w:name="_Toc25181"/>
      <w:r>
        <w:rPr>
          <w:rFonts w:ascii="Times New Roman" w:eastAsia="楷体_GB2312" w:hAnsi="Times New Roman"/>
          <w:bCs w:val="0"/>
          <w:kern w:val="0"/>
          <w:sz w:val="24"/>
          <w:szCs w:val="24"/>
        </w:rPr>
        <w:t>第</w:t>
      </w:r>
      <w:r>
        <w:rPr>
          <w:rFonts w:ascii="Times New Roman" w:eastAsia="楷体_GB2312" w:hAnsi="Times New Roman" w:hint="eastAsia"/>
          <w:bCs w:val="0"/>
          <w:kern w:val="0"/>
          <w:sz w:val="24"/>
          <w:szCs w:val="24"/>
        </w:rPr>
        <w:t>六</w:t>
      </w:r>
      <w:r>
        <w:rPr>
          <w:rFonts w:ascii="Times New Roman" w:eastAsia="楷体_GB2312" w:hAnsi="Times New Roman"/>
          <w:bCs w:val="0"/>
          <w:kern w:val="0"/>
          <w:sz w:val="24"/>
          <w:szCs w:val="24"/>
        </w:rPr>
        <w:t>节</w:t>
      </w:r>
      <w:r>
        <w:rPr>
          <w:rFonts w:ascii="Times New Roman" w:eastAsia="楷体_GB2312" w:hAnsi="Times New Roman" w:hint="eastAsia"/>
          <w:bCs w:val="0"/>
          <w:kern w:val="0"/>
          <w:sz w:val="24"/>
          <w:szCs w:val="24"/>
        </w:rPr>
        <w:t xml:space="preserve">  </w:t>
      </w:r>
      <w:r>
        <w:rPr>
          <w:rFonts w:ascii="Times New Roman" w:eastAsia="楷体_GB2312" w:hAnsi="Times New Roman"/>
          <w:bCs w:val="0"/>
          <w:kern w:val="0"/>
          <w:sz w:val="24"/>
          <w:szCs w:val="24"/>
        </w:rPr>
        <w:t>促进人口均衡发展</w:t>
      </w:r>
      <w:bookmarkEnd w:id="312"/>
      <w:bookmarkEnd w:id="313"/>
    </w:p>
    <w:p w:rsidR="00000000" w:rsidRDefault="00000000">
      <w:pPr>
        <w:spacing w:line="480" w:lineRule="exact"/>
        <w:ind w:firstLineChars="200" w:firstLine="420"/>
        <w:rPr>
          <w:rFonts w:ascii="宋体" w:hAnsi="宋体" w:cs="宋体" w:hint="eastAsia"/>
          <w:spacing w:val="1"/>
          <w:kern w:val="0"/>
          <w:szCs w:val="21"/>
        </w:rPr>
      </w:pPr>
      <w:r>
        <w:rPr>
          <w:rFonts w:eastAsia="楷体_GB2312" w:hint="eastAsia"/>
          <w:szCs w:val="21"/>
        </w:rPr>
        <w:t>构筑人口均衡发展格局</w:t>
      </w:r>
      <w:r>
        <w:rPr>
          <w:rFonts w:eastAsia="楷体_GB2312"/>
          <w:szCs w:val="21"/>
        </w:rPr>
        <w:t>。</w:t>
      </w:r>
      <w:r>
        <w:rPr>
          <w:rFonts w:ascii="宋体" w:hAnsi="宋体" w:cs="宋体" w:hint="eastAsia"/>
          <w:spacing w:val="1"/>
          <w:kern w:val="0"/>
          <w:szCs w:val="21"/>
        </w:rPr>
        <w:t>做好生育支持政策与经济政策有机衔接，推动人口结构优化调整、人口素质不断提升、人口流动更加有序，构建生育友好型社会。完善生育配套政策，提高优生优育服务水平，降低生育养育教育成本。健全完善对计划生育特殊家庭的倾斜政策。加强出生人口性别比综合治理。开展婴幼儿照护卫生保健和婴幼儿早期发展的业务指导，建成具有带动示范效应、承担一定指导功能的托育示范单位。强化有关政策供给和公共服务资源配置，降低出生缺陷，人口健康水平和人均期望寿命持续提高。</w:t>
      </w:r>
    </w:p>
    <w:p w:rsidR="00000000" w:rsidRDefault="00000000">
      <w:pPr>
        <w:spacing w:line="490" w:lineRule="exact"/>
        <w:ind w:firstLineChars="200" w:firstLine="420"/>
        <w:rPr>
          <w:rFonts w:ascii="宋体" w:hAnsi="宋体" w:cs="宋体" w:hint="eastAsia"/>
          <w:kern w:val="0"/>
          <w:szCs w:val="21"/>
        </w:rPr>
      </w:pPr>
      <w:r>
        <w:rPr>
          <w:rFonts w:eastAsia="楷体_GB2312" w:hint="eastAsia"/>
          <w:szCs w:val="21"/>
        </w:rPr>
        <w:t>推动妇女儿童发展和家庭建设。</w:t>
      </w:r>
      <w:r>
        <w:rPr>
          <w:rFonts w:ascii="宋体" w:hAnsi="宋体" w:cs="宋体" w:hint="eastAsia"/>
          <w:kern w:val="0"/>
          <w:szCs w:val="21"/>
        </w:rPr>
        <w:t>全面贯彻落实妇女、儿童发展纲要和男女平等基本国策。切实保障妇女权益，拓宽妇女就业渠道，培养和扶持农村巾帼科技致富典型，加强妇女劳动保护、社会福利、卫生保健、生育关怀、法律援助，严厉打击侵害妇女合法权益的违法犯罪行为。优先保障儿童发展，完善儿童监护制度，加强留守儿童关爱服务，落实困境儿童保障制度。支持家庭文明发展，加强家庭、家教、家风建设，</w:t>
      </w:r>
      <w:r>
        <w:rPr>
          <w:rFonts w:ascii="宋体" w:hAnsi="宋体" w:cs="宋体" w:hint="eastAsia"/>
          <w:spacing w:val="-6"/>
          <w:kern w:val="0"/>
          <w:szCs w:val="21"/>
        </w:rPr>
        <w:t>加大对困难家庭、失独家庭、单亲特困等特殊家庭的政策支持、救助和服务，</w:t>
      </w:r>
      <w:r>
        <w:rPr>
          <w:rFonts w:ascii="宋体" w:hAnsi="宋体" w:cs="宋体" w:hint="eastAsia"/>
          <w:spacing w:val="-11"/>
          <w:kern w:val="0"/>
          <w:szCs w:val="21"/>
        </w:rPr>
        <w:t>建立覆盖城乡的家庭教育指导服务体系。</w:t>
      </w:r>
    </w:p>
    <w:p w:rsidR="00000000" w:rsidRDefault="00000000">
      <w:pPr>
        <w:spacing w:line="480" w:lineRule="exact"/>
        <w:ind w:firstLineChars="200" w:firstLine="420"/>
        <w:rPr>
          <w:rFonts w:eastAsia="仿宋_GB2312"/>
          <w:sz w:val="28"/>
          <w:szCs w:val="28"/>
        </w:rPr>
      </w:pPr>
      <w:r>
        <w:rPr>
          <w:rFonts w:eastAsia="楷体_GB2312" w:hint="eastAsia"/>
          <w:szCs w:val="21"/>
        </w:rPr>
        <w:lastRenderedPageBreak/>
        <w:t>积极应对人口老龄化。</w:t>
      </w:r>
      <w:r>
        <w:rPr>
          <w:rFonts w:ascii="宋体" w:hAnsi="宋体" w:cs="宋体" w:hint="eastAsia"/>
          <w:spacing w:val="1"/>
          <w:kern w:val="0"/>
          <w:szCs w:val="21"/>
        </w:rPr>
        <w:t>加快构建养老、孝老、敬老的社会环境，努力实现老有所养、老有所医、老有所为、老有所学、老有所乐。加大对经济困难的失能、高龄、失独、残疾、空巢、留守老年人的关爱救助力度，推动养老服务业及养老产业快速发展。提高老年人健康素养，开展老年常见病健康指导和综合干预。提升健康教育、慢病管理和残疾康复服务质量，重视精神卫生和心理健康。优化应对人口老龄化法治环境，保障老年人合法权益。</w:t>
      </w:r>
    </w:p>
    <w:bookmarkStart w:id="314" w:name="_Toc9986"/>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fldChar w:fldCharType="begin"/>
      </w:r>
      <w:r>
        <w:rPr>
          <w:rFonts w:ascii="Times New Roman" w:eastAsia="楷体_GB2312" w:hAnsi="Times New Roman"/>
          <w:bCs w:val="0"/>
          <w:kern w:val="0"/>
          <w:sz w:val="24"/>
          <w:szCs w:val="24"/>
        </w:rPr>
        <w:instrText>HYPERLINK \l "_Toc441087375"</w:instrText>
      </w:r>
      <w:r>
        <w:rPr>
          <w:rFonts w:ascii="Times New Roman" w:eastAsia="楷体_GB2312" w:hAnsi="Times New Roman"/>
          <w:bCs w:val="0"/>
          <w:kern w:val="0"/>
          <w:sz w:val="24"/>
          <w:szCs w:val="24"/>
        </w:rPr>
        <w:fldChar w:fldCharType="separate"/>
      </w:r>
      <w:bookmarkStart w:id="315" w:name="_Toc55167082"/>
      <w:bookmarkStart w:id="316" w:name="_Toc59085032"/>
      <w:bookmarkStart w:id="317" w:name="_Toc57106193"/>
      <w:bookmarkStart w:id="318" w:name="_Toc65938244"/>
      <w:r>
        <w:rPr>
          <w:rFonts w:ascii="Times New Roman" w:eastAsia="楷体_GB2312" w:hAnsi="Times New Roman"/>
          <w:bCs w:val="0"/>
          <w:kern w:val="0"/>
          <w:sz w:val="24"/>
          <w:szCs w:val="24"/>
        </w:rPr>
        <w:t>第</w:t>
      </w:r>
      <w:r>
        <w:rPr>
          <w:rFonts w:ascii="Times New Roman" w:eastAsia="楷体_GB2312" w:hAnsi="Times New Roman" w:hint="eastAsia"/>
          <w:bCs w:val="0"/>
          <w:kern w:val="0"/>
          <w:sz w:val="24"/>
          <w:szCs w:val="24"/>
        </w:rPr>
        <w:t>七</w:t>
      </w:r>
      <w:r>
        <w:rPr>
          <w:rFonts w:ascii="Times New Roman" w:eastAsia="楷体_GB2312" w:hAnsi="Times New Roman"/>
          <w:bCs w:val="0"/>
          <w:kern w:val="0"/>
          <w:sz w:val="24"/>
          <w:szCs w:val="24"/>
        </w:rPr>
        <w:t>节</w:t>
      </w:r>
      <w:r>
        <w:rPr>
          <w:rFonts w:ascii="Times New Roman" w:eastAsia="楷体_GB2312" w:hAnsi="Times New Roman"/>
          <w:bCs w:val="0"/>
          <w:kern w:val="0"/>
          <w:sz w:val="24"/>
          <w:szCs w:val="24"/>
        </w:rPr>
        <w:t xml:space="preserve"> </w:t>
      </w:r>
      <w:bookmarkEnd w:id="315"/>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繁荣发展文化事业</w:t>
      </w:r>
      <w:bookmarkEnd w:id="316"/>
      <w:r>
        <w:rPr>
          <w:rFonts w:ascii="Times New Roman" w:eastAsia="楷体_GB2312" w:hAnsi="Times New Roman"/>
          <w:bCs w:val="0"/>
          <w:kern w:val="0"/>
          <w:sz w:val="24"/>
          <w:szCs w:val="24"/>
        </w:rPr>
        <w:fldChar w:fldCharType="end"/>
      </w:r>
      <w:bookmarkEnd w:id="314"/>
      <w:bookmarkEnd w:id="317"/>
      <w:bookmarkEnd w:id="318"/>
    </w:p>
    <w:p w:rsidR="00000000" w:rsidRDefault="00000000">
      <w:pPr>
        <w:spacing w:line="480" w:lineRule="exact"/>
        <w:ind w:firstLineChars="200" w:firstLine="420"/>
        <w:rPr>
          <w:rFonts w:ascii="宋体" w:hAnsi="宋体" w:cs="宋体" w:hint="eastAsia"/>
          <w:kern w:val="0"/>
          <w:szCs w:val="21"/>
        </w:rPr>
      </w:pPr>
      <w:bookmarkStart w:id="319" w:name="_Toc55167066"/>
      <w:r>
        <w:rPr>
          <w:rFonts w:eastAsia="楷体_GB2312" w:hint="eastAsia"/>
          <w:szCs w:val="21"/>
        </w:rPr>
        <w:t>提高社会文明程度。</w:t>
      </w:r>
      <w:r>
        <w:rPr>
          <w:rFonts w:ascii="宋体" w:hAnsi="宋体" w:cs="宋体" w:hint="eastAsia"/>
          <w:kern w:val="0"/>
          <w:szCs w:val="21"/>
        </w:rPr>
        <w:t>坚持马克思主义在意识形态领域的指导地位，深化文明奈曼建设，提高社会文明程度，推动形成适应新时代要求的思想观念、精神面貌、文明风尚和行为规范。深入开展习近平新时代中国特色社会主义思想学习教育，实施思想铸魂工程，培养担当民族复兴大任的时代新人。推动理想信念教育常态化制度化，加强爱国主义、集体主义和社会主义教育。把社会主义核心价值观融入社会发展各方面，实施公民道德建设行动和精神文明创建工程，拓展新时代文明实践中心建设，构建新时代文明实践体系。加快文化强旗建设，创建全国文明城市。</w:t>
      </w:r>
    </w:p>
    <w:p w:rsidR="00000000" w:rsidRDefault="00000000">
      <w:pPr>
        <w:spacing w:line="460" w:lineRule="exact"/>
        <w:ind w:firstLineChars="200" w:firstLine="420"/>
        <w:rPr>
          <w:rFonts w:ascii="宋体" w:hAnsi="宋体" w:cs="宋体" w:hint="eastAsia"/>
          <w:szCs w:val="21"/>
        </w:rPr>
      </w:pPr>
      <w:r>
        <w:rPr>
          <w:rFonts w:eastAsia="楷体_GB2312" w:hint="eastAsia"/>
          <w:szCs w:val="21"/>
        </w:rPr>
        <w:lastRenderedPageBreak/>
        <w:t>创建文化名城。</w:t>
      </w:r>
      <w:r>
        <w:rPr>
          <w:rFonts w:ascii="宋体" w:hAnsi="宋体" w:cs="宋体" w:hint="eastAsia"/>
          <w:kern w:val="0"/>
          <w:szCs w:val="21"/>
        </w:rPr>
        <w:t>依托西辽河、红山、契丹、蒙元等厚重的民族优秀传统文化，传承我旗在东北抗战、辽沈解放、哲盟委创建等斗争中锻造的革命红色文化，弘扬我旗在脱贫攻坚、生态建设和改革开放奋斗中形成的胸怀坦荡、诚实守信、不畏艰难、开拓进取的奈曼精神，实施文化振兴战略，提高文化软实力和核心竞争力，打造内蒙古东部文化名城。扶持文化骨干企业，大力发展文化产业，推</w:t>
      </w:r>
      <w:r>
        <w:rPr>
          <w:rFonts w:ascii="宋体" w:hAnsi="宋体" w:cs="宋体" w:hint="eastAsia"/>
          <w:szCs w:val="21"/>
        </w:rPr>
        <w:t>动文化旅游融合发展，引导鼓励社会资本参与，推进文化业态创新、模式创新。扩大优质文化旅游产品供给，加大哲里木版画、中华麦饭石等产品开发，培育蒙古族婚嫁文化、蒙古族服饰、辽文化等优秀作品，创作具有地域文化风格的歌曲、舞蹈、曲艺、小说、诗歌等高质量文艺精品，推动文化产业高质量发展，打造诺恩吉雅文化品牌，强化文化名城创建的要素支撑。加强文化遗产系统性保护，保护和传承好优秀传统手工艺。</w:t>
      </w:r>
    </w:p>
    <w:p w:rsidR="00000000" w:rsidRDefault="00000000">
      <w:pPr>
        <w:spacing w:line="460" w:lineRule="exact"/>
        <w:ind w:firstLineChars="200" w:firstLine="420"/>
        <w:textAlignment w:val="baseline"/>
        <w:rPr>
          <w:rFonts w:ascii="宋体" w:hAnsi="宋体" w:cs="宋体" w:hint="eastAsia"/>
          <w:kern w:val="0"/>
          <w:szCs w:val="21"/>
        </w:rPr>
      </w:pPr>
      <w:r>
        <w:rPr>
          <w:rFonts w:eastAsia="楷体_GB2312" w:hint="eastAsia"/>
          <w:szCs w:val="21"/>
        </w:rPr>
        <w:t>提升公共文化服务水平。</w:t>
      </w:r>
      <w:r>
        <w:rPr>
          <w:rFonts w:ascii="宋体" w:hAnsi="宋体" w:cs="宋体" w:hint="eastAsia"/>
          <w:szCs w:val="21"/>
        </w:rPr>
        <w:t>加快文化管理体制改革，推进城乡公共文化服务体系建设，苏木乡镇文化站、嘎查村级文化室和镇村文化广场建设达到全区统一标准。完善公共文化基础设施，启动文化旅游中心、博物馆、文化馆建设。拓展新时代乌兰牧骑职能，加快乌兰牧骑事业发展。推进媒体深度融合，建强用好融媒体中心。加快智慧广电发展，推动公共文化数字化建设，提升公共文化服务水</w:t>
      </w:r>
      <w:r>
        <w:rPr>
          <w:rFonts w:ascii="宋体" w:hAnsi="宋体" w:cs="宋体" w:hint="eastAsia"/>
          <w:szCs w:val="21"/>
        </w:rPr>
        <w:lastRenderedPageBreak/>
        <w:t>平。创新实施文化惠民工程，以服务群众“最后一公里”为重点，组织惠民演出、奈曼晚八点、画展、摄影大赛等群众文化活动，持续丰富群众文化生活。加强文化人才培育，合理设置公共文化服务岗位，配备相应专业人员，鼓励和支持文化专业人员、高校毕业生和志愿者到基层从事公共文化服务工作，强化公共文化服务的宣传</w:t>
      </w:r>
      <w:r>
        <w:rPr>
          <w:rFonts w:ascii="宋体" w:hAnsi="宋体" w:cs="宋体" w:hint="eastAsia"/>
          <w:kern w:val="0"/>
          <w:szCs w:val="21"/>
        </w:rPr>
        <w:t>报道。加强文化市场监管，维护意识形态领域安全。</w:t>
      </w:r>
      <w:bookmarkEnd w:id="319"/>
    </w:p>
    <w:bookmarkStart w:id="320" w:name="_Toc27430"/>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fldChar w:fldCharType="begin"/>
      </w:r>
      <w:r>
        <w:rPr>
          <w:rFonts w:ascii="Times New Roman" w:eastAsia="楷体_GB2312" w:hAnsi="Times New Roman"/>
          <w:bCs w:val="0"/>
          <w:kern w:val="0"/>
          <w:sz w:val="24"/>
          <w:szCs w:val="24"/>
        </w:rPr>
        <w:instrText>HYPERLINK \l "_Toc441087375"</w:instrText>
      </w:r>
      <w:r>
        <w:rPr>
          <w:rFonts w:ascii="Times New Roman" w:eastAsia="楷体_GB2312" w:hAnsi="Times New Roman"/>
          <w:bCs w:val="0"/>
          <w:kern w:val="0"/>
          <w:sz w:val="24"/>
          <w:szCs w:val="24"/>
        </w:rPr>
        <w:fldChar w:fldCharType="separate"/>
      </w:r>
      <w:bookmarkStart w:id="321" w:name="_Toc65938245"/>
      <w:r>
        <w:rPr>
          <w:rFonts w:ascii="Times New Roman" w:eastAsia="楷体_GB2312" w:hAnsi="Times New Roman"/>
          <w:bCs w:val="0"/>
          <w:kern w:val="0"/>
          <w:sz w:val="24"/>
          <w:szCs w:val="24"/>
        </w:rPr>
        <w:t>第</w:t>
      </w:r>
      <w:r>
        <w:rPr>
          <w:rFonts w:ascii="Times New Roman" w:eastAsia="楷体_GB2312" w:hAnsi="Times New Roman" w:hint="eastAsia"/>
          <w:bCs w:val="0"/>
          <w:kern w:val="0"/>
          <w:sz w:val="24"/>
          <w:szCs w:val="24"/>
        </w:rPr>
        <w:t>八</w:t>
      </w:r>
      <w:r>
        <w:rPr>
          <w:rFonts w:ascii="Times New Roman" w:eastAsia="楷体_GB2312" w:hAnsi="Times New Roman"/>
          <w:bCs w:val="0"/>
          <w:kern w:val="0"/>
          <w:sz w:val="24"/>
          <w:szCs w:val="24"/>
        </w:rPr>
        <w:t>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发展体育事业</w:t>
      </w:r>
      <w:bookmarkEnd w:id="321"/>
      <w:r>
        <w:rPr>
          <w:rFonts w:ascii="Times New Roman" w:eastAsia="楷体_GB2312" w:hAnsi="Times New Roman"/>
          <w:bCs w:val="0"/>
          <w:kern w:val="0"/>
          <w:sz w:val="24"/>
          <w:szCs w:val="24"/>
        </w:rPr>
        <w:fldChar w:fldCharType="end"/>
      </w:r>
      <w:bookmarkEnd w:id="320"/>
    </w:p>
    <w:p w:rsidR="00000000" w:rsidRDefault="00000000">
      <w:pPr>
        <w:spacing w:line="460" w:lineRule="exact"/>
        <w:ind w:firstLineChars="200" w:firstLine="420"/>
        <w:rPr>
          <w:rFonts w:ascii="宋体" w:hAnsi="宋体" w:cs="宋体" w:hint="eastAsia"/>
          <w:spacing w:val="6"/>
          <w:kern w:val="0"/>
          <w:szCs w:val="21"/>
        </w:rPr>
      </w:pPr>
      <w:r>
        <w:rPr>
          <w:rFonts w:eastAsia="楷体_GB2312" w:hint="eastAsia"/>
          <w:szCs w:val="21"/>
        </w:rPr>
        <w:t>发展体育事业。</w:t>
      </w:r>
      <w:r>
        <w:rPr>
          <w:rFonts w:ascii="宋体" w:hAnsi="宋体" w:cs="宋体" w:hint="eastAsia"/>
          <w:spacing w:val="6"/>
          <w:kern w:val="0"/>
          <w:szCs w:val="21"/>
        </w:rPr>
        <w:t>建立健全体育组织机构和体育组织规章制度。大力开展足球、网球、羽毛球等运动项目，设置训练队，增强全旗竞技体育综合实力。筹划举办全旗运动会，并形成周期定制，办好内蒙古沙漠那达慕、奈曼越野群英会、ITF世界女子网球巡回赛、羚羊中国拉力赛等一系列国际和地区性体育赛事。发展体育产业，扶持民族特色体育产业，结合四季旅游发展，促进体育消费。开展农村、社区、企业体育活动，鼓励乡镇、社区、机关和企事业单位定期开展体育赛事，积极开展“乃蛮体育节”、农牧民（职工）运动会、那达慕等大型体育活动，办好“校长杯”、“旗长杯”足球联赛活动。传承好赛马、搏克、射箭、打布鲁、蒙古象棋等民族体育项目。加快完善城乡体育设施建设，推动已</w:t>
      </w:r>
      <w:r>
        <w:rPr>
          <w:rFonts w:ascii="宋体" w:hAnsi="宋体" w:cs="宋体" w:hint="eastAsia"/>
          <w:spacing w:val="6"/>
          <w:kern w:val="0"/>
          <w:szCs w:val="21"/>
        </w:rPr>
        <w:lastRenderedPageBreak/>
        <w:t>建成体育场馆面向社会、面向市场的多元化经营机制，提高设施利用率。重点建设运动训练管理中心、冰上运动管理中心、电子竞技管理中心、极限运动管理中心。</w:t>
      </w:r>
      <w:r>
        <w:rPr>
          <w:rFonts w:ascii="黑体" w:eastAsia="黑体" w:hAnsi="黑体" w:cs="黑体" w:hint="eastAsia"/>
          <w:b/>
          <w:bCs/>
          <w:spacing w:val="6"/>
          <w:szCs w:val="21"/>
        </w:rPr>
        <w:t>推进全民健身。</w:t>
      </w:r>
      <w:r>
        <w:rPr>
          <w:rFonts w:ascii="宋体" w:hAnsi="宋体" w:cs="宋体" w:hint="eastAsia"/>
          <w:spacing w:val="6"/>
          <w:kern w:val="0"/>
          <w:szCs w:val="21"/>
        </w:rPr>
        <w:t>全面落实《全民健身条例》，建立国民体质监测系统，抓住国家实施的农牧民健身工程和城镇小广场建设项目的有利时机，加快体育场地设施建设，重点建设游泳馆、民族传统体育馆、滑雪场。推动群众体育发展，建立各级体育组织机构，加大社会体育指导员队伍建设。积极开展“全民健身日”活动。加强学校体育、抓好民族体育、发展农村社区体育，开展足球运动、冰雪项目，做好老年人和残疾人体育等工作，创建全国全民健身模范县。</w:t>
      </w:r>
    </w:p>
    <w:tbl>
      <w:tblPr>
        <w:tblpPr w:leftFromText="180" w:rightFromText="180" w:vertAnchor="text" w:horzAnchor="page" w:tblpX="1163" w:tblpY="349"/>
        <w:tblOverlap w:val="neve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6240"/>
      </w:tblGrid>
      <w:tr w:rsidR="00000000">
        <w:trPr>
          <w:trHeight w:hRule="exact" w:val="491"/>
        </w:trPr>
        <w:tc>
          <w:tcPr>
            <w:tcW w:w="6240" w:type="dxa"/>
            <w:tcBorders>
              <w:top w:val="single" w:sz="12" w:space="0" w:color="auto"/>
              <w:left w:val="single" w:sz="12" w:space="0" w:color="auto"/>
              <w:right w:val="single" w:sz="12" w:space="0" w:color="auto"/>
            </w:tcBorders>
            <w:shd w:val="clear" w:color="auto" w:fill="95DAF3"/>
            <w:vAlign w:val="center"/>
          </w:tcPr>
          <w:p w:rsidR="00000000" w:rsidRDefault="00000000">
            <w:pPr>
              <w:spacing w:line="480" w:lineRule="exact"/>
              <w:jc w:val="center"/>
              <w:rPr>
                <w:rFonts w:eastAsia="黑体"/>
                <w:szCs w:val="21"/>
              </w:rPr>
            </w:pPr>
            <w:r>
              <w:rPr>
                <w:rFonts w:eastAsia="黑体"/>
                <w:szCs w:val="21"/>
              </w:rPr>
              <w:t>专栏</w:t>
            </w:r>
            <w:r>
              <w:rPr>
                <w:rFonts w:eastAsia="黑体"/>
                <w:szCs w:val="21"/>
              </w:rPr>
              <w:t xml:space="preserve">13  </w:t>
            </w:r>
            <w:r>
              <w:rPr>
                <w:rFonts w:eastAsia="黑体"/>
                <w:szCs w:val="21"/>
              </w:rPr>
              <w:t>文化体育事业重点工程</w:t>
            </w:r>
          </w:p>
        </w:tc>
      </w:tr>
      <w:tr w:rsidR="00000000">
        <w:trPr>
          <w:trHeight w:hRule="exact" w:val="3020"/>
        </w:trPr>
        <w:tc>
          <w:tcPr>
            <w:tcW w:w="6240" w:type="dxa"/>
            <w:tcBorders>
              <w:left w:val="single" w:sz="12" w:space="0" w:color="auto"/>
              <w:bottom w:val="single" w:sz="12" w:space="0" w:color="auto"/>
              <w:right w:val="single" w:sz="12" w:space="0" w:color="auto"/>
            </w:tcBorders>
            <w:shd w:val="clear" w:color="auto" w:fill="C8EEFC"/>
          </w:tcPr>
          <w:p w:rsidR="00000000" w:rsidRDefault="00000000">
            <w:pPr>
              <w:spacing w:line="360" w:lineRule="exact"/>
              <w:ind w:firstLineChars="200" w:firstLine="400"/>
              <w:rPr>
                <w:rFonts w:ascii="黑体" w:eastAsia="黑体" w:hAnsi="黑体" w:cs="黑体" w:hint="eastAsia"/>
                <w:sz w:val="20"/>
                <w:szCs w:val="20"/>
              </w:rPr>
            </w:pPr>
            <w:r>
              <w:rPr>
                <w:rFonts w:ascii="黑体" w:eastAsia="黑体" w:hAnsi="黑体" w:cs="黑体" w:hint="eastAsia"/>
                <w:sz w:val="20"/>
                <w:szCs w:val="20"/>
              </w:rPr>
              <w:t>（一）文化</w:t>
            </w:r>
          </w:p>
          <w:p w:rsidR="00000000" w:rsidRDefault="00000000">
            <w:pPr>
              <w:spacing w:line="360" w:lineRule="exact"/>
              <w:ind w:firstLineChars="200" w:firstLine="404"/>
              <w:rPr>
                <w:rFonts w:ascii="宋体" w:hAnsi="宋体" w:cs="宋体" w:hint="eastAsia"/>
                <w:spacing w:val="1"/>
                <w:kern w:val="0"/>
                <w:sz w:val="20"/>
                <w:szCs w:val="20"/>
              </w:rPr>
            </w:pPr>
            <w:r>
              <w:rPr>
                <w:rFonts w:ascii="宋体" w:hAnsi="宋体" w:cs="宋体" w:hint="eastAsia"/>
                <w:spacing w:val="1"/>
                <w:kern w:val="0"/>
                <w:sz w:val="20"/>
                <w:szCs w:val="20"/>
              </w:rPr>
              <w:t>推进博物馆、文化馆、版画展示中心、乌兰牧骑演艺中心、土城子城址安防工程、陈国公主墓壁画抢救性保护修复、非遗文化展示中心、公益电影放映设备及其附属设施、新时代文明实践中心建设。</w:t>
            </w:r>
          </w:p>
          <w:p w:rsidR="00000000" w:rsidRDefault="00000000">
            <w:pPr>
              <w:spacing w:line="360" w:lineRule="exact"/>
              <w:ind w:firstLineChars="200" w:firstLine="400"/>
              <w:rPr>
                <w:rFonts w:ascii="黑体" w:eastAsia="黑体" w:hAnsi="黑体" w:cs="黑体" w:hint="eastAsia"/>
                <w:sz w:val="20"/>
                <w:szCs w:val="20"/>
              </w:rPr>
            </w:pPr>
            <w:r>
              <w:rPr>
                <w:rFonts w:ascii="黑体" w:eastAsia="黑体" w:hAnsi="黑体" w:cs="黑体" w:hint="eastAsia"/>
                <w:sz w:val="20"/>
                <w:szCs w:val="20"/>
              </w:rPr>
              <w:t>（二）体育</w:t>
            </w:r>
          </w:p>
          <w:p w:rsidR="00000000" w:rsidRDefault="00000000">
            <w:pPr>
              <w:spacing w:line="360" w:lineRule="exact"/>
              <w:ind w:firstLineChars="200" w:firstLine="404"/>
              <w:rPr>
                <w:rFonts w:eastAsia="楷体"/>
                <w:szCs w:val="21"/>
              </w:rPr>
            </w:pPr>
            <w:r>
              <w:rPr>
                <w:rFonts w:ascii="宋体" w:hAnsi="宋体" w:cs="宋体" w:hint="eastAsia"/>
                <w:spacing w:val="1"/>
                <w:kern w:val="0"/>
                <w:sz w:val="20"/>
                <w:szCs w:val="20"/>
              </w:rPr>
              <w:t>推进冰上运动管理中心、电子竞技管理中心、极限运动管理中心、教育教研培训中心、运动训练管理中心、青少年足球训练基地、游泳馆、篮球馆、民族传统体育馆、滑雪场等建设</w:t>
            </w:r>
            <w:r>
              <w:rPr>
                <w:rFonts w:ascii="宋体" w:hAnsi="宋体" w:cs="宋体" w:hint="eastAsia"/>
                <w:spacing w:val="1"/>
                <w:kern w:val="0"/>
                <w:szCs w:val="21"/>
              </w:rPr>
              <w:t>。</w:t>
            </w:r>
          </w:p>
        </w:tc>
      </w:tr>
    </w:tbl>
    <w:p w:rsidR="00000000" w:rsidRDefault="00000000">
      <w:pPr>
        <w:pStyle w:val="1"/>
        <w:spacing w:before="0" w:after="0" w:line="480" w:lineRule="exact"/>
        <w:ind w:left="1888" w:hangingChars="590" w:hanging="1888"/>
        <w:jc w:val="center"/>
        <w:rPr>
          <w:rFonts w:ascii="方正小标宋简体" w:eastAsia="方正小标宋简体" w:hAnsi="方正小标宋简体" w:cs="方正小标宋简体" w:hint="eastAsia"/>
          <w:b w:val="0"/>
          <w:sz w:val="32"/>
          <w:szCs w:val="32"/>
        </w:rPr>
        <w:sectPr w:rsidR="00000000">
          <w:headerReference w:type="default" r:id="rId86"/>
          <w:footerReference w:type="even" r:id="rId87"/>
          <w:footerReference w:type="default" r:id="rId88"/>
          <w:pgSz w:w="8390" w:h="11905"/>
          <w:pgMar w:top="1701" w:right="1134" w:bottom="1134" w:left="1134" w:header="1304" w:footer="850" w:gutter="0"/>
          <w:pgNumType w:fmt="numberInDash" w:start="90"/>
          <w:cols w:space="720"/>
          <w:docGrid w:type="lines" w:linePitch="321"/>
        </w:sectPr>
      </w:pPr>
      <w:bookmarkStart w:id="322" w:name="_Toc59085033"/>
      <w:bookmarkStart w:id="323" w:name="_Toc25837"/>
      <w:bookmarkStart w:id="324" w:name="_Toc57106194"/>
      <w:bookmarkStart w:id="325" w:name="_Toc73"/>
      <w:bookmarkStart w:id="326" w:name="_Toc65938246"/>
    </w:p>
    <w:p w:rsidR="00000000" w:rsidRDefault="00D54102">
      <w:pPr>
        <w:rPr>
          <w:rFonts w:hint="eastAsia"/>
        </w:rPr>
        <w:sectPr w:rsidR="00000000">
          <w:headerReference w:type="even" r:id="rId89"/>
          <w:headerReference w:type="default" r:id="rId90"/>
          <w:footerReference w:type="even" r:id="rId91"/>
          <w:footerReference w:type="default" r:id="rId92"/>
          <w:pgSz w:w="8390" w:h="11905"/>
          <w:pgMar w:top="1701" w:right="1134" w:bottom="1134" w:left="1134" w:header="1304" w:footer="850" w:gutter="0"/>
          <w:pgNumType w:fmt="numberInDash" w:start="110"/>
          <w:cols w:space="720"/>
          <w:docGrid w:type="lines" w:linePitch="321"/>
        </w:sectPr>
      </w:pPr>
      <w:r>
        <w:rPr>
          <w:noProof/>
        </w:rPr>
        <w:lastRenderedPageBreak/>
        <mc:AlternateContent>
          <mc:Choice Requires="wps">
            <w:drawing>
              <wp:anchor distT="0" distB="0" distL="114300" distR="114300" simplePos="0" relativeHeight="251662336" behindDoc="0" locked="0" layoutInCell="1" allowOverlap="1">
                <wp:simplePos x="0" y="0"/>
                <wp:positionH relativeFrom="column">
                  <wp:posOffset>-720090</wp:posOffset>
                </wp:positionH>
                <wp:positionV relativeFrom="paragraph">
                  <wp:posOffset>1737995</wp:posOffset>
                </wp:positionV>
                <wp:extent cx="5374005" cy="1113790"/>
                <wp:effectExtent l="3810" t="0" r="3810" b="1905"/>
                <wp:wrapSquare wrapText="bothSides"/>
                <wp:docPr id="58" name="文本框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13790"/>
                        </a:xfrm>
                        <a:prstGeom prst="rect">
                          <a:avLst/>
                        </a:prstGeom>
                        <a:solidFill>
                          <a:srgbClr val="C8EEFC"/>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第十三章  统筹发展与安全</w:t>
                            </w:r>
                          </w:p>
                          <w:p w:rsidR="00000000" w:rsidRDefault="00000000">
                            <w:pPr>
                              <w:spacing w:line="480" w:lineRule="exact"/>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提高社会治理水平</w:t>
                            </w:r>
                          </w:p>
                        </w:txbxContent>
                      </wps:txbx>
                      <wps:bodyPr rot="0" vert="horz" wrap="square" lIns="91440" tIns="251998" rIns="91440" bIns="71999"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3" o:spid="_x0000_s1038" type="#_x0000_t202" style="position:absolute;left:0;text-align:left;margin-left:-56.7pt;margin-top:136.85pt;width:423.15pt;height:87.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" fillcolor="#c8eefc" stroked="f">
                <v:textbox inset=",6.99994mm,,1.99997mm">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第十三章  统筹发展与安全</w:t>
                      </w:r>
                    </w:p>
                    <w:p w:rsidR="00000000" w:rsidRDefault="00000000">
                      <w:pPr>
                        <w:spacing w:line="480" w:lineRule="exact"/>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提高社会治理水平</w:t>
                      </w:r>
                    </w:p>
                  </w:txbxContent>
                </v:textbox>
                <w10:wrap type="square"/>
              </v:shape>
            </w:pict>
          </mc:Fallback>
        </mc:AlternateContent>
      </w:r>
    </w:p>
    <w:bookmarkEnd w:id="322"/>
    <w:bookmarkEnd w:id="323"/>
    <w:bookmarkEnd w:id="324"/>
    <w:bookmarkEnd w:id="325"/>
    <w:bookmarkEnd w:id="326"/>
    <w:p w:rsidR="00000000" w:rsidRDefault="00000000">
      <w:pPr>
        <w:pStyle w:val="Normal24"/>
        <w:widowControl w:val="0"/>
        <w:spacing w:before="0" w:after="0" w:line="460" w:lineRule="exact"/>
        <w:ind w:firstLineChars="200"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lastRenderedPageBreak/>
        <w:t>深入贯彻总体国家安全观，坚持发展和安全并重，把安全发展贯穿发展各领域和全过程，构建大安全格局，完善大平安体系，注重防范化解重大风险，实施“清风引领”系列行动，提高社会治理水平，推动共建共治共享，打造平安亮城。</w:t>
      </w:r>
    </w:p>
    <w:bookmarkStart w:id="327" w:name="_Toc28593"/>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fldChar w:fldCharType="begin"/>
      </w:r>
      <w:r>
        <w:rPr>
          <w:rFonts w:ascii="Times New Roman" w:eastAsia="楷体_GB2312" w:hAnsi="Times New Roman"/>
          <w:bCs w:val="0"/>
          <w:kern w:val="0"/>
          <w:sz w:val="24"/>
          <w:szCs w:val="24"/>
        </w:rPr>
        <w:instrText>HYPERLINK \l "_Toc441087378"</w:instrText>
      </w:r>
      <w:r>
        <w:rPr>
          <w:rFonts w:ascii="Times New Roman" w:eastAsia="楷体_GB2312" w:hAnsi="Times New Roman"/>
          <w:bCs w:val="0"/>
          <w:kern w:val="0"/>
          <w:sz w:val="24"/>
          <w:szCs w:val="24"/>
        </w:rPr>
        <w:fldChar w:fldCharType="separate"/>
      </w:r>
      <w:bookmarkStart w:id="328" w:name="_Toc65938247"/>
      <w:r>
        <w:rPr>
          <w:rFonts w:ascii="Times New Roman" w:eastAsia="楷体_GB2312" w:hAnsi="Times New Roman"/>
          <w:bCs w:val="0"/>
          <w:kern w:val="0"/>
          <w:sz w:val="24"/>
          <w:szCs w:val="24"/>
        </w:rPr>
        <w:t>第一节</w:t>
      </w:r>
      <w:r>
        <w:rPr>
          <w:rFonts w:ascii="Times New Roman" w:eastAsia="楷体_GB2312" w:hAnsi="Times New Roman"/>
          <w:bCs w:val="0"/>
          <w:kern w:val="0"/>
          <w:sz w:val="24"/>
          <w:szCs w:val="24"/>
        </w:rPr>
        <w:t xml:space="preserve">  </w:t>
      </w:r>
      <w:r>
        <w:rPr>
          <w:rFonts w:ascii="Times New Roman" w:eastAsia="楷体_GB2312" w:hAnsi="Times New Roman" w:hint="eastAsia"/>
          <w:bCs w:val="0"/>
          <w:kern w:val="0"/>
          <w:sz w:val="24"/>
          <w:szCs w:val="24"/>
        </w:rPr>
        <w:t>加强</w:t>
      </w:r>
      <w:r>
        <w:rPr>
          <w:rFonts w:ascii="Times New Roman" w:eastAsia="楷体_GB2312" w:hAnsi="Times New Roman"/>
          <w:bCs w:val="0"/>
          <w:kern w:val="0"/>
          <w:sz w:val="24"/>
          <w:szCs w:val="24"/>
        </w:rPr>
        <w:t>安全能力建设</w:t>
      </w:r>
      <w:r>
        <w:rPr>
          <w:rFonts w:ascii="Times New Roman" w:eastAsia="楷体_GB2312" w:hAnsi="Times New Roman"/>
          <w:bCs w:val="0"/>
          <w:kern w:val="0"/>
          <w:sz w:val="24"/>
          <w:szCs w:val="24"/>
        </w:rPr>
        <w:fldChar w:fldCharType="end"/>
      </w:r>
      <w:bookmarkEnd w:id="327"/>
      <w:bookmarkEnd w:id="328"/>
    </w:p>
    <w:p w:rsidR="00000000" w:rsidRDefault="00000000">
      <w:pPr>
        <w:pStyle w:val="Normal24"/>
        <w:widowControl w:val="0"/>
        <w:spacing w:before="0" w:after="0" w:line="480" w:lineRule="exact"/>
        <w:ind w:firstLineChars="200" w:firstLine="420"/>
        <w:rPr>
          <w:rFonts w:ascii="宋体" w:eastAsia="宋体" w:hAnsi="宋体" w:cs="宋体" w:hint="eastAsia"/>
          <w:sz w:val="21"/>
          <w:szCs w:val="21"/>
          <w:lang w:eastAsia="zh-CN"/>
        </w:rPr>
      </w:pPr>
      <w:r>
        <w:rPr>
          <w:rFonts w:eastAsia="楷体_GB2312"/>
          <w:sz w:val="21"/>
          <w:szCs w:val="21"/>
          <w:lang w:eastAsia="zh-CN"/>
        </w:rPr>
        <w:t>捍卫政治安全</w:t>
      </w:r>
      <w:r>
        <w:rPr>
          <w:rFonts w:eastAsia="楷体_GB2312" w:hint="eastAsia"/>
          <w:sz w:val="21"/>
          <w:szCs w:val="21"/>
          <w:lang w:eastAsia="zh-CN"/>
        </w:rPr>
        <w:t>。</w:t>
      </w:r>
      <w:r>
        <w:rPr>
          <w:rFonts w:ascii="宋体" w:eastAsia="宋体" w:hAnsi="宋体" w:cs="宋体" w:hint="eastAsia"/>
          <w:sz w:val="21"/>
          <w:szCs w:val="21"/>
          <w:lang w:eastAsia="zh-CN"/>
        </w:rPr>
        <w:t>坚定维护国家政权安全、制度安全、意识形态安全，全面加强网络安全保障体系和能力建设。完善全旗国家安全组织体系和工作机制，加强国家安全宣传教育，巩固国家安全人民防线。坚持不懈抓好党内政治生态建设，加强理想信念教育，巩固深化主题教育成果，严肃党内政治生活，提高党内政治生活质量，发展积极健康的党内政治文化，严格遵守政治纪律和政治规矩。落实全面从严治党主体责任，一体推进不敢腐、不能腐、不想腐。增强基层党组织政治功能和组织力，坚决反对形式主义、官僚主义，营造风清气正的良好政治生态。发挥工会、共青团、妇联、工商联、科协、文联等人民团体作用，把各自联系的群众紧紧凝聚在党的周围。完善大统战工作格局，促进政党关系、民族关系、宗教关系、阶层关系、海内外同胞关系和谐，巩固和发展大团结大联合局面。</w:t>
      </w:r>
    </w:p>
    <w:p w:rsidR="00000000" w:rsidRDefault="00000000">
      <w:pPr>
        <w:spacing w:line="480" w:lineRule="exact"/>
        <w:ind w:firstLineChars="200" w:firstLine="420"/>
        <w:rPr>
          <w:rFonts w:eastAsia="楷体_GB2312"/>
          <w:kern w:val="0"/>
          <w:szCs w:val="21"/>
        </w:rPr>
        <w:sectPr w:rsidR="00000000">
          <w:headerReference w:type="default" r:id="rId93"/>
          <w:footerReference w:type="even" r:id="rId94"/>
          <w:footerReference w:type="default" r:id="rId95"/>
          <w:pgSz w:w="8390" w:h="11905"/>
          <w:pgMar w:top="1701" w:right="1134" w:bottom="1134" w:left="1134" w:header="1304" w:footer="850" w:gutter="0"/>
          <w:pgNumType w:fmt="numberInDash" w:start="111"/>
          <w:cols w:space="720"/>
          <w:docGrid w:type="lines" w:linePitch="321"/>
        </w:sectPr>
      </w:pPr>
    </w:p>
    <w:p w:rsidR="00000000" w:rsidRDefault="00000000">
      <w:pPr>
        <w:spacing w:line="480" w:lineRule="exact"/>
        <w:ind w:firstLineChars="200" w:firstLine="420"/>
        <w:rPr>
          <w:rFonts w:ascii="宋体" w:hAnsi="宋体" w:cs="宋体" w:hint="eastAsia"/>
          <w:szCs w:val="21"/>
        </w:rPr>
      </w:pPr>
      <w:r>
        <w:rPr>
          <w:rFonts w:eastAsia="楷体_GB2312"/>
          <w:kern w:val="0"/>
          <w:szCs w:val="21"/>
        </w:rPr>
        <w:lastRenderedPageBreak/>
        <w:t>增进军政军民团结</w:t>
      </w:r>
      <w:r>
        <w:rPr>
          <w:rFonts w:eastAsia="楷体_GB2312" w:hint="eastAsia"/>
          <w:kern w:val="0"/>
          <w:szCs w:val="21"/>
        </w:rPr>
        <w:t>。</w:t>
      </w:r>
      <w:r>
        <w:rPr>
          <w:rFonts w:ascii="宋体" w:hAnsi="宋体" w:cs="宋体" w:hint="eastAsia"/>
          <w:szCs w:val="21"/>
        </w:rPr>
        <w:t>加强军地协作，实施军民融合发展战略，形成全要素、多领域、高效益的军民深度融合发展格局。健全军民融合发展组织管理体系、工作运行体系、政策制度体系。完善统一领导、军地协调、需求对接、资源共享、监督评估的军民融合体制机制。提高应战资源与应急资源共享范围和程度，发挥国防动员系统应用功能，强化国防动员专业保障队伍在非战争军事行动中的保障能力，增强国防动员应急能力。加强全民国防教育和后备力量建设。扎实推进烈士褒扬工作，加强烈士纪念设施保护管理，充分发挥爱国主义阵地作用。发扬拥军优属、拥政爱民光荣传统，用心用情解决好军人“后路、后代、后院”问题，努力营造崇尚英雄、尊崇军人的良好社会氛围。落实军队转业干部、随调家属、退役士兵和职工安置等方面政策，做好新一轮双拥模范城创建工作，持续巩固发展军政军民团结良好局面。</w:t>
      </w:r>
    </w:p>
    <w:p w:rsidR="00000000" w:rsidRDefault="00000000">
      <w:pPr>
        <w:spacing w:line="480" w:lineRule="exact"/>
        <w:ind w:firstLineChars="200" w:firstLine="420"/>
        <w:rPr>
          <w:rFonts w:ascii="宋体" w:hAnsi="宋体" w:cs="宋体" w:hint="eastAsia"/>
          <w:szCs w:val="21"/>
        </w:rPr>
      </w:pPr>
      <w:r>
        <w:rPr>
          <w:rFonts w:eastAsia="楷体_GB2312"/>
          <w:kern w:val="0"/>
          <w:szCs w:val="21"/>
        </w:rPr>
        <w:t>防范化解重大安全风险。</w:t>
      </w:r>
      <w:r>
        <w:rPr>
          <w:rFonts w:ascii="宋体" w:hAnsi="宋体" w:cs="宋体" w:hint="eastAsia"/>
          <w:szCs w:val="21"/>
        </w:rPr>
        <w:t>牢牢掌握意识形态工作主动权，严密防范、有效化解政治安全和社会稳定领域风险隐患。加强经济安全风险预警、防控机制和能力建设，健全政府债务管理制度，加强债务化解统筹协调，有效防范化解债务风险。加强金融监管，建立金融风险防控体系，严厉打击违法违规互联网金融、非法金融放贷和</w:t>
      </w:r>
      <w:r>
        <w:rPr>
          <w:rFonts w:ascii="宋体" w:hAnsi="宋体" w:cs="宋体" w:hint="eastAsia"/>
          <w:szCs w:val="21"/>
        </w:rPr>
        <w:lastRenderedPageBreak/>
        <w:t>非法集资等活动，推进农村牧区高利贷综合治理，合法合规举债融资，维护金融安全。推进能源供应保障升级，完善能源产供储销体系。构建生态环境风险防范体系，从严实施生态环境风险防控措施。</w:t>
      </w:r>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bookmarkStart w:id="329" w:name="_Toc59085036"/>
      <w:bookmarkStart w:id="330" w:name="_Toc65938249"/>
      <w:bookmarkStart w:id="331" w:name="_Toc18190"/>
      <w:bookmarkStart w:id="332" w:name="_Hlk58618956"/>
      <w:r>
        <w:rPr>
          <w:rFonts w:ascii="Times New Roman" w:eastAsia="楷体_GB2312" w:hAnsi="Times New Roman"/>
          <w:bCs w:val="0"/>
          <w:kern w:val="0"/>
          <w:sz w:val="24"/>
          <w:szCs w:val="24"/>
        </w:rPr>
        <w:t>第二节</w:t>
      </w:r>
      <w:bookmarkStart w:id="333" w:name="_Hlk59588816"/>
      <w:r>
        <w:rPr>
          <w:rFonts w:ascii="Times New Roman" w:eastAsia="楷体_GB2312" w:hAnsi="Times New Roman"/>
          <w:bCs w:val="0"/>
          <w:kern w:val="0"/>
          <w:sz w:val="24"/>
          <w:szCs w:val="24"/>
        </w:rPr>
        <w:t xml:space="preserve">  </w:t>
      </w:r>
      <w:bookmarkEnd w:id="329"/>
      <w:bookmarkEnd w:id="333"/>
      <w:r>
        <w:rPr>
          <w:rFonts w:ascii="Times New Roman" w:eastAsia="楷体_GB2312" w:hAnsi="Times New Roman"/>
          <w:bCs w:val="0"/>
          <w:kern w:val="0"/>
          <w:sz w:val="24"/>
          <w:szCs w:val="24"/>
        </w:rPr>
        <w:t>巩固和发展民族团结大局</w:t>
      </w:r>
      <w:bookmarkEnd w:id="330"/>
      <w:bookmarkEnd w:id="331"/>
      <w:r>
        <w:rPr>
          <w:rFonts w:ascii="Times New Roman" w:eastAsia="楷体_GB2312" w:hAnsi="Times New Roman"/>
          <w:bCs w:val="0"/>
          <w:kern w:val="0"/>
          <w:sz w:val="24"/>
          <w:szCs w:val="24"/>
        </w:rPr>
        <w:t xml:space="preserve">     </w:t>
      </w:r>
    </w:p>
    <w:bookmarkEnd w:id="332"/>
    <w:p w:rsidR="00000000" w:rsidRDefault="00000000">
      <w:pPr>
        <w:pStyle w:val="Normal24"/>
        <w:widowControl w:val="0"/>
        <w:spacing w:before="0" w:after="0" w:line="480" w:lineRule="exact"/>
        <w:ind w:firstLineChars="200" w:firstLine="420"/>
        <w:rPr>
          <w:rFonts w:ascii="宋体" w:eastAsia="宋体" w:hAnsi="宋体" w:cs="宋体" w:hint="eastAsia"/>
          <w:kern w:val="2"/>
          <w:sz w:val="21"/>
          <w:szCs w:val="21"/>
          <w:lang w:eastAsia="zh-CN"/>
        </w:rPr>
      </w:pPr>
      <w:r>
        <w:rPr>
          <w:rFonts w:ascii="宋体" w:eastAsia="宋体" w:hAnsi="宋体" w:cs="宋体" w:hint="eastAsia"/>
          <w:kern w:val="2"/>
          <w:sz w:val="21"/>
          <w:szCs w:val="21"/>
          <w:lang w:eastAsia="zh-CN"/>
        </w:rPr>
        <w:t>全面贯彻落实党的民族政策，加强和改进民族工作。铸牢中华民族共同体意识，把民族团结进步教育融入干部教育、国民教育、社会教育全过程、促进各民族交往交流交融。引导各族群众牢固树立守望相助理念和“两个共同”、“三个离不开”，“五个认同”思想在人民心中深深扎根。培育和践行社会主义核心价值观，树立正确的国家观、民族观、历史观、文化观、宗教观。落实促进民族地区发展政策，在基础设施、扶贫开发、生态建设、基本公共服务均等化等方面给予倾斜，支持民族集聚的苏木和嘎查发展。广泛开展“中华民族一家亲，同心共筑中国梦”主题活动，讲好民族团结进步故事。宣传党的民族宗教政策，依法治理民族宗教事务，加强和谐寺观教堂建设，保障各民族合法权益。增强全社会的民族团结意识，巩固平等、团结、互助、和谐的社会主义新型民族关系，创建全国民族团结进步示范旗。</w:t>
      </w:r>
    </w:p>
    <w:p w:rsidR="00000000" w:rsidRDefault="00000000">
      <w:pPr>
        <w:pStyle w:val="2"/>
        <w:spacing w:before="0" w:after="0" w:line="40" w:lineRule="exact"/>
        <w:jc w:val="center"/>
        <w:rPr>
          <w:rFonts w:ascii="Times New Roman" w:eastAsia="楷体_GB2312" w:hAnsi="Times New Roman"/>
          <w:bCs w:val="0"/>
          <w:kern w:val="0"/>
          <w:sz w:val="24"/>
          <w:szCs w:val="24"/>
        </w:rPr>
      </w:pPr>
      <w:bookmarkStart w:id="334" w:name="_Toc31272"/>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hyperlink w:anchor="_Toc441087380" w:history="1">
        <w:bookmarkStart w:id="335" w:name="_Toc59085037"/>
        <w:bookmarkStart w:id="336" w:name="_Toc55167089"/>
        <w:bookmarkStart w:id="337" w:name="_Toc57106198"/>
        <w:bookmarkStart w:id="338" w:name="_Toc65938250"/>
        <w:r>
          <w:rPr>
            <w:rFonts w:ascii="Times New Roman" w:eastAsia="楷体_GB2312" w:hAnsi="Times New Roman"/>
            <w:bCs w:val="0"/>
            <w:kern w:val="0"/>
            <w:sz w:val="24"/>
            <w:szCs w:val="24"/>
          </w:rPr>
          <w:t>第</w:t>
        </w:r>
        <w:r>
          <w:rPr>
            <w:rFonts w:ascii="Times New Roman" w:eastAsia="楷体_GB2312" w:hAnsi="Times New Roman" w:hint="eastAsia"/>
            <w:bCs w:val="0"/>
            <w:kern w:val="0"/>
            <w:sz w:val="24"/>
            <w:szCs w:val="24"/>
          </w:rPr>
          <w:t>三</w:t>
        </w:r>
        <w:r>
          <w:rPr>
            <w:rFonts w:ascii="Times New Roman" w:eastAsia="楷体_GB2312" w:hAnsi="Times New Roman"/>
            <w:bCs w:val="0"/>
            <w:kern w:val="0"/>
            <w:sz w:val="24"/>
            <w:szCs w:val="24"/>
          </w:rPr>
          <w:t>节</w:t>
        </w:r>
        <w:bookmarkStart w:id="339" w:name="_Hlk59589169"/>
        <w:r>
          <w:rPr>
            <w:rFonts w:ascii="Times New Roman" w:eastAsia="楷体_GB2312" w:hAnsi="Times New Roman"/>
            <w:bCs w:val="0"/>
            <w:kern w:val="0"/>
            <w:sz w:val="24"/>
            <w:szCs w:val="24"/>
          </w:rPr>
          <w:t xml:space="preserve">  </w:t>
        </w:r>
        <w:bookmarkEnd w:id="335"/>
        <w:bookmarkEnd w:id="336"/>
        <w:bookmarkEnd w:id="337"/>
        <w:bookmarkEnd w:id="339"/>
        <w:r>
          <w:rPr>
            <w:rFonts w:ascii="Times New Roman" w:eastAsia="楷体_GB2312" w:hAnsi="Times New Roman" w:hint="eastAsia"/>
            <w:bCs w:val="0"/>
            <w:kern w:val="0"/>
            <w:sz w:val="24"/>
            <w:szCs w:val="24"/>
          </w:rPr>
          <w:t>提高</w:t>
        </w:r>
        <w:r>
          <w:rPr>
            <w:rFonts w:ascii="Times New Roman" w:eastAsia="楷体_GB2312" w:hAnsi="Times New Roman"/>
            <w:bCs w:val="0"/>
            <w:kern w:val="0"/>
            <w:sz w:val="24"/>
            <w:szCs w:val="24"/>
          </w:rPr>
          <w:t>公共安全保障能力</w:t>
        </w:r>
        <w:bookmarkEnd w:id="338"/>
      </w:hyperlink>
      <w:bookmarkEnd w:id="334"/>
    </w:p>
    <w:p w:rsidR="00000000" w:rsidRDefault="00000000">
      <w:pPr>
        <w:spacing w:line="480" w:lineRule="exact"/>
        <w:ind w:firstLineChars="200" w:firstLine="420"/>
        <w:rPr>
          <w:rFonts w:ascii="宋体" w:hAnsi="宋体" w:cs="宋体" w:hint="eastAsia"/>
          <w:szCs w:val="21"/>
        </w:rPr>
      </w:pPr>
      <w:r>
        <w:rPr>
          <w:rFonts w:eastAsia="楷体_GB2312"/>
          <w:kern w:val="0"/>
          <w:szCs w:val="21"/>
        </w:rPr>
        <w:t>强化安全生产制度建设。</w:t>
      </w:r>
      <w:r>
        <w:rPr>
          <w:rFonts w:ascii="宋体" w:hAnsi="宋体" w:cs="宋体" w:hint="eastAsia"/>
          <w:szCs w:val="21"/>
        </w:rPr>
        <w:t>全面推进安全生产风险隐患双重预防体系建设，对重点防护目标、危险源、隐患点、重点人群等进行分类管理和排查登记，加大风险源治理力度，建立完善风险隐患数据库，实现覆盖各地区、各行业的风险隐患全过程动态管理，强化各类风险管控措施，及时消除各类风险隐患。建立有关隐患排查信息数据库，根据有关应急预案规定的分级标准，实行分类分级管理和动态监控。全面推进重点时段安全防范。加强季节性安全生产规律特点分析研判，超前采取预警预防措施，做好暑期、汛期、取暖期、节假日等重点时段和重大活动安全防范工作。</w:t>
      </w:r>
    </w:p>
    <w:p w:rsidR="00000000" w:rsidRDefault="00000000">
      <w:pPr>
        <w:spacing w:line="490" w:lineRule="exact"/>
        <w:ind w:firstLineChars="200" w:firstLine="420"/>
        <w:rPr>
          <w:rFonts w:ascii="宋体" w:hAnsi="宋体" w:cs="宋体" w:hint="eastAsia"/>
          <w:szCs w:val="21"/>
        </w:rPr>
      </w:pPr>
      <w:r>
        <w:rPr>
          <w:rFonts w:eastAsia="楷体_GB2312"/>
          <w:kern w:val="0"/>
          <w:szCs w:val="21"/>
        </w:rPr>
        <w:t>健全完善应急管理体系。</w:t>
      </w:r>
      <w:r>
        <w:rPr>
          <w:rFonts w:ascii="宋体" w:hAnsi="宋体" w:cs="宋体" w:hint="eastAsia"/>
          <w:szCs w:val="21"/>
        </w:rPr>
        <w:t>以改革创新为动力，以基层基础建设为保障，着力建机制、补短板、强能力、促协同，统筹自然灾害防治工作，全力防范化解重大安全风险，全面加强应急管理体系、应急能力建设，完善应急物资储备、应急救援体系。完成应急指挥中心建设，提升应急管理水平。建立应急平台体系和预警信息发布系统，提升自然灾害、事故灾难、公共卫生事件和社会安全事件的监测预警、防范控制和快速处置能力。加强应急救援和消防队伍建设，</w:t>
      </w:r>
      <w:r>
        <w:rPr>
          <w:rFonts w:ascii="宋体" w:hAnsi="宋体" w:cs="宋体" w:hint="eastAsia"/>
          <w:szCs w:val="21"/>
        </w:rPr>
        <w:lastRenderedPageBreak/>
        <w:t>夯实消防安全基础设施建设，规范应急物资储备，提高紧急运输、通信保障、医疗卫生等综合应急保障水平，强化森林草原火灾预防、扑救、保障三大体系建设。完善城市安全体系，加强人防工程和疏散基地建设，提高人民防空设施军民兼用水平。到2025年，建成统一指挥、专常兼备、反应灵敏、上下联动、平战结合的应急管理体制，</w:t>
      </w:r>
      <w:bookmarkStart w:id="340" w:name="_Hlk59589209"/>
      <w:r>
        <w:rPr>
          <w:rFonts w:ascii="宋体" w:hAnsi="宋体" w:cs="宋体" w:hint="eastAsia"/>
          <w:szCs w:val="21"/>
        </w:rPr>
        <w:t>形成统一领导、权责一致、权威高效的应急管理体系</w:t>
      </w:r>
      <w:bookmarkEnd w:id="340"/>
      <w:r>
        <w:rPr>
          <w:rFonts w:ascii="宋体" w:hAnsi="宋体" w:cs="宋体" w:hint="eastAsia"/>
          <w:szCs w:val="21"/>
        </w:rPr>
        <w:t>。</w:t>
      </w:r>
    </w:p>
    <w:p w:rsidR="00000000" w:rsidRDefault="00000000">
      <w:pPr>
        <w:spacing w:line="490" w:lineRule="exact"/>
        <w:ind w:firstLineChars="200" w:firstLine="420"/>
        <w:rPr>
          <w:rFonts w:ascii="宋体" w:hAnsi="宋体" w:cs="宋体" w:hint="eastAsia"/>
          <w:szCs w:val="21"/>
        </w:rPr>
      </w:pPr>
      <w:r>
        <w:rPr>
          <w:rFonts w:eastAsia="楷体_GB2312"/>
          <w:kern w:val="0"/>
          <w:szCs w:val="21"/>
        </w:rPr>
        <w:t>严守质量安全底线。</w:t>
      </w:r>
      <w:r>
        <w:rPr>
          <w:rFonts w:ascii="宋体" w:hAnsi="宋体" w:cs="宋体" w:hint="eastAsia"/>
          <w:szCs w:val="21"/>
        </w:rPr>
        <w:t>聚焦民生关切，严守食品药品、特种设备、农产品、重要工业产品质量四个安全底线。健全风险管控体系，加强事中事后监管。完善食品药品监管体制机制，实行最严格的食品药品安全责任制，全面提升监管效能，防范重特大食品药品安全事故发生。实施食品药品监管基础设施建设工程，推进监管体系信息化建设，形成来源可追溯、去向可查证、责任可追究的安全责任链。加强对生产、经营假冒伪劣食品药品违法犯罪活动的打击，强化对婴幼儿食品、校园食品、网络餐饮食品的安全监管。加强食品药品监管队伍、技术装备建设，提升食品药品综合管理水平。</w:t>
      </w:r>
    </w:p>
    <w:p w:rsidR="00000000" w:rsidRDefault="00000000">
      <w:pPr>
        <w:spacing w:line="500" w:lineRule="exact"/>
        <w:ind w:firstLineChars="200" w:firstLine="420"/>
        <w:rPr>
          <w:rFonts w:ascii="宋体" w:hAnsi="宋体" w:cs="宋体" w:hint="eastAsia"/>
          <w:szCs w:val="21"/>
        </w:rPr>
      </w:pPr>
      <w:r>
        <w:rPr>
          <w:rFonts w:eastAsia="楷体_GB2312"/>
          <w:kern w:val="0"/>
          <w:szCs w:val="21"/>
        </w:rPr>
        <w:t>持续深入开展安全生产专项整治行动。</w:t>
      </w:r>
      <w:r>
        <w:rPr>
          <w:rFonts w:ascii="宋体" w:hAnsi="宋体" w:cs="宋体" w:hint="eastAsia"/>
          <w:szCs w:val="21"/>
        </w:rPr>
        <w:t>完善和落实安全生产责任和管理制度，进一步落实“党政同责、一岗双责、齐抓共管、失职追责”的安全生产责任制，强化各级各部门领导责任、部门监管</w:t>
      </w:r>
      <w:r>
        <w:rPr>
          <w:rFonts w:ascii="宋体" w:hAnsi="宋体" w:cs="宋体" w:hint="eastAsia"/>
          <w:szCs w:val="21"/>
        </w:rPr>
        <w:lastRenderedPageBreak/>
        <w:t>责任和企业主体责任。持续深入落实安全生产隐患排查治理、专项整治、从严监管执法、宣传教育、提升应急救援能力等五项常态化工作，加强科技支撑，扎实推进安全生产治理体系和治理能力现代化，通过专项整治行动，使各类生产安全事故得到有效遏制，全旗安全生产整体水平明显提高并取得积极成效，事故起数和死亡人数继续“双下降”。</w:t>
      </w:r>
    </w:p>
    <w:p w:rsidR="00000000" w:rsidRDefault="00000000">
      <w:pPr>
        <w:spacing w:line="500" w:lineRule="exact"/>
        <w:ind w:firstLineChars="200" w:firstLine="420"/>
        <w:rPr>
          <w:rFonts w:ascii="宋体" w:hAnsi="宋体" w:cs="宋体" w:hint="eastAsia"/>
          <w:szCs w:val="21"/>
        </w:rPr>
      </w:pPr>
      <w:r>
        <w:rPr>
          <w:rFonts w:eastAsia="楷体_GB2312"/>
          <w:kern w:val="0"/>
          <w:szCs w:val="21"/>
        </w:rPr>
        <w:t>健全公共安全风险防控化解体系。</w:t>
      </w:r>
      <w:r>
        <w:rPr>
          <w:rFonts w:ascii="宋体" w:hAnsi="宋体" w:cs="宋体" w:hint="eastAsia"/>
          <w:szCs w:val="21"/>
        </w:rPr>
        <w:t>密切关注人民群众反应强烈的社会治安问题，健全经常性专项打击整治机制。推进前端感知设施建设，强化社会资源整合，构建社会治安防控体系。完善基础管理工作，形成问题联治、工作联动、平安联创的工作机制。建立公共安全隐患排查和安全预防控制体系，健全安全生产责任、法治、风险防控、监管保障体系。织牢织密公共卫生防护网，加强突发公共卫生事件应急、疾病预防控制，卫生执法监督、医疗救治等公共卫生体系建设，提高应对突发公共卫生事件的能力。开展爱国卫生运动。加强自然灾害、森林草原火灾、野生动物疫病等灾害防治，增强气象等防灾减灾能力。提高对新经济、新业态等领域新型风险的识别、预警、防控能力。</w:t>
      </w:r>
    </w:p>
    <w:p w:rsidR="00000000" w:rsidRDefault="00000000">
      <w:pPr>
        <w:pStyle w:val="2"/>
        <w:spacing w:before="0" w:after="0" w:line="40" w:lineRule="exact"/>
        <w:jc w:val="center"/>
        <w:rPr>
          <w:rFonts w:ascii="Times New Roman" w:eastAsia="楷体_GB2312" w:hAnsi="Times New Roman"/>
          <w:kern w:val="0"/>
          <w:sz w:val="28"/>
          <w:szCs w:val="28"/>
        </w:rPr>
      </w:pPr>
    </w:p>
    <w:bookmarkStart w:id="341" w:name="_Toc5303"/>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fldChar w:fldCharType="begin"/>
      </w:r>
      <w:r>
        <w:rPr>
          <w:rFonts w:ascii="Times New Roman" w:eastAsia="楷体_GB2312" w:hAnsi="Times New Roman"/>
          <w:bCs w:val="0"/>
          <w:kern w:val="0"/>
          <w:sz w:val="24"/>
          <w:szCs w:val="24"/>
        </w:rPr>
        <w:instrText>HYPERLINK \l "_Toc441087378"</w:instrText>
      </w:r>
      <w:r>
        <w:rPr>
          <w:rFonts w:ascii="Times New Roman" w:eastAsia="楷体_GB2312" w:hAnsi="Times New Roman"/>
          <w:bCs w:val="0"/>
          <w:kern w:val="0"/>
          <w:sz w:val="24"/>
          <w:szCs w:val="24"/>
        </w:rPr>
        <w:fldChar w:fldCharType="separate"/>
      </w:r>
      <w:bookmarkStart w:id="342" w:name="_Toc55167086"/>
      <w:bookmarkStart w:id="343" w:name="_Toc57106195"/>
      <w:bookmarkStart w:id="344" w:name="_Toc59085034"/>
      <w:bookmarkStart w:id="345" w:name="_Toc65938251"/>
      <w:r>
        <w:rPr>
          <w:rFonts w:ascii="Times New Roman" w:eastAsia="楷体_GB2312" w:hAnsi="Times New Roman"/>
          <w:bCs w:val="0"/>
          <w:kern w:val="0"/>
          <w:sz w:val="24"/>
          <w:szCs w:val="24"/>
        </w:rPr>
        <w:t>第</w:t>
      </w:r>
      <w:r>
        <w:rPr>
          <w:rFonts w:ascii="Times New Roman" w:eastAsia="楷体_GB2312" w:hAnsi="Times New Roman" w:hint="eastAsia"/>
          <w:bCs w:val="0"/>
          <w:kern w:val="0"/>
          <w:sz w:val="24"/>
          <w:szCs w:val="24"/>
        </w:rPr>
        <w:t>四</w:t>
      </w:r>
      <w:r>
        <w:rPr>
          <w:rFonts w:ascii="Times New Roman" w:eastAsia="楷体_GB2312" w:hAnsi="Times New Roman"/>
          <w:bCs w:val="0"/>
          <w:kern w:val="0"/>
          <w:sz w:val="24"/>
          <w:szCs w:val="24"/>
        </w:rPr>
        <w:t>节</w:t>
      </w:r>
      <w:r>
        <w:rPr>
          <w:rFonts w:ascii="Times New Roman" w:eastAsia="楷体_GB2312" w:hAnsi="Times New Roman"/>
          <w:bCs w:val="0"/>
          <w:kern w:val="0"/>
          <w:sz w:val="24"/>
          <w:szCs w:val="24"/>
        </w:rPr>
        <w:t xml:space="preserve">  </w:t>
      </w:r>
      <w:r>
        <w:rPr>
          <w:rFonts w:ascii="Times New Roman" w:eastAsia="楷体_GB2312" w:hAnsi="Times New Roman" w:hint="eastAsia"/>
          <w:bCs w:val="0"/>
          <w:kern w:val="0"/>
          <w:sz w:val="24"/>
          <w:szCs w:val="24"/>
        </w:rPr>
        <w:t>完善</w:t>
      </w:r>
      <w:r>
        <w:rPr>
          <w:rFonts w:ascii="Times New Roman" w:eastAsia="楷体_GB2312" w:hAnsi="Times New Roman"/>
          <w:bCs w:val="0"/>
          <w:kern w:val="0"/>
          <w:sz w:val="24"/>
          <w:szCs w:val="24"/>
        </w:rPr>
        <w:t>社会治理体</w:t>
      </w:r>
      <w:bookmarkEnd w:id="342"/>
      <w:r>
        <w:rPr>
          <w:rFonts w:ascii="Times New Roman" w:eastAsia="楷体_GB2312" w:hAnsi="Times New Roman"/>
          <w:bCs w:val="0"/>
          <w:kern w:val="0"/>
          <w:sz w:val="24"/>
          <w:szCs w:val="24"/>
        </w:rPr>
        <w:t>系</w:t>
      </w:r>
      <w:bookmarkEnd w:id="343"/>
      <w:bookmarkEnd w:id="344"/>
      <w:bookmarkEnd w:id="345"/>
      <w:r>
        <w:rPr>
          <w:rFonts w:ascii="Times New Roman" w:eastAsia="楷体_GB2312" w:hAnsi="Times New Roman"/>
          <w:bCs w:val="0"/>
          <w:kern w:val="0"/>
          <w:sz w:val="24"/>
          <w:szCs w:val="24"/>
        </w:rPr>
        <w:fldChar w:fldCharType="end"/>
      </w:r>
      <w:bookmarkEnd w:id="341"/>
    </w:p>
    <w:p w:rsidR="00000000" w:rsidRDefault="00000000">
      <w:pPr>
        <w:spacing w:line="480" w:lineRule="exact"/>
        <w:ind w:firstLineChars="200" w:firstLine="420"/>
        <w:rPr>
          <w:rFonts w:ascii="宋体" w:hAnsi="宋体" w:cs="宋体" w:hint="eastAsia"/>
          <w:szCs w:val="21"/>
        </w:rPr>
      </w:pPr>
      <w:r>
        <w:rPr>
          <w:rFonts w:eastAsia="楷体_GB2312"/>
          <w:kern w:val="0"/>
          <w:szCs w:val="21"/>
        </w:rPr>
        <w:t>夯实基层社会治理基础。</w:t>
      </w:r>
      <w:r>
        <w:rPr>
          <w:rFonts w:ascii="宋体" w:hAnsi="宋体" w:cs="宋体" w:hint="eastAsia"/>
          <w:szCs w:val="21"/>
        </w:rPr>
        <w:t>加强乡镇党政人才队伍建设，选优配强乡镇领导班子，实施“一村一名大学生”培育计划，推动村党组织带头人队伍整体优化提升。推进治理体系和治理能力现代化，实现政府治理和社会调节、居民自治良性互动，建设社会治理共同体。完善基层社会服务管理平台，做到人员、经费、场所、机制四落实，推进社区综合治理平台规范化建设。完善社会治安防控体系，推进“雪亮工程”建设。推进网格化管理和人员下沉，整合各方力量实现“一网多格、一格多元”，健全网格运行机制，推行“百姓吹哨、网格员报道，网格员吹哨、干部报道”的模式，实现矛盾纠纷联调、社会治安联防、重点工作联动、突出问题联治、服务管理联抓、基层平安联创的网格化服务管理新格局。</w:t>
      </w:r>
    </w:p>
    <w:p w:rsidR="00000000" w:rsidRDefault="00000000">
      <w:pPr>
        <w:spacing w:line="480" w:lineRule="exact"/>
        <w:ind w:firstLineChars="200" w:firstLine="420"/>
        <w:rPr>
          <w:rFonts w:ascii="宋体" w:hAnsi="宋体" w:cs="宋体" w:hint="eastAsia"/>
          <w:szCs w:val="21"/>
        </w:rPr>
      </w:pPr>
      <w:r>
        <w:rPr>
          <w:rFonts w:eastAsia="楷体_GB2312"/>
          <w:kern w:val="0"/>
          <w:szCs w:val="21"/>
        </w:rPr>
        <w:t>预防和化解社会矛盾</w:t>
      </w:r>
      <w:r>
        <w:rPr>
          <w:rFonts w:eastAsia="楷体_GB2312"/>
          <w:b/>
          <w:bCs/>
          <w:szCs w:val="21"/>
        </w:rPr>
        <w:t>。</w:t>
      </w:r>
      <w:r>
        <w:rPr>
          <w:rFonts w:ascii="宋体" w:hAnsi="宋体" w:cs="宋体" w:hint="eastAsia"/>
          <w:szCs w:val="21"/>
        </w:rPr>
        <w:t>坚持和发展新时代“枫桥经验”，关口前移、重心下移，完善“五心合一”社会矛盾纠纷多元预防调处化解综合机制，加快推进司法所、人民调解委员会规范化建设，努力将社会矛盾化解在基层，加快构建源头治理、动态管理和应急处置相结合的社会管理机制。全面推行重大决策、重大工程、重大政策</w:t>
      </w:r>
      <w:r>
        <w:rPr>
          <w:rFonts w:ascii="宋体" w:hAnsi="宋体" w:cs="宋体" w:hint="eastAsia"/>
          <w:szCs w:val="21"/>
        </w:rPr>
        <w:lastRenderedPageBreak/>
        <w:t>的社会稳定风险评估，完善公共决策社会公示制度、公众听证制度和专家咨询论证制度。拓宽社情民意表达渠道，健全社会矛盾排查预警机制，有效解决信访积案和群众合理合法诉求，妥善化解信访矛盾问题，提高信访工作水平。建立“一站式”矛盾纠纷解决服务平台，完善人民、行政、司法调解联动工作机制。将社会心理服务纳入城乡基本公共服务体系，健全社会心理服务体系和危机干预机制。做好《民法典》实施工作，依法维护人民权益。</w:t>
      </w:r>
    </w:p>
    <w:p w:rsidR="00000000" w:rsidRDefault="00000000">
      <w:pPr>
        <w:spacing w:line="470" w:lineRule="exact"/>
        <w:ind w:firstLineChars="200" w:firstLine="420"/>
        <w:rPr>
          <w:rFonts w:eastAsia="仿宋_GB2312" w:hint="eastAsia"/>
          <w:sz w:val="28"/>
          <w:szCs w:val="28"/>
        </w:rPr>
      </w:pPr>
      <w:r>
        <w:rPr>
          <w:rFonts w:eastAsia="楷体_GB2312"/>
          <w:kern w:val="0"/>
          <w:szCs w:val="21"/>
        </w:rPr>
        <w:t>完善标准化政务服务体系。</w:t>
      </w:r>
      <w:r>
        <w:rPr>
          <w:rFonts w:ascii="宋体" w:hAnsi="宋体" w:cs="宋体" w:hint="eastAsia"/>
          <w:szCs w:val="21"/>
        </w:rPr>
        <w:t>强化旗、苏木乡镇（街道）、嘎查（村、社区）三级实体政务服务软硬件设施配备，优化力量配置，构建统筹指挥、覆盖全面、响应快速的政务服务体系。严格执行“三重一大”议事决策程序，广泛推行重大决策事项公示制度，强化对权力运行的社会监督和约束，在保护信息安全、商业秘密和个人隐私的前提下，依法公开政务信息，建立有效的信息共享机制。启用旗档案馆，加快档案信息化建设，拓展档案数字化覆盖面，加快实现纸质档案数字化，提高档案管理水平和整体服务功能，基本完成馆藏永久档案数字化，促进档案事业与社会经济发展相协调。</w:t>
      </w:r>
      <w:r>
        <w:rPr>
          <w:rFonts w:eastAsia="仿宋_GB2312"/>
          <w:sz w:val="28"/>
          <w:szCs w:val="28"/>
        </w:rPr>
        <w:t xml:space="preserve"> </w:t>
      </w:r>
    </w:p>
    <w:p w:rsidR="00000000" w:rsidRDefault="00000000">
      <w:pPr>
        <w:spacing w:line="470" w:lineRule="exact"/>
        <w:ind w:firstLineChars="200" w:firstLine="420"/>
        <w:rPr>
          <w:rFonts w:ascii="宋体" w:hAnsi="宋体" w:cs="宋体" w:hint="eastAsia"/>
          <w:szCs w:val="21"/>
        </w:rPr>
      </w:pPr>
      <w:r>
        <w:rPr>
          <w:rFonts w:eastAsia="楷体_GB2312"/>
          <w:kern w:val="0"/>
          <w:szCs w:val="21"/>
        </w:rPr>
        <w:t>创建和谐城乡社区。</w:t>
      </w:r>
      <w:r>
        <w:rPr>
          <w:rFonts w:ascii="宋体" w:hAnsi="宋体" w:cs="宋体" w:hint="eastAsia"/>
          <w:szCs w:val="21"/>
        </w:rPr>
        <w:t>深化乡村和社区自治法治德治建设，完善嘎查村社区党组织领导的村（居）民自治机制。以开展旗域治理现</w:t>
      </w:r>
      <w:r>
        <w:rPr>
          <w:rFonts w:ascii="宋体" w:hAnsi="宋体" w:cs="宋体" w:hint="eastAsia"/>
          <w:szCs w:val="21"/>
        </w:rPr>
        <w:lastRenderedPageBreak/>
        <w:t>代化工作为抓手，以推行网格化、契约化管理服务为基础，完善社区治理模式，推进政府社会服务管理重心向基层下移。因地制宜推进社区公共服务设施的集成规划、整合建设和集约使用，实现社区规范化达标建设。发展社区健康、购物、家政、托幼、养老、助残等市场化、便民化服务，满足社区居民多元化服务需求。加强社区民主自治，充分调动居民参与社区管理的积极性，增加社区凝聚力。</w:t>
      </w:r>
    </w:p>
    <w:p w:rsidR="00000000" w:rsidRDefault="00000000">
      <w:pPr>
        <w:spacing w:line="470" w:lineRule="exact"/>
        <w:ind w:firstLineChars="200" w:firstLine="420"/>
        <w:rPr>
          <w:rFonts w:ascii="宋体" w:hAnsi="宋体" w:cs="宋体" w:hint="eastAsia"/>
          <w:szCs w:val="21"/>
        </w:rPr>
      </w:pPr>
      <w:r>
        <w:rPr>
          <w:rFonts w:eastAsia="楷体_GB2312"/>
          <w:kern w:val="0"/>
          <w:szCs w:val="21"/>
        </w:rPr>
        <w:t>激发社会组织活力。</w:t>
      </w:r>
      <w:r>
        <w:rPr>
          <w:rFonts w:ascii="宋体" w:hAnsi="宋体" w:cs="宋体" w:hint="eastAsia"/>
          <w:szCs w:val="21"/>
        </w:rPr>
        <w:t>扶持和发展社会服务类、公益慈善类、文化体育类、行业协会商会类等社会组织，发挥社会组织在反映利益诉求、提供社会服务、协调利益矛盾、扩大公众参与等方面的积极作用。鼓励和支持社会组织，通过委托管理、项目管理、购买服务等方式自主参与社会服务与管理。推动政府部分社会服务管理职责向社会组织转移，培育和发展社会服务管理的新型载体。鼓励和规范社会公众参与社会公共事务，增强人民群众依法参与社会管理的意识和能力。加强社会工作人才队伍建设，推进社会工作制度化、规范化。建立健全志愿者激励机制和管理制度，广泛传播志愿服务理念，培育公益意识，实现志愿服务常态化，让志愿服务成为公众参与社会服务管理的有效载体。</w:t>
      </w:r>
    </w:p>
    <w:p w:rsidR="00000000" w:rsidRDefault="00000000">
      <w:pPr>
        <w:spacing w:line="460" w:lineRule="exact"/>
        <w:ind w:firstLineChars="200" w:firstLine="420"/>
        <w:rPr>
          <w:rFonts w:ascii="宋体" w:hAnsi="宋体" w:cs="宋体" w:hint="eastAsia"/>
          <w:spacing w:val="6"/>
          <w:szCs w:val="21"/>
        </w:rPr>
      </w:pPr>
      <w:r>
        <w:rPr>
          <w:rFonts w:eastAsia="楷体_GB2312"/>
          <w:kern w:val="0"/>
          <w:szCs w:val="21"/>
        </w:rPr>
        <w:t>推进诚信建设。</w:t>
      </w:r>
      <w:r>
        <w:rPr>
          <w:rFonts w:ascii="宋体" w:hAnsi="宋体" w:cs="宋体" w:hint="eastAsia"/>
          <w:spacing w:val="6"/>
          <w:szCs w:val="21"/>
        </w:rPr>
        <w:t>弘扬诚信文化，加大对各种违法失信行为的惩处，完善服务和管理对象信用记录，健全社会诚信体系。开展</w:t>
      </w:r>
      <w:r>
        <w:rPr>
          <w:rFonts w:ascii="宋体" w:hAnsi="宋体" w:cs="宋体" w:hint="eastAsia"/>
          <w:spacing w:val="6"/>
          <w:szCs w:val="21"/>
        </w:rPr>
        <w:lastRenderedPageBreak/>
        <w:t>诚信行业创建活动，推动与人民群众生活息息相关的零售业、交通运输业、农贸市场、电信电力等积极开展诚信行业创建。推进诚信单位创建工作，广泛选树和推介社会诚信典型，促进市场主体依法诚信经营，营造遵纪守法、文明诚信的经济社会发展环境。创建诚信经营示范店，选择旗内重点企业（门店），以诚实守信为主题，开展“百城万店无假货”、“诚信经营示范店”活动。强化司法公信力，建立针对社会公众、诉讼当事人不同主体的信息公开体系，依法及时公开执法办案信息。建立完善行业“黑名单”制度，保护诚实守信者，惩戒作假失信者。落实“清风引领”系列行动，弘扬新风正气。</w:t>
      </w:r>
    </w:p>
    <w:bookmarkStart w:id="346" w:name="_Toc19237"/>
    <w:p w:rsidR="00000000" w:rsidRDefault="00000000">
      <w:pPr>
        <w:pStyle w:val="2"/>
        <w:spacing w:beforeLines="80" w:before="256" w:afterLines="40" w:after="128"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fldChar w:fldCharType="begin"/>
      </w:r>
      <w:r>
        <w:rPr>
          <w:rFonts w:ascii="Times New Roman" w:eastAsia="楷体_GB2312" w:hAnsi="Times New Roman"/>
          <w:bCs w:val="0"/>
          <w:kern w:val="0"/>
          <w:sz w:val="24"/>
          <w:szCs w:val="24"/>
        </w:rPr>
        <w:instrText>HYPERLINK \l "_Toc441087381"</w:instrText>
      </w:r>
      <w:r>
        <w:rPr>
          <w:rFonts w:ascii="Times New Roman" w:eastAsia="楷体_GB2312" w:hAnsi="Times New Roman"/>
          <w:bCs w:val="0"/>
          <w:kern w:val="0"/>
          <w:sz w:val="24"/>
          <w:szCs w:val="24"/>
        </w:rPr>
        <w:fldChar w:fldCharType="separate"/>
      </w:r>
      <w:bookmarkStart w:id="347" w:name="_Toc65938252"/>
      <w:bookmarkStart w:id="348" w:name="_Toc57106196"/>
      <w:bookmarkStart w:id="349" w:name="_Toc59085035"/>
      <w:bookmarkStart w:id="350" w:name="_Toc55167090"/>
      <w:r>
        <w:rPr>
          <w:rFonts w:ascii="Times New Roman" w:eastAsia="楷体_GB2312" w:hAnsi="Times New Roman"/>
          <w:bCs w:val="0"/>
          <w:kern w:val="0"/>
          <w:sz w:val="24"/>
          <w:szCs w:val="24"/>
        </w:rPr>
        <w:t>第</w:t>
      </w:r>
      <w:r>
        <w:rPr>
          <w:rFonts w:ascii="Times New Roman" w:eastAsia="楷体_GB2312" w:hAnsi="Times New Roman" w:hint="eastAsia"/>
          <w:bCs w:val="0"/>
          <w:kern w:val="0"/>
          <w:sz w:val="24"/>
          <w:szCs w:val="24"/>
        </w:rPr>
        <w:t>五</w:t>
      </w:r>
      <w:r>
        <w:rPr>
          <w:rFonts w:ascii="Times New Roman" w:eastAsia="楷体_GB2312" w:hAnsi="Times New Roman"/>
          <w:bCs w:val="0"/>
          <w:kern w:val="0"/>
          <w:sz w:val="24"/>
          <w:szCs w:val="24"/>
        </w:rPr>
        <w:t>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建设法治奈</w:t>
      </w:r>
      <w:r>
        <w:rPr>
          <w:rFonts w:ascii="Times New Roman" w:eastAsia="楷体_GB2312" w:hAnsi="Times New Roman"/>
          <w:bCs w:val="0"/>
          <w:kern w:val="0"/>
          <w:sz w:val="24"/>
          <w:szCs w:val="24"/>
        </w:rPr>
        <w:fldChar w:fldCharType="end"/>
      </w:r>
      <w:r>
        <w:rPr>
          <w:rFonts w:ascii="Times New Roman" w:eastAsia="楷体_GB2312" w:hAnsi="Times New Roman"/>
          <w:bCs w:val="0"/>
          <w:kern w:val="0"/>
          <w:sz w:val="24"/>
          <w:szCs w:val="24"/>
        </w:rPr>
        <w:t>曼</w:t>
      </w:r>
      <w:bookmarkEnd w:id="346"/>
      <w:bookmarkEnd w:id="347"/>
      <w:bookmarkEnd w:id="348"/>
      <w:bookmarkEnd w:id="349"/>
      <w:bookmarkEnd w:id="350"/>
    </w:p>
    <w:p w:rsidR="00000000" w:rsidRDefault="00000000">
      <w:pPr>
        <w:spacing w:line="460" w:lineRule="exact"/>
        <w:ind w:firstLineChars="200" w:firstLine="444"/>
        <w:rPr>
          <w:rFonts w:ascii="宋体" w:hAnsi="宋体" w:cs="宋体" w:hint="eastAsia"/>
          <w:spacing w:val="6"/>
          <w:szCs w:val="21"/>
        </w:rPr>
      </w:pPr>
      <w:bookmarkStart w:id="351" w:name="_Hlk56105053"/>
      <w:r>
        <w:rPr>
          <w:rFonts w:ascii="宋体" w:hAnsi="宋体" w:cs="宋体" w:hint="eastAsia"/>
          <w:spacing w:val="6"/>
          <w:szCs w:val="21"/>
        </w:rPr>
        <w:t>加强法治政府建设，推进依法行政，履行法制宣传、法律保障和法律服务各项职能，提高依法行政水平。依法设定、行使、制约、监督权力，依法调控和治理经济，政府活动全面纳入法治轨道。深化行政执法体制改革，推行综合执法，提高行政执法质量和效力。加强对司法活动的监督，推进审判公开、检务公开、警务公开。深化司法体制改革，加强对司法活动各个环节的监督，严格落实司法责任制，努力让人民群众在每一个司法案件中感受</w:t>
      </w:r>
      <w:r>
        <w:rPr>
          <w:rFonts w:ascii="宋体" w:hAnsi="宋体" w:cs="宋体" w:hint="eastAsia"/>
          <w:spacing w:val="6"/>
          <w:szCs w:val="21"/>
        </w:rPr>
        <w:lastRenderedPageBreak/>
        <w:t>到公平正义。强化普法宣传教育，深入推进“八五”普法规划落实，弘扬社会主义法治精神，推动全社会树立法治意识。强化矛盾纠纷排查化解、社区矫正执法，加强法律服务体系建设。深入开展基层法治创建活动，创建平安法治“六无”行政嘎查村（社区）。常态化推进扫黑除恶专项斗争，依法打击和惩治违法犯罪活动。加强政法队伍建设和人才培养，完善队伍保障机制，强化基础建设投入，扎实开展政法队伍教育整顿，加快科技强警步伐，提高队伍整体素质。</w:t>
      </w:r>
    </w:p>
    <w:p w:rsidR="00000000" w:rsidRDefault="00000000">
      <w:pPr>
        <w:spacing w:line="480" w:lineRule="exact"/>
        <w:ind w:firstLineChars="200" w:firstLine="560"/>
        <w:rPr>
          <w:rFonts w:eastAsia="仿宋_GB2312" w:hint="eastAsia"/>
          <w:sz w:val="28"/>
          <w:szCs w:val="28"/>
        </w:rPr>
      </w:pPr>
    </w:p>
    <w:tbl>
      <w:tblPr>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6300"/>
      </w:tblGrid>
      <w:tr w:rsidR="00000000">
        <w:trPr>
          <w:trHeight w:hRule="exact" w:val="448"/>
          <w:jc w:val="center"/>
        </w:trPr>
        <w:tc>
          <w:tcPr>
            <w:tcW w:w="6300" w:type="dxa"/>
            <w:tcBorders>
              <w:top w:val="single" w:sz="12" w:space="0" w:color="auto"/>
              <w:left w:val="single" w:sz="12" w:space="0" w:color="auto"/>
              <w:right w:val="single" w:sz="12" w:space="0" w:color="auto"/>
            </w:tcBorders>
            <w:shd w:val="clear" w:color="auto" w:fill="95DAF3"/>
            <w:vAlign w:val="center"/>
          </w:tcPr>
          <w:bookmarkEnd w:id="351"/>
          <w:p w:rsidR="00000000" w:rsidRDefault="00000000">
            <w:pPr>
              <w:spacing w:line="360" w:lineRule="exact"/>
              <w:jc w:val="center"/>
              <w:rPr>
                <w:rFonts w:eastAsia="黑体"/>
                <w:szCs w:val="21"/>
              </w:rPr>
            </w:pPr>
            <w:r>
              <w:rPr>
                <w:rFonts w:eastAsia="黑体"/>
                <w:szCs w:val="21"/>
              </w:rPr>
              <w:t>专栏</w:t>
            </w:r>
            <w:r>
              <w:rPr>
                <w:rFonts w:eastAsia="黑体"/>
                <w:szCs w:val="21"/>
              </w:rPr>
              <w:t xml:space="preserve">14  </w:t>
            </w:r>
            <w:r>
              <w:rPr>
                <w:rFonts w:eastAsia="黑体"/>
                <w:szCs w:val="21"/>
              </w:rPr>
              <w:t>社会治理能力提升重点工程</w:t>
            </w:r>
          </w:p>
        </w:tc>
      </w:tr>
      <w:tr w:rsidR="00000000">
        <w:trPr>
          <w:trHeight w:hRule="exact" w:val="4114"/>
          <w:jc w:val="center"/>
        </w:trPr>
        <w:tc>
          <w:tcPr>
            <w:tcW w:w="6300" w:type="dxa"/>
            <w:tcBorders>
              <w:left w:val="single" w:sz="12" w:space="0" w:color="auto"/>
              <w:bottom w:val="single" w:sz="12" w:space="0" w:color="auto"/>
              <w:right w:val="single" w:sz="12" w:space="0" w:color="auto"/>
            </w:tcBorders>
            <w:shd w:val="clear" w:color="auto" w:fill="C8EEFC"/>
          </w:tcPr>
          <w:p w:rsidR="00000000" w:rsidRDefault="00000000">
            <w:pPr>
              <w:spacing w:line="360" w:lineRule="exact"/>
              <w:ind w:firstLineChars="200" w:firstLine="400"/>
              <w:rPr>
                <w:rFonts w:ascii="黑体" w:eastAsia="黑体" w:hAnsi="黑体" w:cs="黑体" w:hint="eastAsia"/>
                <w:sz w:val="20"/>
                <w:szCs w:val="20"/>
              </w:rPr>
            </w:pPr>
            <w:r>
              <w:rPr>
                <w:rFonts w:ascii="黑体" w:eastAsia="黑体" w:hAnsi="黑体" w:cs="黑体" w:hint="eastAsia"/>
                <w:sz w:val="20"/>
                <w:szCs w:val="20"/>
              </w:rPr>
              <w:t>（一）社会治理</w:t>
            </w:r>
          </w:p>
          <w:p w:rsidR="00000000" w:rsidRDefault="00000000">
            <w:pPr>
              <w:spacing w:line="360" w:lineRule="exact"/>
              <w:ind w:firstLineChars="200" w:firstLine="400"/>
              <w:rPr>
                <w:rFonts w:eastAsia="楷体"/>
                <w:sz w:val="20"/>
                <w:szCs w:val="20"/>
              </w:rPr>
            </w:pPr>
            <w:r>
              <w:rPr>
                <w:rFonts w:ascii="宋体" w:hAnsi="宋体" w:cs="宋体" w:hint="eastAsia"/>
                <w:sz w:val="20"/>
                <w:szCs w:val="20"/>
              </w:rPr>
              <w:t>建设人民法院审判法庭、人民检察院办案和技术用房、公安局派出所、拘留所、公安检查站、警犬基地、基层市场监管所办公及辅助用房、法律服务中心、乡镇社区矫正基地及基础配套设施、基层司法所改扩建、党群服务中心等项目。</w:t>
            </w:r>
          </w:p>
          <w:p w:rsidR="00000000" w:rsidRDefault="00000000">
            <w:pPr>
              <w:spacing w:line="360" w:lineRule="exact"/>
              <w:ind w:firstLineChars="200" w:firstLine="400"/>
              <w:rPr>
                <w:rFonts w:ascii="黑体" w:eastAsia="黑体" w:hAnsi="黑体" w:cs="黑体" w:hint="eastAsia"/>
                <w:sz w:val="20"/>
                <w:szCs w:val="20"/>
              </w:rPr>
            </w:pPr>
            <w:r>
              <w:rPr>
                <w:rFonts w:ascii="黑体" w:eastAsia="黑体" w:hAnsi="黑体" w:cs="黑体" w:hint="eastAsia"/>
                <w:sz w:val="20"/>
                <w:szCs w:val="20"/>
              </w:rPr>
              <w:t>（二）应急救援</w:t>
            </w:r>
          </w:p>
          <w:p w:rsidR="00000000" w:rsidRDefault="00000000">
            <w:pPr>
              <w:spacing w:line="360" w:lineRule="exact"/>
              <w:ind w:firstLineChars="200" w:firstLine="400"/>
              <w:rPr>
                <w:rFonts w:eastAsia="楷体" w:hint="eastAsia"/>
                <w:szCs w:val="21"/>
              </w:rPr>
            </w:pPr>
            <w:r>
              <w:rPr>
                <w:rFonts w:ascii="宋体" w:hAnsi="宋体" w:cs="宋体" w:hint="eastAsia"/>
                <w:sz w:val="20"/>
                <w:szCs w:val="20"/>
              </w:rPr>
              <w:t>建设应急调度指挥中心、防灾减灾应急指挥中心、应急广播指挥系统、应急物资储备库房、乡镇级物资储备点、专职消防站、消防装备、人口疏散设施、公共基础设施安全加固工程、交通设施、桥梁灾害防治工程、应急培训基地、农牧业气象实验基地、专业气象观测站网等项目。</w:t>
            </w:r>
          </w:p>
        </w:tc>
      </w:tr>
    </w:tbl>
    <w:p w:rsidR="00000000" w:rsidRDefault="00000000">
      <w:pPr>
        <w:pStyle w:val="1"/>
        <w:spacing w:before="0" w:after="0" w:line="480" w:lineRule="exact"/>
        <w:rPr>
          <w:rFonts w:ascii="方正小标宋简体" w:eastAsia="方正小标宋简体" w:hAnsi="方正小标宋简体" w:cs="方正小标宋简体" w:hint="eastAsia"/>
          <w:b w:val="0"/>
          <w:spacing w:val="-4"/>
          <w:sz w:val="32"/>
          <w:szCs w:val="32"/>
        </w:rPr>
        <w:sectPr w:rsidR="00000000">
          <w:headerReference w:type="even" r:id="rId96"/>
          <w:footerReference w:type="even" r:id="rId97"/>
          <w:footerReference w:type="default" r:id="rId98"/>
          <w:pgSz w:w="8390" w:h="11905"/>
          <w:pgMar w:top="1701" w:right="1134" w:bottom="1134" w:left="1134" w:header="1304" w:footer="850" w:gutter="0"/>
          <w:pgNumType w:fmt="numberInDash"/>
          <w:cols w:space="720"/>
          <w:docGrid w:type="lines" w:linePitch="321"/>
        </w:sectPr>
      </w:pPr>
      <w:bookmarkStart w:id="352" w:name="_Toc17507"/>
      <w:bookmarkStart w:id="353" w:name="_Toc28795"/>
    </w:p>
    <w:p w:rsidR="00000000" w:rsidRDefault="00D54102">
      <w:pPr>
        <w:rPr>
          <w:rFonts w:hint="eastAsia"/>
        </w:rPr>
        <w:sectPr w:rsidR="00000000">
          <w:headerReference w:type="even" r:id="rId99"/>
          <w:footerReference w:type="even" r:id="rId100"/>
          <w:footerReference w:type="default" r:id="rId101"/>
          <w:pgSz w:w="8390" w:h="11905"/>
          <w:pgMar w:top="1701" w:right="1134" w:bottom="1134" w:left="1134" w:header="1304" w:footer="850" w:gutter="0"/>
          <w:pgNumType w:fmt="numberInDash"/>
          <w:cols w:space="720"/>
          <w:docGrid w:type="lines" w:linePitch="321"/>
        </w:sectPr>
      </w:pPr>
      <w:r>
        <w:rPr>
          <w:noProof/>
        </w:rPr>
        <w:lastRenderedPageBreak/>
        <mc:AlternateContent>
          <mc:Choice Requires="wps">
            <w:drawing>
              <wp:anchor distT="0" distB="0" distL="114300" distR="114300" simplePos="0" relativeHeight="251663360" behindDoc="0" locked="0" layoutInCell="1" allowOverlap="1">
                <wp:simplePos x="0" y="0"/>
                <wp:positionH relativeFrom="column">
                  <wp:posOffset>-720090</wp:posOffset>
                </wp:positionH>
                <wp:positionV relativeFrom="paragraph">
                  <wp:posOffset>1737995</wp:posOffset>
                </wp:positionV>
                <wp:extent cx="5374005" cy="1113790"/>
                <wp:effectExtent l="3810" t="635" r="3810" b="0"/>
                <wp:wrapSquare wrapText="bothSides"/>
                <wp:docPr id="57" name="文本框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4005" cy="1113790"/>
                        </a:xfrm>
                        <a:prstGeom prst="rect">
                          <a:avLst/>
                        </a:prstGeom>
                        <a:solidFill>
                          <a:srgbClr val="C8EEFC"/>
                        </a:solidFill>
                        <a:ln>
                          <a:noFill/>
                        </a:ln>
                        <a:extLs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第十四章  健全实施机制</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保障规划顺利实施</w:t>
                            </w:r>
                          </w:p>
                        </w:txbxContent>
                      </wps:txbx>
                      <wps:bodyPr rot="0" vert="horz" wrap="square" lIns="91440" tIns="251998" rIns="91440" bIns="71999"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24" o:spid="_x0000_s1039" type="#_x0000_t202" style="position:absolute;left:0;text-align:left;margin-left:-56.7pt;margin-top:136.85pt;width:423.15pt;height:87.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" fillcolor="#c8eefc" stroked="f">
                <v:textbox inset=",6.99994mm,,1.99997mm">
                  <w:txbxContent>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第十四章  健全实施机制</w:t>
                      </w:r>
                    </w:p>
                    <w:p w:rsidR="00000000" w:rsidRDefault="00000000">
                      <w:pPr>
                        <w:spacing w:line="480" w:lineRule="exact"/>
                        <w:jc w:val="center"/>
                        <w:rPr>
                          <w:rFonts w:ascii="方正小标宋简体" w:eastAsia="方正小标宋简体" w:hAnsi="方正小标宋简体" w:cs="方正小标宋简体"/>
                          <w:spacing w:val="1"/>
                          <w:sz w:val="32"/>
                          <w:szCs w:val="32"/>
                        </w:rPr>
                      </w:pPr>
                      <w:r>
                        <w:rPr>
                          <w:rFonts w:ascii="方正小标宋简体" w:eastAsia="方正小标宋简体" w:hAnsi="方正小标宋简体" w:cs="方正小标宋简体" w:hint="eastAsia"/>
                          <w:spacing w:val="1"/>
                          <w:sz w:val="32"/>
                          <w:szCs w:val="32"/>
                        </w:rPr>
                        <w:t xml:space="preserve">              保障规划顺利实施</w:t>
                      </w:r>
                    </w:p>
                  </w:txbxContent>
                </v:textbox>
                <w10:wrap type="square"/>
              </v:shape>
            </w:pict>
          </mc:Fallback>
        </mc:AlternateContent>
      </w:r>
    </w:p>
    <w:bookmarkEnd w:id="352"/>
    <w:bookmarkEnd w:id="353"/>
    <w:p w:rsidR="00000000" w:rsidRDefault="00000000">
      <w:pPr>
        <w:spacing w:line="460" w:lineRule="exact"/>
        <w:ind w:firstLineChars="200" w:firstLine="420"/>
        <w:rPr>
          <w:rFonts w:ascii="宋体" w:hAnsi="宋体" w:cs="宋体" w:hint="eastAsia"/>
          <w:szCs w:val="21"/>
        </w:rPr>
      </w:pPr>
      <w:r>
        <w:rPr>
          <w:rFonts w:ascii="宋体" w:hAnsi="宋体" w:cs="宋体" w:hint="eastAsia"/>
          <w:kern w:val="0"/>
          <w:szCs w:val="21"/>
        </w:rPr>
        <w:lastRenderedPageBreak/>
        <w:t>坚持和完善党领导经济社会发展的体制机制，不断完善规划实施机制，充分调动一切积极因素，进一步提高党委政府的统筹调控能力，形成推动发展的强大合力，动员和引导全社会力量共同推进规划落实，为建设现代化奈曼开好局、起好步。</w:t>
      </w:r>
    </w:p>
    <w:bookmarkStart w:id="354" w:name="_Toc22652"/>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fldChar w:fldCharType="begin"/>
      </w:r>
      <w:r>
        <w:rPr>
          <w:rFonts w:ascii="Times New Roman" w:eastAsia="楷体_GB2312" w:hAnsi="Times New Roman"/>
          <w:bCs w:val="0"/>
          <w:kern w:val="0"/>
          <w:sz w:val="24"/>
          <w:szCs w:val="24"/>
        </w:rPr>
        <w:instrText>HYPERLINK \l "_Toc441087401"</w:instrText>
      </w:r>
      <w:r>
        <w:rPr>
          <w:rFonts w:ascii="Times New Roman" w:eastAsia="楷体_GB2312" w:hAnsi="Times New Roman"/>
          <w:bCs w:val="0"/>
          <w:kern w:val="0"/>
          <w:sz w:val="24"/>
          <w:szCs w:val="24"/>
        </w:rPr>
        <w:fldChar w:fldCharType="separate"/>
      </w:r>
      <w:bookmarkStart w:id="355" w:name="_Toc59085039"/>
      <w:bookmarkStart w:id="356" w:name="_Toc57106200"/>
      <w:bookmarkStart w:id="357" w:name="_Toc55167093"/>
      <w:bookmarkStart w:id="358" w:name="_Toc65938254"/>
      <w:r>
        <w:rPr>
          <w:rFonts w:ascii="Times New Roman" w:eastAsia="楷体_GB2312" w:hAnsi="Times New Roman"/>
          <w:bCs w:val="0"/>
          <w:kern w:val="0"/>
          <w:sz w:val="24"/>
          <w:szCs w:val="24"/>
        </w:rPr>
        <w:t>第一节</w:t>
      </w:r>
      <w:r>
        <w:rPr>
          <w:rFonts w:ascii="Times New Roman" w:eastAsia="楷体_GB2312" w:hAnsi="Times New Roman"/>
          <w:bCs w:val="0"/>
          <w:kern w:val="0"/>
          <w:sz w:val="24"/>
          <w:szCs w:val="24"/>
        </w:rPr>
        <w:t xml:space="preserve">  </w:t>
      </w:r>
      <w:bookmarkEnd w:id="355"/>
      <w:bookmarkEnd w:id="356"/>
      <w:bookmarkEnd w:id="357"/>
      <w:r>
        <w:rPr>
          <w:rFonts w:ascii="Times New Roman" w:eastAsia="楷体_GB2312" w:hAnsi="Times New Roman"/>
          <w:bCs w:val="0"/>
          <w:kern w:val="0"/>
          <w:sz w:val="24"/>
          <w:szCs w:val="24"/>
        </w:rPr>
        <w:fldChar w:fldCharType="end"/>
      </w:r>
      <w:r>
        <w:rPr>
          <w:rFonts w:ascii="Times New Roman" w:eastAsia="楷体_GB2312" w:hAnsi="Times New Roman" w:hint="eastAsia"/>
          <w:bCs w:val="0"/>
          <w:kern w:val="0"/>
          <w:sz w:val="24"/>
          <w:szCs w:val="24"/>
        </w:rPr>
        <w:t>全面落实党的决策部署</w:t>
      </w:r>
      <w:bookmarkEnd w:id="354"/>
      <w:bookmarkEnd w:id="358"/>
    </w:p>
    <w:p w:rsidR="00000000" w:rsidRDefault="00000000">
      <w:pPr>
        <w:pStyle w:val="Normal24"/>
        <w:widowControl w:val="0"/>
        <w:spacing w:before="0" w:after="0" w:line="476" w:lineRule="exact"/>
        <w:ind w:firstLineChars="200"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坚持习近平新时代中国特色社会主义思想为指导，全面贯彻党的基本理论、基本路线、基本方略，全面落实习近平总书记对内蒙古重要讲话重要指示批示精神，统筹推进“五位一体”总体布局，协调推进“四个全面”战略布局，增强“四个意识”、坚定“四个自信”、做到“两个维护”，始终在思想上政治上行动上同以习近平同志为核心的党中央保持高度一致。贯彻党把方向、谋大局、定政策、促改革的要求，充分发挥旗委总揽全局、协调各方的领导核心作用，把党的领导始终贯穿于经济社会发展各领域各方面各环节。各地各部门要始终在思想上、政治上、行动上与党中央保持高度一致，从讲政治的高度、讲实效的速度、抓重点的精度、抓到底的深度，做到前瞻性思考、全局性谋划、战略性布局、整体性推进，主动作为，精心组织、密切配合，推动规划有序有效实施。</w:t>
      </w:r>
    </w:p>
    <w:p w:rsidR="00000000" w:rsidRDefault="00000000">
      <w:pPr>
        <w:pStyle w:val="2"/>
        <w:spacing w:before="0" w:after="0" w:line="40" w:lineRule="exact"/>
        <w:jc w:val="center"/>
        <w:rPr>
          <w:rFonts w:ascii="Times New Roman" w:eastAsia="楷体_GB2312" w:hAnsi="Times New Roman"/>
          <w:bCs w:val="0"/>
          <w:kern w:val="0"/>
          <w:sz w:val="24"/>
          <w:szCs w:val="24"/>
        </w:rPr>
      </w:pPr>
      <w:bookmarkStart w:id="359" w:name="_Toc57106203"/>
      <w:bookmarkStart w:id="360" w:name="_Toc55167096"/>
      <w:bookmarkStart w:id="361" w:name="_Toc65938255"/>
      <w:bookmarkStart w:id="362" w:name="_Toc59085042"/>
      <w:bookmarkStart w:id="363" w:name="_Toc24909"/>
    </w:p>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t>第二节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加强规划实施管理</w:t>
      </w:r>
      <w:bookmarkEnd w:id="359"/>
      <w:bookmarkEnd w:id="360"/>
      <w:bookmarkEnd w:id="361"/>
      <w:bookmarkEnd w:id="362"/>
      <w:bookmarkEnd w:id="363"/>
    </w:p>
    <w:p w:rsidR="00000000" w:rsidRDefault="00000000">
      <w:pPr>
        <w:spacing w:line="480" w:lineRule="exact"/>
        <w:ind w:firstLineChars="200" w:firstLine="420"/>
        <w:rPr>
          <w:rFonts w:ascii="宋体" w:hAnsi="宋体" w:cs="宋体" w:hint="eastAsia"/>
          <w:kern w:val="0"/>
          <w:szCs w:val="21"/>
        </w:rPr>
      </w:pPr>
      <w:hyperlink w:anchor="_Toc441087402" w:history="1">
        <w:bookmarkStart w:id="364" w:name="_Toc59085040"/>
        <w:bookmarkStart w:id="365" w:name="_Toc55167094"/>
        <w:bookmarkStart w:id="366" w:name="_Toc57106201"/>
        <w:r>
          <w:rPr>
            <w:rFonts w:eastAsia="楷体_GB2312"/>
            <w:kern w:val="0"/>
            <w:szCs w:val="21"/>
          </w:rPr>
          <w:t>统筹规划衔接</w:t>
        </w:r>
        <w:bookmarkEnd w:id="364"/>
        <w:bookmarkEnd w:id="365"/>
        <w:bookmarkEnd w:id="366"/>
      </w:hyperlink>
      <w:r>
        <w:rPr>
          <w:rFonts w:eastAsia="楷体_GB2312"/>
          <w:kern w:val="0"/>
          <w:szCs w:val="21"/>
        </w:rPr>
        <w:t>管理。</w:t>
      </w:r>
      <w:r>
        <w:rPr>
          <w:rFonts w:ascii="宋体" w:hAnsi="宋体" w:cs="宋体" w:hint="eastAsia"/>
          <w:kern w:val="0"/>
          <w:szCs w:val="21"/>
        </w:rPr>
        <w:t>强化本规划在全旗各类规划中的统领地位，加强与上位规划衔接、相关规划之间的协调。保证规划确定的战略任务、战略重点落到实处，形成规划发展合力。按照下级规划服从上级规划、专项规划服从总体规划的要求，专项规划必须在约束性目标、空间功能定位和重大基础设施建设等方面与本规划进行衔接。年度计划要依据本规划的总体安排部署，逐年落实规划提出的发展目标和重点任务，对约束性指标设置年度目标。年度计划报告要分析本规划实施进展情况，特别是约束性指标的完成情况。编制实施好年度财政预算，为规划实施和目标任务完成提供财政资金保障。</w:t>
      </w:r>
    </w:p>
    <w:p w:rsidR="00000000" w:rsidRDefault="00000000">
      <w:pPr>
        <w:spacing w:line="480" w:lineRule="exact"/>
        <w:ind w:firstLineChars="200" w:firstLine="420"/>
        <w:rPr>
          <w:rFonts w:ascii="宋体" w:hAnsi="宋体" w:cs="宋体" w:hint="eastAsia"/>
          <w:spacing w:val="-6"/>
          <w:kern w:val="0"/>
          <w:szCs w:val="21"/>
        </w:rPr>
      </w:pPr>
      <w:r>
        <w:rPr>
          <w:rFonts w:eastAsia="楷体_GB2312"/>
          <w:kern w:val="0"/>
          <w:szCs w:val="21"/>
        </w:rPr>
        <w:t>分解落实规划目标任务。</w:t>
      </w:r>
      <w:r>
        <w:rPr>
          <w:rFonts w:ascii="宋体" w:hAnsi="宋体" w:cs="宋体" w:hint="eastAsia"/>
          <w:kern w:val="0"/>
          <w:szCs w:val="21"/>
        </w:rPr>
        <w:t>规划预期性目标和产业发展、结构调整等任务的完成，主要依靠发挥市场机制的作用实现。政府各部门要通过改进经济调节、加强市场监管、健全利益导向机制和创造良好发展环境，引导市场主体行为与城市发展战略意图相一致。规划约束性指标和公共服务、社会管理等领域的任务，要纳入全旗各部门经济社会发展综合评价和绩效考核体系。旗政府有关部门要组织编制专项规划，细化本规划提出的约束性指标，并做好与本规划的</w:t>
      </w:r>
      <w:r>
        <w:rPr>
          <w:rFonts w:ascii="宋体" w:hAnsi="宋体" w:cs="宋体" w:hint="eastAsia"/>
          <w:kern w:val="0"/>
          <w:szCs w:val="21"/>
        </w:rPr>
        <w:lastRenderedPageBreak/>
        <w:t>协调衔接，</w:t>
      </w:r>
      <w:r>
        <w:rPr>
          <w:rFonts w:ascii="宋体" w:hAnsi="宋体" w:cs="宋体" w:hint="eastAsia"/>
          <w:spacing w:val="-6"/>
          <w:kern w:val="0"/>
          <w:szCs w:val="21"/>
        </w:rPr>
        <w:t>特别是加强约束性指标和重大任务的衔接，确保落到实处。</w:t>
      </w:r>
    </w:p>
    <w:p w:rsidR="00000000" w:rsidRDefault="00000000">
      <w:pPr>
        <w:spacing w:line="480" w:lineRule="exact"/>
        <w:ind w:firstLineChars="200" w:firstLine="420"/>
        <w:rPr>
          <w:rFonts w:ascii="宋体" w:hAnsi="宋体" w:cs="宋体" w:hint="eastAsia"/>
          <w:kern w:val="0"/>
          <w:szCs w:val="21"/>
        </w:rPr>
      </w:pPr>
      <w:r>
        <w:rPr>
          <w:rFonts w:eastAsia="楷体_GB2312"/>
          <w:kern w:val="0"/>
          <w:szCs w:val="21"/>
        </w:rPr>
        <w:t>组织实施好重大项目。</w:t>
      </w:r>
      <w:r>
        <w:rPr>
          <w:rFonts w:ascii="宋体" w:hAnsi="宋体" w:cs="宋体" w:hint="eastAsia"/>
          <w:kern w:val="0"/>
          <w:szCs w:val="21"/>
        </w:rPr>
        <w:t>各部门要善谋善为，加强对重大战略任务、重大改革开放举措和政策、重大工程项目系统谋划和论证，提高规划支撑力和执行力。分解确定本规划的年度目标和推进措施，保持实施的连续性，加强约束性指标的执行力度。推进规划实施工作的规范化、制度化，建立健全规划实施机制，依据规划，推动规划落实，增强规划的约束力和执行力，推进全旗经济社会在新常态下实现高质量发展。健全项目实施机制，规范项目手续办理，提高审批效率，加强协调调度，做到规划一批、储备一批、实施一批。加强对规划的宣传，增强公众对规划的认识和了解，有效组织引导公众参与规划的实施和监督，集全旗之力、集各方之智共同落实好规划，共同把魅力家园建设得更加美好。</w:t>
      </w:r>
    </w:p>
    <w:bookmarkStart w:id="367" w:name="_Toc23009"/>
    <w:p w:rsidR="00000000" w:rsidRDefault="00000000">
      <w:pPr>
        <w:pStyle w:val="2"/>
        <w:spacing w:beforeLines="100" w:before="321" w:afterLines="50" w:after="160" w:line="480" w:lineRule="exact"/>
        <w:jc w:val="center"/>
        <w:rPr>
          <w:rFonts w:ascii="Times New Roman" w:eastAsia="楷体_GB2312" w:hAnsi="Times New Roman"/>
          <w:bCs w:val="0"/>
          <w:kern w:val="0"/>
          <w:sz w:val="24"/>
          <w:szCs w:val="24"/>
        </w:rPr>
      </w:pPr>
      <w:r>
        <w:rPr>
          <w:rFonts w:ascii="Times New Roman" w:eastAsia="楷体_GB2312" w:hAnsi="Times New Roman"/>
          <w:bCs w:val="0"/>
          <w:kern w:val="0"/>
          <w:sz w:val="24"/>
          <w:szCs w:val="24"/>
        </w:rPr>
        <w:fldChar w:fldCharType="begin"/>
      </w:r>
      <w:r>
        <w:rPr>
          <w:rFonts w:ascii="Times New Roman" w:eastAsia="楷体_GB2312" w:hAnsi="Times New Roman"/>
          <w:bCs w:val="0"/>
          <w:kern w:val="0"/>
          <w:sz w:val="24"/>
          <w:szCs w:val="24"/>
        </w:rPr>
        <w:instrText>HYPERLINK \l "_Toc441087403"</w:instrText>
      </w:r>
      <w:r>
        <w:rPr>
          <w:rFonts w:ascii="Times New Roman" w:eastAsia="楷体_GB2312" w:hAnsi="Times New Roman"/>
          <w:bCs w:val="0"/>
          <w:kern w:val="0"/>
          <w:sz w:val="24"/>
          <w:szCs w:val="24"/>
        </w:rPr>
        <w:fldChar w:fldCharType="separate"/>
      </w:r>
      <w:bookmarkStart w:id="368" w:name="_Toc57106202"/>
      <w:bookmarkStart w:id="369" w:name="_Toc55167095"/>
      <w:bookmarkStart w:id="370" w:name="_Toc59085041"/>
      <w:bookmarkStart w:id="371" w:name="_Toc65938256"/>
      <w:r>
        <w:rPr>
          <w:rFonts w:ascii="Times New Roman" w:eastAsia="楷体_GB2312" w:hAnsi="Times New Roman"/>
          <w:bCs w:val="0"/>
          <w:kern w:val="0"/>
          <w:sz w:val="24"/>
          <w:szCs w:val="24"/>
        </w:rPr>
        <w:t>第三节</w:t>
      </w:r>
      <w:r>
        <w:rPr>
          <w:rFonts w:ascii="Times New Roman" w:eastAsia="楷体_GB2312" w:hAnsi="Times New Roman"/>
          <w:bCs w:val="0"/>
          <w:kern w:val="0"/>
          <w:sz w:val="24"/>
          <w:szCs w:val="24"/>
        </w:rPr>
        <w:t xml:space="preserve">  </w:t>
      </w:r>
      <w:r>
        <w:rPr>
          <w:rFonts w:ascii="Times New Roman" w:eastAsia="楷体_GB2312" w:hAnsi="Times New Roman"/>
          <w:bCs w:val="0"/>
          <w:kern w:val="0"/>
          <w:sz w:val="24"/>
          <w:szCs w:val="24"/>
        </w:rPr>
        <w:t>强化规划评估监督</w:t>
      </w:r>
      <w:bookmarkEnd w:id="368"/>
      <w:bookmarkEnd w:id="369"/>
      <w:bookmarkEnd w:id="370"/>
      <w:bookmarkEnd w:id="371"/>
      <w:r>
        <w:rPr>
          <w:rFonts w:ascii="Times New Roman" w:eastAsia="楷体_GB2312" w:hAnsi="Times New Roman"/>
          <w:bCs w:val="0"/>
          <w:kern w:val="0"/>
          <w:sz w:val="24"/>
          <w:szCs w:val="24"/>
        </w:rPr>
        <w:fldChar w:fldCharType="end"/>
      </w:r>
      <w:bookmarkEnd w:id="367"/>
    </w:p>
    <w:p w:rsidR="00000000" w:rsidRDefault="00000000">
      <w:pPr>
        <w:spacing w:line="480" w:lineRule="exact"/>
        <w:ind w:firstLineChars="200" w:firstLine="420"/>
        <w:rPr>
          <w:rFonts w:ascii="宋体" w:hAnsi="宋体" w:cs="宋体" w:hint="eastAsia"/>
          <w:kern w:val="0"/>
          <w:szCs w:val="21"/>
        </w:rPr>
      </w:pPr>
      <w:r>
        <w:rPr>
          <w:rFonts w:eastAsia="楷体_GB2312"/>
          <w:kern w:val="0"/>
          <w:szCs w:val="21"/>
        </w:rPr>
        <w:t>完善监测评估制度。</w:t>
      </w:r>
      <w:r>
        <w:rPr>
          <w:rFonts w:ascii="宋体" w:hAnsi="宋体" w:cs="宋体" w:hint="eastAsia"/>
          <w:kern w:val="0"/>
          <w:szCs w:val="21"/>
        </w:rPr>
        <w:t>加强对规划实施情况跟踪分析，政府有关部门要对重点领域的发展情况适时开展专题评估，为动态调整和修订规划提供依据，自觉接受人民代表大会及其常务委员会的监督检查。在规划实施的中期阶段，由旗政府组织开展对规划的全面评估，</w:t>
      </w:r>
      <w:r>
        <w:rPr>
          <w:rFonts w:ascii="宋体" w:hAnsi="宋体" w:cs="宋体" w:hint="eastAsia"/>
          <w:kern w:val="0"/>
          <w:szCs w:val="21"/>
        </w:rPr>
        <w:lastRenderedPageBreak/>
        <w:t>并将中期评估报告提交旗人民代表大会常务委员会审议。根据中期评估情况以及国内外形势变化需要进行修订时，由旗政府提出意见，报旗人民代表大会常务委员会批准。完善统计制度，加强对规划指标体系的统计工作，为监测评估和政策制定提供基础。</w:t>
      </w:r>
    </w:p>
    <w:p w:rsidR="00000000" w:rsidRDefault="00000000">
      <w:pPr>
        <w:pStyle w:val="Normal24"/>
        <w:widowControl w:val="0"/>
        <w:spacing w:before="0" w:after="0" w:line="480" w:lineRule="exact"/>
        <w:ind w:firstLineChars="200" w:firstLine="420"/>
        <w:rPr>
          <w:rFonts w:ascii="宋体" w:eastAsia="宋体" w:hAnsi="宋体" w:cs="宋体" w:hint="eastAsia"/>
          <w:sz w:val="21"/>
          <w:szCs w:val="21"/>
          <w:lang w:eastAsia="zh-CN"/>
        </w:rPr>
      </w:pPr>
      <w:r>
        <w:rPr>
          <w:rFonts w:eastAsia="楷体_GB2312"/>
          <w:sz w:val="21"/>
          <w:szCs w:val="21"/>
          <w:lang w:eastAsia="zh-CN"/>
        </w:rPr>
        <w:t>强化规划考核监督。</w:t>
      </w:r>
      <w:r>
        <w:rPr>
          <w:rFonts w:ascii="宋体" w:eastAsia="宋体" w:hAnsi="宋体" w:cs="宋体" w:hint="eastAsia"/>
          <w:sz w:val="21"/>
          <w:szCs w:val="21"/>
          <w:lang w:eastAsia="zh-CN"/>
        </w:rPr>
        <w:t>实行严格的责任考核制度，把规划明确的主要目标和重点任务，列入各部门领导班子的考核范围，考核结果作为各部门领导班子调整和领导干部选拔任用、奖励惩戒的重要依据。自觉接受旗人民代表大会及其常务委员会对规划实施情况的监督检查，完善规划实施的公众参与和社会监督机制，形成全社会关心规划、自觉参与和监督规划实施的良好氛围。</w:t>
      </w:r>
    </w:p>
    <w:p w:rsidR="00000000" w:rsidRDefault="00000000">
      <w:pPr>
        <w:pStyle w:val="Normal24"/>
        <w:widowControl w:val="0"/>
        <w:spacing w:before="0" w:after="0" w:line="480" w:lineRule="exact"/>
        <w:ind w:firstLineChars="200" w:firstLine="420"/>
        <w:rPr>
          <w:rFonts w:ascii="宋体" w:eastAsia="宋体" w:hAnsi="宋体" w:cs="宋体" w:hint="eastAsia"/>
          <w:sz w:val="21"/>
          <w:szCs w:val="21"/>
          <w:lang w:eastAsia="zh-CN"/>
        </w:rPr>
      </w:pPr>
      <w:r>
        <w:rPr>
          <w:rFonts w:ascii="宋体" w:eastAsia="宋体" w:hAnsi="宋体" w:cs="宋体" w:hint="eastAsia"/>
          <w:sz w:val="21"/>
          <w:szCs w:val="21"/>
          <w:lang w:eastAsia="zh-CN"/>
        </w:rPr>
        <w:t>实现“十四五”规划和2035年远景目标，意义重大，任务繁重、前景光明。全旗各级党组织、广大党员干部群众要更加紧密地团结在以习近平同志为核心的党中央周围，深入贯彻党中央、自治区党委和通辽市委的决策部署，开拓创新、锐意进取，开启全面建设现代化奈曼新征程。</w:t>
      </w:r>
    </w:p>
    <w:p w:rsidR="00000000" w:rsidRDefault="00000000">
      <w:pPr>
        <w:spacing w:line="480" w:lineRule="exact"/>
        <w:ind w:firstLineChars="200" w:firstLine="424"/>
        <w:rPr>
          <w:rFonts w:ascii="宋体" w:hAnsi="宋体" w:cs="宋体" w:hint="eastAsia"/>
          <w:spacing w:val="1"/>
          <w:kern w:val="0"/>
          <w:szCs w:val="21"/>
        </w:rPr>
      </w:pPr>
    </w:p>
    <w:p w:rsidR="00000000" w:rsidRDefault="00000000">
      <w:pPr>
        <w:pStyle w:val="Normal24"/>
        <w:widowControl w:val="0"/>
        <w:spacing w:before="0" w:after="0" w:line="480" w:lineRule="exact"/>
        <w:ind w:firstLineChars="200" w:firstLine="560"/>
        <w:rPr>
          <w:rFonts w:eastAsia="仿宋_GB2312"/>
          <w:sz w:val="28"/>
          <w:szCs w:val="28"/>
          <w:lang w:eastAsia="zh-CN"/>
        </w:rPr>
      </w:pPr>
    </w:p>
    <w:p w:rsidR="009658F3" w:rsidRDefault="009658F3">
      <w:pPr>
        <w:spacing w:line="480" w:lineRule="exact"/>
        <w:rPr>
          <w:rFonts w:eastAsia="仿宋_GB2312"/>
          <w:sz w:val="32"/>
          <w:szCs w:val="32"/>
        </w:rPr>
      </w:pPr>
    </w:p>
    <w:sectPr w:rsidR="009658F3">
      <w:headerReference w:type="even" r:id="rId102"/>
      <w:headerReference w:type="default" r:id="rId103"/>
      <w:footerReference w:type="even" r:id="rId104"/>
      <w:footerReference w:type="default" r:id="rId105"/>
      <w:pgSz w:w="8390" w:h="11905"/>
      <w:pgMar w:top="1701" w:right="1134" w:bottom="1134" w:left="1134" w:header="1304" w:footer="850" w:gutter="0"/>
      <w:pgNumType w:fmt="numberInDash"/>
      <w:cols w:space="720"/>
      <w:docGrid w:type="lines" w:linePitch="32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658F3" w:rsidRDefault="009658F3">
      <w:r>
        <w:separator/>
      </w:r>
    </w:p>
  </w:endnote>
  <w:endnote w:type="continuationSeparator" w:id="0">
    <w:p w:rsidR="009658F3" w:rsidRDefault="00965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方正小标宋简体">
    <w:altName w:val="微软雅黑"/>
    <w:charset w:val="86"/>
    <w:family w:val="script"/>
    <w:pitch w:val="default"/>
    <w:sig w:usb0="00000001" w:usb1="080E0000" w:usb2="00000000" w:usb3="00000000" w:csb0="00040000" w:csb1="00000000"/>
  </w:font>
  <w:font w:name="楷体_GB2312">
    <w:altName w:val="楷体"/>
    <w:charset w:val="86"/>
    <w:family w:val="modern"/>
    <w:pitch w:val="default"/>
    <w:sig w:usb0="00000001" w:usb1="080E0000" w:usb2="00000000" w:usb3="00000000" w:csb0="00040000" w:csb1="00000000"/>
  </w:font>
  <w:font w:name="TechnicLite">
    <w:altName w:val="微软雅黑"/>
    <w:charset w:val="00"/>
    <w:family w:val="auto"/>
    <w:pitch w:val="default"/>
    <w:sig w:usb0="00000000" w:usb1="00000000" w:usb2="00000000"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29568" behindDoc="0" locked="0" layoutInCell="1" allowOverlap="1">
              <wp:simplePos x="0" y="0"/>
              <wp:positionH relativeFrom="margin">
                <wp:align>outside</wp:align>
              </wp:positionH>
              <wp:positionV relativeFrom="paragraph">
                <wp:posOffset>0</wp:posOffset>
              </wp:positionV>
              <wp:extent cx="1828800" cy="1828800"/>
              <wp:effectExtent l="0" t="0" r="0" b="0"/>
              <wp:wrapNone/>
              <wp:docPr id="56" name="文本框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33" o:spid="_x0000_s1040" type="#_x0000_t202" style="position:absolute;margin-left:92.8pt;margin-top:0;width:2in;height:2in;z-index:25162956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32640" behindDoc="0" locked="0" layoutInCell="1" allowOverlap="1">
              <wp:simplePos x="0" y="0"/>
              <wp:positionH relativeFrom="margin">
                <wp:align>outside</wp:align>
              </wp:positionH>
              <wp:positionV relativeFrom="paragraph">
                <wp:posOffset>0</wp:posOffset>
              </wp:positionV>
              <wp:extent cx="190500" cy="131445"/>
              <wp:effectExtent l="0" t="0" r="2540" b="0"/>
              <wp:wrapNone/>
              <wp:docPr id="55" name="文本框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98" o:spid="_x0000_s1041" type="#_x0000_t202" style="position:absolute;left:0;text-align:left;margin-left:-36.2pt;margin-top:0;width:15pt;height:10.35pt;z-index:25163264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664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54" name="文本框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- 1 -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82" o:spid="_x0000_s1042" type="#_x0000_t202" style="position:absolute;margin-left:92.8pt;margin-top:0;width:2in;height:2in;z-index:251666432;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oj+syNEBAACXAwAADgAAAAAA&#10;AAAAAAAAAAAuAgAAZHJzL2Uyb0RvYy54bWxQSwECLQAUAAYACAAAACEADErw7tYAAAAFAQAADwAA&#10;AAAAAAAAAAAAAAArBAAAZHJzL2Rvd25yZXYueG1sUEsFBgAAAAAEAAQA8wAAAC4FA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65408" behindDoc="0" locked="0" layoutInCell="1" allowOverlap="1">
              <wp:simplePos x="0" y="0"/>
              <wp:positionH relativeFrom="margin">
                <wp:align>outside</wp:align>
              </wp:positionH>
              <wp:positionV relativeFrom="paragraph">
                <wp:posOffset>0</wp:posOffset>
              </wp:positionV>
              <wp:extent cx="247650" cy="131445"/>
              <wp:effectExtent l="0" t="0" r="3810" b="0"/>
              <wp:wrapNone/>
              <wp:docPr id="53" name="文本框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- 1 -</w:t>
                          </w:r>
                          <w:r>
                            <w:rPr>
                              <w:color w:val="FFFFF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81" o:spid="_x0000_s1043" type="#_x0000_t202" style="position:absolute;left:0;text-align:left;margin-left:-31.7pt;margin-top:0;width:19.5pt;height:10.35pt;z-index:25166540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" filled="f" stroked="f">
              <v:textbox style="mso-fit-shape-to-text:t" inset="0,0,0,0">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- 1 -</w:t>
                    </w:r>
                    <w:r>
                      <w:rPr>
                        <w:color w:val="FFFFFF"/>
                      </w:rP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367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52" name="文本框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38" o:spid="_x0000_s1044" type="#_x0000_t202" style="position:absolute;margin-left:92.8pt;margin-top:0;width:2in;height:2in;z-index:25163673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35712" behindDoc="0" locked="0" layoutInCell="1" allowOverlap="1">
              <wp:simplePos x="0" y="0"/>
              <wp:positionH relativeFrom="margin">
                <wp:align>outside</wp:align>
              </wp:positionH>
              <wp:positionV relativeFrom="paragraph">
                <wp:posOffset>0</wp:posOffset>
              </wp:positionV>
              <wp:extent cx="247650" cy="131445"/>
              <wp:effectExtent l="0" t="0" r="3810" b="0"/>
              <wp:wrapNone/>
              <wp:docPr id="51" name="文本框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37" o:spid="_x0000_s1045" type="#_x0000_t202" style="position:absolute;left:0;text-align:left;margin-left:-31.7pt;margin-top:0;width:19.5pt;height:10.35pt;z-index:251635712;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58240" behindDoc="0" locked="0" layoutInCell="1" allowOverlap="1">
              <wp:simplePos x="0" y="0"/>
              <wp:positionH relativeFrom="margin">
                <wp:align>outside</wp:align>
              </wp:positionH>
              <wp:positionV relativeFrom="paragraph">
                <wp:posOffset>0</wp:posOffset>
              </wp:positionV>
              <wp:extent cx="1828800" cy="1828800"/>
              <wp:effectExtent l="0" t="0" r="0" b="0"/>
              <wp:wrapNone/>
              <wp:docPr id="50" name="文本框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- 1 -</w:t>
                          </w:r>
                          <w:r>
                            <w:rPr>
                              <w:color w:val="FFFFF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74" o:spid="_x0000_s1046" type="#_x0000_t202" style="position:absolute;margin-left:92.8pt;margin-top:0;width:2in;height:2in;z-index:25165824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" filled="f" stroked="f">
              <v:textbox style="mso-fit-shape-to-text:t" inset="0,0,0,0">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- 1 -</w:t>
                    </w:r>
                    <w:r>
                      <w:rPr>
                        <w:color w:val="FFFFFF"/>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57216" behindDoc="0" locked="0" layoutInCell="1" allowOverlap="1">
              <wp:simplePos x="0" y="0"/>
              <wp:positionH relativeFrom="margin">
                <wp:align>outside</wp:align>
              </wp:positionH>
              <wp:positionV relativeFrom="paragraph">
                <wp:posOffset>0</wp:posOffset>
              </wp:positionV>
              <wp:extent cx="247650" cy="131445"/>
              <wp:effectExtent l="0" t="0" r="2540" b="0"/>
              <wp:wrapNone/>
              <wp:docPr id="49" name="文本框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- 1 -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73" o:spid="_x0000_s1047" type="#_x0000_t202" style="position:absolute;left:0;text-align:left;margin-left:-31.7pt;margin-top:0;width:19.5pt;height:10.35pt;z-index:25165721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387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48" name="文本框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44" o:spid="_x0000_s1048" type="#_x0000_t202" style="position:absolute;margin-left:92.8pt;margin-top:0;width:2in;height:2in;z-index:25163878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37760" behindDoc="0" locked="0" layoutInCell="1" allowOverlap="1">
              <wp:simplePos x="0" y="0"/>
              <wp:positionH relativeFrom="margin">
                <wp:align>outside</wp:align>
              </wp:positionH>
              <wp:positionV relativeFrom="paragraph">
                <wp:posOffset>0</wp:posOffset>
              </wp:positionV>
              <wp:extent cx="247650" cy="131445"/>
              <wp:effectExtent l="0" t="0" r="3810" b="0"/>
              <wp:wrapNone/>
              <wp:docPr id="47" name="文本框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43" o:spid="_x0000_s1049" type="#_x0000_t202" style="position:absolute;left:0;text-align:left;margin-left:-31.7pt;margin-top:0;width:19.5pt;height:10.35pt;z-index:25163776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68480" behindDoc="0" locked="0" layoutInCell="1" allowOverlap="1">
              <wp:simplePos x="0" y="0"/>
              <wp:positionH relativeFrom="margin">
                <wp:align>outside</wp:align>
              </wp:positionH>
              <wp:positionV relativeFrom="paragraph">
                <wp:posOffset>0</wp:posOffset>
              </wp:positionV>
              <wp:extent cx="1828800" cy="1828800"/>
              <wp:effectExtent l="0" t="0" r="0" b="0"/>
              <wp:wrapNone/>
              <wp:docPr id="46" name="文本框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- 24 -</w:t>
                          </w:r>
                          <w:r>
                            <w:rPr>
                              <w:color w:val="FFFFF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84" o:spid="_x0000_s1050" type="#_x0000_t202" style="position:absolute;margin-left:92.8pt;margin-top:0;width:2in;height:2in;z-index:25166848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" filled="f" stroked="f">
              <v:textbox style="mso-fit-shape-to-text:t" inset="0,0,0,0">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- 24 -</w:t>
                    </w:r>
                    <w:r>
                      <w:rPr>
                        <w:color w:val="FFFFFF"/>
                      </w:rP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67456" behindDoc="0" locked="0" layoutInCell="1" allowOverlap="1">
              <wp:simplePos x="0" y="0"/>
              <wp:positionH relativeFrom="margin">
                <wp:align>outside</wp:align>
              </wp:positionH>
              <wp:positionV relativeFrom="paragraph">
                <wp:posOffset>0</wp:posOffset>
              </wp:positionV>
              <wp:extent cx="247650" cy="131445"/>
              <wp:effectExtent l="0" t="0" r="2540" b="0"/>
              <wp:wrapNone/>
              <wp:docPr id="45" name="文本框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- 1 -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83" o:spid="_x0000_s1051" type="#_x0000_t202" style="position:absolute;left:0;text-align:left;margin-left:-31.7pt;margin-top:0;width:19.5pt;height:10.35pt;z-index:25166745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40832" behindDoc="0" locked="0" layoutInCell="1" allowOverlap="1">
              <wp:simplePos x="0" y="0"/>
              <wp:positionH relativeFrom="margin">
                <wp:align>outside</wp:align>
              </wp:positionH>
              <wp:positionV relativeFrom="paragraph">
                <wp:posOffset>0</wp:posOffset>
              </wp:positionV>
              <wp:extent cx="1828800" cy="1828800"/>
              <wp:effectExtent l="0" t="0" r="0" b="0"/>
              <wp:wrapNone/>
              <wp:docPr id="44" name="文本框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50" o:spid="_x0000_s1052" type="#_x0000_t202" style="position:absolute;margin-left:92.8pt;margin-top:0;width:2in;height:2in;z-index:251640832;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39808" behindDoc="0" locked="0" layoutInCell="1" allowOverlap="1">
              <wp:simplePos x="0" y="0"/>
              <wp:positionH relativeFrom="margin">
                <wp:align>outside</wp:align>
              </wp:positionH>
              <wp:positionV relativeFrom="paragraph">
                <wp:posOffset>0</wp:posOffset>
              </wp:positionV>
              <wp:extent cx="247650" cy="131445"/>
              <wp:effectExtent l="0" t="0" r="2540" b="0"/>
              <wp:wrapNone/>
              <wp:docPr id="43" name="文本框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49" o:spid="_x0000_s1053" type="#_x0000_t202" style="position:absolute;left:0;text-align:left;margin-left:-31.7pt;margin-top:0;width:19.5pt;height:10.35pt;z-index:25163980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42" name="文本框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- 34 -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76" o:spid="_x0000_s1054" type="#_x0000_t202" style="position:absolute;margin-left:92.8pt;margin-top:0;width:2in;height:2in;z-index:25166028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IjQBfdEBAACYAwAADgAAAAAA&#10;AAAAAAAAAAAuAgAAZHJzL2Uyb0RvYy54bWxQSwECLQAUAAYACAAAACEADErw7tYAAAAFAQAADwAA&#10;AAAAAAAAAAAAAAArBAAAZHJzL2Rvd25yZXYueG1sUEsFBgAAAAAEAAQA8wAAAC4FA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- 34 -</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247650" cy="131445"/>
              <wp:effectExtent l="0" t="0" r="3810" b="0"/>
              <wp:wrapNone/>
              <wp:docPr id="41" name="文本框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rPr>
                              <w:color w:val="FFFFFF"/>
                            </w:rPr>
                            <w:fldChar w:fldCharType="begin"/>
                          </w:r>
                          <w:r>
                            <w:rPr>
                              <w:color w:val="FFFFFF"/>
                            </w:rPr>
                            <w:instrText xml:space="preserve"> PAGE  \* MERGEFORMAT </w:instrText>
                          </w:r>
                          <w:r>
                            <w:rPr>
                              <w:color w:val="FFFFFF"/>
                            </w:rPr>
                            <w:fldChar w:fldCharType="separate"/>
                          </w:r>
                          <w:r>
                            <w:rPr>
                              <w:color w:val="FFFFFF"/>
                            </w:rPr>
                            <w:t>- 1 -</w:t>
                          </w:r>
                          <w:r>
                            <w:rPr>
                              <w:color w:val="FFFFF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75" o:spid="_x0000_s1055" type="#_x0000_t202" style="position:absolute;left:0;text-align:left;margin-left:-31.7pt;margin-top:0;width:19.5pt;height:10.35pt;z-index:25165926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" filled="f" stroked="f">
              <v:textbox style="mso-fit-shape-to-text:t" inset="0,0,0,0">
                <w:txbxContent>
                  <w:p w:rsidR="00000000" w:rsidRDefault="00000000">
                    <w:pPr>
                      <w:pStyle w:val="ab"/>
                    </w:pPr>
                    <w:r>
                      <w:rPr>
                        <w:color w:val="FFFFFF"/>
                      </w:rPr>
                      <w:fldChar w:fldCharType="begin"/>
                    </w:r>
                    <w:r>
                      <w:rPr>
                        <w:color w:val="FFFFFF"/>
                      </w:rPr>
                      <w:instrText xml:space="preserve"> PAGE  \* MERGEFORMAT </w:instrText>
                    </w:r>
                    <w:r>
                      <w:rPr>
                        <w:color w:val="FFFFFF"/>
                      </w:rPr>
                      <w:fldChar w:fldCharType="separate"/>
                    </w:r>
                    <w:r>
                      <w:rPr>
                        <w:color w:val="FFFFFF"/>
                      </w:rPr>
                      <w:t>- 1 -</w:t>
                    </w:r>
                    <w:r>
                      <w:rPr>
                        <w:color w:val="FFFFFF"/>
                      </w:rP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42880" behindDoc="0" locked="0" layoutInCell="1" allowOverlap="1">
              <wp:simplePos x="0" y="0"/>
              <wp:positionH relativeFrom="margin">
                <wp:align>outside</wp:align>
              </wp:positionH>
              <wp:positionV relativeFrom="paragraph">
                <wp:posOffset>0</wp:posOffset>
              </wp:positionV>
              <wp:extent cx="1828800" cy="1828800"/>
              <wp:effectExtent l="0" t="0" r="0" b="0"/>
              <wp:wrapNone/>
              <wp:docPr id="40" name="文本框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56" o:spid="_x0000_s1056" type="#_x0000_t202" style="position:absolute;margin-left:92.8pt;margin-top:0;width:2in;height:2in;z-index:25164288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41856" behindDoc="0" locked="0" layoutInCell="1" allowOverlap="1">
              <wp:simplePos x="0" y="0"/>
              <wp:positionH relativeFrom="margin">
                <wp:align>outside</wp:align>
              </wp:positionH>
              <wp:positionV relativeFrom="paragraph">
                <wp:posOffset>0</wp:posOffset>
              </wp:positionV>
              <wp:extent cx="247650" cy="131445"/>
              <wp:effectExtent l="0" t="0" r="2540" b="0"/>
              <wp:wrapNone/>
              <wp:docPr id="39" name="文本框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55" o:spid="_x0000_s1057" type="#_x0000_t202" style="position:absolute;left:0;text-align:left;margin-left:-31.7pt;margin-top:0;width:19.5pt;height:10.35pt;z-index:25164185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7052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8" name="文本框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- 1 -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86" o:spid="_x0000_s1058" type="#_x0000_t202" style="position:absolute;margin-left:92.8pt;margin-top:0;width:2in;height:2in;z-index:25167052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69504" behindDoc="0" locked="0" layoutInCell="1" allowOverlap="1">
              <wp:simplePos x="0" y="0"/>
              <wp:positionH relativeFrom="margin">
                <wp:align>outside</wp:align>
              </wp:positionH>
              <wp:positionV relativeFrom="paragraph">
                <wp:posOffset>0</wp:posOffset>
              </wp:positionV>
              <wp:extent cx="247650" cy="131445"/>
              <wp:effectExtent l="0" t="0" r="3810" b="0"/>
              <wp:wrapNone/>
              <wp:docPr id="37" name="文本框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- 41 -</w:t>
                          </w:r>
                          <w:r>
                            <w:rPr>
                              <w:color w:val="FFFFF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85" o:spid="_x0000_s1059" type="#_x0000_t202" style="position:absolute;left:0;text-align:left;margin-left:-31.7pt;margin-top:0;width:19.5pt;height:10.35pt;z-index:25166950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" filled="f" stroked="f">
              <v:textbox style="mso-fit-shape-to-text:t" inset="0,0,0,0">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- 41 -</w:t>
                    </w:r>
                    <w:r>
                      <w:rPr>
                        <w:color w:val="FFFFFF"/>
                      </w:rPr>
                      <w:fldChar w:fldCharType="end"/>
                    </w:r>
                  </w:p>
                </w:txbxContent>
              </v:textbox>
              <w10:wrap anchorx="margin"/>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4492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6" name="文本框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62" o:spid="_x0000_s1060" type="#_x0000_t202" style="position:absolute;margin-left:92.8pt;margin-top:0;width:2in;height:2in;z-index:25164492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43904" behindDoc="0" locked="0" layoutInCell="1" allowOverlap="1">
              <wp:simplePos x="0" y="0"/>
              <wp:positionH relativeFrom="margin">
                <wp:align>outside</wp:align>
              </wp:positionH>
              <wp:positionV relativeFrom="paragraph">
                <wp:posOffset>0</wp:posOffset>
              </wp:positionV>
              <wp:extent cx="247650" cy="131445"/>
              <wp:effectExtent l="0" t="0" r="2540" b="0"/>
              <wp:wrapNone/>
              <wp:docPr id="35" name="文本框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61" o:spid="_x0000_s1061" type="#_x0000_t202" style="position:absolute;left:0;text-align:left;margin-left:-31.7pt;margin-top:0;width:19.5pt;height:10.35pt;z-index:25164390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72576" behindDoc="0" locked="0" layoutInCell="1" allowOverlap="1">
              <wp:simplePos x="0" y="0"/>
              <wp:positionH relativeFrom="margin">
                <wp:align>outside</wp:align>
              </wp:positionH>
              <wp:positionV relativeFrom="paragraph">
                <wp:posOffset>0</wp:posOffset>
              </wp:positionV>
              <wp:extent cx="1828800" cy="1828800"/>
              <wp:effectExtent l="0" t="0" r="0" b="0"/>
              <wp:wrapNone/>
              <wp:docPr id="34" name="文本框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- 1 -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88" o:spid="_x0000_s1062" type="#_x0000_t202" style="position:absolute;margin-left:92.8pt;margin-top:0;width:2in;height:2in;z-index:25167257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j4SO/NEBAACYAwAADgAAAAAA&#10;AAAAAAAAAAAuAgAAZHJzL2Uyb0RvYy54bWxQSwECLQAUAAYACAAAACEADErw7tYAAAAFAQAADwAA&#10;AAAAAAAAAAAAAAArBAAAZHJzL2Rvd25yZXYueG1sUEsFBgAAAAAEAAQA8wAAAC4FA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71552" behindDoc="0" locked="0" layoutInCell="1" allowOverlap="1">
              <wp:simplePos x="0" y="0"/>
              <wp:positionH relativeFrom="margin">
                <wp:align>outside</wp:align>
              </wp:positionH>
              <wp:positionV relativeFrom="paragraph">
                <wp:posOffset>0</wp:posOffset>
              </wp:positionV>
              <wp:extent cx="247650" cy="131445"/>
              <wp:effectExtent l="0" t="0" r="3810" b="0"/>
              <wp:wrapNone/>
              <wp:docPr id="33" name="文本框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- 55 -</w:t>
                          </w:r>
                          <w:r>
                            <w:rPr>
                              <w:color w:val="FFFFF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87" o:spid="_x0000_s1063" type="#_x0000_t202" style="position:absolute;left:0;text-align:left;margin-left:-31.7pt;margin-top:0;width:19.5pt;height:10.35pt;z-index:251671552;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" filled="f" stroked="f">
              <v:textbox style="mso-fit-shape-to-text:t" inset="0,0,0,0">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- 55 -</w:t>
                    </w:r>
                    <w:r>
                      <w:rPr>
                        <w:color w:val="FFFFFF"/>
                      </w:rPr>
                      <w:fldChar w:fldCharType="end"/>
                    </w:r>
                  </w:p>
                </w:txbxContent>
              </v:textbox>
              <w10:wrap anchorx="margin"/>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26496" behindDoc="0" locked="0" layoutInCell="1" allowOverlap="1">
              <wp:simplePos x="0" y="0"/>
              <wp:positionH relativeFrom="margin">
                <wp:align>outside</wp:align>
              </wp:positionH>
              <wp:positionV relativeFrom="paragraph">
                <wp:posOffset>0</wp:posOffset>
              </wp:positionV>
              <wp:extent cx="1828800" cy="1828800"/>
              <wp:effectExtent l="0" t="0" r="0" b="0"/>
              <wp:wrapNone/>
              <wp:docPr id="32" name="文本框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68" o:spid="_x0000_s1064" type="#_x0000_t202" style="position:absolute;margin-left:92.8pt;margin-top:0;width:2in;height:2in;z-index:25162649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JtYW0TVAQAApgMAAA4A&#10;AAAAAAAAAAAAAAAALgIAAGRycy9lMm9Eb2MueG1sUEsBAi0AFAAGAAgAAAAhAAxK8O7WAAAABQEA&#10;AA8AAAAAAAAAAAAAAAAALwQAAGRycy9kb3ducmV2LnhtbFBLBQYAAAAABAAEAPMAAAAy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45952" behindDoc="0" locked="0" layoutInCell="1" allowOverlap="1">
              <wp:simplePos x="0" y="0"/>
              <wp:positionH relativeFrom="margin">
                <wp:align>outside</wp:align>
              </wp:positionH>
              <wp:positionV relativeFrom="paragraph">
                <wp:posOffset>0</wp:posOffset>
              </wp:positionV>
              <wp:extent cx="247650" cy="131445"/>
              <wp:effectExtent l="0" t="0" r="2540" b="0"/>
              <wp:wrapNone/>
              <wp:docPr id="31" name="文本框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67" o:spid="_x0000_s1065" type="#_x0000_t202" style="position:absolute;left:0;text-align:left;margin-left:-31.7pt;margin-top:0;width:19.5pt;height:10.35pt;z-index:251645952;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30" name="文本框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- 64 -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78" o:spid="_x0000_s1066" type="#_x0000_t202" style="position:absolute;margin-left:92.8pt;margin-top:0;width:2in;height:2in;z-index:25166233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qWZzMNEBAACYAwAADgAAAAAA&#10;AAAAAAAAAAAuAgAAZHJzL2Uyb0RvYy54bWxQSwECLQAUAAYACAAAACEADErw7tYAAAAFAQAADwAA&#10;AAAAAAAAAAAAAAArBAAAZHJzL2Rvd25yZXYueG1sUEsFBgAAAAAEAAQA8wAAAC4FA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- 64 -</w:t>
                    </w:r>
                    <w:r>
                      <w:fldChar w:fldCharType="end"/>
                    </w:r>
                  </w:p>
                </w:txbxContent>
              </v:textbox>
              <w10:wrap anchorx="margin"/>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247650" cy="131445"/>
              <wp:effectExtent l="0" t="0" r="3810" b="0"/>
              <wp:wrapNone/>
              <wp:docPr id="29" name="文本框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rPr>
                              <w:color w:val="FFFFFF"/>
                            </w:rPr>
                            <w:fldChar w:fldCharType="begin"/>
                          </w:r>
                          <w:r>
                            <w:rPr>
                              <w:color w:val="FFFFFF"/>
                            </w:rPr>
                            <w:instrText xml:space="preserve"> PAGE  \* MERGEFORMAT </w:instrText>
                          </w:r>
                          <w:r>
                            <w:rPr>
                              <w:color w:val="FFFFFF"/>
                            </w:rPr>
                            <w:fldChar w:fldCharType="separate"/>
                          </w:r>
                          <w:r>
                            <w:rPr>
                              <w:color w:val="FFFFFF"/>
                            </w:rPr>
                            <w:t>- 1 -</w:t>
                          </w:r>
                          <w:r>
                            <w:rPr>
                              <w:color w:val="FFFFF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77" o:spid="_x0000_s1067" type="#_x0000_t202" style="position:absolute;left:0;text-align:left;margin-left:-31.7pt;margin-top:0;width:19.5pt;height:10.35pt;z-index:251661312;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" filled="f" stroked="f">
              <v:textbox style="mso-fit-shape-to-text:t" inset="0,0,0,0">
                <w:txbxContent>
                  <w:p w:rsidR="00000000" w:rsidRDefault="00000000">
                    <w:pPr>
                      <w:pStyle w:val="ab"/>
                    </w:pPr>
                    <w:r>
                      <w:rPr>
                        <w:color w:val="FFFFFF"/>
                      </w:rPr>
                      <w:fldChar w:fldCharType="begin"/>
                    </w:r>
                    <w:r>
                      <w:rPr>
                        <w:color w:val="FFFFFF"/>
                      </w:rPr>
                      <w:instrText xml:space="preserve"> PAGE  \* MERGEFORMAT </w:instrText>
                    </w:r>
                    <w:r>
                      <w:rPr>
                        <w:color w:val="FFFFFF"/>
                      </w:rPr>
                      <w:fldChar w:fldCharType="separate"/>
                    </w:r>
                    <w:r>
                      <w:rPr>
                        <w:color w:val="FFFFFF"/>
                      </w:rPr>
                      <w:t>- 1 -</w:t>
                    </w:r>
                    <w:r>
                      <w:rPr>
                        <w:color w:val="FFFFFF"/>
                      </w:rPr>
                      <w:fldChar w:fldCharType="end"/>
                    </w:r>
                  </w:p>
                </w:txbxContent>
              </v:textbox>
              <w10:wrap anchorx="margin"/>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48000" behindDoc="0" locked="0" layoutInCell="1" allowOverlap="1">
              <wp:simplePos x="0" y="0"/>
              <wp:positionH relativeFrom="margin">
                <wp:align>outside</wp:align>
              </wp:positionH>
              <wp:positionV relativeFrom="paragraph">
                <wp:posOffset>0</wp:posOffset>
              </wp:positionV>
              <wp:extent cx="1828800" cy="1828800"/>
              <wp:effectExtent l="0" t="0" r="0" b="0"/>
              <wp:wrapNone/>
              <wp:docPr id="28" name="文本框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74" o:spid="_x0000_s1068" type="#_x0000_t202" style="position:absolute;margin-left:92.8pt;margin-top:0;width:2in;height:2in;z-index:25164800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46976" behindDoc="0" locked="0" layoutInCell="1" allowOverlap="1">
              <wp:simplePos x="0" y="0"/>
              <wp:positionH relativeFrom="margin">
                <wp:align>outside</wp:align>
              </wp:positionH>
              <wp:positionV relativeFrom="paragraph">
                <wp:posOffset>0</wp:posOffset>
              </wp:positionV>
              <wp:extent cx="247650" cy="131445"/>
              <wp:effectExtent l="0" t="0" r="3810" b="0"/>
              <wp:wrapNone/>
              <wp:docPr id="27" name="文本框 1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73" o:spid="_x0000_s1069" type="#_x0000_t202" style="position:absolute;left:0;text-align:left;margin-left:-31.7pt;margin-top:0;width:19.5pt;height:10.35pt;z-index:25164697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7462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6" name="文本框 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- 72 -</w:t>
                          </w:r>
                          <w:r>
                            <w:rPr>
                              <w:color w:val="FFFFF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90" o:spid="_x0000_s1070" type="#_x0000_t202" style="position:absolute;margin-left:92.8pt;margin-top:0;width:2in;height:2in;z-index:25167462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" filled="f" stroked="f">
              <v:textbox style="mso-fit-shape-to-text:t" inset="0,0,0,0">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- 72 -</w:t>
                    </w:r>
                    <w:r>
                      <w:rPr>
                        <w:color w:val="FFFFFF"/>
                      </w:rPr>
                      <w:fldChar w:fldCharType="end"/>
                    </w:r>
                  </w:p>
                </w:txbxContent>
              </v:textbox>
              <w10:wrap anchorx="margin"/>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73600" behindDoc="0" locked="0" layoutInCell="1" allowOverlap="1">
              <wp:simplePos x="0" y="0"/>
              <wp:positionH relativeFrom="margin">
                <wp:align>outside</wp:align>
              </wp:positionH>
              <wp:positionV relativeFrom="paragraph">
                <wp:posOffset>0</wp:posOffset>
              </wp:positionV>
              <wp:extent cx="247650" cy="131445"/>
              <wp:effectExtent l="0" t="0" r="2540" b="0"/>
              <wp:wrapNone/>
              <wp:docPr id="25" name="文本框 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- 1 -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89" o:spid="_x0000_s1071" type="#_x0000_t202" style="position:absolute;left:0;text-align:left;margin-left:-31.7pt;margin-top:0;width:19.5pt;height:10.35pt;z-index:25167360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50048" behindDoc="0" locked="0" layoutInCell="1" allowOverlap="1">
              <wp:simplePos x="0" y="0"/>
              <wp:positionH relativeFrom="margin">
                <wp:align>outside</wp:align>
              </wp:positionH>
              <wp:positionV relativeFrom="paragraph">
                <wp:posOffset>0</wp:posOffset>
              </wp:positionV>
              <wp:extent cx="1828800" cy="1828800"/>
              <wp:effectExtent l="0" t="0" r="0" b="0"/>
              <wp:wrapNone/>
              <wp:docPr id="24" name="文本框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80" o:spid="_x0000_s1072" type="#_x0000_t202" style="position:absolute;margin-left:92.8pt;margin-top:0;width:2in;height:2in;z-index:25165004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BnXDEHVAQAApgMAAA4A&#10;AAAAAAAAAAAAAAAALgIAAGRycy9lMm9Eb2MueG1sUEsBAi0AFAAGAAgAAAAhAAxK8O7WAAAABQEA&#10;AA8AAAAAAAAAAAAAAAAALwQAAGRycy9kb3ducmV2LnhtbFBLBQYAAAAABAAEAPMAAAAy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49024" behindDoc="0" locked="0" layoutInCell="1" allowOverlap="1">
              <wp:simplePos x="0" y="0"/>
              <wp:positionH relativeFrom="margin">
                <wp:align>outside</wp:align>
              </wp:positionH>
              <wp:positionV relativeFrom="paragraph">
                <wp:posOffset>0</wp:posOffset>
              </wp:positionV>
              <wp:extent cx="247650" cy="131445"/>
              <wp:effectExtent l="0" t="0" r="2540" b="0"/>
              <wp:wrapNone/>
              <wp:docPr id="23" name="文本框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79" o:spid="_x0000_s1073" type="#_x0000_t202" style="position:absolute;left:0;text-align:left;margin-left:-31.7pt;margin-top:0;width:19.5pt;height:10.35pt;z-index:25164902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76672" behindDoc="0" locked="0" layoutInCell="1" allowOverlap="1">
              <wp:simplePos x="0" y="0"/>
              <wp:positionH relativeFrom="margin">
                <wp:align>outside</wp:align>
              </wp:positionH>
              <wp:positionV relativeFrom="paragraph">
                <wp:posOffset>0</wp:posOffset>
              </wp:positionV>
              <wp:extent cx="1828800" cy="1828800"/>
              <wp:effectExtent l="0" t="0" r="0" b="0"/>
              <wp:wrapNone/>
              <wp:docPr id="22" name="文本框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- 1 -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92" o:spid="_x0000_s1074" type="#_x0000_t202" style="position:absolute;margin-left:92.8pt;margin-top:0;width:2in;height:2in;z-index:251676672;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75648" behindDoc="0" locked="0" layoutInCell="1" allowOverlap="1">
              <wp:simplePos x="0" y="0"/>
              <wp:positionH relativeFrom="margin">
                <wp:align>outside</wp:align>
              </wp:positionH>
              <wp:positionV relativeFrom="paragraph">
                <wp:posOffset>0</wp:posOffset>
              </wp:positionV>
              <wp:extent cx="247650" cy="131445"/>
              <wp:effectExtent l="0" t="0" r="3810" b="0"/>
              <wp:wrapNone/>
              <wp:docPr id="21" name="文本框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- 77 -</w:t>
                          </w:r>
                          <w:r>
                            <w:rPr>
                              <w:color w:val="FFFFF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91" o:spid="_x0000_s1075" type="#_x0000_t202" style="position:absolute;left:0;text-align:left;margin-left:-31.7pt;margin-top:0;width:19.5pt;height:10.35pt;z-index:25167564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" filled="f" stroked="f">
              <v:textbox style="mso-fit-shape-to-text:t" inset="0,0,0,0">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- 77 -</w:t>
                    </w:r>
                    <w:r>
                      <w:rPr>
                        <w:color w:val="FFFFFF"/>
                      </w:rPr>
                      <w:fldChar w:fldCharType="end"/>
                    </w:r>
                  </w:p>
                </w:txbxContent>
              </v:textbox>
              <w10:wrap anchorx="margin"/>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2854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0" name="文本框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86" o:spid="_x0000_s1076" type="#_x0000_t202" style="position:absolute;margin-left:92.8pt;margin-top:0;width:2in;height:2in;z-index:25162854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27520" behindDoc="0" locked="0" layoutInCell="1" allowOverlap="1">
              <wp:simplePos x="0" y="0"/>
              <wp:positionH relativeFrom="margin">
                <wp:align>outside</wp:align>
              </wp:positionH>
              <wp:positionV relativeFrom="paragraph">
                <wp:posOffset>0</wp:posOffset>
              </wp:positionV>
              <wp:extent cx="247650" cy="131445"/>
              <wp:effectExtent l="0" t="0" r="2540" b="0"/>
              <wp:wrapNone/>
              <wp:docPr id="19" name="文本框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85" o:spid="_x0000_s1077" type="#_x0000_t202" style="position:absolute;left:0;text-align:left;margin-left:-31.7pt;margin-top:0;width:19.5pt;height:10.35pt;z-index:25162752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7872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8" name="文本框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- 1 -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94" o:spid="_x0000_s1078" type="#_x0000_t202" style="position:absolute;margin-left:92.8pt;margin-top:0;width:2in;height:2in;z-index:25167872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77696" behindDoc="0" locked="0" layoutInCell="1" allowOverlap="1">
              <wp:simplePos x="0" y="0"/>
              <wp:positionH relativeFrom="margin">
                <wp:align>outside</wp:align>
              </wp:positionH>
              <wp:positionV relativeFrom="paragraph">
                <wp:posOffset>0</wp:posOffset>
              </wp:positionV>
              <wp:extent cx="247650" cy="131445"/>
              <wp:effectExtent l="0" t="0" r="3810" b="0"/>
              <wp:wrapNone/>
              <wp:docPr id="17" name="文本框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- 87 -</w:t>
                          </w:r>
                          <w:r>
                            <w:rPr>
                              <w:color w:val="FFFFF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93" o:spid="_x0000_s1079" type="#_x0000_t202" style="position:absolute;left:0;text-align:left;margin-left:-31.7pt;margin-top:0;width:19.5pt;height:10.35pt;z-index:25167769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" filled="f" stroked="f">
              <v:textbox style="mso-fit-shape-to-text:t" inset="0,0,0,0">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- 87 -</w:t>
                    </w:r>
                    <w:r>
                      <w:rPr>
                        <w:color w:val="FFFFFF"/>
                      </w:rPr>
                      <w:fldChar w:fldCharType="end"/>
                    </w:r>
                  </w:p>
                </w:txbxContent>
              </v:textbox>
              <w10:wrap anchorx="margin"/>
            </v:shape>
          </w:pict>
        </mc:Fallback>
      </mc:AlternateConten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5209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6" name="文本框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92" o:spid="_x0000_s1080" type="#_x0000_t202" style="position:absolute;margin-left:92.8pt;margin-top:0;width:2in;height:2in;z-index:25165209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51072" behindDoc="0" locked="0" layoutInCell="1" allowOverlap="1">
              <wp:simplePos x="0" y="0"/>
              <wp:positionH relativeFrom="margin">
                <wp:align>outside</wp:align>
              </wp:positionH>
              <wp:positionV relativeFrom="paragraph">
                <wp:posOffset>0</wp:posOffset>
              </wp:positionV>
              <wp:extent cx="247650" cy="131445"/>
              <wp:effectExtent l="0" t="0" r="2540" b="0"/>
              <wp:wrapNone/>
              <wp:docPr id="15" name="文本框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91" o:spid="_x0000_s1081" type="#_x0000_t202" style="position:absolute;left:0;text-align:left;margin-left:-31.7pt;margin-top:0;width:19.5pt;height:10.35pt;z-index:251651072;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8076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4" name="文本框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- 1 -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96" o:spid="_x0000_s1082" type="#_x0000_t202" style="position:absolute;margin-left:92.8pt;margin-top:0;width:2in;height:2in;z-index:25168076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79744" behindDoc="0" locked="0" layoutInCell="1" allowOverlap="1">
              <wp:simplePos x="0" y="0"/>
              <wp:positionH relativeFrom="margin">
                <wp:align>outside</wp:align>
              </wp:positionH>
              <wp:positionV relativeFrom="paragraph">
                <wp:posOffset>0</wp:posOffset>
              </wp:positionV>
              <wp:extent cx="247650" cy="131445"/>
              <wp:effectExtent l="0" t="0" r="3810" b="0"/>
              <wp:wrapNone/>
              <wp:docPr id="13" name="文本框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- 85 -</w:t>
                          </w:r>
                          <w:r>
                            <w:rPr>
                              <w:color w:val="FFFFF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95" o:spid="_x0000_s1083" type="#_x0000_t202" style="position:absolute;left:0;text-align:left;margin-left:-31.7pt;margin-top:0;width:19.5pt;height:10.35pt;z-index:25167974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" filled="f" stroked="f">
              <v:textbox style="mso-fit-shape-to-text:t" inset="0,0,0,0">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- 85 -</w:t>
                    </w:r>
                    <w:r>
                      <w:rPr>
                        <w:color w:val="FFFFFF"/>
                      </w:rPr>
                      <w:fldChar w:fldCharType="end"/>
                    </w:r>
                  </w:p>
                </w:txbxContent>
              </v:textbox>
              <w10:wrap anchorx="margin"/>
            </v:shape>
          </w:pict>
        </mc:Fallback>
      </mc:AlternateConten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346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2" name="文本框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00" o:spid="_x0000_s1084" type="#_x0000_t202" style="position:absolute;margin-left:92.8pt;margin-top:0;width:2in;height:2in;z-index:25163468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33664" behindDoc="0" locked="0" layoutInCell="1" allowOverlap="1">
              <wp:simplePos x="0" y="0"/>
              <wp:positionH relativeFrom="margin">
                <wp:align>outside</wp:align>
              </wp:positionH>
              <wp:positionV relativeFrom="paragraph">
                <wp:posOffset>0</wp:posOffset>
              </wp:positionV>
              <wp:extent cx="247650" cy="131445"/>
              <wp:effectExtent l="0" t="0" r="3810" b="0"/>
              <wp:wrapNone/>
              <wp:docPr id="11" name="文本框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99" o:spid="_x0000_s1085" type="#_x0000_t202" style="position:absolute;left:0;text-align:left;margin-left:-31.7pt;margin-top:0;width:19.5pt;height:10.35pt;z-index:25163366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tabs>
        <w:tab w:val="clear" w:pos="4153"/>
        <w:tab w:val="right" w:pos="6122"/>
      </w:tabs>
      <w:rPr>
        <w:sz w:val="28"/>
        <w:szCs w:val="28"/>
      </w:rPr>
    </w:pPr>
    <w:r>
      <w:rPr>
        <w:noProof/>
        <w:sz w:val="28"/>
      </w:rPr>
      <mc:AlternateContent>
        <mc:Choice Requires="wps">
          <w:drawing>
            <wp:anchor distT="0" distB="0" distL="114300" distR="114300" simplePos="0" relativeHeight="25166438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0" name="文本框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- 1 -</w:t>
                          </w:r>
                          <w:r>
                            <w:rPr>
                              <w:color w:val="FFFFF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80" o:spid="_x0000_s1086" type="#_x0000_t202" style="position:absolute;margin-left:92.8pt;margin-top:0;width:2in;height:2in;z-index:25166438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" filled="f" stroked="f">
              <v:textbox style="mso-fit-shape-to-text:t" inset="0,0,0,0">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- 1 -</w:t>
                    </w:r>
                    <w:r>
                      <w:rPr>
                        <w:color w:val="FFFFFF"/>
                      </w:rPr>
                      <w:fldChar w:fldCharType="end"/>
                    </w:r>
                  </w:p>
                </w:txbxContent>
              </v:textbox>
              <w10:wrap anchorx="margin"/>
            </v:shape>
          </w:pict>
        </mc:Fallback>
      </mc:AlternateContent>
    </w:r>
    <w:r w:rsidR="00000000">
      <w:rPr>
        <w:rFonts w:hint="eastAsia"/>
        <w:sz w:val="28"/>
        <w:szCs w:val="28"/>
      </w:rPr>
      <w:tab/>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63360" behindDoc="0" locked="0" layoutInCell="1" allowOverlap="1">
              <wp:simplePos x="0" y="0"/>
              <wp:positionH relativeFrom="margin">
                <wp:align>outside</wp:align>
              </wp:positionH>
              <wp:positionV relativeFrom="paragraph">
                <wp:posOffset>0</wp:posOffset>
              </wp:positionV>
              <wp:extent cx="304800" cy="131445"/>
              <wp:effectExtent l="0" t="0" r="2540" b="0"/>
              <wp:wrapNone/>
              <wp:docPr id="9" name="文本框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- 105 -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79" o:spid="_x0000_s1087" type="#_x0000_t202" style="position:absolute;left:0;text-align:left;margin-left:-27.2pt;margin-top:0;width:24pt;height:10.35pt;z-index:25166336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- 105 -</w:t>
                    </w:r>
                    <w:r>
                      <w:fldChar w:fldCharType="end"/>
                    </w:r>
                  </w:p>
                </w:txbxContent>
              </v:textbox>
              <w10:wrap anchorx="margin"/>
            </v:shape>
          </w:pict>
        </mc:Fallback>
      </mc:AlternateConten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56192" behindDoc="0" locked="0" layoutInCell="1" allowOverlap="1">
              <wp:simplePos x="0" y="0"/>
              <wp:positionH relativeFrom="margin">
                <wp:align>outside</wp:align>
              </wp:positionH>
              <wp:positionV relativeFrom="paragraph">
                <wp:posOffset>0</wp:posOffset>
              </wp:positionV>
              <wp:extent cx="1828800" cy="1828800"/>
              <wp:effectExtent l="0" t="0" r="0" b="0"/>
              <wp:wrapNone/>
              <wp:docPr id="8" name="文本框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- 1 -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70" o:spid="_x0000_s1088" type="#_x0000_t202" style="position:absolute;margin-left:92.8pt;margin-top:0;width:2in;height:2in;z-index:251656192;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55168" behindDoc="0" locked="0" layoutInCell="1" allowOverlap="1">
              <wp:simplePos x="0" y="0"/>
              <wp:positionH relativeFrom="margin">
                <wp:align>outside</wp:align>
              </wp:positionH>
              <wp:positionV relativeFrom="paragraph">
                <wp:posOffset>0</wp:posOffset>
              </wp:positionV>
              <wp:extent cx="304800" cy="131445"/>
              <wp:effectExtent l="0" t="0" r="3810" b="0"/>
              <wp:wrapNone/>
              <wp:docPr id="7" name="文本框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- 111 -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69" o:spid="_x0000_s1089" type="#_x0000_t202" style="position:absolute;left:0;text-align:left;margin-left:-27.2pt;margin-top:0;width:24pt;height:10.35pt;z-index:251655168;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- 111 -</w:t>
                    </w:r>
                    <w:r>
                      <w:fldChar w:fldCharType="end"/>
                    </w:r>
                  </w:p>
                </w:txbxContent>
              </v:textbox>
              <w10:wrap anchorx="margin"/>
            </v:shape>
          </w:pict>
        </mc:Fallback>
      </mc:AlternateConten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54144" behindDoc="0" locked="0" layoutInCell="1" allowOverlap="1">
              <wp:simplePos x="0" y="0"/>
              <wp:positionH relativeFrom="margin">
                <wp:align>outside</wp:align>
              </wp:positionH>
              <wp:positionV relativeFrom="paragraph">
                <wp:posOffset>0</wp:posOffset>
              </wp:positionV>
              <wp:extent cx="1828800" cy="1828800"/>
              <wp:effectExtent l="0" t="0" r="0" b="0"/>
              <wp:wrapNone/>
              <wp:docPr id="6" name="文本框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68" o:spid="_x0000_s1090" type="#_x0000_t202" style="position:absolute;margin-left:92.8pt;margin-top:0;width:2in;height:2in;z-index:251654144;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53120" behindDoc="0" locked="0" layoutInCell="1" allowOverlap="1">
              <wp:simplePos x="0" y="0"/>
              <wp:positionH relativeFrom="margin">
                <wp:align>outside</wp:align>
              </wp:positionH>
              <wp:positionV relativeFrom="paragraph">
                <wp:posOffset>0</wp:posOffset>
              </wp:positionV>
              <wp:extent cx="304800" cy="131445"/>
              <wp:effectExtent l="0" t="0" r="3810" b="0"/>
              <wp:wrapNone/>
              <wp:docPr id="5" name="文本框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67" o:spid="_x0000_s1091" type="#_x0000_t202" style="position:absolute;left:0;text-align:left;margin-left:-27.2pt;margin-top:0;width:24pt;height:10.35pt;z-index:251653120;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82816" behindDoc="0" locked="0" layoutInCell="1" allowOverlap="1">
              <wp:simplePos x="0" y="0"/>
              <wp:positionH relativeFrom="margin">
                <wp:align>outside</wp:align>
              </wp:positionH>
              <wp:positionV relativeFrom="paragraph">
                <wp:posOffset>0</wp:posOffset>
              </wp:positionV>
              <wp:extent cx="1828800" cy="1828800"/>
              <wp:effectExtent l="0" t="0" r="0" b="0"/>
              <wp:wrapNone/>
              <wp:docPr id="4" name="文本框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- 122 -</w:t>
                          </w:r>
                          <w:r>
                            <w:rPr>
                              <w:color w:val="FFFFFF"/>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98" o:spid="_x0000_s1092" type="#_x0000_t202" style="position:absolute;margin-left:92.8pt;margin-top:0;width:2in;height:2in;z-index:25168281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" filled="f" stroked="f">
              <v:textbox style="mso-fit-shape-to-text:t" inset="0,0,0,0">
                <w:txbxContent>
                  <w:p w:rsidR="00000000" w:rsidRDefault="00000000">
                    <w:pPr>
                      <w:pStyle w:val="ab"/>
                      <w:rPr>
                        <w:color w:val="FFFFFF"/>
                      </w:rPr>
                    </w:pPr>
                    <w:r>
                      <w:rPr>
                        <w:color w:val="FFFFFF"/>
                      </w:rPr>
                      <w:fldChar w:fldCharType="begin"/>
                    </w:r>
                    <w:r>
                      <w:rPr>
                        <w:color w:val="FFFFFF"/>
                      </w:rPr>
                      <w:instrText xml:space="preserve"> PAGE  \* MERGEFORMAT </w:instrText>
                    </w:r>
                    <w:r>
                      <w:rPr>
                        <w:color w:val="FFFFFF"/>
                      </w:rPr>
                      <w:fldChar w:fldCharType="separate"/>
                    </w:r>
                    <w:r>
                      <w:rPr>
                        <w:color w:val="FFFFFF"/>
                      </w:rPr>
                      <w:t>- 122 -</w:t>
                    </w:r>
                    <w:r>
                      <w:rPr>
                        <w:color w:val="FFFFFF"/>
                      </w:rPr>
                      <w:fldChar w:fldCharType="end"/>
                    </w:r>
                  </w:p>
                </w:txbxContent>
              </v:textbox>
              <w10:wrap anchorx="margin"/>
            </v:shape>
          </w:pict>
        </mc:Fallback>
      </mc:AlternateConten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81792" behindDoc="0" locked="0" layoutInCell="1" allowOverlap="1">
              <wp:simplePos x="0" y="0"/>
              <wp:positionH relativeFrom="margin">
                <wp:align>outside</wp:align>
              </wp:positionH>
              <wp:positionV relativeFrom="paragraph">
                <wp:posOffset>0</wp:posOffset>
              </wp:positionV>
              <wp:extent cx="304800" cy="131445"/>
              <wp:effectExtent l="0" t="0" r="2540" b="0"/>
              <wp:wrapNone/>
              <wp:docPr id="3" name="文本框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31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rsidR="00000000" w:rsidRDefault="00000000">
                          <w:pPr>
                            <w:pStyle w:val="ab"/>
                          </w:pPr>
                          <w:r>
                            <w:fldChar w:fldCharType="begin"/>
                          </w:r>
                          <w:r>
                            <w:instrText xml:space="preserve"> PAGE  \* MERGEFORMAT </w:instrText>
                          </w:r>
                          <w:r>
                            <w:fldChar w:fldCharType="separate"/>
                          </w:r>
                          <w:r>
                            <w:t>- 1 -</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297" o:spid="_x0000_s1093" type="#_x0000_t202" style="position:absolute;left:0;text-align:left;margin-left:-27.2pt;margin-top:0;width:24pt;height:10.35pt;z-index:251681792;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- 1 -</w:t>
                    </w:r>
                    <w:r>
                      <w:fldChar w:fldCharType="end"/>
                    </w:r>
                  </w:p>
                </w:txbxContent>
              </v:textbox>
              <w10:wrap anchorx="margin"/>
            </v:shape>
          </w:pict>
        </mc:Fallback>
      </mc:AlternateConten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rPr>
        <w:sz w:val="28"/>
        <w:szCs w:val="28"/>
      </w:rPr>
    </w:pPr>
    <w:r>
      <w:rPr>
        <w:noProof/>
        <w:sz w:val="28"/>
      </w:rPr>
      <mc:AlternateContent>
        <mc:Choice Requires="wps">
          <w:drawing>
            <wp:anchor distT="0" distB="0" distL="114300" distR="114300" simplePos="0" relativeHeight="251631616"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10</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93" o:spid="_x0000_s1094" type="#_x0000_t202" style="position:absolute;margin-left:92.8pt;margin-top:0;width:2in;height:2in;z-index:251631616;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ByDlr3VAQAApgMAAA4A&#10;AAAAAAAAAAAAAAAALgIAAGRycy9lMm9Eb2MueG1sUEsBAi0AFAAGAAgAAAAhAAxK8O7WAAAABQEA&#10;AA8AAAAAAAAAAAAAAAAALwQAAGRycy9kb3ducmV2LnhtbFBLBQYAAAAABAAEAPMAAAAy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D54102">
    <w:pPr>
      <w:pStyle w:val="ab"/>
      <w:jc w:val="right"/>
      <w:rPr>
        <w:sz w:val="28"/>
        <w:szCs w:val="28"/>
      </w:rPr>
    </w:pPr>
    <w:r>
      <w:rPr>
        <w:noProof/>
        <w:sz w:val="28"/>
      </w:rPr>
      <mc:AlternateContent>
        <mc:Choice Requires="wps">
          <w:drawing>
            <wp:anchor distT="0" distB="0" distL="114300" distR="114300" simplePos="0" relativeHeight="251630592" behindDoc="0" locked="0" layoutInCell="1" allowOverlap="1">
              <wp:simplePos x="0" y="0"/>
              <wp:positionH relativeFrom="margin">
                <wp:align>outside</wp:align>
              </wp:positionH>
              <wp:positionV relativeFrom="paragraph">
                <wp:posOffset>0</wp:posOffset>
              </wp:positionV>
              <wp:extent cx="304800" cy="131445"/>
              <wp:effectExtent l="0" t="0" r="2540" b="0"/>
              <wp:wrapNone/>
              <wp:docPr id="1" name="文本框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 cy="1314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000000" w:rsidRDefault="00000000">
                          <w:pPr>
                            <w:pStyle w:val="ab"/>
                          </w:pPr>
                          <w:r>
                            <w:fldChar w:fldCharType="begin"/>
                          </w:r>
                          <w:r>
                            <w:instrText xml:space="preserve"> PAGE  \* MERGEFORMAT </w:instrText>
                          </w:r>
                          <w:r>
                            <w:fldChar w:fldCharType="separate"/>
                          </w:r>
                          <w:r>
                            <w:t>9</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92" o:spid="_x0000_s1095" type="#_x0000_t202" style="position:absolute;left:0;text-align:left;margin-left:-27.2pt;margin-top:0;width:24pt;height:10.35pt;z-index:251630592;visibility:visible;mso-wrap-style:none;mso-width-percent:0;mso-height-percent:0;mso-wrap-distance-left:9pt;mso-wrap-distance-top:0;mso-wrap-distance-right:9pt;mso-wrap-distance-bottom:0;mso-position-horizontal:outsid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" filled="f" stroked="f">
              <v:textbox style="mso-fit-shape-to-text:t" inset="0,0,0,0">
                <w:txbxContent>
                  <w:p w:rsidR="00000000" w:rsidRDefault="00000000">
                    <w:pPr>
                      <w:pStyle w:val="ab"/>
                    </w:pPr>
                    <w:r>
                      <w:fldChar w:fldCharType="begin"/>
                    </w:r>
                    <w:r>
                      <w:instrText xml:space="preserve"> PAGE  \* MERGEFORMAT </w:instrText>
                    </w:r>
                    <w:r>
                      <w:fldChar w:fldCharType="separate"/>
                    </w:r>
                    <w:r>
                      <w:t>9</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658F3" w:rsidRDefault="009658F3">
      <w:r>
        <w:separator/>
      </w:r>
    </w:p>
  </w:footnote>
  <w:footnote w:type="continuationSeparator" w:id="0">
    <w:p w:rsidR="009658F3" w:rsidRDefault="009658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ascii="黑体" w:eastAsia="黑体" w:hAnsi="黑体" w:cs="黑体" w:hint="eastAsia"/>
        <w:color w:val="003AFF"/>
        <w:sz w:val="20"/>
        <w:szCs w:val="20"/>
      </w:rPr>
    </w:pPr>
    <w:r>
      <w:rPr>
        <w:rFonts w:ascii="黑体" w:eastAsia="黑体" w:hAnsi="黑体" w:cs="黑体" w:hint="eastAsia"/>
        <w:b w:val="0"/>
        <w:color w:val="003AFF"/>
        <w:sz w:val="20"/>
        <w:szCs w:val="20"/>
      </w:rPr>
      <w:t>奈曼旗国民经济和社会发展第十四个五年规划和2035年远景目标纲要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hint="eastAsia"/>
        <w:sz w:val="20"/>
        <w:szCs w:val="20"/>
      </w:rPr>
    </w:pPr>
    <w:r>
      <w:rPr>
        <w:rFonts w:ascii="楷体_GB2312" w:eastAsia="楷体_GB2312" w:hAnsi="楷体_GB2312" w:cs="楷体_GB2312" w:hint="eastAsia"/>
        <w:b w:val="0"/>
        <w:color w:val="0000FF"/>
        <w:sz w:val="20"/>
        <w:szCs w:val="20"/>
      </w:rPr>
      <w:t>第一章  如期全面建成小康社会 综合实力显著提升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hint="eastAsia"/>
        <w:color w:val="0000FF"/>
      </w:rPr>
    </w:pPr>
    <w:r>
      <w:rPr>
        <w:rFonts w:ascii="黑体" w:eastAsia="黑体" w:hAnsi="黑体" w:cs="黑体" w:hint="eastAsia"/>
        <w:b w:val="0"/>
        <w:color w:val="0000FF"/>
        <w:sz w:val="20"/>
        <w:szCs w:val="20"/>
      </w:rPr>
      <w:t>奈曼旗国民经济和社会发展第十四个五年规划和2035年远景目标纲要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hint="eastAsia"/>
        <w:color w:val="0000FF"/>
        <w:sz w:val="20"/>
        <w:szCs w:val="20"/>
      </w:rPr>
    </w:pPr>
    <w:r>
      <w:rPr>
        <w:rFonts w:ascii="楷体_GB2312" w:eastAsia="楷体_GB2312" w:hAnsi="楷体_GB2312" w:cs="楷体_GB2312" w:hint="eastAsia"/>
        <w:b w:val="0"/>
        <w:color w:val="0000FF"/>
        <w:sz w:val="20"/>
        <w:szCs w:val="20"/>
      </w:rPr>
      <w:t>第二章  谋划发展方略 描绘新蓝图</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hint="eastAsia"/>
        <w:color w:val="0000FF"/>
      </w:rPr>
    </w:pPr>
    <w:r>
      <w:rPr>
        <w:rFonts w:ascii="黑体" w:eastAsia="黑体" w:hAnsi="黑体" w:cs="黑体" w:hint="eastAsia"/>
        <w:b w:val="0"/>
        <w:color w:val="0000FF"/>
        <w:sz w:val="20"/>
        <w:szCs w:val="20"/>
      </w:rPr>
      <w:t>奈曼旗国民经济和社会发展第十四个五年规划和2035年远景目标纲要</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hint="eastAsia"/>
        <w:color w:val="0000FF"/>
        <w:sz w:val="20"/>
        <w:szCs w:val="20"/>
      </w:rPr>
    </w:pPr>
    <w:r>
      <w:rPr>
        <w:rFonts w:ascii="楷体_GB2312" w:eastAsia="楷体_GB2312" w:hAnsi="楷体_GB2312" w:cs="楷体_GB2312" w:hint="eastAsia"/>
        <w:b w:val="0"/>
        <w:color w:val="0000FF"/>
        <w:sz w:val="20"/>
        <w:szCs w:val="20"/>
      </w:rPr>
      <w:t>第三章  优化国土空间布局 助推城乡区域协调发展</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rPr>
        <w:rFonts w:hint="eastAsia"/>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hint="eastAsia"/>
        <w:color w:val="0000FF"/>
      </w:rPr>
    </w:pPr>
    <w:r>
      <w:rPr>
        <w:rFonts w:ascii="黑体" w:eastAsia="黑体" w:hAnsi="黑体" w:cs="黑体" w:hint="eastAsia"/>
        <w:b w:val="0"/>
        <w:color w:val="0000FF"/>
        <w:sz w:val="20"/>
        <w:szCs w:val="20"/>
      </w:rPr>
      <w:t>奈曼旗国民经济和社会发展第十四个五年规划和2035年远景目标纲要</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hint="eastAsia"/>
        <w:color w:val="003AFF"/>
        <w:sz w:val="20"/>
        <w:szCs w:val="20"/>
      </w:rPr>
    </w:pPr>
    <w:r>
      <w:rPr>
        <w:rFonts w:ascii="楷体_GB2312" w:eastAsia="楷体_GB2312" w:hAnsi="楷体_GB2312" w:cs="楷体_GB2312" w:hint="eastAsia"/>
        <w:b w:val="0"/>
        <w:color w:val="003AFF"/>
        <w:sz w:val="20"/>
        <w:szCs w:val="20"/>
      </w:rPr>
      <w:t>第四章 坚持创新驱动 注入高质量发展新动能</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rPr>
        <w:rFonts w:hint="eastAsia"/>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rPr>
        <w:rFonts w:hint="eastAsia"/>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hint="eastAsia"/>
        <w:color w:val="0000FF"/>
      </w:rPr>
    </w:pPr>
    <w:r>
      <w:rPr>
        <w:rFonts w:ascii="黑体" w:eastAsia="黑体" w:hAnsi="黑体" w:cs="黑体" w:hint="eastAsia"/>
        <w:b w:val="0"/>
        <w:color w:val="0000FF"/>
        <w:sz w:val="20"/>
        <w:szCs w:val="20"/>
      </w:rPr>
      <w:t>奈曼旗国民经济和社会发展第十四个五年规划和2035年远景目标纲要</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hint="eastAsia"/>
        <w:sz w:val="20"/>
        <w:szCs w:val="20"/>
      </w:rPr>
    </w:pPr>
    <w:r>
      <w:rPr>
        <w:rFonts w:ascii="楷体_GB2312" w:eastAsia="楷体_GB2312" w:hAnsi="楷体_GB2312" w:cs="楷体_GB2312" w:hint="eastAsia"/>
        <w:b w:val="0"/>
        <w:color w:val="0000FF"/>
        <w:sz w:val="20"/>
        <w:szCs w:val="20"/>
      </w:rPr>
      <w:t>第五章 全面推进乡村振兴 加快农村牧区现代化</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rPr>
        <w:rFonts w:hint="eastAsia"/>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hint="eastAsia"/>
        <w:color w:val="0000FF"/>
      </w:rPr>
    </w:pPr>
    <w:r>
      <w:rPr>
        <w:rFonts w:ascii="黑体" w:eastAsia="黑体" w:hAnsi="黑体" w:cs="黑体" w:hint="eastAsia"/>
        <w:b w:val="0"/>
        <w:color w:val="0000FF"/>
        <w:sz w:val="20"/>
        <w:szCs w:val="20"/>
      </w:rPr>
      <w:t>奈曼旗国民经济和社会发展第十四个五年规划和2035年远景目标纲要</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color w:val="0000FF"/>
        <w:sz w:val="20"/>
        <w:szCs w:val="20"/>
      </w:rPr>
    </w:pPr>
    <w:r>
      <w:rPr>
        <w:rFonts w:ascii="楷体_GB2312" w:eastAsia="楷体_GB2312" w:hAnsi="楷体_GB2312" w:cs="楷体_GB2312" w:hint="eastAsia"/>
        <w:b w:val="0"/>
        <w:color w:val="0000FF"/>
        <w:sz w:val="20"/>
        <w:szCs w:val="20"/>
      </w:rPr>
      <w:t>第六章 推动产业集群化发展 构建现代产业新支撑</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color w:val="0000FF"/>
        <w:sz w:val="20"/>
        <w:szCs w:val="20"/>
      </w:rPr>
    </w:pPr>
    <w:r>
      <w:rPr>
        <w:rFonts w:ascii="楷体_GB2312" w:eastAsia="楷体_GB2312" w:hAnsi="楷体_GB2312" w:cs="楷体_GB2312" w:hint="eastAsia"/>
        <w:b w:val="0"/>
        <w:color w:val="0000FF"/>
        <w:sz w:val="20"/>
        <w:szCs w:val="20"/>
      </w:rPr>
      <w:t>第七章 发挥资源禀赋优势 促进现代服务业发展</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rPr>
        <w:rFonts w:hint="eastAsia"/>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hint="eastAsia"/>
      </w:rPr>
    </w:pPr>
    <w:r>
      <w:rPr>
        <w:rFonts w:ascii="黑体" w:eastAsia="黑体" w:hAnsi="黑体" w:cs="黑体" w:hint="eastAsia"/>
        <w:b w:val="0"/>
        <w:color w:val="0000FF"/>
        <w:sz w:val="20"/>
        <w:szCs w:val="20"/>
      </w:rPr>
      <w:t>奈曼旗国民经济和社会发展第十四个五年规划和2035年远景目标纲要</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color w:val="0000FF"/>
        <w:sz w:val="20"/>
        <w:szCs w:val="20"/>
      </w:rPr>
    </w:pPr>
    <w:r>
      <w:rPr>
        <w:rFonts w:ascii="楷体_GB2312" w:eastAsia="楷体_GB2312" w:hAnsi="楷体_GB2312" w:cs="楷体_GB2312" w:hint="eastAsia"/>
        <w:b w:val="0"/>
        <w:color w:val="0000FF"/>
        <w:sz w:val="20"/>
        <w:szCs w:val="20"/>
      </w:rPr>
      <w:t>第八章 发展数字经济 推进智慧奈曼建设</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rPr>
        <w:rFonts w:hint="eastAsia"/>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ascii="楷体_GB2312" w:eastAsia="楷体_GB2312" w:hAnsi="楷体_GB2312" w:cs="楷体_GB2312" w:hint="eastAsia"/>
        <w:color w:val="0000FF"/>
        <w:sz w:val="18"/>
        <w:szCs w:val="18"/>
      </w:rPr>
    </w:pPr>
    <w:r>
      <w:rPr>
        <w:rFonts w:ascii="黑体" w:eastAsia="黑体" w:hAnsi="黑体" w:cs="黑体" w:hint="eastAsia"/>
        <w:b w:val="0"/>
        <w:color w:val="0000FF"/>
        <w:sz w:val="20"/>
        <w:szCs w:val="20"/>
      </w:rPr>
      <w:t>奈曼旗国民经济和社会发展第十四个五年规划和2035年远景目标纲要</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sz w:val="20"/>
        <w:szCs w:val="20"/>
      </w:rPr>
    </w:pPr>
    <w:r>
      <w:rPr>
        <w:rFonts w:ascii="楷体_GB2312" w:eastAsia="楷体_GB2312" w:hAnsi="楷体_GB2312" w:cs="楷体_GB2312" w:hint="eastAsia"/>
        <w:b w:val="0"/>
        <w:color w:val="0000FF"/>
        <w:sz w:val="20"/>
        <w:szCs w:val="20"/>
      </w:rPr>
      <w:t>第九章 加快改革开放步伐 融入服务新发展格局</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ascii="楷体_GB2312" w:eastAsia="楷体_GB2312" w:hAnsi="楷体_GB2312" w:cs="楷体_GB2312" w:hint="eastAsia"/>
        <w:color w:val="0000FF"/>
        <w:sz w:val="18"/>
        <w:szCs w:val="18"/>
      </w:rPr>
    </w:pPr>
    <w:r>
      <w:rPr>
        <w:rFonts w:ascii="黑体" w:eastAsia="黑体" w:hAnsi="黑体" w:cs="黑体" w:hint="eastAsia"/>
        <w:b w:val="0"/>
        <w:color w:val="0000FF"/>
        <w:sz w:val="20"/>
        <w:szCs w:val="20"/>
      </w:rPr>
      <w:t>奈曼旗国民经济和社会发展第十四个五年规划和2035年远景目标纲要</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rPr>
        <w:rFonts w:ascii="楷体_GB2312" w:eastAsia="楷体_GB2312" w:hAnsi="楷体_GB2312" w:cs="楷体_GB2312" w:hint="eastAsia"/>
        <w:sz w:val="21"/>
        <w:szCs w:val="21"/>
      </w:rPr>
    </w:pPr>
  </w:p>
  <w:p w:rsidR="00000000" w:rsidRDefault="00000000">
    <w:pPr>
      <w:pStyle w:val="ac"/>
      <w:pBdr>
        <w:bottom w:val="single" w:sz="6" w:space="1" w:color="3366FF"/>
      </w:pBdr>
      <w:rPr>
        <w:color w:val="0000FF"/>
        <w:sz w:val="20"/>
        <w:szCs w:val="20"/>
      </w:rPr>
    </w:pPr>
    <w:r>
      <w:rPr>
        <w:rFonts w:ascii="楷体_GB2312" w:eastAsia="楷体_GB2312" w:hAnsi="楷体_GB2312" w:cs="楷体_GB2312" w:hint="eastAsia"/>
        <w:color w:val="0000FF"/>
        <w:sz w:val="20"/>
        <w:szCs w:val="20"/>
      </w:rPr>
      <w:t>第十章 补齐基础设施短板 夯实经济发展基础</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hint="eastAsia"/>
        <w:color w:val="0000FF"/>
      </w:rPr>
    </w:pPr>
    <w:r>
      <w:rPr>
        <w:rFonts w:ascii="黑体" w:eastAsia="黑体" w:hAnsi="黑体" w:cs="黑体" w:hint="eastAsia"/>
        <w:b w:val="0"/>
        <w:color w:val="0000FF"/>
        <w:sz w:val="20"/>
        <w:szCs w:val="20"/>
      </w:rPr>
      <w:t>奈曼旗国民经济和社会发展第十四个五年规划和2035年远景目标纲要</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Normal24"/>
      <w:pBdr>
        <w:bottom w:val="single" w:sz="4" w:space="0" w:color="3366FF"/>
      </w:pBdr>
      <w:spacing w:before="0" w:after="0" w:line="560" w:lineRule="exact"/>
      <w:jc w:val="center"/>
      <w:rPr>
        <w:rFonts w:ascii="楷体_GB2312" w:eastAsia="楷体_GB2312" w:hAnsi="楷体_GB2312" w:cs="楷体_GB2312"/>
        <w:color w:val="0000FF"/>
        <w:sz w:val="20"/>
        <w:szCs w:val="20"/>
        <w:lang w:eastAsia="zh-CN"/>
      </w:rPr>
    </w:pPr>
    <w:r>
      <w:rPr>
        <w:rFonts w:ascii="楷体_GB2312" w:eastAsia="楷体_GB2312" w:hAnsi="楷体_GB2312" w:cs="楷体_GB2312" w:hint="eastAsia"/>
        <w:color w:val="0000FF"/>
        <w:sz w:val="20"/>
        <w:szCs w:val="20"/>
        <w:lang w:eastAsia="zh-CN"/>
      </w:rPr>
      <w:t>第十一章 保持生态优先定力 推进生态文明建设</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Normal24"/>
      <w:pBdr>
        <w:bottom w:val="single" w:sz="4" w:space="0" w:color="3366FF"/>
      </w:pBdr>
      <w:spacing w:before="0" w:after="0" w:line="560" w:lineRule="exact"/>
      <w:jc w:val="center"/>
      <w:rPr>
        <w:rFonts w:ascii="楷体_GB2312" w:eastAsia="楷体_GB2312" w:hAnsi="楷体_GB2312" w:cs="楷体_GB2312" w:hint="eastAsia"/>
        <w:color w:val="0000FF"/>
        <w:sz w:val="20"/>
        <w:szCs w:val="20"/>
        <w:lang w:eastAsia="zh-CN"/>
      </w:rPr>
    </w:pPr>
    <w:r>
      <w:rPr>
        <w:rFonts w:ascii="楷体_GB2312" w:eastAsia="楷体_GB2312" w:hAnsi="楷体_GB2312" w:cs="楷体_GB2312" w:hint="eastAsia"/>
        <w:color w:val="0000FF"/>
        <w:sz w:val="20"/>
        <w:szCs w:val="20"/>
        <w:lang w:eastAsia="zh-CN"/>
      </w:rPr>
      <w:t>第十二章 全面增进民生福祉 稳固社会发展基石</w: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rPr>
        <w:rFonts w:hint="eastAsia"/>
      </w:rPr>
    </w:pP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rPr>
        <w:rFonts w:hint="eastAsia"/>
      </w:rP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b w:val="0"/>
        <w:bCs w:val="0"/>
        <w:color w:val="0000FF"/>
        <w:sz w:val="20"/>
        <w:szCs w:val="20"/>
      </w:rPr>
    </w:pPr>
    <w:r>
      <w:rPr>
        <w:rFonts w:ascii="楷体_GB2312" w:eastAsia="楷体_GB2312" w:hAnsi="楷体_GB2312" w:cs="楷体_GB2312" w:hint="eastAsia"/>
        <w:b w:val="0"/>
        <w:bCs w:val="0"/>
        <w:color w:val="0000FF"/>
        <w:sz w:val="20"/>
        <w:szCs w:val="20"/>
      </w:rPr>
      <w:t>第十三章 统筹发展与安全 提高社会治理水平</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hint="eastAsia"/>
      </w:rPr>
    </w:pPr>
    <w:r>
      <w:rPr>
        <w:rFonts w:ascii="黑体" w:eastAsia="黑体" w:hAnsi="黑体" w:cs="黑体" w:hint="eastAsia"/>
        <w:b w:val="0"/>
        <w:color w:val="0000FF"/>
        <w:sz w:val="20"/>
        <w:szCs w:val="20"/>
      </w:rPr>
      <w:t>奈曼旗国民经济和社会发展第十四个五年规划和2035年远景目标纲要</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ac"/>
      <w:pBdr>
        <w:bottom w:val="none" w:sz="0" w:space="1" w:color="auto"/>
      </w:pBdr>
      <w:rPr>
        <w:rFonts w:hint="eastAsia"/>
      </w:rP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1"/>
      <w:pBdr>
        <w:bottom w:val="single" w:sz="4" w:space="0" w:color="3366FF"/>
      </w:pBdr>
      <w:spacing w:before="0" w:after="0" w:line="480" w:lineRule="exact"/>
      <w:jc w:val="center"/>
      <w:rPr>
        <w:rFonts w:hint="eastAsia"/>
      </w:rPr>
    </w:pPr>
    <w:r>
      <w:rPr>
        <w:rFonts w:ascii="黑体" w:eastAsia="黑体" w:hAnsi="黑体" w:cs="黑体" w:hint="eastAsia"/>
        <w:b w:val="0"/>
        <w:color w:val="0000FF"/>
        <w:sz w:val="20"/>
        <w:szCs w:val="20"/>
      </w:rPr>
      <w:t>奈曼旗国民经济和社会发展第十四个五年规划和2035年远景目标纲要</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00" w:rsidRDefault="00000000">
    <w:pPr>
      <w:pStyle w:val="Normal24"/>
      <w:pBdr>
        <w:bottom w:val="single" w:sz="4" w:space="0" w:color="3366FF"/>
      </w:pBdr>
      <w:spacing w:before="0" w:after="0" w:line="560" w:lineRule="exact"/>
      <w:jc w:val="center"/>
      <w:rPr>
        <w:rFonts w:ascii="楷体_GB2312" w:eastAsia="楷体_GB2312" w:hAnsi="楷体_GB2312" w:cs="楷体_GB2312"/>
        <w:color w:val="0000FF"/>
        <w:sz w:val="20"/>
        <w:szCs w:val="20"/>
        <w:lang w:eastAsia="zh-CN"/>
      </w:rPr>
    </w:pPr>
    <w:r>
      <w:rPr>
        <w:rFonts w:ascii="楷体_GB2312" w:eastAsia="楷体_GB2312" w:hAnsi="楷体_GB2312" w:cs="楷体_GB2312" w:hint="eastAsia"/>
        <w:color w:val="0000FF"/>
        <w:sz w:val="20"/>
        <w:szCs w:val="20"/>
        <w:lang w:eastAsia="zh-CN"/>
      </w:rPr>
      <w:t>第十四章 健全实施机制 保障规划顺利实施</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43B7C5B"/>
    <w:multiLevelType w:val="singleLevel"/>
    <w:tmpl w:val="A43B7C5B"/>
    <w:lvl w:ilvl="0">
      <w:start w:val="1"/>
      <w:numFmt w:val="bullet"/>
      <w:lvlText w:val=""/>
      <w:lvlJc w:val="left"/>
      <w:pPr>
        <w:ind w:left="420" w:hanging="420"/>
      </w:pPr>
      <w:rPr>
        <w:rFonts w:ascii="Wingdings" w:hAnsi="Wingdings" w:hint="default"/>
      </w:rPr>
    </w:lvl>
  </w:abstractNum>
  <w:abstractNum w:abstractNumId="1" w15:restartNumberingAfterBreak="0">
    <w:nsid w:val="0C7355FD"/>
    <w:multiLevelType w:val="multilevel"/>
    <w:tmpl w:val="0C7355F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473E6B4A"/>
    <w:multiLevelType w:val="multilevel"/>
    <w:tmpl w:val="473E6B4A"/>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401712771">
    <w:abstractNumId w:val="0"/>
  </w:num>
  <w:num w:numId="2" w16cid:durableId="620847009">
    <w:abstractNumId w:val="1"/>
  </w:num>
  <w:num w:numId="3" w16cid:durableId="1897230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419"/>
  <w:drawingGridHorizontalSpacing w:val="105"/>
  <w:drawingGridVerticalSpacing w:val="160"/>
  <w:displayVerticalDrawingGridEvery w:val="2"/>
  <w:noPunctuationKerning/>
  <w:characterSpacingControl w:val="compressPunctuation"/>
  <w:hdrShapeDefaults>
    <o:shapedefaults v:ext="edit" spidmax="2050" fillcolor="#000001" stroke="f">
      <v:fill color="#000001"/>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7E1"/>
    <w:rsid w:val="00000105"/>
    <w:rsid w:val="0000012B"/>
    <w:rsid w:val="00001DEB"/>
    <w:rsid w:val="000031F7"/>
    <w:rsid w:val="00003E45"/>
    <w:rsid w:val="000048BC"/>
    <w:rsid w:val="00005602"/>
    <w:rsid w:val="00006050"/>
    <w:rsid w:val="0000654D"/>
    <w:rsid w:val="00006CC5"/>
    <w:rsid w:val="000074C5"/>
    <w:rsid w:val="00007D07"/>
    <w:rsid w:val="000109E2"/>
    <w:rsid w:val="00013161"/>
    <w:rsid w:val="000133BB"/>
    <w:rsid w:val="00013783"/>
    <w:rsid w:val="0001483C"/>
    <w:rsid w:val="00015C5E"/>
    <w:rsid w:val="00016127"/>
    <w:rsid w:val="0001660F"/>
    <w:rsid w:val="0002003E"/>
    <w:rsid w:val="000207F4"/>
    <w:rsid w:val="000214B9"/>
    <w:rsid w:val="00022416"/>
    <w:rsid w:val="00022720"/>
    <w:rsid w:val="00022B21"/>
    <w:rsid w:val="00023DA0"/>
    <w:rsid w:val="00025D88"/>
    <w:rsid w:val="00025DB4"/>
    <w:rsid w:val="000260DA"/>
    <w:rsid w:val="0002627E"/>
    <w:rsid w:val="00027C64"/>
    <w:rsid w:val="00031B76"/>
    <w:rsid w:val="000320B3"/>
    <w:rsid w:val="000329B9"/>
    <w:rsid w:val="00033916"/>
    <w:rsid w:val="00033A11"/>
    <w:rsid w:val="00034929"/>
    <w:rsid w:val="00034B12"/>
    <w:rsid w:val="000355F9"/>
    <w:rsid w:val="00036001"/>
    <w:rsid w:val="00037143"/>
    <w:rsid w:val="000373D1"/>
    <w:rsid w:val="0004057E"/>
    <w:rsid w:val="00040DB2"/>
    <w:rsid w:val="0004120A"/>
    <w:rsid w:val="00041CC0"/>
    <w:rsid w:val="000422E3"/>
    <w:rsid w:val="000425AC"/>
    <w:rsid w:val="00046237"/>
    <w:rsid w:val="00050268"/>
    <w:rsid w:val="000521ED"/>
    <w:rsid w:val="0005272A"/>
    <w:rsid w:val="0005340B"/>
    <w:rsid w:val="00053E35"/>
    <w:rsid w:val="00055A6F"/>
    <w:rsid w:val="0005702C"/>
    <w:rsid w:val="00060691"/>
    <w:rsid w:val="00060737"/>
    <w:rsid w:val="0006124E"/>
    <w:rsid w:val="00061923"/>
    <w:rsid w:val="00061950"/>
    <w:rsid w:val="00061B4A"/>
    <w:rsid w:val="000623FA"/>
    <w:rsid w:val="00063191"/>
    <w:rsid w:val="000639BA"/>
    <w:rsid w:val="0006450B"/>
    <w:rsid w:val="00064D55"/>
    <w:rsid w:val="000655D7"/>
    <w:rsid w:val="000665E8"/>
    <w:rsid w:val="00066944"/>
    <w:rsid w:val="000674B3"/>
    <w:rsid w:val="0006753E"/>
    <w:rsid w:val="000709E7"/>
    <w:rsid w:val="0007117F"/>
    <w:rsid w:val="00072A01"/>
    <w:rsid w:val="000740A1"/>
    <w:rsid w:val="00074F78"/>
    <w:rsid w:val="00075614"/>
    <w:rsid w:val="00075651"/>
    <w:rsid w:val="000775DB"/>
    <w:rsid w:val="00080FC6"/>
    <w:rsid w:val="00081010"/>
    <w:rsid w:val="000812B5"/>
    <w:rsid w:val="000820C3"/>
    <w:rsid w:val="000824BB"/>
    <w:rsid w:val="000827B0"/>
    <w:rsid w:val="00082E34"/>
    <w:rsid w:val="00082E73"/>
    <w:rsid w:val="0008423C"/>
    <w:rsid w:val="000852EB"/>
    <w:rsid w:val="00085CAA"/>
    <w:rsid w:val="0008618E"/>
    <w:rsid w:val="00087AA8"/>
    <w:rsid w:val="00090759"/>
    <w:rsid w:val="00090971"/>
    <w:rsid w:val="00091416"/>
    <w:rsid w:val="000925F7"/>
    <w:rsid w:val="000934F9"/>
    <w:rsid w:val="00093EE7"/>
    <w:rsid w:val="00094E99"/>
    <w:rsid w:val="000956FC"/>
    <w:rsid w:val="00095FB8"/>
    <w:rsid w:val="0009641B"/>
    <w:rsid w:val="00096A36"/>
    <w:rsid w:val="00097221"/>
    <w:rsid w:val="000975F7"/>
    <w:rsid w:val="000A09B9"/>
    <w:rsid w:val="000A0F90"/>
    <w:rsid w:val="000A2CDE"/>
    <w:rsid w:val="000A2D4D"/>
    <w:rsid w:val="000A30FE"/>
    <w:rsid w:val="000A3278"/>
    <w:rsid w:val="000A3D98"/>
    <w:rsid w:val="000A4148"/>
    <w:rsid w:val="000A4772"/>
    <w:rsid w:val="000A5F5E"/>
    <w:rsid w:val="000A6216"/>
    <w:rsid w:val="000A6D23"/>
    <w:rsid w:val="000A729E"/>
    <w:rsid w:val="000B019C"/>
    <w:rsid w:val="000B1014"/>
    <w:rsid w:val="000B1B54"/>
    <w:rsid w:val="000B20EE"/>
    <w:rsid w:val="000B5497"/>
    <w:rsid w:val="000B58C9"/>
    <w:rsid w:val="000B5C2B"/>
    <w:rsid w:val="000C006E"/>
    <w:rsid w:val="000C0199"/>
    <w:rsid w:val="000C4335"/>
    <w:rsid w:val="000C449D"/>
    <w:rsid w:val="000C5F3C"/>
    <w:rsid w:val="000C6C5C"/>
    <w:rsid w:val="000C6E89"/>
    <w:rsid w:val="000C6FD9"/>
    <w:rsid w:val="000D0D38"/>
    <w:rsid w:val="000D0F86"/>
    <w:rsid w:val="000D240A"/>
    <w:rsid w:val="000D2E91"/>
    <w:rsid w:val="000D3B39"/>
    <w:rsid w:val="000D3B5F"/>
    <w:rsid w:val="000D4003"/>
    <w:rsid w:val="000D44FB"/>
    <w:rsid w:val="000D44FC"/>
    <w:rsid w:val="000D494B"/>
    <w:rsid w:val="000D4B60"/>
    <w:rsid w:val="000D504F"/>
    <w:rsid w:val="000D5D9B"/>
    <w:rsid w:val="000D5DBF"/>
    <w:rsid w:val="000D6CE6"/>
    <w:rsid w:val="000D6D2C"/>
    <w:rsid w:val="000D6FAC"/>
    <w:rsid w:val="000D7485"/>
    <w:rsid w:val="000D79E3"/>
    <w:rsid w:val="000D7ACE"/>
    <w:rsid w:val="000D7B67"/>
    <w:rsid w:val="000E03BE"/>
    <w:rsid w:val="000E0E2A"/>
    <w:rsid w:val="000E0F3B"/>
    <w:rsid w:val="000E1280"/>
    <w:rsid w:val="000E12AB"/>
    <w:rsid w:val="000E3B07"/>
    <w:rsid w:val="000E5E68"/>
    <w:rsid w:val="000E60B8"/>
    <w:rsid w:val="000E670C"/>
    <w:rsid w:val="000E6FE6"/>
    <w:rsid w:val="000F034A"/>
    <w:rsid w:val="000F12C6"/>
    <w:rsid w:val="000F1F9A"/>
    <w:rsid w:val="000F404F"/>
    <w:rsid w:val="000F432B"/>
    <w:rsid w:val="000F586B"/>
    <w:rsid w:val="000F5926"/>
    <w:rsid w:val="000F6C05"/>
    <w:rsid w:val="000F708C"/>
    <w:rsid w:val="000F7512"/>
    <w:rsid w:val="000F795D"/>
    <w:rsid w:val="001007F8"/>
    <w:rsid w:val="00100BEF"/>
    <w:rsid w:val="00100D16"/>
    <w:rsid w:val="00100DB3"/>
    <w:rsid w:val="00101582"/>
    <w:rsid w:val="00101AA2"/>
    <w:rsid w:val="00101EC4"/>
    <w:rsid w:val="001032AC"/>
    <w:rsid w:val="0010340C"/>
    <w:rsid w:val="00105C3B"/>
    <w:rsid w:val="00105E7D"/>
    <w:rsid w:val="001075E2"/>
    <w:rsid w:val="00107E39"/>
    <w:rsid w:val="0011020A"/>
    <w:rsid w:val="0011263E"/>
    <w:rsid w:val="00112D12"/>
    <w:rsid w:val="00112E64"/>
    <w:rsid w:val="001138CF"/>
    <w:rsid w:val="0011569A"/>
    <w:rsid w:val="00115BE0"/>
    <w:rsid w:val="00115D0B"/>
    <w:rsid w:val="0011646F"/>
    <w:rsid w:val="00116BD2"/>
    <w:rsid w:val="00116FA4"/>
    <w:rsid w:val="00117420"/>
    <w:rsid w:val="0011771B"/>
    <w:rsid w:val="00117D20"/>
    <w:rsid w:val="00117EAB"/>
    <w:rsid w:val="00120197"/>
    <w:rsid w:val="0012197B"/>
    <w:rsid w:val="00122947"/>
    <w:rsid w:val="00123971"/>
    <w:rsid w:val="00124096"/>
    <w:rsid w:val="00124729"/>
    <w:rsid w:val="001249C1"/>
    <w:rsid w:val="00125044"/>
    <w:rsid w:val="001261CB"/>
    <w:rsid w:val="00126AF9"/>
    <w:rsid w:val="00127325"/>
    <w:rsid w:val="0012760D"/>
    <w:rsid w:val="00130FB4"/>
    <w:rsid w:val="00131DEB"/>
    <w:rsid w:val="00133501"/>
    <w:rsid w:val="00134523"/>
    <w:rsid w:val="00136629"/>
    <w:rsid w:val="00136E80"/>
    <w:rsid w:val="00136EF6"/>
    <w:rsid w:val="00137513"/>
    <w:rsid w:val="00137F20"/>
    <w:rsid w:val="00141112"/>
    <w:rsid w:val="001429CD"/>
    <w:rsid w:val="00142CF3"/>
    <w:rsid w:val="0014317B"/>
    <w:rsid w:val="00144B5C"/>
    <w:rsid w:val="00144CA2"/>
    <w:rsid w:val="00145398"/>
    <w:rsid w:val="00146C8A"/>
    <w:rsid w:val="00150643"/>
    <w:rsid w:val="0015064E"/>
    <w:rsid w:val="001519A6"/>
    <w:rsid w:val="00151A18"/>
    <w:rsid w:val="00151D3E"/>
    <w:rsid w:val="00152180"/>
    <w:rsid w:val="00152873"/>
    <w:rsid w:val="00156252"/>
    <w:rsid w:val="00156713"/>
    <w:rsid w:val="00156B9C"/>
    <w:rsid w:val="001576FD"/>
    <w:rsid w:val="0016012C"/>
    <w:rsid w:val="001603D8"/>
    <w:rsid w:val="00160AE6"/>
    <w:rsid w:val="00160BDD"/>
    <w:rsid w:val="0016142A"/>
    <w:rsid w:val="001620F9"/>
    <w:rsid w:val="00165750"/>
    <w:rsid w:val="00165A80"/>
    <w:rsid w:val="00166AAB"/>
    <w:rsid w:val="00166B09"/>
    <w:rsid w:val="0016793A"/>
    <w:rsid w:val="00170093"/>
    <w:rsid w:val="001701C9"/>
    <w:rsid w:val="00174824"/>
    <w:rsid w:val="00174D4C"/>
    <w:rsid w:val="00174D5B"/>
    <w:rsid w:val="00174DE7"/>
    <w:rsid w:val="001752AA"/>
    <w:rsid w:val="00175F33"/>
    <w:rsid w:val="001766C1"/>
    <w:rsid w:val="00176926"/>
    <w:rsid w:val="00176EE9"/>
    <w:rsid w:val="00176FC0"/>
    <w:rsid w:val="00177053"/>
    <w:rsid w:val="00177A54"/>
    <w:rsid w:val="00177EA6"/>
    <w:rsid w:val="0018030E"/>
    <w:rsid w:val="00180EC4"/>
    <w:rsid w:val="00180F12"/>
    <w:rsid w:val="001850BD"/>
    <w:rsid w:val="00187517"/>
    <w:rsid w:val="00187E4F"/>
    <w:rsid w:val="001906FD"/>
    <w:rsid w:val="001912ED"/>
    <w:rsid w:val="001927F7"/>
    <w:rsid w:val="00192968"/>
    <w:rsid w:val="00193146"/>
    <w:rsid w:val="00193A10"/>
    <w:rsid w:val="00194228"/>
    <w:rsid w:val="001944A2"/>
    <w:rsid w:val="001954A9"/>
    <w:rsid w:val="00195641"/>
    <w:rsid w:val="00195951"/>
    <w:rsid w:val="00196C7F"/>
    <w:rsid w:val="00196CE8"/>
    <w:rsid w:val="001A0C30"/>
    <w:rsid w:val="001A130E"/>
    <w:rsid w:val="001A1954"/>
    <w:rsid w:val="001A2187"/>
    <w:rsid w:val="001A218C"/>
    <w:rsid w:val="001A22A0"/>
    <w:rsid w:val="001A4504"/>
    <w:rsid w:val="001A451B"/>
    <w:rsid w:val="001A4BB8"/>
    <w:rsid w:val="001A5DA4"/>
    <w:rsid w:val="001A6661"/>
    <w:rsid w:val="001A6DDB"/>
    <w:rsid w:val="001A7020"/>
    <w:rsid w:val="001A7DCB"/>
    <w:rsid w:val="001B18E8"/>
    <w:rsid w:val="001B1B8B"/>
    <w:rsid w:val="001B32A2"/>
    <w:rsid w:val="001B422B"/>
    <w:rsid w:val="001B466C"/>
    <w:rsid w:val="001B4E92"/>
    <w:rsid w:val="001B5E09"/>
    <w:rsid w:val="001B5F5B"/>
    <w:rsid w:val="001B64B1"/>
    <w:rsid w:val="001B6A79"/>
    <w:rsid w:val="001B77C5"/>
    <w:rsid w:val="001C4B8F"/>
    <w:rsid w:val="001C4FD1"/>
    <w:rsid w:val="001C5015"/>
    <w:rsid w:val="001C6DC9"/>
    <w:rsid w:val="001C72DD"/>
    <w:rsid w:val="001C7638"/>
    <w:rsid w:val="001C7669"/>
    <w:rsid w:val="001C79DE"/>
    <w:rsid w:val="001D020C"/>
    <w:rsid w:val="001D1719"/>
    <w:rsid w:val="001D183C"/>
    <w:rsid w:val="001D1872"/>
    <w:rsid w:val="001D1978"/>
    <w:rsid w:val="001D1989"/>
    <w:rsid w:val="001D1BBB"/>
    <w:rsid w:val="001D29D5"/>
    <w:rsid w:val="001D3E7B"/>
    <w:rsid w:val="001D4B63"/>
    <w:rsid w:val="001D5371"/>
    <w:rsid w:val="001D5993"/>
    <w:rsid w:val="001D5C0F"/>
    <w:rsid w:val="001D6B2C"/>
    <w:rsid w:val="001E17ED"/>
    <w:rsid w:val="001E1F7A"/>
    <w:rsid w:val="001E23CA"/>
    <w:rsid w:val="001E3A46"/>
    <w:rsid w:val="001E4F11"/>
    <w:rsid w:val="001E50B9"/>
    <w:rsid w:val="001E5A56"/>
    <w:rsid w:val="001E5B35"/>
    <w:rsid w:val="001E7C11"/>
    <w:rsid w:val="001F05DD"/>
    <w:rsid w:val="001F0618"/>
    <w:rsid w:val="001F0DBE"/>
    <w:rsid w:val="001F1D25"/>
    <w:rsid w:val="001F1D71"/>
    <w:rsid w:val="001F362B"/>
    <w:rsid w:val="001F4008"/>
    <w:rsid w:val="001F40D3"/>
    <w:rsid w:val="001F41E9"/>
    <w:rsid w:val="001F4D27"/>
    <w:rsid w:val="001F5086"/>
    <w:rsid w:val="001F58A2"/>
    <w:rsid w:val="001F6596"/>
    <w:rsid w:val="001F6790"/>
    <w:rsid w:val="001F69FF"/>
    <w:rsid w:val="001F6D38"/>
    <w:rsid w:val="001F7B5C"/>
    <w:rsid w:val="00200C56"/>
    <w:rsid w:val="00200F25"/>
    <w:rsid w:val="00201709"/>
    <w:rsid w:val="00201A31"/>
    <w:rsid w:val="0020205A"/>
    <w:rsid w:val="00204931"/>
    <w:rsid w:val="00205B66"/>
    <w:rsid w:val="00205FB9"/>
    <w:rsid w:val="002068C6"/>
    <w:rsid w:val="00206BE7"/>
    <w:rsid w:val="00207682"/>
    <w:rsid w:val="00212A7C"/>
    <w:rsid w:val="00213374"/>
    <w:rsid w:val="00213A1D"/>
    <w:rsid w:val="0021414F"/>
    <w:rsid w:val="00215073"/>
    <w:rsid w:val="00215709"/>
    <w:rsid w:val="002160AF"/>
    <w:rsid w:val="00216181"/>
    <w:rsid w:val="002176E9"/>
    <w:rsid w:val="00217CD0"/>
    <w:rsid w:val="00222451"/>
    <w:rsid w:val="0022459F"/>
    <w:rsid w:val="00224AC0"/>
    <w:rsid w:val="00225822"/>
    <w:rsid w:val="00230CB2"/>
    <w:rsid w:val="002317CB"/>
    <w:rsid w:val="00231C11"/>
    <w:rsid w:val="00231FC8"/>
    <w:rsid w:val="002321E7"/>
    <w:rsid w:val="002341C7"/>
    <w:rsid w:val="002345CB"/>
    <w:rsid w:val="002348A7"/>
    <w:rsid w:val="0023492C"/>
    <w:rsid w:val="00235EB8"/>
    <w:rsid w:val="00237243"/>
    <w:rsid w:val="0023764E"/>
    <w:rsid w:val="0023791D"/>
    <w:rsid w:val="002409F7"/>
    <w:rsid w:val="00241A19"/>
    <w:rsid w:val="00241B82"/>
    <w:rsid w:val="00241E3E"/>
    <w:rsid w:val="002423B2"/>
    <w:rsid w:val="0024258D"/>
    <w:rsid w:val="00244670"/>
    <w:rsid w:val="002451E3"/>
    <w:rsid w:val="002457EA"/>
    <w:rsid w:val="00245921"/>
    <w:rsid w:val="00245E39"/>
    <w:rsid w:val="00245F95"/>
    <w:rsid w:val="00246E20"/>
    <w:rsid w:val="002510F4"/>
    <w:rsid w:val="002512B6"/>
    <w:rsid w:val="00251A2D"/>
    <w:rsid w:val="002527F9"/>
    <w:rsid w:val="002529BB"/>
    <w:rsid w:val="002533CC"/>
    <w:rsid w:val="00253A00"/>
    <w:rsid w:val="002546FF"/>
    <w:rsid w:val="00255F43"/>
    <w:rsid w:val="00256434"/>
    <w:rsid w:val="00256824"/>
    <w:rsid w:val="0025690B"/>
    <w:rsid w:val="00257271"/>
    <w:rsid w:val="00257C25"/>
    <w:rsid w:val="00257CBC"/>
    <w:rsid w:val="0026047C"/>
    <w:rsid w:val="00260833"/>
    <w:rsid w:val="002636DC"/>
    <w:rsid w:val="002637FA"/>
    <w:rsid w:val="002648B7"/>
    <w:rsid w:val="00271BD3"/>
    <w:rsid w:val="00271FD5"/>
    <w:rsid w:val="00273B79"/>
    <w:rsid w:val="002745BD"/>
    <w:rsid w:val="00274954"/>
    <w:rsid w:val="00276064"/>
    <w:rsid w:val="002762A8"/>
    <w:rsid w:val="002765B7"/>
    <w:rsid w:val="00276A2C"/>
    <w:rsid w:val="00277255"/>
    <w:rsid w:val="00277637"/>
    <w:rsid w:val="002809E8"/>
    <w:rsid w:val="00280D0B"/>
    <w:rsid w:val="002836A8"/>
    <w:rsid w:val="002836AF"/>
    <w:rsid w:val="00284A48"/>
    <w:rsid w:val="00285E99"/>
    <w:rsid w:val="002867C9"/>
    <w:rsid w:val="00287471"/>
    <w:rsid w:val="00287495"/>
    <w:rsid w:val="002876E2"/>
    <w:rsid w:val="002902EE"/>
    <w:rsid w:val="00290C9D"/>
    <w:rsid w:val="00290D7F"/>
    <w:rsid w:val="00292F8D"/>
    <w:rsid w:val="0029316D"/>
    <w:rsid w:val="0029339A"/>
    <w:rsid w:val="00294574"/>
    <w:rsid w:val="00294A2D"/>
    <w:rsid w:val="00294BA1"/>
    <w:rsid w:val="00294DB9"/>
    <w:rsid w:val="0029663A"/>
    <w:rsid w:val="0029759A"/>
    <w:rsid w:val="00297DDB"/>
    <w:rsid w:val="002A084B"/>
    <w:rsid w:val="002A095B"/>
    <w:rsid w:val="002A0A9E"/>
    <w:rsid w:val="002A1729"/>
    <w:rsid w:val="002A1C91"/>
    <w:rsid w:val="002A2636"/>
    <w:rsid w:val="002A3047"/>
    <w:rsid w:val="002A3B2C"/>
    <w:rsid w:val="002A4072"/>
    <w:rsid w:val="002A43B3"/>
    <w:rsid w:val="002A441E"/>
    <w:rsid w:val="002A48A3"/>
    <w:rsid w:val="002A4C99"/>
    <w:rsid w:val="002A52EA"/>
    <w:rsid w:val="002A533B"/>
    <w:rsid w:val="002A5D5A"/>
    <w:rsid w:val="002A6E6B"/>
    <w:rsid w:val="002B0519"/>
    <w:rsid w:val="002B25B1"/>
    <w:rsid w:val="002B2A8A"/>
    <w:rsid w:val="002B2F87"/>
    <w:rsid w:val="002B4A66"/>
    <w:rsid w:val="002B4F79"/>
    <w:rsid w:val="002B5EC5"/>
    <w:rsid w:val="002B6F16"/>
    <w:rsid w:val="002C0F7A"/>
    <w:rsid w:val="002C1019"/>
    <w:rsid w:val="002C14EB"/>
    <w:rsid w:val="002C267C"/>
    <w:rsid w:val="002C3AC3"/>
    <w:rsid w:val="002C3EDC"/>
    <w:rsid w:val="002C56CA"/>
    <w:rsid w:val="002C5FEE"/>
    <w:rsid w:val="002C7D8D"/>
    <w:rsid w:val="002D0232"/>
    <w:rsid w:val="002D1C51"/>
    <w:rsid w:val="002D5A1B"/>
    <w:rsid w:val="002D7219"/>
    <w:rsid w:val="002D7D02"/>
    <w:rsid w:val="002E0B6B"/>
    <w:rsid w:val="002E0C24"/>
    <w:rsid w:val="002E0E19"/>
    <w:rsid w:val="002E1B08"/>
    <w:rsid w:val="002E1D65"/>
    <w:rsid w:val="002E223D"/>
    <w:rsid w:val="002E2280"/>
    <w:rsid w:val="002E2752"/>
    <w:rsid w:val="002E3D74"/>
    <w:rsid w:val="002E6167"/>
    <w:rsid w:val="002E65AE"/>
    <w:rsid w:val="002E694D"/>
    <w:rsid w:val="002E777A"/>
    <w:rsid w:val="002F0389"/>
    <w:rsid w:val="002F0C62"/>
    <w:rsid w:val="002F0DC3"/>
    <w:rsid w:val="002F32B9"/>
    <w:rsid w:val="002F38B9"/>
    <w:rsid w:val="002F3B07"/>
    <w:rsid w:val="002F4EF9"/>
    <w:rsid w:val="002F506B"/>
    <w:rsid w:val="002F5380"/>
    <w:rsid w:val="002F54B1"/>
    <w:rsid w:val="002F6635"/>
    <w:rsid w:val="002F6C6F"/>
    <w:rsid w:val="003009F5"/>
    <w:rsid w:val="00300C4E"/>
    <w:rsid w:val="003013FF"/>
    <w:rsid w:val="0030161C"/>
    <w:rsid w:val="003021D0"/>
    <w:rsid w:val="0030221C"/>
    <w:rsid w:val="00304B44"/>
    <w:rsid w:val="00304D7A"/>
    <w:rsid w:val="00305EAE"/>
    <w:rsid w:val="00306236"/>
    <w:rsid w:val="00306E16"/>
    <w:rsid w:val="00307C04"/>
    <w:rsid w:val="00307E14"/>
    <w:rsid w:val="00307EBD"/>
    <w:rsid w:val="003100A4"/>
    <w:rsid w:val="003105A3"/>
    <w:rsid w:val="003113C3"/>
    <w:rsid w:val="00311959"/>
    <w:rsid w:val="0031215D"/>
    <w:rsid w:val="00313DE7"/>
    <w:rsid w:val="0031420F"/>
    <w:rsid w:val="00314D2F"/>
    <w:rsid w:val="0031586A"/>
    <w:rsid w:val="00320324"/>
    <w:rsid w:val="00320627"/>
    <w:rsid w:val="003210A7"/>
    <w:rsid w:val="0032513C"/>
    <w:rsid w:val="0032729B"/>
    <w:rsid w:val="0033003C"/>
    <w:rsid w:val="003315C3"/>
    <w:rsid w:val="00332036"/>
    <w:rsid w:val="00332060"/>
    <w:rsid w:val="0033272A"/>
    <w:rsid w:val="003347DB"/>
    <w:rsid w:val="00334CA0"/>
    <w:rsid w:val="00334E6E"/>
    <w:rsid w:val="00335266"/>
    <w:rsid w:val="00335330"/>
    <w:rsid w:val="00335A19"/>
    <w:rsid w:val="00335B40"/>
    <w:rsid w:val="00336767"/>
    <w:rsid w:val="003408DC"/>
    <w:rsid w:val="0034144C"/>
    <w:rsid w:val="00343D8A"/>
    <w:rsid w:val="00344FA6"/>
    <w:rsid w:val="00345673"/>
    <w:rsid w:val="00345808"/>
    <w:rsid w:val="00345B0A"/>
    <w:rsid w:val="00345D2B"/>
    <w:rsid w:val="00345D94"/>
    <w:rsid w:val="00346AA0"/>
    <w:rsid w:val="00350BB0"/>
    <w:rsid w:val="0035128D"/>
    <w:rsid w:val="00351C2B"/>
    <w:rsid w:val="00352CA4"/>
    <w:rsid w:val="00352DB8"/>
    <w:rsid w:val="003532A2"/>
    <w:rsid w:val="00353F1F"/>
    <w:rsid w:val="003548DE"/>
    <w:rsid w:val="00354915"/>
    <w:rsid w:val="00355277"/>
    <w:rsid w:val="0035572A"/>
    <w:rsid w:val="00355EA7"/>
    <w:rsid w:val="0035681A"/>
    <w:rsid w:val="00356A6C"/>
    <w:rsid w:val="00356D3A"/>
    <w:rsid w:val="00356DA8"/>
    <w:rsid w:val="00360DA3"/>
    <w:rsid w:val="00360EBE"/>
    <w:rsid w:val="00361979"/>
    <w:rsid w:val="00361BC8"/>
    <w:rsid w:val="00362C73"/>
    <w:rsid w:val="0036321D"/>
    <w:rsid w:val="00363D0C"/>
    <w:rsid w:val="00366353"/>
    <w:rsid w:val="00367F91"/>
    <w:rsid w:val="0037035D"/>
    <w:rsid w:val="003704A6"/>
    <w:rsid w:val="00372D12"/>
    <w:rsid w:val="00373C15"/>
    <w:rsid w:val="00375705"/>
    <w:rsid w:val="0037575C"/>
    <w:rsid w:val="003759AE"/>
    <w:rsid w:val="003770DE"/>
    <w:rsid w:val="003815C1"/>
    <w:rsid w:val="00382458"/>
    <w:rsid w:val="003826C0"/>
    <w:rsid w:val="00382DAD"/>
    <w:rsid w:val="00383C38"/>
    <w:rsid w:val="00383DD9"/>
    <w:rsid w:val="00384029"/>
    <w:rsid w:val="0038436B"/>
    <w:rsid w:val="0038483A"/>
    <w:rsid w:val="00384BE0"/>
    <w:rsid w:val="00385413"/>
    <w:rsid w:val="0038617B"/>
    <w:rsid w:val="003868F9"/>
    <w:rsid w:val="003875C3"/>
    <w:rsid w:val="0039041A"/>
    <w:rsid w:val="00391902"/>
    <w:rsid w:val="00391CEA"/>
    <w:rsid w:val="00391EE2"/>
    <w:rsid w:val="00392660"/>
    <w:rsid w:val="003930F9"/>
    <w:rsid w:val="00393899"/>
    <w:rsid w:val="00394C10"/>
    <w:rsid w:val="00394DBF"/>
    <w:rsid w:val="00396ACB"/>
    <w:rsid w:val="00396B30"/>
    <w:rsid w:val="003A1172"/>
    <w:rsid w:val="003A11B0"/>
    <w:rsid w:val="003A2C94"/>
    <w:rsid w:val="003A3441"/>
    <w:rsid w:val="003A441B"/>
    <w:rsid w:val="003A4486"/>
    <w:rsid w:val="003A524D"/>
    <w:rsid w:val="003A56C4"/>
    <w:rsid w:val="003A76BE"/>
    <w:rsid w:val="003A78A8"/>
    <w:rsid w:val="003A7C60"/>
    <w:rsid w:val="003B06D6"/>
    <w:rsid w:val="003B1019"/>
    <w:rsid w:val="003B188B"/>
    <w:rsid w:val="003B279A"/>
    <w:rsid w:val="003B35A1"/>
    <w:rsid w:val="003B3A90"/>
    <w:rsid w:val="003B6595"/>
    <w:rsid w:val="003B7BA0"/>
    <w:rsid w:val="003B7D84"/>
    <w:rsid w:val="003C00F2"/>
    <w:rsid w:val="003C0A3F"/>
    <w:rsid w:val="003C0AF3"/>
    <w:rsid w:val="003C0F5F"/>
    <w:rsid w:val="003C205B"/>
    <w:rsid w:val="003C2268"/>
    <w:rsid w:val="003C2EC8"/>
    <w:rsid w:val="003C3229"/>
    <w:rsid w:val="003C413C"/>
    <w:rsid w:val="003C41E7"/>
    <w:rsid w:val="003C50AF"/>
    <w:rsid w:val="003C5A12"/>
    <w:rsid w:val="003C5FE7"/>
    <w:rsid w:val="003C60D7"/>
    <w:rsid w:val="003C6AA9"/>
    <w:rsid w:val="003C7D43"/>
    <w:rsid w:val="003D037D"/>
    <w:rsid w:val="003D04F5"/>
    <w:rsid w:val="003D0CA0"/>
    <w:rsid w:val="003D1032"/>
    <w:rsid w:val="003D17A2"/>
    <w:rsid w:val="003D28C4"/>
    <w:rsid w:val="003D3048"/>
    <w:rsid w:val="003D34A7"/>
    <w:rsid w:val="003D382D"/>
    <w:rsid w:val="003D3A26"/>
    <w:rsid w:val="003D44B1"/>
    <w:rsid w:val="003D46E8"/>
    <w:rsid w:val="003D4EF8"/>
    <w:rsid w:val="003D542B"/>
    <w:rsid w:val="003D5FDC"/>
    <w:rsid w:val="003D740E"/>
    <w:rsid w:val="003D74EC"/>
    <w:rsid w:val="003D776F"/>
    <w:rsid w:val="003D7937"/>
    <w:rsid w:val="003D7E75"/>
    <w:rsid w:val="003E0860"/>
    <w:rsid w:val="003E0B32"/>
    <w:rsid w:val="003E1757"/>
    <w:rsid w:val="003E2CA0"/>
    <w:rsid w:val="003E3103"/>
    <w:rsid w:val="003E3A26"/>
    <w:rsid w:val="003E6615"/>
    <w:rsid w:val="003E6D66"/>
    <w:rsid w:val="003F113E"/>
    <w:rsid w:val="003F1505"/>
    <w:rsid w:val="003F1973"/>
    <w:rsid w:val="003F1BE7"/>
    <w:rsid w:val="003F211E"/>
    <w:rsid w:val="003F2F4C"/>
    <w:rsid w:val="003F3795"/>
    <w:rsid w:val="003F4BE5"/>
    <w:rsid w:val="003F5A57"/>
    <w:rsid w:val="003F60BE"/>
    <w:rsid w:val="003F72C0"/>
    <w:rsid w:val="003F7D5A"/>
    <w:rsid w:val="004003DB"/>
    <w:rsid w:val="00400E56"/>
    <w:rsid w:val="00401233"/>
    <w:rsid w:val="0040206B"/>
    <w:rsid w:val="00403052"/>
    <w:rsid w:val="00403665"/>
    <w:rsid w:val="004042F1"/>
    <w:rsid w:val="0040480D"/>
    <w:rsid w:val="00404B7B"/>
    <w:rsid w:val="00404BAE"/>
    <w:rsid w:val="0040504E"/>
    <w:rsid w:val="0040518E"/>
    <w:rsid w:val="004074A1"/>
    <w:rsid w:val="00407BEE"/>
    <w:rsid w:val="00412A95"/>
    <w:rsid w:val="0041302A"/>
    <w:rsid w:val="00413AAC"/>
    <w:rsid w:val="00414A39"/>
    <w:rsid w:val="00414E38"/>
    <w:rsid w:val="00415052"/>
    <w:rsid w:val="00415098"/>
    <w:rsid w:val="004151E3"/>
    <w:rsid w:val="00417EEF"/>
    <w:rsid w:val="0042049E"/>
    <w:rsid w:val="004208AB"/>
    <w:rsid w:val="004215A6"/>
    <w:rsid w:val="00422905"/>
    <w:rsid w:val="00422C2B"/>
    <w:rsid w:val="004249D0"/>
    <w:rsid w:val="0042627E"/>
    <w:rsid w:val="00426E62"/>
    <w:rsid w:val="00430493"/>
    <w:rsid w:val="00430698"/>
    <w:rsid w:val="004308B7"/>
    <w:rsid w:val="004309CB"/>
    <w:rsid w:val="00431A7F"/>
    <w:rsid w:val="00432622"/>
    <w:rsid w:val="0043306D"/>
    <w:rsid w:val="004330F3"/>
    <w:rsid w:val="004346D7"/>
    <w:rsid w:val="00434BB3"/>
    <w:rsid w:val="00436017"/>
    <w:rsid w:val="00437ECA"/>
    <w:rsid w:val="0044073C"/>
    <w:rsid w:val="0044188E"/>
    <w:rsid w:val="0044209D"/>
    <w:rsid w:val="00442FB7"/>
    <w:rsid w:val="00444BD7"/>
    <w:rsid w:val="004467B2"/>
    <w:rsid w:val="00447A07"/>
    <w:rsid w:val="00447BB5"/>
    <w:rsid w:val="00447F16"/>
    <w:rsid w:val="00450E8E"/>
    <w:rsid w:val="00451397"/>
    <w:rsid w:val="00451676"/>
    <w:rsid w:val="004529CE"/>
    <w:rsid w:val="00452CE2"/>
    <w:rsid w:val="00452E40"/>
    <w:rsid w:val="00452E8D"/>
    <w:rsid w:val="004531ED"/>
    <w:rsid w:val="00454668"/>
    <w:rsid w:val="00455E35"/>
    <w:rsid w:val="00456F27"/>
    <w:rsid w:val="004570DE"/>
    <w:rsid w:val="00457114"/>
    <w:rsid w:val="004573FD"/>
    <w:rsid w:val="00460C18"/>
    <w:rsid w:val="00460D65"/>
    <w:rsid w:val="0046173C"/>
    <w:rsid w:val="00463528"/>
    <w:rsid w:val="004646D9"/>
    <w:rsid w:val="004661C3"/>
    <w:rsid w:val="004664D1"/>
    <w:rsid w:val="004667A9"/>
    <w:rsid w:val="00470251"/>
    <w:rsid w:val="004712B5"/>
    <w:rsid w:val="004712DE"/>
    <w:rsid w:val="00471C26"/>
    <w:rsid w:val="00471EE9"/>
    <w:rsid w:val="00471FD0"/>
    <w:rsid w:val="00472E1C"/>
    <w:rsid w:val="0047304B"/>
    <w:rsid w:val="00473251"/>
    <w:rsid w:val="004732BB"/>
    <w:rsid w:val="00473B21"/>
    <w:rsid w:val="004745EE"/>
    <w:rsid w:val="004747E7"/>
    <w:rsid w:val="004760EA"/>
    <w:rsid w:val="00476F32"/>
    <w:rsid w:val="004779A8"/>
    <w:rsid w:val="004779BD"/>
    <w:rsid w:val="00477A98"/>
    <w:rsid w:val="00477FED"/>
    <w:rsid w:val="0048061E"/>
    <w:rsid w:val="00480709"/>
    <w:rsid w:val="0048142A"/>
    <w:rsid w:val="00481B1D"/>
    <w:rsid w:val="00482A13"/>
    <w:rsid w:val="0048425D"/>
    <w:rsid w:val="0048507F"/>
    <w:rsid w:val="004853F8"/>
    <w:rsid w:val="00486121"/>
    <w:rsid w:val="00487517"/>
    <w:rsid w:val="00487878"/>
    <w:rsid w:val="004878B7"/>
    <w:rsid w:val="00490708"/>
    <w:rsid w:val="004909AC"/>
    <w:rsid w:val="00490FED"/>
    <w:rsid w:val="0049338B"/>
    <w:rsid w:val="004958BF"/>
    <w:rsid w:val="00496B31"/>
    <w:rsid w:val="00496E9F"/>
    <w:rsid w:val="00497ADB"/>
    <w:rsid w:val="00497CEF"/>
    <w:rsid w:val="004A0D24"/>
    <w:rsid w:val="004A1FAE"/>
    <w:rsid w:val="004A3B3F"/>
    <w:rsid w:val="004A3ECC"/>
    <w:rsid w:val="004A475E"/>
    <w:rsid w:val="004A5056"/>
    <w:rsid w:val="004A55D3"/>
    <w:rsid w:val="004A615B"/>
    <w:rsid w:val="004A6441"/>
    <w:rsid w:val="004A6F67"/>
    <w:rsid w:val="004A74E1"/>
    <w:rsid w:val="004B23A7"/>
    <w:rsid w:val="004B2DB1"/>
    <w:rsid w:val="004B2F15"/>
    <w:rsid w:val="004B42E4"/>
    <w:rsid w:val="004B4307"/>
    <w:rsid w:val="004B5B3E"/>
    <w:rsid w:val="004B640E"/>
    <w:rsid w:val="004B6702"/>
    <w:rsid w:val="004C038A"/>
    <w:rsid w:val="004C0CA4"/>
    <w:rsid w:val="004C1675"/>
    <w:rsid w:val="004C2BC2"/>
    <w:rsid w:val="004C3890"/>
    <w:rsid w:val="004C395C"/>
    <w:rsid w:val="004C4C1E"/>
    <w:rsid w:val="004C4F2A"/>
    <w:rsid w:val="004C523B"/>
    <w:rsid w:val="004C5E8E"/>
    <w:rsid w:val="004C6C4E"/>
    <w:rsid w:val="004D0336"/>
    <w:rsid w:val="004D1895"/>
    <w:rsid w:val="004D1D45"/>
    <w:rsid w:val="004D2250"/>
    <w:rsid w:val="004D2645"/>
    <w:rsid w:val="004D2FB8"/>
    <w:rsid w:val="004D328B"/>
    <w:rsid w:val="004D3F41"/>
    <w:rsid w:val="004D4867"/>
    <w:rsid w:val="004D4FE5"/>
    <w:rsid w:val="004D5541"/>
    <w:rsid w:val="004D5D9E"/>
    <w:rsid w:val="004E039C"/>
    <w:rsid w:val="004E438D"/>
    <w:rsid w:val="004E5019"/>
    <w:rsid w:val="004E59FA"/>
    <w:rsid w:val="004E6CFF"/>
    <w:rsid w:val="004E7503"/>
    <w:rsid w:val="004F0A3E"/>
    <w:rsid w:val="004F0F9E"/>
    <w:rsid w:val="004F0FAE"/>
    <w:rsid w:val="004F29FB"/>
    <w:rsid w:val="004F38A2"/>
    <w:rsid w:val="004F51FB"/>
    <w:rsid w:val="004F5B47"/>
    <w:rsid w:val="004F5C4A"/>
    <w:rsid w:val="004F62AD"/>
    <w:rsid w:val="004F6878"/>
    <w:rsid w:val="004F7CD6"/>
    <w:rsid w:val="005001DB"/>
    <w:rsid w:val="00501439"/>
    <w:rsid w:val="0050202E"/>
    <w:rsid w:val="00505FD9"/>
    <w:rsid w:val="00506AEE"/>
    <w:rsid w:val="00506DD6"/>
    <w:rsid w:val="00506FBA"/>
    <w:rsid w:val="00507C52"/>
    <w:rsid w:val="00507CFB"/>
    <w:rsid w:val="00511592"/>
    <w:rsid w:val="00513009"/>
    <w:rsid w:val="00514032"/>
    <w:rsid w:val="00514D76"/>
    <w:rsid w:val="00516BD9"/>
    <w:rsid w:val="00516D66"/>
    <w:rsid w:val="00517552"/>
    <w:rsid w:val="0052087C"/>
    <w:rsid w:val="00520A5E"/>
    <w:rsid w:val="005222B3"/>
    <w:rsid w:val="00522840"/>
    <w:rsid w:val="005235DA"/>
    <w:rsid w:val="00525667"/>
    <w:rsid w:val="00525BC8"/>
    <w:rsid w:val="00530572"/>
    <w:rsid w:val="0053061E"/>
    <w:rsid w:val="00530D6D"/>
    <w:rsid w:val="00532495"/>
    <w:rsid w:val="005336D7"/>
    <w:rsid w:val="00533EAD"/>
    <w:rsid w:val="0053585D"/>
    <w:rsid w:val="0053627E"/>
    <w:rsid w:val="00536287"/>
    <w:rsid w:val="005363C2"/>
    <w:rsid w:val="0053722E"/>
    <w:rsid w:val="0054062A"/>
    <w:rsid w:val="005412F3"/>
    <w:rsid w:val="00541E44"/>
    <w:rsid w:val="0054218E"/>
    <w:rsid w:val="00542F03"/>
    <w:rsid w:val="005434D1"/>
    <w:rsid w:val="00543937"/>
    <w:rsid w:val="00543DED"/>
    <w:rsid w:val="00544148"/>
    <w:rsid w:val="00544446"/>
    <w:rsid w:val="00547C4D"/>
    <w:rsid w:val="005502D3"/>
    <w:rsid w:val="00550FD2"/>
    <w:rsid w:val="005512B8"/>
    <w:rsid w:val="00551991"/>
    <w:rsid w:val="005523FC"/>
    <w:rsid w:val="00552E4E"/>
    <w:rsid w:val="00554E16"/>
    <w:rsid w:val="00556942"/>
    <w:rsid w:val="00560427"/>
    <w:rsid w:val="00560FFC"/>
    <w:rsid w:val="00562055"/>
    <w:rsid w:val="005621EC"/>
    <w:rsid w:val="00563E01"/>
    <w:rsid w:val="0056427E"/>
    <w:rsid w:val="00567B64"/>
    <w:rsid w:val="00567D24"/>
    <w:rsid w:val="00567FBB"/>
    <w:rsid w:val="00571ECD"/>
    <w:rsid w:val="00572278"/>
    <w:rsid w:val="00573247"/>
    <w:rsid w:val="0057334A"/>
    <w:rsid w:val="00574E82"/>
    <w:rsid w:val="005752EF"/>
    <w:rsid w:val="0057532D"/>
    <w:rsid w:val="005757B3"/>
    <w:rsid w:val="00575996"/>
    <w:rsid w:val="005779A1"/>
    <w:rsid w:val="005804F9"/>
    <w:rsid w:val="005809AB"/>
    <w:rsid w:val="0058175B"/>
    <w:rsid w:val="005823B9"/>
    <w:rsid w:val="00582ACC"/>
    <w:rsid w:val="005845B9"/>
    <w:rsid w:val="005846AA"/>
    <w:rsid w:val="005847CC"/>
    <w:rsid w:val="00584C9A"/>
    <w:rsid w:val="00586E26"/>
    <w:rsid w:val="00587F64"/>
    <w:rsid w:val="00590D66"/>
    <w:rsid w:val="00590F25"/>
    <w:rsid w:val="00590F78"/>
    <w:rsid w:val="0059123D"/>
    <w:rsid w:val="00591BC7"/>
    <w:rsid w:val="00592218"/>
    <w:rsid w:val="00592D4F"/>
    <w:rsid w:val="00594EEE"/>
    <w:rsid w:val="0059534A"/>
    <w:rsid w:val="00595844"/>
    <w:rsid w:val="00595D00"/>
    <w:rsid w:val="00595EF5"/>
    <w:rsid w:val="005965D2"/>
    <w:rsid w:val="005970BE"/>
    <w:rsid w:val="005A05B8"/>
    <w:rsid w:val="005A0921"/>
    <w:rsid w:val="005A09ED"/>
    <w:rsid w:val="005A269C"/>
    <w:rsid w:val="005A42D7"/>
    <w:rsid w:val="005A438A"/>
    <w:rsid w:val="005A452E"/>
    <w:rsid w:val="005A4DD3"/>
    <w:rsid w:val="005A5EC1"/>
    <w:rsid w:val="005A6674"/>
    <w:rsid w:val="005A6C7B"/>
    <w:rsid w:val="005A7DCB"/>
    <w:rsid w:val="005A7E19"/>
    <w:rsid w:val="005B1449"/>
    <w:rsid w:val="005B30FD"/>
    <w:rsid w:val="005B4343"/>
    <w:rsid w:val="005B5738"/>
    <w:rsid w:val="005B5C1A"/>
    <w:rsid w:val="005B5DC5"/>
    <w:rsid w:val="005B61B3"/>
    <w:rsid w:val="005B624B"/>
    <w:rsid w:val="005B6583"/>
    <w:rsid w:val="005C068C"/>
    <w:rsid w:val="005C069F"/>
    <w:rsid w:val="005C1208"/>
    <w:rsid w:val="005C24F3"/>
    <w:rsid w:val="005C2BE6"/>
    <w:rsid w:val="005C2DF8"/>
    <w:rsid w:val="005C6398"/>
    <w:rsid w:val="005D089A"/>
    <w:rsid w:val="005D120E"/>
    <w:rsid w:val="005D2326"/>
    <w:rsid w:val="005D2F5D"/>
    <w:rsid w:val="005D32F0"/>
    <w:rsid w:val="005D38E0"/>
    <w:rsid w:val="005D3F9D"/>
    <w:rsid w:val="005D41EA"/>
    <w:rsid w:val="005D43B9"/>
    <w:rsid w:val="005D441F"/>
    <w:rsid w:val="005D45E9"/>
    <w:rsid w:val="005D5E84"/>
    <w:rsid w:val="005D6092"/>
    <w:rsid w:val="005D6598"/>
    <w:rsid w:val="005D7003"/>
    <w:rsid w:val="005D7953"/>
    <w:rsid w:val="005D7A7E"/>
    <w:rsid w:val="005E0E05"/>
    <w:rsid w:val="005E453A"/>
    <w:rsid w:val="005E4557"/>
    <w:rsid w:val="005E5488"/>
    <w:rsid w:val="005E5787"/>
    <w:rsid w:val="005E6306"/>
    <w:rsid w:val="005E6C2C"/>
    <w:rsid w:val="005E7B08"/>
    <w:rsid w:val="005E7BF3"/>
    <w:rsid w:val="005E7C37"/>
    <w:rsid w:val="005F00B8"/>
    <w:rsid w:val="005F02E1"/>
    <w:rsid w:val="005F2977"/>
    <w:rsid w:val="005F34E9"/>
    <w:rsid w:val="005F476C"/>
    <w:rsid w:val="005F5393"/>
    <w:rsid w:val="005F6DE3"/>
    <w:rsid w:val="005F6F5D"/>
    <w:rsid w:val="006004FF"/>
    <w:rsid w:val="00600E91"/>
    <w:rsid w:val="006019EC"/>
    <w:rsid w:val="00601C1D"/>
    <w:rsid w:val="00601E25"/>
    <w:rsid w:val="006024C4"/>
    <w:rsid w:val="00602515"/>
    <w:rsid w:val="00603C85"/>
    <w:rsid w:val="00605803"/>
    <w:rsid w:val="00606EE7"/>
    <w:rsid w:val="00607247"/>
    <w:rsid w:val="00607AD9"/>
    <w:rsid w:val="006114FB"/>
    <w:rsid w:val="006115EB"/>
    <w:rsid w:val="00612531"/>
    <w:rsid w:val="00612F83"/>
    <w:rsid w:val="006156E9"/>
    <w:rsid w:val="00616B61"/>
    <w:rsid w:val="006171DE"/>
    <w:rsid w:val="00617333"/>
    <w:rsid w:val="00617556"/>
    <w:rsid w:val="0062023C"/>
    <w:rsid w:val="00620343"/>
    <w:rsid w:val="006209F8"/>
    <w:rsid w:val="00621140"/>
    <w:rsid w:val="006228C8"/>
    <w:rsid w:val="00622F71"/>
    <w:rsid w:val="006230FE"/>
    <w:rsid w:val="00623CF7"/>
    <w:rsid w:val="00625C0A"/>
    <w:rsid w:val="00625F02"/>
    <w:rsid w:val="0062671F"/>
    <w:rsid w:val="00626BB0"/>
    <w:rsid w:val="00627180"/>
    <w:rsid w:val="006271B4"/>
    <w:rsid w:val="00630035"/>
    <w:rsid w:val="0063136E"/>
    <w:rsid w:val="0063227E"/>
    <w:rsid w:val="006325B3"/>
    <w:rsid w:val="006346E4"/>
    <w:rsid w:val="00634C61"/>
    <w:rsid w:val="00635579"/>
    <w:rsid w:val="00636A7C"/>
    <w:rsid w:val="0064003C"/>
    <w:rsid w:val="006409B5"/>
    <w:rsid w:val="0064185D"/>
    <w:rsid w:val="006422EC"/>
    <w:rsid w:val="0064286E"/>
    <w:rsid w:val="0064322B"/>
    <w:rsid w:val="00643307"/>
    <w:rsid w:val="00643A86"/>
    <w:rsid w:val="00643E0D"/>
    <w:rsid w:val="006448D5"/>
    <w:rsid w:val="00644BD9"/>
    <w:rsid w:val="006453C4"/>
    <w:rsid w:val="00645BBA"/>
    <w:rsid w:val="006466D8"/>
    <w:rsid w:val="00647114"/>
    <w:rsid w:val="00647CFE"/>
    <w:rsid w:val="00647E58"/>
    <w:rsid w:val="00650BC0"/>
    <w:rsid w:val="00652B46"/>
    <w:rsid w:val="00653253"/>
    <w:rsid w:val="0065363C"/>
    <w:rsid w:val="00654C1B"/>
    <w:rsid w:val="00655555"/>
    <w:rsid w:val="00656551"/>
    <w:rsid w:val="00656CB1"/>
    <w:rsid w:val="0065712C"/>
    <w:rsid w:val="00660A52"/>
    <w:rsid w:val="00660CF3"/>
    <w:rsid w:val="0066186A"/>
    <w:rsid w:val="006622DA"/>
    <w:rsid w:val="00664859"/>
    <w:rsid w:val="006651EC"/>
    <w:rsid w:val="00666DF4"/>
    <w:rsid w:val="00667CD5"/>
    <w:rsid w:val="00667ECB"/>
    <w:rsid w:val="00670A0F"/>
    <w:rsid w:val="00670B96"/>
    <w:rsid w:val="00670C66"/>
    <w:rsid w:val="00670C77"/>
    <w:rsid w:val="00671588"/>
    <w:rsid w:val="0067211F"/>
    <w:rsid w:val="00672BD5"/>
    <w:rsid w:val="00672D66"/>
    <w:rsid w:val="0067328C"/>
    <w:rsid w:val="0067437A"/>
    <w:rsid w:val="00675479"/>
    <w:rsid w:val="00675523"/>
    <w:rsid w:val="00675631"/>
    <w:rsid w:val="0067587F"/>
    <w:rsid w:val="0067590F"/>
    <w:rsid w:val="006766EC"/>
    <w:rsid w:val="00677908"/>
    <w:rsid w:val="006809A7"/>
    <w:rsid w:val="00681792"/>
    <w:rsid w:val="0068221F"/>
    <w:rsid w:val="00682D62"/>
    <w:rsid w:val="006853C0"/>
    <w:rsid w:val="006859CD"/>
    <w:rsid w:val="00686C73"/>
    <w:rsid w:val="0068761B"/>
    <w:rsid w:val="006906E0"/>
    <w:rsid w:val="006907CF"/>
    <w:rsid w:val="00690BDD"/>
    <w:rsid w:val="006946AA"/>
    <w:rsid w:val="00694C10"/>
    <w:rsid w:val="0069617F"/>
    <w:rsid w:val="0069750C"/>
    <w:rsid w:val="00697B82"/>
    <w:rsid w:val="006A0C3E"/>
    <w:rsid w:val="006A163B"/>
    <w:rsid w:val="006A2359"/>
    <w:rsid w:val="006A257A"/>
    <w:rsid w:val="006A2983"/>
    <w:rsid w:val="006A2C10"/>
    <w:rsid w:val="006A2F1C"/>
    <w:rsid w:val="006A4177"/>
    <w:rsid w:val="006A4542"/>
    <w:rsid w:val="006A4AA1"/>
    <w:rsid w:val="006A5089"/>
    <w:rsid w:val="006A51E0"/>
    <w:rsid w:val="006A6387"/>
    <w:rsid w:val="006A6614"/>
    <w:rsid w:val="006A6A43"/>
    <w:rsid w:val="006A78AF"/>
    <w:rsid w:val="006B022F"/>
    <w:rsid w:val="006B050C"/>
    <w:rsid w:val="006B0A27"/>
    <w:rsid w:val="006B0DDA"/>
    <w:rsid w:val="006B1BB0"/>
    <w:rsid w:val="006B2198"/>
    <w:rsid w:val="006B2854"/>
    <w:rsid w:val="006B28A8"/>
    <w:rsid w:val="006B312E"/>
    <w:rsid w:val="006B3A9C"/>
    <w:rsid w:val="006B3CD0"/>
    <w:rsid w:val="006B3D17"/>
    <w:rsid w:val="006B3F74"/>
    <w:rsid w:val="006B40CB"/>
    <w:rsid w:val="006B4205"/>
    <w:rsid w:val="006B440A"/>
    <w:rsid w:val="006B44CE"/>
    <w:rsid w:val="006B4583"/>
    <w:rsid w:val="006B45AE"/>
    <w:rsid w:val="006C11A4"/>
    <w:rsid w:val="006C18AA"/>
    <w:rsid w:val="006C1E76"/>
    <w:rsid w:val="006C1F74"/>
    <w:rsid w:val="006C23BE"/>
    <w:rsid w:val="006C259F"/>
    <w:rsid w:val="006C2C69"/>
    <w:rsid w:val="006C30DA"/>
    <w:rsid w:val="006C3A43"/>
    <w:rsid w:val="006C499F"/>
    <w:rsid w:val="006C4CB3"/>
    <w:rsid w:val="006C63F7"/>
    <w:rsid w:val="006C65DA"/>
    <w:rsid w:val="006C6632"/>
    <w:rsid w:val="006C673D"/>
    <w:rsid w:val="006C6DFA"/>
    <w:rsid w:val="006C6F57"/>
    <w:rsid w:val="006C7FEC"/>
    <w:rsid w:val="006D05EA"/>
    <w:rsid w:val="006D14FD"/>
    <w:rsid w:val="006D15A5"/>
    <w:rsid w:val="006D1D03"/>
    <w:rsid w:val="006D2704"/>
    <w:rsid w:val="006D2B82"/>
    <w:rsid w:val="006D2D48"/>
    <w:rsid w:val="006D3012"/>
    <w:rsid w:val="006D5DC6"/>
    <w:rsid w:val="006D6711"/>
    <w:rsid w:val="006D6774"/>
    <w:rsid w:val="006D68AF"/>
    <w:rsid w:val="006D6F2C"/>
    <w:rsid w:val="006D72A1"/>
    <w:rsid w:val="006E06C3"/>
    <w:rsid w:val="006E0907"/>
    <w:rsid w:val="006E13DB"/>
    <w:rsid w:val="006E3A2B"/>
    <w:rsid w:val="006E3E40"/>
    <w:rsid w:val="006E4CFF"/>
    <w:rsid w:val="006E62DE"/>
    <w:rsid w:val="006E62EA"/>
    <w:rsid w:val="006E6C2C"/>
    <w:rsid w:val="006E75E9"/>
    <w:rsid w:val="006E77DC"/>
    <w:rsid w:val="006F058C"/>
    <w:rsid w:val="006F0972"/>
    <w:rsid w:val="006F10EB"/>
    <w:rsid w:val="006F10F8"/>
    <w:rsid w:val="006F1193"/>
    <w:rsid w:val="006F1B84"/>
    <w:rsid w:val="006F1EFA"/>
    <w:rsid w:val="006F243E"/>
    <w:rsid w:val="006F2C64"/>
    <w:rsid w:val="006F361B"/>
    <w:rsid w:val="006F37B4"/>
    <w:rsid w:val="006F4D5E"/>
    <w:rsid w:val="006F67D4"/>
    <w:rsid w:val="006F69B6"/>
    <w:rsid w:val="006F7327"/>
    <w:rsid w:val="006F7CFD"/>
    <w:rsid w:val="00700C6A"/>
    <w:rsid w:val="00701296"/>
    <w:rsid w:val="00701334"/>
    <w:rsid w:val="007014E5"/>
    <w:rsid w:val="00703090"/>
    <w:rsid w:val="0070390C"/>
    <w:rsid w:val="00704AEB"/>
    <w:rsid w:val="0070542A"/>
    <w:rsid w:val="00706172"/>
    <w:rsid w:val="0070694F"/>
    <w:rsid w:val="00706E2B"/>
    <w:rsid w:val="00707495"/>
    <w:rsid w:val="00707542"/>
    <w:rsid w:val="00710F9A"/>
    <w:rsid w:val="007120AD"/>
    <w:rsid w:val="007134A8"/>
    <w:rsid w:val="00714879"/>
    <w:rsid w:val="007150BD"/>
    <w:rsid w:val="007157DA"/>
    <w:rsid w:val="0071650D"/>
    <w:rsid w:val="007170C3"/>
    <w:rsid w:val="007211C4"/>
    <w:rsid w:val="00721248"/>
    <w:rsid w:val="00721D9A"/>
    <w:rsid w:val="007220AE"/>
    <w:rsid w:val="007223B2"/>
    <w:rsid w:val="00722C74"/>
    <w:rsid w:val="00723F0A"/>
    <w:rsid w:val="00724051"/>
    <w:rsid w:val="007242E8"/>
    <w:rsid w:val="00724DB5"/>
    <w:rsid w:val="0072592F"/>
    <w:rsid w:val="0072639C"/>
    <w:rsid w:val="00726615"/>
    <w:rsid w:val="007277DF"/>
    <w:rsid w:val="00727B83"/>
    <w:rsid w:val="00730EDE"/>
    <w:rsid w:val="007319BF"/>
    <w:rsid w:val="007327C7"/>
    <w:rsid w:val="007327CB"/>
    <w:rsid w:val="00733865"/>
    <w:rsid w:val="007347BD"/>
    <w:rsid w:val="00734B4D"/>
    <w:rsid w:val="007354B7"/>
    <w:rsid w:val="0073762A"/>
    <w:rsid w:val="00737737"/>
    <w:rsid w:val="00737AEA"/>
    <w:rsid w:val="00742E95"/>
    <w:rsid w:val="00745103"/>
    <w:rsid w:val="00745472"/>
    <w:rsid w:val="0074547F"/>
    <w:rsid w:val="0074597F"/>
    <w:rsid w:val="00746CBA"/>
    <w:rsid w:val="0074791D"/>
    <w:rsid w:val="00747D70"/>
    <w:rsid w:val="0075327F"/>
    <w:rsid w:val="00753AEB"/>
    <w:rsid w:val="00753DE7"/>
    <w:rsid w:val="00753ECD"/>
    <w:rsid w:val="00754DEA"/>
    <w:rsid w:val="00754F59"/>
    <w:rsid w:val="007557B8"/>
    <w:rsid w:val="00756192"/>
    <w:rsid w:val="00756E6D"/>
    <w:rsid w:val="00756F50"/>
    <w:rsid w:val="00757109"/>
    <w:rsid w:val="007601B1"/>
    <w:rsid w:val="00760537"/>
    <w:rsid w:val="00760BA8"/>
    <w:rsid w:val="0076116A"/>
    <w:rsid w:val="00761699"/>
    <w:rsid w:val="00761B97"/>
    <w:rsid w:val="00762301"/>
    <w:rsid w:val="007626D4"/>
    <w:rsid w:val="007627CD"/>
    <w:rsid w:val="0076490C"/>
    <w:rsid w:val="00764995"/>
    <w:rsid w:val="00764B7B"/>
    <w:rsid w:val="00765BD9"/>
    <w:rsid w:val="00766367"/>
    <w:rsid w:val="007664A0"/>
    <w:rsid w:val="00766902"/>
    <w:rsid w:val="007669FB"/>
    <w:rsid w:val="00767C6A"/>
    <w:rsid w:val="00770E8B"/>
    <w:rsid w:val="00771752"/>
    <w:rsid w:val="00772619"/>
    <w:rsid w:val="00773A74"/>
    <w:rsid w:val="00773A76"/>
    <w:rsid w:val="0077525F"/>
    <w:rsid w:val="00775EC3"/>
    <w:rsid w:val="00775EF5"/>
    <w:rsid w:val="00776080"/>
    <w:rsid w:val="00782609"/>
    <w:rsid w:val="00782CC8"/>
    <w:rsid w:val="007839BD"/>
    <w:rsid w:val="00783D9C"/>
    <w:rsid w:val="00784259"/>
    <w:rsid w:val="00785127"/>
    <w:rsid w:val="0078566E"/>
    <w:rsid w:val="00786038"/>
    <w:rsid w:val="00787E68"/>
    <w:rsid w:val="007906DE"/>
    <w:rsid w:val="0079128E"/>
    <w:rsid w:val="00791522"/>
    <w:rsid w:val="007915AA"/>
    <w:rsid w:val="00791C88"/>
    <w:rsid w:val="00793A0B"/>
    <w:rsid w:val="007954E3"/>
    <w:rsid w:val="007960C1"/>
    <w:rsid w:val="00796CD0"/>
    <w:rsid w:val="007A18B6"/>
    <w:rsid w:val="007A1FEF"/>
    <w:rsid w:val="007A3995"/>
    <w:rsid w:val="007A4F94"/>
    <w:rsid w:val="007A5155"/>
    <w:rsid w:val="007A5A8E"/>
    <w:rsid w:val="007A6363"/>
    <w:rsid w:val="007A63D1"/>
    <w:rsid w:val="007A6D64"/>
    <w:rsid w:val="007A720C"/>
    <w:rsid w:val="007A7802"/>
    <w:rsid w:val="007B245C"/>
    <w:rsid w:val="007B2FD7"/>
    <w:rsid w:val="007B3458"/>
    <w:rsid w:val="007B35E1"/>
    <w:rsid w:val="007B37B7"/>
    <w:rsid w:val="007B39FB"/>
    <w:rsid w:val="007B55E3"/>
    <w:rsid w:val="007B5D3C"/>
    <w:rsid w:val="007B695A"/>
    <w:rsid w:val="007B73F3"/>
    <w:rsid w:val="007B7926"/>
    <w:rsid w:val="007B7F33"/>
    <w:rsid w:val="007C05E5"/>
    <w:rsid w:val="007C1245"/>
    <w:rsid w:val="007C3A95"/>
    <w:rsid w:val="007C4486"/>
    <w:rsid w:val="007C55DB"/>
    <w:rsid w:val="007C6429"/>
    <w:rsid w:val="007C646B"/>
    <w:rsid w:val="007C6564"/>
    <w:rsid w:val="007C6E01"/>
    <w:rsid w:val="007C7A87"/>
    <w:rsid w:val="007D0B59"/>
    <w:rsid w:val="007D19C2"/>
    <w:rsid w:val="007D1A10"/>
    <w:rsid w:val="007D2C48"/>
    <w:rsid w:val="007D2FFF"/>
    <w:rsid w:val="007D3036"/>
    <w:rsid w:val="007D3616"/>
    <w:rsid w:val="007D470B"/>
    <w:rsid w:val="007D54F5"/>
    <w:rsid w:val="007D5D07"/>
    <w:rsid w:val="007D5E6B"/>
    <w:rsid w:val="007D6471"/>
    <w:rsid w:val="007E27F6"/>
    <w:rsid w:val="007E4065"/>
    <w:rsid w:val="007E458B"/>
    <w:rsid w:val="007E4A1F"/>
    <w:rsid w:val="007E57E1"/>
    <w:rsid w:val="007E5A2B"/>
    <w:rsid w:val="007E6552"/>
    <w:rsid w:val="007E67F4"/>
    <w:rsid w:val="007E71B4"/>
    <w:rsid w:val="007E7972"/>
    <w:rsid w:val="007F0F84"/>
    <w:rsid w:val="007F1370"/>
    <w:rsid w:val="007F1491"/>
    <w:rsid w:val="007F2553"/>
    <w:rsid w:val="007F2BE4"/>
    <w:rsid w:val="007F2DC1"/>
    <w:rsid w:val="007F37DE"/>
    <w:rsid w:val="007F5822"/>
    <w:rsid w:val="007F5882"/>
    <w:rsid w:val="007F6D1C"/>
    <w:rsid w:val="007F749E"/>
    <w:rsid w:val="008006BE"/>
    <w:rsid w:val="00801E30"/>
    <w:rsid w:val="00802695"/>
    <w:rsid w:val="008026AB"/>
    <w:rsid w:val="00802EE4"/>
    <w:rsid w:val="00804C30"/>
    <w:rsid w:val="008067DB"/>
    <w:rsid w:val="008072DF"/>
    <w:rsid w:val="00807D3A"/>
    <w:rsid w:val="00810F9D"/>
    <w:rsid w:val="00811276"/>
    <w:rsid w:val="00811906"/>
    <w:rsid w:val="00811B73"/>
    <w:rsid w:val="00812286"/>
    <w:rsid w:val="00814530"/>
    <w:rsid w:val="00815093"/>
    <w:rsid w:val="0081596A"/>
    <w:rsid w:val="00815D09"/>
    <w:rsid w:val="008167AB"/>
    <w:rsid w:val="00816EE0"/>
    <w:rsid w:val="00817CDA"/>
    <w:rsid w:val="008202B5"/>
    <w:rsid w:val="00820E3B"/>
    <w:rsid w:val="00821CBA"/>
    <w:rsid w:val="0082222C"/>
    <w:rsid w:val="00823F8A"/>
    <w:rsid w:val="008243C5"/>
    <w:rsid w:val="00825795"/>
    <w:rsid w:val="00826472"/>
    <w:rsid w:val="008266F9"/>
    <w:rsid w:val="00832227"/>
    <w:rsid w:val="0083398D"/>
    <w:rsid w:val="00834484"/>
    <w:rsid w:val="00834F9A"/>
    <w:rsid w:val="008358E4"/>
    <w:rsid w:val="0083785A"/>
    <w:rsid w:val="00837F4B"/>
    <w:rsid w:val="00840FA1"/>
    <w:rsid w:val="008413C7"/>
    <w:rsid w:val="008413E8"/>
    <w:rsid w:val="0084426E"/>
    <w:rsid w:val="00845290"/>
    <w:rsid w:val="00846205"/>
    <w:rsid w:val="00846F9B"/>
    <w:rsid w:val="00847195"/>
    <w:rsid w:val="0084796C"/>
    <w:rsid w:val="00847B99"/>
    <w:rsid w:val="008504A7"/>
    <w:rsid w:val="00851126"/>
    <w:rsid w:val="00851F62"/>
    <w:rsid w:val="00853648"/>
    <w:rsid w:val="00854479"/>
    <w:rsid w:val="00855D05"/>
    <w:rsid w:val="00856238"/>
    <w:rsid w:val="00856E5C"/>
    <w:rsid w:val="00856FDA"/>
    <w:rsid w:val="00857201"/>
    <w:rsid w:val="0085736E"/>
    <w:rsid w:val="00857488"/>
    <w:rsid w:val="00861022"/>
    <w:rsid w:val="00864136"/>
    <w:rsid w:val="008662B9"/>
    <w:rsid w:val="00866304"/>
    <w:rsid w:val="0086656E"/>
    <w:rsid w:val="00866A48"/>
    <w:rsid w:val="00866F22"/>
    <w:rsid w:val="00870168"/>
    <w:rsid w:val="00870476"/>
    <w:rsid w:val="0087055F"/>
    <w:rsid w:val="00872BE3"/>
    <w:rsid w:val="008735D4"/>
    <w:rsid w:val="00874183"/>
    <w:rsid w:val="00876476"/>
    <w:rsid w:val="0087675E"/>
    <w:rsid w:val="0087688F"/>
    <w:rsid w:val="008804BF"/>
    <w:rsid w:val="00881BFE"/>
    <w:rsid w:val="00881D56"/>
    <w:rsid w:val="008821CF"/>
    <w:rsid w:val="008822AB"/>
    <w:rsid w:val="00883269"/>
    <w:rsid w:val="00883350"/>
    <w:rsid w:val="00883BEB"/>
    <w:rsid w:val="0088424D"/>
    <w:rsid w:val="008862A5"/>
    <w:rsid w:val="008866E9"/>
    <w:rsid w:val="00887389"/>
    <w:rsid w:val="008908DA"/>
    <w:rsid w:val="008918A7"/>
    <w:rsid w:val="00892C89"/>
    <w:rsid w:val="00893F63"/>
    <w:rsid w:val="00894B40"/>
    <w:rsid w:val="00895989"/>
    <w:rsid w:val="00897281"/>
    <w:rsid w:val="0089752A"/>
    <w:rsid w:val="008A0703"/>
    <w:rsid w:val="008A197A"/>
    <w:rsid w:val="008A1D14"/>
    <w:rsid w:val="008A1D99"/>
    <w:rsid w:val="008A344D"/>
    <w:rsid w:val="008A4151"/>
    <w:rsid w:val="008A4286"/>
    <w:rsid w:val="008A792A"/>
    <w:rsid w:val="008A7EF1"/>
    <w:rsid w:val="008B0207"/>
    <w:rsid w:val="008B05CC"/>
    <w:rsid w:val="008B0BA4"/>
    <w:rsid w:val="008B0BBB"/>
    <w:rsid w:val="008B1199"/>
    <w:rsid w:val="008B11F6"/>
    <w:rsid w:val="008B122C"/>
    <w:rsid w:val="008B1AA0"/>
    <w:rsid w:val="008B3095"/>
    <w:rsid w:val="008B35D1"/>
    <w:rsid w:val="008B3E98"/>
    <w:rsid w:val="008B43F0"/>
    <w:rsid w:val="008B447B"/>
    <w:rsid w:val="008B4F3E"/>
    <w:rsid w:val="008B5E4F"/>
    <w:rsid w:val="008B65E3"/>
    <w:rsid w:val="008B6DFD"/>
    <w:rsid w:val="008B6F53"/>
    <w:rsid w:val="008B6F81"/>
    <w:rsid w:val="008B715A"/>
    <w:rsid w:val="008C08E0"/>
    <w:rsid w:val="008C0FD3"/>
    <w:rsid w:val="008C1B1C"/>
    <w:rsid w:val="008C2E3B"/>
    <w:rsid w:val="008C3964"/>
    <w:rsid w:val="008C3AC3"/>
    <w:rsid w:val="008C3B58"/>
    <w:rsid w:val="008C3F80"/>
    <w:rsid w:val="008C47D7"/>
    <w:rsid w:val="008C53A1"/>
    <w:rsid w:val="008C65A8"/>
    <w:rsid w:val="008C6B0D"/>
    <w:rsid w:val="008C6C9E"/>
    <w:rsid w:val="008C6D04"/>
    <w:rsid w:val="008C744E"/>
    <w:rsid w:val="008C76E6"/>
    <w:rsid w:val="008C771A"/>
    <w:rsid w:val="008C7D35"/>
    <w:rsid w:val="008C7DA9"/>
    <w:rsid w:val="008D0D17"/>
    <w:rsid w:val="008D10EC"/>
    <w:rsid w:val="008D35F9"/>
    <w:rsid w:val="008D3BF4"/>
    <w:rsid w:val="008D3C90"/>
    <w:rsid w:val="008D3CED"/>
    <w:rsid w:val="008D3F19"/>
    <w:rsid w:val="008D4074"/>
    <w:rsid w:val="008D4668"/>
    <w:rsid w:val="008D4709"/>
    <w:rsid w:val="008D475E"/>
    <w:rsid w:val="008D47C8"/>
    <w:rsid w:val="008D5039"/>
    <w:rsid w:val="008D55C4"/>
    <w:rsid w:val="008D56E6"/>
    <w:rsid w:val="008D5716"/>
    <w:rsid w:val="008D5790"/>
    <w:rsid w:val="008D6722"/>
    <w:rsid w:val="008D6EF5"/>
    <w:rsid w:val="008D7284"/>
    <w:rsid w:val="008E13B6"/>
    <w:rsid w:val="008E1445"/>
    <w:rsid w:val="008E1A6C"/>
    <w:rsid w:val="008E2502"/>
    <w:rsid w:val="008E25AB"/>
    <w:rsid w:val="008E4F59"/>
    <w:rsid w:val="008E6432"/>
    <w:rsid w:val="008E7652"/>
    <w:rsid w:val="008E7799"/>
    <w:rsid w:val="008E7998"/>
    <w:rsid w:val="008E7B50"/>
    <w:rsid w:val="008E7C52"/>
    <w:rsid w:val="008F047B"/>
    <w:rsid w:val="008F2783"/>
    <w:rsid w:val="008F2C5F"/>
    <w:rsid w:val="008F38DF"/>
    <w:rsid w:val="008F4032"/>
    <w:rsid w:val="008F4EC6"/>
    <w:rsid w:val="008F4F68"/>
    <w:rsid w:val="008F7170"/>
    <w:rsid w:val="008F7789"/>
    <w:rsid w:val="008F7B1D"/>
    <w:rsid w:val="008F7D3C"/>
    <w:rsid w:val="008F7DBE"/>
    <w:rsid w:val="0090119B"/>
    <w:rsid w:val="00901624"/>
    <w:rsid w:val="0090197A"/>
    <w:rsid w:val="00901BAA"/>
    <w:rsid w:val="00901FF9"/>
    <w:rsid w:val="009021BC"/>
    <w:rsid w:val="00902E7E"/>
    <w:rsid w:val="009034EE"/>
    <w:rsid w:val="00903BB7"/>
    <w:rsid w:val="00904855"/>
    <w:rsid w:val="00905C4F"/>
    <w:rsid w:val="00906036"/>
    <w:rsid w:val="00906EA5"/>
    <w:rsid w:val="00907002"/>
    <w:rsid w:val="00910884"/>
    <w:rsid w:val="00910901"/>
    <w:rsid w:val="00910A68"/>
    <w:rsid w:val="00910F87"/>
    <w:rsid w:val="00911565"/>
    <w:rsid w:val="00911F15"/>
    <w:rsid w:val="009128F5"/>
    <w:rsid w:val="00913402"/>
    <w:rsid w:val="00913ABF"/>
    <w:rsid w:val="00913FA3"/>
    <w:rsid w:val="009158E2"/>
    <w:rsid w:val="00915FBD"/>
    <w:rsid w:val="0091677A"/>
    <w:rsid w:val="00916E95"/>
    <w:rsid w:val="009178B5"/>
    <w:rsid w:val="00917917"/>
    <w:rsid w:val="0092181D"/>
    <w:rsid w:val="009218EF"/>
    <w:rsid w:val="00923036"/>
    <w:rsid w:val="00924EA4"/>
    <w:rsid w:val="0092579A"/>
    <w:rsid w:val="00925C5E"/>
    <w:rsid w:val="009261A8"/>
    <w:rsid w:val="009269E1"/>
    <w:rsid w:val="00926B88"/>
    <w:rsid w:val="009271C2"/>
    <w:rsid w:val="0092747F"/>
    <w:rsid w:val="00930B9B"/>
    <w:rsid w:val="00933BD7"/>
    <w:rsid w:val="0093404A"/>
    <w:rsid w:val="00934E5D"/>
    <w:rsid w:val="00935FDC"/>
    <w:rsid w:val="00936D62"/>
    <w:rsid w:val="009375FB"/>
    <w:rsid w:val="00937985"/>
    <w:rsid w:val="00937DF9"/>
    <w:rsid w:val="00940491"/>
    <w:rsid w:val="0094083C"/>
    <w:rsid w:val="009421CD"/>
    <w:rsid w:val="00942482"/>
    <w:rsid w:val="00942537"/>
    <w:rsid w:val="00943302"/>
    <w:rsid w:val="00943E19"/>
    <w:rsid w:val="0094581E"/>
    <w:rsid w:val="00946639"/>
    <w:rsid w:val="00951BBD"/>
    <w:rsid w:val="00954253"/>
    <w:rsid w:val="009556B9"/>
    <w:rsid w:val="009566E8"/>
    <w:rsid w:val="00956FF2"/>
    <w:rsid w:val="00960915"/>
    <w:rsid w:val="009609A8"/>
    <w:rsid w:val="00962F9B"/>
    <w:rsid w:val="0096403E"/>
    <w:rsid w:val="009658F3"/>
    <w:rsid w:val="00966777"/>
    <w:rsid w:val="00966F6D"/>
    <w:rsid w:val="00967352"/>
    <w:rsid w:val="00967E02"/>
    <w:rsid w:val="009700C3"/>
    <w:rsid w:val="009701EF"/>
    <w:rsid w:val="009702E9"/>
    <w:rsid w:val="009704E5"/>
    <w:rsid w:val="00970743"/>
    <w:rsid w:val="00970983"/>
    <w:rsid w:val="00972450"/>
    <w:rsid w:val="00975F1D"/>
    <w:rsid w:val="009766F2"/>
    <w:rsid w:val="009779DF"/>
    <w:rsid w:val="0098051E"/>
    <w:rsid w:val="009805AE"/>
    <w:rsid w:val="00980E41"/>
    <w:rsid w:val="00982E23"/>
    <w:rsid w:val="009830FC"/>
    <w:rsid w:val="009834E7"/>
    <w:rsid w:val="0098370E"/>
    <w:rsid w:val="009853DC"/>
    <w:rsid w:val="009879EB"/>
    <w:rsid w:val="00987A43"/>
    <w:rsid w:val="00987DD5"/>
    <w:rsid w:val="0099072A"/>
    <w:rsid w:val="00990C92"/>
    <w:rsid w:val="0099332E"/>
    <w:rsid w:val="00993960"/>
    <w:rsid w:val="0099399A"/>
    <w:rsid w:val="009939C2"/>
    <w:rsid w:val="00994711"/>
    <w:rsid w:val="009967A5"/>
    <w:rsid w:val="0099708E"/>
    <w:rsid w:val="0099735E"/>
    <w:rsid w:val="009A0F8B"/>
    <w:rsid w:val="009A2A69"/>
    <w:rsid w:val="009A35E9"/>
    <w:rsid w:val="009A3B6C"/>
    <w:rsid w:val="009A450E"/>
    <w:rsid w:val="009A46A7"/>
    <w:rsid w:val="009A48C3"/>
    <w:rsid w:val="009A4C1E"/>
    <w:rsid w:val="009A4D33"/>
    <w:rsid w:val="009A4D52"/>
    <w:rsid w:val="009A5327"/>
    <w:rsid w:val="009A5420"/>
    <w:rsid w:val="009A57B3"/>
    <w:rsid w:val="009A730C"/>
    <w:rsid w:val="009B04BB"/>
    <w:rsid w:val="009B06D3"/>
    <w:rsid w:val="009B0951"/>
    <w:rsid w:val="009B2162"/>
    <w:rsid w:val="009B4486"/>
    <w:rsid w:val="009B4F45"/>
    <w:rsid w:val="009B6D38"/>
    <w:rsid w:val="009B784E"/>
    <w:rsid w:val="009C0677"/>
    <w:rsid w:val="009C0C86"/>
    <w:rsid w:val="009C223E"/>
    <w:rsid w:val="009C34B9"/>
    <w:rsid w:val="009C3A9F"/>
    <w:rsid w:val="009C56A3"/>
    <w:rsid w:val="009C653F"/>
    <w:rsid w:val="009C7CCF"/>
    <w:rsid w:val="009C7DF1"/>
    <w:rsid w:val="009D041A"/>
    <w:rsid w:val="009D0603"/>
    <w:rsid w:val="009D0DA1"/>
    <w:rsid w:val="009D13A2"/>
    <w:rsid w:val="009D1B5A"/>
    <w:rsid w:val="009D4D17"/>
    <w:rsid w:val="009D523E"/>
    <w:rsid w:val="009D56A4"/>
    <w:rsid w:val="009D586B"/>
    <w:rsid w:val="009D5B70"/>
    <w:rsid w:val="009D6201"/>
    <w:rsid w:val="009D6630"/>
    <w:rsid w:val="009D7A90"/>
    <w:rsid w:val="009D7DD0"/>
    <w:rsid w:val="009E0CAE"/>
    <w:rsid w:val="009E0CCD"/>
    <w:rsid w:val="009E11A2"/>
    <w:rsid w:val="009E17D1"/>
    <w:rsid w:val="009E1816"/>
    <w:rsid w:val="009E32E7"/>
    <w:rsid w:val="009E342B"/>
    <w:rsid w:val="009E3618"/>
    <w:rsid w:val="009E364D"/>
    <w:rsid w:val="009E4C41"/>
    <w:rsid w:val="009E4D76"/>
    <w:rsid w:val="009E50AE"/>
    <w:rsid w:val="009E6216"/>
    <w:rsid w:val="009E63C0"/>
    <w:rsid w:val="009E6C12"/>
    <w:rsid w:val="009F0D4B"/>
    <w:rsid w:val="009F12DC"/>
    <w:rsid w:val="009F1FF7"/>
    <w:rsid w:val="009F271E"/>
    <w:rsid w:val="009F3645"/>
    <w:rsid w:val="009F468A"/>
    <w:rsid w:val="009F4834"/>
    <w:rsid w:val="009F4AFC"/>
    <w:rsid w:val="009F5F37"/>
    <w:rsid w:val="009F7D0B"/>
    <w:rsid w:val="00A03F22"/>
    <w:rsid w:val="00A04520"/>
    <w:rsid w:val="00A04820"/>
    <w:rsid w:val="00A05410"/>
    <w:rsid w:val="00A0632A"/>
    <w:rsid w:val="00A07BE1"/>
    <w:rsid w:val="00A07C05"/>
    <w:rsid w:val="00A10DFA"/>
    <w:rsid w:val="00A1212C"/>
    <w:rsid w:val="00A126D0"/>
    <w:rsid w:val="00A12B74"/>
    <w:rsid w:val="00A1316A"/>
    <w:rsid w:val="00A13A96"/>
    <w:rsid w:val="00A13BCF"/>
    <w:rsid w:val="00A13D8B"/>
    <w:rsid w:val="00A14746"/>
    <w:rsid w:val="00A15063"/>
    <w:rsid w:val="00A1540D"/>
    <w:rsid w:val="00A16A7E"/>
    <w:rsid w:val="00A17144"/>
    <w:rsid w:val="00A20DF8"/>
    <w:rsid w:val="00A210C2"/>
    <w:rsid w:val="00A221EC"/>
    <w:rsid w:val="00A228D4"/>
    <w:rsid w:val="00A2316E"/>
    <w:rsid w:val="00A24F36"/>
    <w:rsid w:val="00A25704"/>
    <w:rsid w:val="00A263D1"/>
    <w:rsid w:val="00A27967"/>
    <w:rsid w:val="00A30841"/>
    <w:rsid w:val="00A31089"/>
    <w:rsid w:val="00A312B8"/>
    <w:rsid w:val="00A3169C"/>
    <w:rsid w:val="00A31B0F"/>
    <w:rsid w:val="00A33A10"/>
    <w:rsid w:val="00A34620"/>
    <w:rsid w:val="00A34982"/>
    <w:rsid w:val="00A34C0C"/>
    <w:rsid w:val="00A35D17"/>
    <w:rsid w:val="00A35E30"/>
    <w:rsid w:val="00A360AE"/>
    <w:rsid w:val="00A36D7A"/>
    <w:rsid w:val="00A36EEE"/>
    <w:rsid w:val="00A3710A"/>
    <w:rsid w:val="00A3771C"/>
    <w:rsid w:val="00A37767"/>
    <w:rsid w:val="00A40419"/>
    <w:rsid w:val="00A407F8"/>
    <w:rsid w:val="00A42264"/>
    <w:rsid w:val="00A4369B"/>
    <w:rsid w:val="00A4423C"/>
    <w:rsid w:val="00A446E0"/>
    <w:rsid w:val="00A447A7"/>
    <w:rsid w:val="00A44BCC"/>
    <w:rsid w:val="00A44C3A"/>
    <w:rsid w:val="00A4660C"/>
    <w:rsid w:val="00A4661F"/>
    <w:rsid w:val="00A4689F"/>
    <w:rsid w:val="00A47775"/>
    <w:rsid w:val="00A50267"/>
    <w:rsid w:val="00A51416"/>
    <w:rsid w:val="00A52B21"/>
    <w:rsid w:val="00A52B8B"/>
    <w:rsid w:val="00A52F61"/>
    <w:rsid w:val="00A53646"/>
    <w:rsid w:val="00A540DD"/>
    <w:rsid w:val="00A55D74"/>
    <w:rsid w:val="00A55F81"/>
    <w:rsid w:val="00A56132"/>
    <w:rsid w:val="00A564BD"/>
    <w:rsid w:val="00A5681B"/>
    <w:rsid w:val="00A5783C"/>
    <w:rsid w:val="00A60DC2"/>
    <w:rsid w:val="00A6120E"/>
    <w:rsid w:val="00A62655"/>
    <w:rsid w:val="00A626C9"/>
    <w:rsid w:val="00A62E6B"/>
    <w:rsid w:val="00A6303C"/>
    <w:rsid w:val="00A6314E"/>
    <w:rsid w:val="00A633F5"/>
    <w:rsid w:val="00A63CA4"/>
    <w:rsid w:val="00A641A5"/>
    <w:rsid w:val="00A64597"/>
    <w:rsid w:val="00A6475E"/>
    <w:rsid w:val="00A647BB"/>
    <w:rsid w:val="00A64A22"/>
    <w:rsid w:val="00A64CA0"/>
    <w:rsid w:val="00A64E17"/>
    <w:rsid w:val="00A64E90"/>
    <w:rsid w:val="00A64FF8"/>
    <w:rsid w:val="00A65047"/>
    <w:rsid w:val="00A65702"/>
    <w:rsid w:val="00A673E9"/>
    <w:rsid w:val="00A703E1"/>
    <w:rsid w:val="00A70F22"/>
    <w:rsid w:val="00A70F87"/>
    <w:rsid w:val="00A71358"/>
    <w:rsid w:val="00A72294"/>
    <w:rsid w:val="00A72C53"/>
    <w:rsid w:val="00A73853"/>
    <w:rsid w:val="00A73C08"/>
    <w:rsid w:val="00A7470D"/>
    <w:rsid w:val="00A74EC1"/>
    <w:rsid w:val="00A7503F"/>
    <w:rsid w:val="00A756A9"/>
    <w:rsid w:val="00A75D24"/>
    <w:rsid w:val="00A77978"/>
    <w:rsid w:val="00A80257"/>
    <w:rsid w:val="00A80380"/>
    <w:rsid w:val="00A8061A"/>
    <w:rsid w:val="00A808AC"/>
    <w:rsid w:val="00A814F7"/>
    <w:rsid w:val="00A816C8"/>
    <w:rsid w:val="00A82929"/>
    <w:rsid w:val="00A84A73"/>
    <w:rsid w:val="00A8653E"/>
    <w:rsid w:val="00A8754B"/>
    <w:rsid w:val="00A91E7F"/>
    <w:rsid w:val="00A92AA4"/>
    <w:rsid w:val="00A92E24"/>
    <w:rsid w:val="00A93F80"/>
    <w:rsid w:val="00A9493D"/>
    <w:rsid w:val="00A94C88"/>
    <w:rsid w:val="00A95E97"/>
    <w:rsid w:val="00A95EF7"/>
    <w:rsid w:val="00A95FF1"/>
    <w:rsid w:val="00A972F1"/>
    <w:rsid w:val="00A97731"/>
    <w:rsid w:val="00A97743"/>
    <w:rsid w:val="00A97BA7"/>
    <w:rsid w:val="00AA28B5"/>
    <w:rsid w:val="00AA31BB"/>
    <w:rsid w:val="00AA4998"/>
    <w:rsid w:val="00AA63C9"/>
    <w:rsid w:val="00AA652A"/>
    <w:rsid w:val="00AA71CE"/>
    <w:rsid w:val="00AB009B"/>
    <w:rsid w:val="00AB0E9E"/>
    <w:rsid w:val="00AB1075"/>
    <w:rsid w:val="00AB236B"/>
    <w:rsid w:val="00AB2F8C"/>
    <w:rsid w:val="00AB313F"/>
    <w:rsid w:val="00AB3C33"/>
    <w:rsid w:val="00AB47C5"/>
    <w:rsid w:val="00AB5624"/>
    <w:rsid w:val="00AB6091"/>
    <w:rsid w:val="00AB6BDF"/>
    <w:rsid w:val="00AB6CA2"/>
    <w:rsid w:val="00AB778E"/>
    <w:rsid w:val="00AC062E"/>
    <w:rsid w:val="00AC2E3B"/>
    <w:rsid w:val="00AC3041"/>
    <w:rsid w:val="00AC40B0"/>
    <w:rsid w:val="00AC4391"/>
    <w:rsid w:val="00AC4BC1"/>
    <w:rsid w:val="00AC5142"/>
    <w:rsid w:val="00AC59E5"/>
    <w:rsid w:val="00AC661A"/>
    <w:rsid w:val="00AC6A8B"/>
    <w:rsid w:val="00AC7366"/>
    <w:rsid w:val="00AC7861"/>
    <w:rsid w:val="00AD000E"/>
    <w:rsid w:val="00AD0C85"/>
    <w:rsid w:val="00AD1809"/>
    <w:rsid w:val="00AD20B2"/>
    <w:rsid w:val="00AD2374"/>
    <w:rsid w:val="00AD2A5D"/>
    <w:rsid w:val="00AD2C93"/>
    <w:rsid w:val="00AD62F6"/>
    <w:rsid w:val="00AD69F9"/>
    <w:rsid w:val="00AE2B1D"/>
    <w:rsid w:val="00AE2C83"/>
    <w:rsid w:val="00AE3C87"/>
    <w:rsid w:val="00AE4CAA"/>
    <w:rsid w:val="00AE52E2"/>
    <w:rsid w:val="00AE5E1B"/>
    <w:rsid w:val="00AE5E9A"/>
    <w:rsid w:val="00AE61DF"/>
    <w:rsid w:val="00AE6744"/>
    <w:rsid w:val="00AE7206"/>
    <w:rsid w:val="00AE739C"/>
    <w:rsid w:val="00AE7816"/>
    <w:rsid w:val="00AE7A8B"/>
    <w:rsid w:val="00AE7F3D"/>
    <w:rsid w:val="00AE7FD6"/>
    <w:rsid w:val="00AF2D2E"/>
    <w:rsid w:val="00AF3005"/>
    <w:rsid w:val="00AF3256"/>
    <w:rsid w:val="00AF475B"/>
    <w:rsid w:val="00AF49E2"/>
    <w:rsid w:val="00AF4DC4"/>
    <w:rsid w:val="00AF7DF1"/>
    <w:rsid w:val="00B01218"/>
    <w:rsid w:val="00B01905"/>
    <w:rsid w:val="00B02FBA"/>
    <w:rsid w:val="00B032C6"/>
    <w:rsid w:val="00B048E0"/>
    <w:rsid w:val="00B04F23"/>
    <w:rsid w:val="00B05609"/>
    <w:rsid w:val="00B05D72"/>
    <w:rsid w:val="00B11097"/>
    <w:rsid w:val="00B116AB"/>
    <w:rsid w:val="00B11F7B"/>
    <w:rsid w:val="00B12441"/>
    <w:rsid w:val="00B129E5"/>
    <w:rsid w:val="00B13A1A"/>
    <w:rsid w:val="00B140AC"/>
    <w:rsid w:val="00B1458F"/>
    <w:rsid w:val="00B14C3F"/>
    <w:rsid w:val="00B14C52"/>
    <w:rsid w:val="00B15148"/>
    <w:rsid w:val="00B16DC9"/>
    <w:rsid w:val="00B17752"/>
    <w:rsid w:val="00B21808"/>
    <w:rsid w:val="00B222C4"/>
    <w:rsid w:val="00B237AF"/>
    <w:rsid w:val="00B24254"/>
    <w:rsid w:val="00B24D62"/>
    <w:rsid w:val="00B256F0"/>
    <w:rsid w:val="00B257CB"/>
    <w:rsid w:val="00B26AD4"/>
    <w:rsid w:val="00B27B97"/>
    <w:rsid w:val="00B3018F"/>
    <w:rsid w:val="00B324C0"/>
    <w:rsid w:val="00B3281F"/>
    <w:rsid w:val="00B32CBE"/>
    <w:rsid w:val="00B32D31"/>
    <w:rsid w:val="00B3317A"/>
    <w:rsid w:val="00B3367A"/>
    <w:rsid w:val="00B3444D"/>
    <w:rsid w:val="00B345D5"/>
    <w:rsid w:val="00B34E3D"/>
    <w:rsid w:val="00B34FF7"/>
    <w:rsid w:val="00B36100"/>
    <w:rsid w:val="00B371DB"/>
    <w:rsid w:val="00B37CAB"/>
    <w:rsid w:val="00B37D71"/>
    <w:rsid w:val="00B40683"/>
    <w:rsid w:val="00B40E32"/>
    <w:rsid w:val="00B41D6B"/>
    <w:rsid w:val="00B44919"/>
    <w:rsid w:val="00B458AF"/>
    <w:rsid w:val="00B472DB"/>
    <w:rsid w:val="00B47A85"/>
    <w:rsid w:val="00B47B41"/>
    <w:rsid w:val="00B47B92"/>
    <w:rsid w:val="00B50CE2"/>
    <w:rsid w:val="00B51186"/>
    <w:rsid w:val="00B5131B"/>
    <w:rsid w:val="00B51777"/>
    <w:rsid w:val="00B52961"/>
    <w:rsid w:val="00B54094"/>
    <w:rsid w:val="00B5450C"/>
    <w:rsid w:val="00B54CC7"/>
    <w:rsid w:val="00B55431"/>
    <w:rsid w:val="00B55892"/>
    <w:rsid w:val="00B561BF"/>
    <w:rsid w:val="00B5664D"/>
    <w:rsid w:val="00B568B6"/>
    <w:rsid w:val="00B57305"/>
    <w:rsid w:val="00B577B7"/>
    <w:rsid w:val="00B60563"/>
    <w:rsid w:val="00B6357A"/>
    <w:rsid w:val="00B63AC9"/>
    <w:rsid w:val="00B63CBF"/>
    <w:rsid w:val="00B63F84"/>
    <w:rsid w:val="00B63FC0"/>
    <w:rsid w:val="00B64FFC"/>
    <w:rsid w:val="00B651EC"/>
    <w:rsid w:val="00B65513"/>
    <w:rsid w:val="00B65D6F"/>
    <w:rsid w:val="00B66EAC"/>
    <w:rsid w:val="00B67381"/>
    <w:rsid w:val="00B67850"/>
    <w:rsid w:val="00B67F47"/>
    <w:rsid w:val="00B70A4C"/>
    <w:rsid w:val="00B70E91"/>
    <w:rsid w:val="00B71A4E"/>
    <w:rsid w:val="00B72AC2"/>
    <w:rsid w:val="00B73BA4"/>
    <w:rsid w:val="00B73CD6"/>
    <w:rsid w:val="00B770C2"/>
    <w:rsid w:val="00B77104"/>
    <w:rsid w:val="00B772AE"/>
    <w:rsid w:val="00B773F9"/>
    <w:rsid w:val="00B77C16"/>
    <w:rsid w:val="00B800C6"/>
    <w:rsid w:val="00B81566"/>
    <w:rsid w:val="00B81C27"/>
    <w:rsid w:val="00B82E36"/>
    <w:rsid w:val="00B83CD1"/>
    <w:rsid w:val="00B8479E"/>
    <w:rsid w:val="00B855BA"/>
    <w:rsid w:val="00B85A99"/>
    <w:rsid w:val="00B86279"/>
    <w:rsid w:val="00B86516"/>
    <w:rsid w:val="00B8679B"/>
    <w:rsid w:val="00B877F6"/>
    <w:rsid w:val="00B87D9C"/>
    <w:rsid w:val="00B92086"/>
    <w:rsid w:val="00B920CB"/>
    <w:rsid w:val="00B93D5C"/>
    <w:rsid w:val="00B93E7D"/>
    <w:rsid w:val="00B94653"/>
    <w:rsid w:val="00B954B6"/>
    <w:rsid w:val="00B957E7"/>
    <w:rsid w:val="00B95EB5"/>
    <w:rsid w:val="00B96202"/>
    <w:rsid w:val="00B966AF"/>
    <w:rsid w:val="00B97061"/>
    <w:rsid w:val="00BA08C2"/>
    <w:rsid w:val="00BA0E34"/>
    <w:rsid w:val="00BA1508"/>
    <w:rsid w:val="00BA1B48"/>
    <w:rsid w:val="00BA1E65"/>
    <w:rsid w:val="00BA28A2"/>
    <w:rsid w:val="00BA2D13"/>
    <w:rsid w:val="00BA2E02"/>
    <w:rsid w:val="00BA36B4"/>
    <w:rsid w:val="00BA4FAD"/>
    <w:rsid w:val="00BA5094"/>
    <w:rsid w:val="00BA54DB"/>
    <w:rsid w:val="00BA5A13"/>
    <w:rsid w:val="00BA5EB9"/>
    <w:rsid w:val="00BA6D4D"/>
    <w:rsid w:val="00BA6FC1"/>
    <w:rsid w:val="00BA73C9"/>
    <w:rsid w:val="00BA7467"/>
    <w:rsid w:val="00BB0B54"/>
    <w:rsid w:val="00BB1E2D"/>
    <w:rsid w:val="00BB382D"/>
    <w:rsid w:val="00BB41BB"/>
    <w:rsid w:val="00BB50DB"/>
    <w:rsid w:val="00BB5897"/>
    <w:rsid w:val="00BC09B8"/>
    <w:rsid w:val="00BC0A1D"/>
    <w:rsid w:val="00BC0C78"/>
    <w:rsid w:val="00BC0C9B"/>
    <w:rsid w:val="00BC2034"/>
    <w:rsid w:val="00BC241D"/>
    <w:rsid w:val="00BC2C27"/>
    <w:rsid w:val="00BC31C1"/>
    <w:rsid w:val="00BC4647"/>
    <w:rsid w:val="00BC48DE"/>
    <w:rsid w:val="00BC4E35"/>
    <w:rsid w:val="00BC5146"/>
    <w:rsid w:val="00BC5E68"/>
    <w:rsid w:val="00BC613F"/>
    <w:rsid w:val="00BC6492"/>
    <w:rsid w:val="00BC6B5C"/>
    <w:rsid w:val="00BD0006"/>
    <w:rsid w:val="00BD075A"/>
    <w:rsid w:val="00BD3076"/>
    <w:rsid w:val="00BD4558"/>
    <w:rsid w:val="00BD5B64"/>
    <w:rsid w:val="00BD7D6F"/>
    <w:rsid w:val="00BD7DE0"/>
    <w:rsid w:val="00BE0127"/>
    <w:rsid w:val="00BE06D3"/>
    <w:rsid w:val="00BE110C"/>
    <w:rsid w:val="00BE11F3"/>
    <w:rsid w:val="00BE196D"/>
    <w:rsid w:val="00BE2733"/>
    <w:rsid w:val="00BE3B52"/>
    <w:rsid w:val="00BE45A8"/>
    <w:rsid w:val="00BE57BB"/>
    <w:rsid w:val="00BE605C"/>
    <w:rsid w:val="00BE6100"/>
    <w:rsid w:val="00BE6234"/>
    <w:rsid w:val="00BE7366"/>
    <w:rsid w:val="00BE7DF0"/>
    <w:rsid w:val="00BF05C3"/>
    <w:rsid w:val="00BF0E85"/>
    <w:rsid w:val="00BF3207"/>
    <w:rsid w:val="00BF4A0D"/>
    <w:rsid w:val="00BF56BA"/>
    <w:rsid w:val="00BF57E5"/>
    <w:rsid w:val="00BF5C6E"/>
    <w:rsid w:val="00BF5EC6"/>
    <w:rsid w:val="00BF6186"/>
    <w:rsid w:val="00BF62F5"/>
    <w:rsid w:val="00BF65F7"/>
    <w:rsid w:val="00BF6A90"/>
    <w:rsid w:val="00BF720C"/>
    <w:rsid w:val="00BF7A82"/>
    <w:rsid w:val="00C00B58"/>
    <w:rsid w:val="00C013F0"/>
    <w:rsid w:val="00C01C45"/>
    <w:rsid w:val="00C01DF5"/>
    <w:rsid w:val="00C01FDE"/>
    <w:rsid w:val="00C0231B"/>
    <w:rsid w:val="00C02C1B"/>
    <w:rsid w:val="00C03CEC"/>
    <w:rsid w:val="00C04A08"/>
    <w:rsid w:val="00C05880"/>
    <w:rsid w:val="00C063F1"/>
    <w:rsid w:val="00C06430"/>
    <w:rsid w:val="00C07084"/>
    <w:rsid w:val="00C0791F"/>
    <w:rsid w:val="00C1210B"/>
    <w:rsid w:val="00C12193"/>
    <w:rsid w:val="00C12236"/>
    <w:rsid w:val="00C12E41"/>
    <w:rsid w:val="00C14DCC"/>
    <w:rsid w:val="00C15B14"/>
    <w:rsid w:val="00C15CFC"/>
    <w:rsid w:val="00C1607F"/>
    <w:rsid w:val="00C20946"/>
    <w:rsid w:val="00C21DAE"/>
    <w:rsid w:val="00C221F0"/>
    <w:rsid w:val="00C225AB"/>
    <w:rsid w:val="00C23670"/>
    <w:rsid w:val="00C23CB0"/>
    <w:rsid w:val="00C24012"/>
    <w:rsid w:val="00C24CF3"/>
    <w:rsid w:val="00C24E86"/>
    <w:rsid w:val="00C25D11"/>
    <w:rsid w:val="00C26A45"/>
    <w:rsid w:val="00C27325"/>
    <w:rsid w:val="00C27E30"/>
    <w:rsid w:val="00C30207"/>
    <w:rsid w:val="00C30E19"/>
    <w:rsid w:val="00C32188"/>
    <w:rsid w:val="00C32423"/>
    <w:rsid w:val="00C34DC6"/>
    <w:rsid w:val="00C37466"/>
    <w:rsid w:val="00C400AF"/>
    <w:rsid w:val="00C40EF8"/>
    <w:rsid w:val="00C42594"/>
    <w:rsid w:val="00C4291C"/>
    <w:rsid w:val="00C42C1F"/>
    <w:rsid w:val="00C43304"/>
    <w:rsid w:val="00C45595"/>
    <w:rsid w:val="00C46ED5"/>
    <w:rsid w:val="00C47004"/>
    <w:rsid w:val="00C4736F"/>
    <w:rsid w:val="00C477C7"/>
    <w:rsid w:val="00C479F4"/>
    <w:rsid w:val="00C47AED"/>
    <w:rsid w:val="00C50DD5"/>
    <w:rsid w:val="00C51714"/>
    <w:rsid w:val="00C521E5"/>
    <w:rsid w:val="00C52EB9"/>
    <w:rsid w:val="00C53624"/>
    <w:rsid w:val="00C536C6"/>
    <w:rsid w:val="00C5417C"/>
    <w:rsid w:val="00C542E6"/>
    <w:rsid w:val="00C54E84"/>
    <w:rsid w:val="00C55D0D"/>
    <w:rsid w:val="00C56877"/>
    <w:rsid w:val="00C56CBC"/>
    <w:rsid w:val="00C60121"/>
    <w:rsid w:val="00C60542"/>
    <w:rsid w:val="00C63012"/>
    <w:rsid w:val="00C63907"/>
    <w:rsid w:val="00C647B2"/>
    <w:rsid w:val="00C653F0"/>
    <w:rsid w:val="00C665CE"/>
    <w:rsid w:val="00C7143D"/>
    <w:rsid w:val="00C7146F"/>
    <w:rsid w:val="00C720F8"/>
    <w:rsid w:val="00C72C14"/>
    <w:rsid w:val="00C73E15"/>
    <w:rsid w:val="00C73ED9"/>
    <w:rsid w:val="00C74456"/>
    <w:rsid w:val="00C7560B"/>
    <w:rsid w:val="00C76500"/>
    <w:rsid w:val="00C76584"/>
    <w:rsid w:val="00C76C79"/>
    <w:rsid w:val="00C76EF5"/>
    <w:rsid w:val="00C80969"/>
    <w:rsid w:val="00C80F3C"/>
    <w:rsid w:val="00C82114"/>
    <w:rsid w:val="00C821D3"/>
    <w:rsid w:val="00C82264"/>
    <w:rsid w:val="00C8237C"/>
    <w:rsid w:val="00C8266C"/>
    <w:rsid w:val="00C82AFF"/>
    <w:rsid w:val="00C83A09"/>
    <w:rsid w:val="00C83A6E"/>
    <w:rsid w:val="00C83B46"/>
    <w:rsid w:val="00C83BB1"/>
    <w:rsid w:val="00C84AE1"/>
    <w:rsid w:val="00C86444"/>
    <w:rsid w:val="00C86FE1"/>
    <w:rsid w:val="00C87904"/>
    <w:rsid w:val="00C9012B"/>
    <w:rsid w:val="00C9031B"/>
    <w:rsid w:val="00C9034F"/>
    <w:rsid w:val="00C904EF"/>
    <w:rsid w:val="00C9055D"/>
    <w:rsid w:val="00C90C11"/>
    <w:rsid w:val="00C92C16"/>
    <w:rsid w:val="00C93395"/>
    <w:rsid w:val="00C9350C"/>
    <w:rsid w:val="00C93B4B"/>
    <w:rsid w:val="00C93F9B"/>
    <w:rsid w:val="00C944EE"/>
    <w:rsid w:val="00C94C7D"/>
    <w:rsid w:val="00C94ED6"/>
    <w:rsid w:val="00C96228"/>
    <w:rsid w:val="00C96660"/>
    <w:rsid w:val="00C967BD"/>
    <w:rsid w:val="00C96B31"/>
    <w:rsid w:val="00C96F45"/>
    <w:rsid w:val="00C9735A"/>
    <w:rsid w:val="00CA0785"/>
    <w:rsid w:val="00CA122E"/>
    <w:rsid w:val="00CA156D"/>
    <w:rsid w:val="00CA2B17"/>
    <w:rsid w:val="00CA318D"/>
    <w:rsid w:val="00CA4080"/>
    <w:rsid w:val="00CA4564"/>
    <w:rsid w:val="00CA6A76"/>
    <w:rsid w:val="00CA6B1C"/>
    <w:rsid w:val="00CA7513"/>
    <w:rsid w:val="00CA76BB"/>
    <w:rsid w:val="00CB20AD"/>
    <w:rsid w:val="00CB21FE"/>
    <w:rsid w:val="00CB30A9"/>
    <w:rsid w:val="00CB317F"/>
    <w:rsid w:val="00CB4278"/>
    <w:rsid w:val="00CB4B96"/>
    <w:rsid w:val="00CB5119"/>
    <w:rsid w:val="00CB5301"/>
    <w:rsid w:val="00CB5FFB"/>
    <w:rsid w:val="00CB748A"/>
    <w:rsid w:val="00CB777B"/>
    <w:rsid w:val="00CB7D51"/>
    <w:rsid w:val="00CC0C4E"/>
    <w:rsid w:val="00CC11B3"/>
    <w:rsid w:val="00CC12A9"/>
    <w:rsid w:val="00CC1478"/>
    <w:rsid w:val="00CC23E2"/>
    <w:rsid w:val="00CC26E5"/>
    <w:rsid w:val="00CC3EE3"/>
    <w:rsid w:val="00CC44A2"/>
    <w:rsid w:val="00CC4762"/>
    <w:rsid w:val="00CC4A41"/>
    <w:rsid w:val="00CC5080"/>
    <w:rsid w:val="00CC5284"/>
    <w:rsid w:val="00CC55CE"/>
    <w:rsid w:val="00CC6F0E"/>
    <w:rsid w:val="00CC7869"/>
    <w:rsid w:val="00CC7D8B"/>
    <w:rsid w:val="00CC7F66"/>
    <w:rsid w:val="00CD0925"/>
    <w:rsid w:val="00CD2007"/>
    <w:rsid w:val="00CD21D8"/>
    <w:rsid w:val="00CD267B"/>
    <w:rsid w:val="00CD43F8"/>
    <w:rsid w:val="00CD49CF"/>
    <w:rsid w:val="00CD4D38"/>
    <w:rsid w:val="00CD68DF"/>
    <w:rsid w:val="00CD68E6"/>
    <w:rsid w:val="00CE06C7"/>
    <w:rsid w:val="00CE09C1"/>
    <w:rsid w:val="00CE19FE"/>
    <w:rsid w:val="00CE2949"/>
    <w:rsid w:val="00CE3289"/>
    <w:rsid w:val="00CE372E"/>
    <w:rsid w:val="00CE4FBC"/>
    <w:rsid w:val="00CE5C43"/>
    <w:rsid w:val="00CE654C"/>
    <w:rsid w:val="00CE72C9"/>
    <w:rsid w:val="00CE7648"/>
    <w:rsid w:val="00CE7D95"/>
    <w:rsid w:val="00CF0954"/>
    <w:rsid w:val="00CF0CC7"/>
    <w:rsid w:val="00CF144E"/>
    <w:rsid w:val="00CF191C"/>
    <w:rsid w:val="00CF1A88"/>
    <w:rsid w:val="00CF3826"/>
    <w:rsid w:val="00CF3A4E"/>
    <w:rsid w:val="00CF44ED"/>
    <w:rsid w:val="00CF519A"/>
    <w:rsid w:val="00CF54A3"/>
    <w:rsid w:val="00CF55A8"/>
    <w:rsid w:val="00CF6685"/>
    <w:rsid w:val="00CF6693"/>
    <w:rsid w:val="00CF6FFA"/>
    <w:rsid w:val="00CF74DE"/>
    <w:rsid w:val="00D00C87"/>
    <w:rsid w:val="00D00D90"/>
    <w:rsid w:val="00D01005"/>
    <w:rsid w:val="00D01561"/>
    <w:rsid w:val="00D016E1"/>
    <w:rsid w:val="00D018AE"/>
    <w:rsid w:val="00D02ADB"/>
    <w:rsid w:val="00D02BAC"/>
    <w:rsid w:val="00D04350"/>
    <w:rsid w:val="00D04710"/>
    <w:rsid w:val="00D059A0"/>
    <w:rsid w:val="00D05C0E"/>
    <w:rsid w:val="00D066E1"/>
    <w:rsid w:val="00D06B2E"/>
    <w:rsid w:val="00D07283"/>
    <w:rsid w:val="00D07A71"/>
    <w:rsid w:val="00D07C12"/>
    <w:rsid w:val="00D1097E"/>
    <w:rsid w:val="00D11AA6"/>
    <w:rsid w:val="00D1265A"/>
    <w:rsid w:val="00D1285B"/>
    <w:rsid w:val="00D12A23"/>
    <w:rsid w:val="00D12CDA"/>
    <w:rsid w:val="00D131E1"/>
    <w:rsid w:val="00D13422"/>
    <w:rsid w:val="00D136C9"/>
    <w:rsid w:val="00D152A4"/>
    <w:rsid w:val="00D15841"/>
    <w:rsid w:val="00D16083"/>
    <w:rsid w:val="00D16321"/>
    <w:rsid w:val="00D165CC"/>
    <w:rsid w:val="00D1661E"/>
    <w:rsid w:val="00D16FBD"/>
    <w:rsid w:val="00D172C0"/>
    <w:rsid w:val="00D17446"/>
    <w:rsid w:val="00D17C5B"/>
    <w:rsid w:val="00D2002F"/>
    <w:rsid w:val="00D205BF"/>
    <w:rsid w:val="00D20D27"/>
    <w:rsid w:val="00D214CC"/>
    <w:rsid w:val="00D2199A"/>
    <w:rsid w:val="00D22CBD"/>
    <w:rsid w:val="00D2688C"/>
    <w:rsid w:val="00D27C12"/>
    <w:rsid w:val="00D305E4"/>
    <w:rsid w:val="00D31064"/>
    <w:rsid w:val="00D31473"/>
    <w:rsid w:val="00D322DF"/>
    <w:rsid w:val="00D32931"/>
    <w:rsid w:val="00D32B55"/>
    <w:rsid w:val="00D332E5"/>
    <w:rsid w:val="00D34564"/>
    <w:rsid w:val="00D35FEA"/>
    <w:rsid w:val="00D36682"/>
    <w:rsid w:val="00D37D29"/>
    <w:rsid w:val="00D4114E"/>
    <w:rsid w:val="00D419E1"/>
    <w:rsid w:val="00D41A54"/>
    <w:rsid w:val="00D41D66"/>
    <w:rsid w:val="00D42CF3"/>
    <w:rsid w:val="00D434BD"/>
    <w:rsid w:val="00D43FCA"/>
    <w:rsid w:val="00D45109"/>
    <w:rsid w:val="00D4578B"/>
    <w:rsid w:val="00D4606C"/>
    <w:rsid w:val="00D461A5"/>
    <w:rsid w:val="00D46379"/>
    <w:rsid w:val="00D468D8"/>
    <w:rsid w:val="00D47584"/>
    <w:rsid w:val="00D47894"/>
    <w:rsid w:val="00D47970"/>
    <w:rsid w:val="00D504A6"/>
    <w:rsid w:val="00D50D9F"/>
    <w:rsid w:val="00D5103D"/>
    <w:rsid w:val="00D51D74"/>
    <w:rsid w:val="00D51FFC"/>
    <w:rsid w:val="00D5266D"/>
    <w:rsid w:val="00D532CB"/>
    <w:rsid w:val="00D538B4"/>
    <w:rsid w:val="00D54102"/>
    <w:rsid w:val="00D54FFE"/>
    <w:rsid w:val="00D550F6"/>
    <w:rsid w:val="00D555F9"/>
    <w:rsid w:val="00D57B29"/>
    <w:rsid w:val="00D60B2C"/>
    <w:rsid w:val="00D61688"/>
    <w:rsid w:val="00D61826"/>
    <w:rsid w:val="00D61B2D"/>
    <w:rsid w:val="00D620DB"/>
    <w:rsid w:val="00D6224E"/>
    <w:rsid w:val="00D629C5"/>
    <w:rsid w:val="00D62A95"/>
    <w:rsid w:val="00D63793"/>
    <w:rsid w:val="00D64DA8"/>
    <w:rsid w:val="00D65E0E"/>
    <w:rsid w:val="00D65F39"/>
    <w:rsid w:val="00D67374"/>
    <w:rsid w:val="00D678BC"/>
    <w:rsid w:val="00D702EC"/>
    <w:rsid w:val="00D704F9"/>
    <w:rsid w:val="00D70D3D"/>
    <w:rsid w:val="00D71428"/>
    <w:rsid w:val="00D715C1"/>
    <w:rsid w:val="00D71C17"/>
    <w:rsid w:val="00D72020"/>
    <w:rsid w:val="00D72EBD"/>
    <w:rsid w:val="00D7374E"/>
    <w:rsid w:val="00D7402E"/>
    <w:rsid w:val="00D7414D"/>
    <w:rsid w:val="00D74431"/>
    <w:rsid w:val="00D74CA8"/>
    <w:rsid w:val="00D75BAB"/>
    <w:rsid w:val="00D76AAD"/>
    <w:rsid w:val="00D76B21"/>
    <w:rsid w:val="00D76C20"/>
    <w:rsid w:val="00D805AE"/>
    <w:rsid w:val="00D83FAF"/>
    <w:rsid w:val="00D84921"/>
    <w:rsid w:val="00D8497D"/>
    <w:rsid w:val="00D86D94"/>
    <w:rsid w:val="00D872CF"/>
    <w:rsid w:val="00D8769C"/>
    <w:rsid w:val="00D902AD"/>
    <w:rsid w:val="00D906F1"/>
    <w:rsid w:val="00D90899"/>
    <w:rsid w:val="00D90E1E"/>
    <w:rsid w:val="00D90FF1"/>
    <w:rsid w:val="00D929B5"/>
    <w:rsid w:val="00D92C6A"/>
    <w:rsid w:val="00D93681"/>
    <w:rsid w:val="00D93885"/>
    <w:rsid w:val="00D939CD"/>
    <w:rsid w:val="00D94059"/>
    <w:rsid w:val="00D94828"/>
    <w:rsid w:val="00D95E44"/>
    <w:rsid w:val="00D96315"/>
    <w:rsid w:val="00D96452"/>
    <w:rsid w:val="00D974A2"/>
    <w:rsid w:val="00D9796A"/>
    <w:rsid w:val="00D97CD2"/>
    <w:rsid w:val="00DA1455"/>
    <w:rsid w:val="00DA169C"/>
    <w:rsid w:val="00DA4722"/>
    <w:rsid w:val="00DA5207"/>
    <w:rsid w:val="00DA5842"/>
    <w:rsid w:val="00DA6566"/>
    <w:rsid w:val="00DA797B"/>
    <w:rsid w:val="00DA7AB0"/>
    <w:rsid w:val="00DA7B31"/>
    <w:rsid w:val="00DA7FE0"/>
    <w:rsid w:val="00DB0E0A"/>
    <w:rsid w:val="00DB0FBB"/>
    <w:rsid w:val="00DB14FE"/>
    <w:rsid w:val="00DB17E1"/>
    <w:rsid w:val="00DB1877"/>
    <w:rsid w:val="00DB1911"/>
    <w:rsid w:val="00DB1E23"/>
    <w:rsid w:val="00DB47F1"/>
    <w:rsid w:val="00DB59ED"/>
    <w:rsid w:val="00DB7EB8"/>
    <w:rsid w:val="00DC1077"/>
    <w:rsid w:val="00DC117C"/>
    <w:rsid w:val="00DC18DA"/>
    <w:rsid w:val="00DC19CF"/>
    <w:rsid w:val="00DC1A85"/>
    <w:rsid w:val="00DC1DC7"/>
    <w:rsid w:val="00DC2015"/>
    <w:rsid w:val="00DC2071"/>
    <w:rsid w:val="00DC4941"/>
    <w:rsid w:val="00DC4CAC"/>
    <w:rsid w:val="00DC5205"/>
    <w:rsid w:val="00DC544A"/>
    <w:rsid w:val="00DC6E76"/>
    <w:rsid w:val="00DC6EAB"/>
    <w:rsid w:val="00DD0185"/>
    <w:rsid w:val="00DD027E"/>
    <w:rsid w:val="00DD1A24"/>
    <w:rsid w:val="00DD3294"/>
    <w:rsid w:val="00DD32F3"/>
    <w:rsid w:val="00DD331C"/>
    <w:rsid w:val="00DD3930"/>
    <w:rsid w:val="00DD41B1"/>
    <w:rsid w:val="00DD567D"/>
    <w:rsid w:val="00DD5B0D"/>
    <w:rsid w:val="00DE040F"/>
    <w:rsid w:val="00DE181C"/>
    <w:rsid w:val="00DE2128"/>
    <w:rsid w:val="00DE2ABF"/>
    <w:rsid w:val="00DE4573"/>
    <w:rsid w:val="00DE4BB8"/>
    <w:rsid w:val="00DE4CA2"/>
    <w:rsid w:val="00DE5592"/>
    <w:rsid w:val="00DE564E"/>
    <w:rsid w:val="00DE5CA5"/>
    <w:rsid w:val="00DE759A"/>
    <w:rsid w:val="00DE7952"/>
    <w:rsid w:val="00DF102A"/>
    <w:rsid w:val="00DF293B"/>
    <w:rsid w:val="00DF2A18"/>
    <w:rsid w:val="00DF2D28"/>
    <w:rsid w:val="00DF3821"/>
    <w:rsid w:val="00DF3D8D"/>
    <w:rsid w:val="00DF5D9C"/>
    <w:rsid w:val="00DF5DD1"/>
    <w:rsid w:val="00DF653B"/>
    <w:rsid w:val="00DF6CD8"/>
    <w:rsid w:val="00E00087"/>
    <w:rsid w:val="00E00854"/>
    <w:rsid w:val="00E01BA8"/>
    <w:rsid w:val="00E023CE"/>
    <w:rsid w:val="00E0263A"/>
    <w:rsid w:val="00E03457"/>
    <w:rsid w:val="00E03F9A"/>
    <w:rsid w:val="00E04FB8"/>
    <w:rsid w:val="00E0556B"/>
    <w:rsid w:val="00E055A4"/>
    <w:rsid w:val="00E07AAA"/>
    <w:rsid w:val="00E104FE"/>
    <w:rsid w:val="00E1056E"/>
    <w:rsid w:val="00E118EA"/>
    <w:rsid w:val="00E11AC2"/>
    <w:rsid w:val="00E11F90"/>
    <w:rsid w:val="00E13461"/>
    <w:rsid w:val="00E1414D"/>
    <w:rsid w:val="00E14709"/>
    <w:rsid w:val="00E14B31"/>
    <w:rsid w:val="00E157A5"/>
    <w:rsid w:val="00E158CF"/>
    <w:rsid w:val="00E16CF3"/>
    <w:rsid w:val="00E16F2E"/>
    <w:rsid w:val="00E17A86"/>
    <w:rsid w:val="00E17B99"/>
    <w:rsid w:val="00E17DAD"/>
    <w:rsid w:val="00E2056B"/>
    <w:rsid w:val="00E218C5"/>
    <w:rsid w:val="00E21E0D"/>
    <w:rsid w:val="00E21EDE"/>
    <w:rsid w:val="00E2251B"/>
    <w:rsid w:val="00E2355E"/>
    <w:rsid w:val="00E2375C"/>
    <w:rsid w:val="00E23944"/>
    <w:rsid w:val="00E23C0C"/>
    <w:rsid w:val="00E242BA"/>
    <w:rsid w:val="00E24552"/>
    <w:rsid w:val="00E25284"/>
    <w:rsid w:val="00E257B3"/>
    <w:rsid w:val="00E25CD0"/>
    <w:rsid w:val="00E27090"/>
    <w:rsid w:val="00E30106"/>
    <w:rsid w:val="00E310EB"/>
    <w:rsid w:val="00E3232E"/>
    <w:rsid w:val="00E32821"/>
    <w:rsid w:val="00E33EB4"/>
    <w:rsid w:val="00E341EA"/>
    <w:rsid w:val="00E34CD7"/>
    <w:rsid w:val="00E3521B"/>
    <w:rsid w:val="00E35DE2"/>
    <w:rsid w:val="00E36E51"/>
    <w:rsid w:val="00E36ED7"/>
    <w:rsid w:val="00E37430"/>
    <w:rsid w:val="00E37B56"/>
    <w:rsid w:val="00E40125"/>
    <w:rsid w:val="00E40DCD"/>
    <w:rsid w:val="00E41194"/>
    <w:rsid w:val="00E413A1"/>
    <w:rsid w:val="00E41735"/>
    <w:rsid w:val="00E42564"/>
    <w:rsid w:val="00E43367"/>
    <w:rsid w:val="00E43FE8"/>
    <w:rsid w:val="00E44122"/>
    <w:rsid w:val="00E4435F"/>
    <w:rsid w:val="00E45206"/>
    <w:rsid w:val="00E45F37"/>
    <w:rsid w:val="00E477A3"/>
    <w:rsid w:val="00E47902"/>
    <w:rsid w:val="00E502A9"/>
    <w:rsid w:val="00E50BD2"/>
    <w:rsid w:val="00E517CA"/>
    <w:rsid w:val="00E51DBE"/>
    <w:rsid w:val="00E54C10"/>
    <w:rsid w:val="00E562B5"/>
    <w:rsid w:val="00E56FBC"/>
    <w:rsid w:val="00E60B37"/>
    <w:rsid w:val="00E60B44"/>
    <w:rsid w:val="00E61390"/>
    <w:rsid w:val="00E6158A"/>
    <w:rsid w:val="00E621D8"/>
    <w:rsid w:val="00E62310"/>
    <w:rsid w:val="00E62C74"/>
    <w:rsid w:val="00E63B04"/>
    <w:rsid w:val="00E71702"/>
    <w:rsid w:val="00E719E8"/>
    <w:rsid w:val="00E727B5"/>
    <w:rsid w:val="00E747BE"/>
    <w:rsid w:val="00E76F14"/>
    <w:rsid w:val="00E77870"/>
    <w:rsid w:val="00E81338"/>
    <w:rsid w:val="00E82FD8"/>
    <w:rsid w:val="00E83788"/>
    <w:rsid w:val="00E85296"/>
    <w:rsid w:val="00E858DA"/>
    <w:rsid w:val="00E86CD8"/>
    <w:rsid w:val="00E87608"/>
    <w:rsid w:val="00E8765C"/>
    <w:rsid w:val="00E87DDA"/>
    <w:rsid w:val="00E87F68"/>
    <w:rsid w:val="00E87FB9"/>
    <w:rsid w:val="00E91962"/>
    <w:rsid w:val="00E927FC"/>
    <w:rsid w:val="00E9365D"/>
    <w:rsid w:val="00E938C6"/>
    <w:rsid w:val="00E94FDA"/>
    <w:rsid w:val="00E955EA"/>
    <w:rsid w:val="00E9625A"/>
    <w:rsid w:val="00E97432"/>
    <w:rsid w:val="00E97505"/>
    <w:rsid w:val="00EA0F37"/>
    <w:rsid w:val="00EA1A6A"/>
    <w:rsid w:val="00EA242C"/>
    <w:rsid w:val="00EA3DA4"/>
    <w:rsid w:val="00EA4FDB"/>
    <w:rsid w:val="00EA65D1"/>
    <w:rsid w:val="00EA6DDA"/>
    <w:rsid w:val="00EB11FF"/>
    <w:rsid w:val="00EB1C26"/>
    <w:rsid w:val="00EB1F22"/>
    <w:rsid w:val="00EB2D23"/>
    <w:rsid w:val="00EB3861"/>
    <w:rsid w:val="00EB44D6"/>
    <w:rsid w:val="00EB5E56"/>
    <w:rsid w:val="00EB75C8"/>
    <w:rsid w:val="00EB79B0"/>
    <w:rsid w:val="00EC0799"/>
    <w:rsid w:val="00EC1AD7"/>
    <w:rsid w:val="00EC1B3B"/>
    <w:rsid w:val="00EC26A3"/>
    <w:rsid w:val="00EC2B23"/>
    <w:rsid w:val="00EC2DF8"/>
    <w:rsid w:val="00EC3371"/>
    <w:rsid w:val="00EC3641"/>
    <w:rsid w:val="00EC3660"/>
    <w:rsid w:val="00EC37C2"/>
    <w:rsid w:val="00EC5198"/>
    <w:rsid w:val="00EC74BE"/>
    <w:rsid w:val="00EC7896"/>
    <w:rsid w:val="00EC7B5C"/>
    <w:rsid w:val="00EC7C32"/>
    <w:rsid w:val="00EC7C5C"/>
    <w:rsid w:val="00ED0B4D"/>
    <w:rsid w:val="00ED11BA"/>
    <w:rsid w:val="00ED1288"/>
    <w:rsid w:val="00ED2702"/>
    <w:rsid w:val="00ED6A15"/>
    <w:rsid w:val="00ED794D"/>
    <w:rsid w:val="00ED79EB"/>
    <w:rsid w:val="00ED7E44"/>
    <w:rsid w:val="00ED7E65"/>
    <w:rsid w:val="00EE0C05"/>
    <w:rsid w:val="00EE13AA"/>
    <w:rsid w:val="00EE1DCB"/>
    <w:rsid w:val="00EE218E"/>
    <w:rsid w:val="00EE2545"/>
    <w:rsid w:val="00EE3005"/>
    <w:rsid w:val="00EE39DF"/>
    <w:rsid w:val="00EE406C"/>
    <w:rsid w:val="00EE434E"/>
    <w:rsid w:val="00EE4922"/>
    <w:rsid w:val="00EE4EDD"/>
    <w:rsid w:val="00EE6827"/>
    <w:rsid w:val="00EE7CCF"/>
    <w:rsid w:val="00EF01DA"/>
    <w:rsid w:val="00EF01FD"/>
    <w:rsid w:val="00EF1228"/>
    <w:rsid w:val="00EF1F42"/>
    <w:rsid w:val="00EF24E4"/>
    <w:rsid w:val="00EF48C1"/>
    <w:rsid w:val="00EF4EFB"/>
    <w:rsid w:val="00EF546A"/>
    <w:rsid w:val="00EF6544"/>
    <w:rsid w:val="00EF6CA1"/>
    <w:rsid w:val="00EF6F75"/>
    <w:rsid w:val="00EF72B3"/>
    <w:rsid w:val="00EF7C9C"/>
    <w:rsid w:val="00F013D4"/>
    <w:rsid w:val="00F023C9"/>
    <w:rsid w:val="00F0266C"/>
    <w:rsid w:val="00F02681"/>
    <w:rsid w:val="00F046F0"/>
    <w:rsid w:val="00F04A7F"/>
    <w:rsid w:val="00F04E72"/>
    <w:rsid w:val="00F05215"/>
    <w:rsid w:val="00F0591C"/>
    <w:rsid w:val="00F06922"/>
    <w:rsid w:val="00F071DE"/>
    <w:rsid w:val="00F102B4"/>
    <w:rsid w:val="00F106EE"/>
    <w:rsid w:val="00F10822"/>
    <w:rsid w:val="00F11EFA"/>
    <w:rsid w:val="00F123B7"/>
    <w:rsid w:val="00F126EF"/>
    <w:rsid w:val="00F12BA1"/>
    <w:rsid w:val="00F12C5E"/>
    <w:rsid w:val="00F13735"/>
    <w:rsid w:val="00F138C7"/>
    <w:rsid w:val="00F1394A"/>
    <w:rsid w:val="00F15369"/>
    <w:rsid w:val="00F1540D"/>
    <w:rsid w:val="00F162EC"/>
    <w:rsid w:val="00F166F1"/>
    <w:rsid w:val="00F175AD"/>
    <w:rsid w:val="00F20AF3"/>
    <w:rsid w:val="00F20F5B"/>
    <w:rsid w:val="00F2169F"/>
    <w:rsid w:val="00F22D00"/>
    <w:rsid w:val="00F2390A"/>
    <w:rsid w:val="00F239C4"/>
    <w:rsid w:val="00F24C8A"/>
    <w:rsid w:val="00F25C71"/>
    <w:rsid w:val="00F25E27"/>
    <w:rsid w:val="00F25FE0"/>
    <w:rsid w:val="00F264E1"/>
    <w:rsid w:val="00F26743"/>
    <w:rsid w:val="00F26C3E"/>
    <w:rsid w:val="00F275CA"/>
    <w:rsid w:val="00F30017"/>
    <w:rsid w:val="00F303B0"/>
    <w:rsid w:val="00F30E4B"/>
    <w:rsid w:val="00F31675"/>
    <w:rsid w:val="00F31ABF"/>
    <w:rsid w:val="00F31CFD"/>
    <w:rsid w:val="00F31E83"/>
    <w:rsid w:val="00F32842"/>
    <w:rsid w:val="00F32EC8"/>
    <w:rsid w:val="00F33973"/>
    <w:rsid w:val="00F346B6"/>
    <w:rsid w:val="00F34A9A"/>
    <w:rsid w:val="00F36564"/>
    <w:rsid w:val="00F36D38"/>
    <w:rsid w:val="00F37478"/>
    <w:rsid w:val="00F375A0"/>
    <w:rsid w:val="00F37F90"/>
    <w:rsid w:val="00F406BD"/>
    <w:rsid w:val="00F40E60"/>
    <w:rsid w:val="00F41245"/>
    <w:rsid w:val="00F412BD"/>
    <w:rsid w:val="00F41815"/>
    <w:rsid w:val="00F4192C"/>
    <w:rsid w:val="00F4204B"/>
    <w:rsid w:val="00F42500"/>
    <w:rsid w:val="00F446A0"/>
    <w:rsid w:val="00F448D9"/>
    <w:rsid w:val="00F454A0"/>
    <w:rsid w:val="00F4554A"/>
    <w:rsid w:val="00F456CC"/>
    <w:rsid w:val="00F46B87"/>
    <w:rsid w:val="00F50EBE"/>
    <w:rsid w:val="00F510C1"/>
    <w:rsid w:val="00F5117D"/>
    <w:rsid w:val="00F5173B"/>
    <w:rsid w:val="00F528B1"/>
    <w:rsid w:val="00F539FB"/>
    <w:rsid w:val="00F53B97"/>
    <w:rsid w:val="00F53C87"/>
    <w:rsid w:val="00F53ED9"/>
    <w:rsid w:val="00F55541"/>
    <w:rsid w:val="00F572D0"/>
    <w:rsid w:val="00F57CD7"/>
    <w:rsid w:val="00F57D25"/>
    <w:rsid w:val="00F614D4"/>
    <w:rsid w:val="00F61505"/>
    <w:rsid w:val="00F61558"/>
    <w:rsid w:val="00F61667"/>
    <w:rsid w:val="00F61BC8"/>
    <w:rsid w:val="00F62431"/>
    <w:rsid w:val="00F624E9"/>
    <w:rsid w:val="00F632B7"/>
    <w:rsid w:val="00F6340A"/>
    <w:rsid w:val="00F63671"/>
    <w:rsid w:val="00F653BF"/>
    <w:rsid w:val="00F6700A"/>
    <w:rsid w:val="00F67974"/>
    <w:rsid w:val="00F67CFB"/>
    <w:rsid w:val="00F70034"/>
    <w:rsid w:val="00F70065"/>
    <w:rsid w:val="00F705B8"/>
    <w:rsid w:val="00F70E80"/>
    <w:rsid w:val="00F73948"/>
    <w:rsid w:val="00F74661"/>
    <w:rsid w:val="00F74E72"/>
    <w:rsid w:val="00F74F53"/>
    <w:rsid w:val="00F76090"/>
    <w:rsid w:val="00F76366"/>
    <w:rsid w:val="00F76ECB"/>
    <w:rsid w:val="00F775E9"/>
    <w:rsid w:val="00F77E6D"/>
    <w:rsid w:val="00F815ED"/>
    <w:rsid w:val="00F81AB5"/>
    <w:rsid w:val="00F81D14"/>
    <w:rsid w:val="00F82F6F"/>
    <w:rsid w:val="00F83787"/>
    <w:rsid w:val="00F84620"/>
    <w:rsid w:val="00F85D69"/>
    <w:rsid w:val="00F8629D"/>
    <w:rsid w:val="00F864BA"/>
    <w:rsid w:val="00F86B43"/>
    <w:rsid w:val="00F87F0C"/>
    <w:rsid w:val="00F90537"/>
    <w:rsid w:val="00F91040"/>
    <w:rsid w:val="00F92839"/>
    <w:rsid w:val="00F92887"/>
    <w:rsid w:val="00F940E9"/>
    <w:rsid w:val="00F94E1B"/>
    <w:rsid w:val="00F953E0"/>
    <w:rsid w:val="00FA04CE"/>
    <w:rsid w:val="00FA1728"/>
    <w:rsid w:val="00FA1C62"/>
    <w:rsid w:val="00FA2132"/>
    <w:rsid w:val="00FA21DC"/>
    <w:rsid w:val="00FA49AE"/>
    <w:rsid w:val="00FA4A60"/>
    <w:rsid w:val="00FA51CD"/>
    <w:rsid w:val="00FB1520"/>
    <w:rsid w:val="00FB1C97"/>
    <w:rsid w:val="00FB1CC9"/>
    <w:rsid w:val="00FB23AE"/>
    <w:rsid w:val="00FB266F"/>
    <w:rsid w:val="00FB3AAA"/>
    <w:rsid w:val="00FB74D6"/>
    <w:rsid w:val="00FB782A"/>
    <w:rsid w:val="00FB7B55"/>
    <w:rsid w:val="00FC01EB"/>
    <w:rsid w:val="00FC0986"/>
    <w:rsid w:val="00FC2ED2"/>
    <w:rsid w:val="00FC3149"/>
    <w:rsid w:val="00FC3360"/>
    <w:rsid w:val="00FC6FB8"/>
    <w:rsid w:val="00FC7AD0"/>
    <w:rsid w:val="00FD00F0"/>
    <w:rsid w:val="00FD0160"/>
    <w:rsid w:val="00FD1F21"/>
    <w:rsid w:val="00FD41CE"/>
    <w:rsid w:val="00FD4AE2"/>
    <w:rsid w:val="00FD4F20"/>
    <w:rsid w:val="00FD6631"/>
    <w:rsid w:val="00FD66F7"/>
    <w:rsid w:val="00FD6AE4"/>
    <w:rsid w:val="00FD6BD1"/>
    <w:rsid w:val="00FE0218"/>
    <w:rsid w:val="00FE0A11"/>
    <w:rsid w:val="00FE0F31"/>
    <w:rsid w:val="00FE114F"/>
    <w:rsid w:val="00FE1529"/>
    <w:rsid w:val="00FE1D93"/>
    <w:rsid w:val="00FE20EC"/>
    <w:rsid w:val="00FE3641"/>
    <w:rsid w:val="00FE3678"/>
    <w:rsid w:val="00FE39A2"/>
    <w:rsid w:val="00FE43E0"/>
    <w:rsid w:val="00FE48AA"/>
    <w:rsid w:val="00FE4CB3"/>
    <w:rsid w:val="00FE5991"/>
    <w:rsid w:val="00FE5F41"/>
    <w:rsid w:val="00FE60F3"/>
    <w:rsid w:val="00FE66F6"/>
    <w:rsid w:val="00FE7BBF"/>
    <w:rsid w:val="00FF0BD4"/>
    <w:rsid w:val="00FF100D"/>
    <w:rsid w:val="00FF2390"/>
    <w:rsid w:val="00FF25EF"/>
    <w:rsid w:val="00FF37F6"/>
    <w:rsid w:val="00FF4C9C"/>
    <w:rsid w:val="00FF5A2D"/>
    <w:rsid w:val="017151B4"/>
    <w:rsid w:val="01B67278"/>
    <w:rsid w:val="02143B79"/>
    <w:rsid w:val="026E2CC6"/>
    <w:rsid w:val="026F7102"/>
    <w:rsid w:val="028063D9"/>
    <w:rsid w:val="02B11CB5"/>
    <w:rsid w:val="02D7294A"/>
    <w:rsid w:val="03624F12"/>
    <w:rsid w:val="036A3165"/>
    <w:rsid w:val="03BB3AAE"/>
    <w:rsid w:val="03D0086C"/>
    <w:rsid w:val="04197638"/>
    <w:rsid w:val="0433484D"/>
    <w:rsid w:val="04580CC7"/>
    <w:rsid w:val="047F7040"/>
    <w:rsid w:val="06411B4F"/>
    <w:rsid w:val="073E3999"/>
    <w:rsid w:val="07E1471B"/>
    <w:rsid w:val="080333E0"/>
    <w:rsid w:val="082B3D97"/>
    <w:rsid w:val="083D3AE3"/>
    <w:rsid w:val="08AB1DDD"/>
    <w:rsid w:val="08D4096D"/>
    <w:rsid w:val="08EB09A7"/>
    <w:rsid w:val="09365C29"/>
    <w:rsid w:val="097648C7"/>
    <w:rsid w:val="09EB7F43"/>
    <w:rsid w:val="0A447410"/>
    <w:rsid w:val="0B475B98"/>
    <w:rsid w:val="0C0A3D51"/>
    <w:rsid w:val="0C5A7A30"/>
    <w:rsid w:val="0C7157BF"/>
    <w:rsid w:val="0C903FFD"/>
    <w:rsid w:val="0D3302F2"/>
    <w:rsid w:val="0D386AB9"/>
    <w:rsid w:val="0DF32B57"/>
    <w:rsid w:val="0E31302F"/>
    <w:rsid w:val="0E40152A"/>
    <w:rsid w:val="0E506BA0"/>
    <w:rsid w:val="0E6B6F62"/>
    <w:rsid w:val="0EA80DEA"/>
    <w:rsid w:val="0F507969"/>
    <w:rsid w:val="0FAF2AB7"/>
    <w:rsid w:val="0FC81FAC"/>
    <w:rsid w:val="0FD50FAA"/>
    <w:rsid w:val="102F41B9"/>
    <w:rsid w:val="107F61F5"/>
    <w:rsid w:val="10B60C8B"/>
    <w:rsid w:val="112C1038"/>
    <w:rsid w:val="1147258A"/>
    <w:rsid w:val="117166C7"/>
    <w:rsid w:val="118F6F5E"/>
    <w:rsid w:val="11AF6E43"/>
    <w:rsid w:val="120E11AE"/>
    <w:rsid w:val="123B29DE"/>
    <w:rsid w:val="128A4A00"/>
    <w:rsid w:val="12BF4C98"/>
    <w:rsid w:val="12FC6B56"/>
    <w:rsid w:val="13014FD1"/>
    <w:rsid w:val="1331D2DF"/>
    <w:rsid w:val="134B0741"/>
    <w:rsid w:val="13592D12"/>
    <w:rsid w:val="142F39E5"/>
    <w:rsid w:val="14382ECD"/>
    <w:rsid w:val="14E06E3E"/>
    <w:rsid w:val="14E24010"/>
    <w:rsid w:val="15B8376C"/>
    <w:rsid w:val="15E55707"/>
    <w:rsid w:val="161C18C6"/>
    <w:rsid w:val="16D31CEE"/>
    <w:rsid w:val="16D321A1"/>
    <w:rsid w:val="176D4E9E"/>
    <w:rsid w:val="17D33539"/>
    <w:rsid w:val="17E25AA4"/>
    <w:rsid w:val="18F32B1A"/>
    <w:rsid w:val="19100A3E"/>
    <w:rsid w:val="193971E9"/>
    <w:rsid w:val="193F3C39"/>
    <w:rsid w:val="19724CFF"/>
    <w:rsid w:val="19E3161D"/>
    <w:rsid w:val="1A24686C"/>
    <w:rsid w:val="1A342B70"/>
    <w:rsid w:val="1AAC5DEE"/>
    <w:rsid w:val="1AFD07FA"/>
    <w:rsid w:val="1BEE530D"/>
    <w:rsid w:val="1C985009"/>
    <w:rsid w:val="1CFE5816"/>
    <w:rsid w:val="1D2C4E50"/>
    <w:rsid w:val="1D627825"/>
    <w:rsid w:val="1EC773CB"/>
    <w:rsid w:val="1ED02B51"/>
    <w:rsid w:val="1F920254"/>
    <w:rsid w:val="1FD87859"/>
    <w:rsid w:val="1FF419A7"/>
    <w:rsid w:val="20260070"/>
    <w:rsid w:val="206024E4"/>
    <w:rsid w:val="21257D9C"/>
    <w:rsid w:val="212841E9"/>
    <w:rsid w:val="22E476E6"/>
    <w:rsid w:val="233A6E49"/>
    <w:rsid w:val="23422979"/>
    <w:rsid w:val="23454D0C"/>
    <w:rsid w:val="237A3B2A"/>
    <w:rsid w:val="239E4331"/>
    <w:rsid w:val="23A12E00"/>
    <w:rsid w:val="23C67BB6"/>
    <w:rsid w:val="246A6C0F"/>
    <w:rsid w:val="2518286F"/>
    <w:rsid w:val="2532796E"/>
    <w:rsid w:val="257763C3"/>
    <w:rsid w:val="257D4FCE"/>
    <w:rsid w:val="25E63104"/>
    <w:rsid w:val="26AC73A6"/>
    <w:rsid w:val="27607FA1"/>
    <w:rsid w:val="27DEC7E5"/>
    <w:rsid w:val="27FE1B8C"/>
    <w:rsid w:val="28C040A7"/>
    <w:rsid w:val="28CE6866"/>
    <w:rsid w:val="28E3169A"/>
    <w:rsid w:val="28F572A2"/>
    <w:rsid w:val="28FF2AAA"/>
    <w:rsid w:val="29134032"/>
    <w:rsid w:val="29172025"/>
    <w:rsid w:val="298061EE"/>
    <w:rsid w:val="29FE0CC9"/>
    <w:rsid w:val="2A796787"/>
    <w:rsid w:val="2A88551F"/>
    <w:rsid w:val="2AD314DF"/>
    <w:rsid w:val="2B340029"/>
    <w:rsid w:val="2B584D46"/>
    <w:rsid w:val="2B6EF65E"/>
    <w:rsid w:val="2BA51299"/>
    <w:rsid w:val="2BD755C5"/>
    <w:rsid w:val="2BFFDAF9"/>
    <w:rsid w:val="2C6643CA"/>
    <w:rsid w:val="2CA10CD2"/>
    <w:rsid w:val="2D481061"/>
    <w:rsid w:val="2D4952F3"/>
    <w:rsid w:val="2DEBBBDB"/>
    <w:rsid w:val="2DED0E47"/>
    <w:rsid w:val="2E1A3EE9"/>
    <w:rsid w:val="2E1C6F2B"/>
    <w:rsid w:val="2E44042E"/>
    <w:rsid w:val="2E4B5D15"/>
    <w:rsid w:val="2E6B1950"/>
    <w:rsid w:val="2E9A4C07"/>
    <w:rsid w:val="2EC839E8"/>
    <w:rsid w:val="2ECA2EBE"/>
    <w:rsid w:val="2F625EA9"/>
    <w:rsid w:val="2F7F0D31"/>
    <w:rsid w:val="2F8173E5"/>
    <w:rsid w:val="2FE456B8"/>
    <w:rsid w:val="30DA5946"/>
    <w:rsid w:val="32E69F9D"/>
    <w:rsid w:val="33434547"/>
    <w:rsid w:val="33933B5F"/>
    <w:rsid w:val="339B5F47"/>
    <w:rsid w:val="33A2115A"/>
    <w:rsid w:val="33B05D3A"/>
    <w:rsid w:val="33FFCBF9"/>
    <w:rsid w:val="343A126B"/>
    <w:rsid w:val="34484CCC"/>
    <w:rsid w:val="34BE539B"/>
    <w:rsid w:val="35446141"/>
    <w:rsid w:val="355B3CD0"/>
    <w:rsid w:val="3586167B"/>
    <w:rsid w:val="35BB123A"/>
    <w:rsid w:val="364D2215"/>
    <w:rsid w:val="365511C1"/>
    <w:rsid w:val="367C3980"/>
    <w:rsid w:val="3696179E"/>
    <w:rsid w:val="36A42C11"/>
    <w:rsid w:val="36C55E6E"/>
    <w:rsid w:val="36ED47E7"/>
    <w:rsid w:val="370C66BF"/>
    <w:rsid w:val="37FC36E5"/>
    <w:rsid w:val="391A31AF"/>
    <w:rsid w:val="39652725"/>
    <w:rsid w:val="396A72B4"/>
    <w:rsid w:val="396B39D1"/>
    <w:rsid w:val="399447DE"/>
    <w:rsid w:val="3A9B52AD"/>
    <w:rsid w:val="3AF52C9A"/>
    <w:rsid w:val="3B4C1CB8"/>
    <w:rsid w:val="3B914032"/>
    <w:rsid w:val="3BB8357C"/>
    <w:rsid w:val="3BCC0110"/>
    <w:rsid w:val="3BD1234C"/>
    <w:rsid w:val="3C72109D"/>
    <w:rsid w:val="3C8078DB"/>
    <w:rsid w:val="3C8D5B98"/>
    <w:rsid w:val="3C9358A3"/>
    <w:rsid w:val="3CEC5FE6"/>
    <w:rsid w:val="3D485C9A"/>
    <w:rsid w:val="3D4C208A"/>
    <w:rsid w:val="3D5E3325"/>
    <w:rsid w:val="3DF18755"/>
    <w:rsid w:val="3E3F0FCB"/>
    <w:rsid w:val="3E442B9A"/>
    <w:rsid w:val="3F7189D2"/>
    <w:rsid w:val="3F7B2883"/>
    <w:rsid w:val="3FC93588"/>
    <w:rsid w:val="3FCC51B1"/>
    <w:rsid w:val="404F6DAD"/>
    <w:rsid w:val="40A2442F"/>
    <w:rsid w:val="411A6DDA"/>
    <w:rsid w:val="411E1292"/>
    <w:rsid w:val="413657EC"/>
    <w:rsid w:val="419C54E6"/>
    <w:rsid w:val="41C1569A"/>
    <w:rsid w:val="421361FB"/>
    <w:rsid w:val="422D5726"/>
    <w:rsid w:val="42522385"/>
    <w:rsid w:val="426C0B32"/>
    <w:rsid w:val="42A20501"/>
    <w:rsid w:val="42D3120E"/>
    <w:rsid w:val="4319169D"/>
    <w:rsid w:val="43A91B01"/>
    <w:rsid w:val="440E40A5"/>
    <w:rsid w:val="44514007"/>
    <w:rsid w:val="446B2358"/>
    <w:rsid w:val="45275338"/>
    <w:rsid w:val="456C19FF"/>
    <w:rsid w:val="458F110B"/>
    <w:rsid w:val="45EE772D"/>
    <w:rsid w:val="47282551"/>
    <w:rsid w:val="476906CB"/>
    <w:rsid w:val="47A54558"/>
    <w:rsid w:val="49EF3AAF"/>
    <w:rsid w:val="4A1159DF"/>
    <w:rsid w:val="4A230693"/>
    <w:rsid w:val="4A533CCF"/>
    <w:rsid w:val="4AEC0D2D"/>
    <w:rsid w:val="4B215087"/>
    <w:rsid w:val="4B493214"/>
    <w:rsid w:val="4B6462F2"/>
    <w:rsid w:val="4C1955AC"/>
    <w:rsid w:val="4C20220F"/>
    <w:rsid w:val="4CB07CCC"/>
    <w:rsid w:val="4CB13360"/>
    <w:rsid w:val="4D3A08EA"/>
    <w:rsid w:val="4E021920"/>
    <w:rsid w:val="4E370CE1"/>
    <w:rsid w:val="4E8446FC"/>
    <w:rsid w:val="4E964C7C"/>
    <w:rsid w:val="4ECE0861"/>
    <w:rsid w:val="4F0E4962"/>
    <w:rsid w:val="4F1342DF"/>
    <w:rsid w:val="4F6B7A77"/>
    <w:rsid w:val="4FBC27C0"/>
    <w:rsid w:val="4FD67FCA"/>
    <w:rsid w:val="4FE80E72"/>
    <w:rsid w:val="4FF31676"/>
    <w:rsid w:val="50111C15"/>
    <w:rsid w:val="50925DD2"/>
    <w:rsid w:val="50CD5ED2"/>
    <w:rsid w:val="51691780"/>
    <w:rsid w:val="51897291"/>
    <w:rsid w:val="518B34C6"/>
    <w:rsid w:val="51D97624"/>
    <w:rsid w:val="5237768D"/>
    <w:rsid w:val="528B65D2"/>
    <w:rsid w:val="52E1655E"/>
    <w:rsid w:val="52EA1C72"/>
    <w:rsid w:val="52EA357D"/>
    <w:rsid w:val="53975008"/>
    <w:rsid w:val="53C32BA5"/>
    <w:rsid w:val="53D05E32"/>
    <w:rsid w:val="541C5F73"/>
    <w:rsid w:val="547F622B"/>
    <w:rsid w:val="54FB5A71"/>
    <w:rsid w:val="55AC427B"/>
    <w:rsid w:val="55DA7711"/>
    <w:rsid w:val="56230786"/>
    <w:rsid w:val="564E4CE1"/>
    <w:rsid w:val="564F7305"/>
    <w:rsid w:val="5654417F"/>
    <w:rsid w:val="56690CE7"/>
    <w:rsid w:val="56FF612F"/>
    <w:rsid w:val="5760677A"/>
    <w:rsid w:val="577D7A55"/>
    <w:rsid w:val="577E02D1"/>
    <w:rsid w:val="57AD3275"/>
    <w:rsid w:val="57BA7D74"/>
    <w:rsid w:val="57C6248C"/>
    <w:rsid w:val="580B7BE8"/>
    <w:rsid w:val="580F6DF3"/>
    <w:rsid w:val="58485549"/>
    <w:rsid w:val="584D3E76"/>
    <w:rsid w:val="5870640F"/>
    <w:rsid w:val="58B14D35"/>
    <w:rsid w:val="58EA648A"/>
    <w:rsid w:val="592E3EBC"/>
    <w:rsid w:val="5AB859C5"/>
    <w:rsid w:val="5ABE5786"/>
    <w:rsid w:val="5AC32DDD"/>
    <w:rsid w:val="5B166849"/>
    <w:rsid w:val="5B6D6F8E"/>
    <w:rsid w:val="5BDDA623"/>
    <w:rsid w:val="5BF42A11"/>
    <w:rsid w:val="5C9848AD"/>
    <w:rsid w:val="5CF30406"/>
    <w:rsid w:val="5E0816E4"/>
    <w:rsid w:val="5E514E73"/>
    <w:rsid w:val="5F51D675"/>
    <w:rsid w:val="5F77A766"/>
    <w:rsid w:val="60076CBC"/>
    <w:rsid w:val="605E1A49"/>
    <w:rsid w:val="60806D28"/>
    <w:rsid w:val="60AF6B8F"/>
    <w:rsid w:val="60C64D9E"/>
    <w:rsid w:val="6165382A"/>
    <w:rsid w:val="61BD4CE6"/>
    <w:rsid w:val="61BF3DC0"/>
    <w:rsid w:val="61F921E6"/>
    <w:rsid w:val="61FB4B5F"/>
    <w:rsid w:val="62C83DF1"/>
    <w:rsid w:val="62FE231C"/>
    <w:rsid w:val="637835FD"/>
    <w:rsid w:val="637E7756"/>
    <w:rsid w:val="63CA01E3"/>
    <w:rsid w:val="63FA3C2D"/>
    <w:rsid w:val="64114284"/>
    <w:rsid w:val="64156770"/>
    <w:rsid w:val="6430067C"/>
    <w:rsid w:val="64346ED0"/>
    <w:rsid w:val="64D14B22"/>
    <w:rsid w:val="64F35EFE"/>
    <w:rsid w:val="65E758BB"/>
    <w:rsid w:val="65FF22D1"/>
    <w:rsid w:val="671833A6"/>
    <w:rsid w:val="67234BF5"/>
    <w:rsid w:val="67357AB5"/>
    <w:rsid w:val="677C73E8"/>
    <w:rsid w:val="67A959F5"/>
    <w:rsid w:val="67AD625B"/>
    <w:rsid w:val="67FFD1A2"/>
    <w:rsid w:val="680A3363"/>
    <w:rsid w:val="68197151"/>
    <w:rsid w:val="682B14C8"/>
    <w:rsid w:val="687B3BC4"/>
    <w:rsid w:val="68827470"/>
    <w:rsid w:val="68CC3A61"/>
    <w:rsid w:val="69163F24"/>
    <w:rsid w:val="69280B7C"/>
    <w:rsid w:val="699524D8"/>
    <w:rsid w:val="69A3732A"/>
    <w:rsid w:val="69D05318"/>
    <w:rsid w:val="6ADE3354"/>
    <w:rsid w:val="6B3F2D20"/>
    <w:rsid w:val="6C1E6BEC"/>
    <w:rsid w:val="6C5F2ED0"/>
    <w:rsid w:val="6CC6103A"/>
    <w:rsid w:val="6CD9533C"/>
    <w:rsid w:val="6D9F4891"/>
    <w:rsid w:val="6DB0755A"/>
    <w:rsid w:val="6E05397D"/>
    <w:rsid w:val="6EA422D1"/>
    <w:rsid w:val="6EE55741"/>
    <w:rsid w:val="6EF608C3"/>
    <w:rsid w:val="6F2809BB"/>
    <w:rsid w:val="6F561680"/>
    <w:rsid w:val="6F596EA8"/>
    <w:rsid w:val="6F6609EE"/>
    <w:rsid w:val="6FB47DB8"/>
    <w:rsid w:val="6FEE5E0A"/>
    <w:rsid w:val="70841271"/>
    <w:rsid w:val="70E9534F"/>
    <w:rsid w:val="7120127F"/>
    <w:rsid w:val="714B7019"/>
    <w:rsid w:val="718F6FEF"/>
    <w:rsid w:val="7196785B"/>
    <w:rsid w:val="7199686E"/>
    <w:rsid w:val="721B58DC"/>
    <w:rsid w:val="725B799D"/>
    <w:rsid w:val="727071B7"/>
    <w:rsid w:val="72B535C4"/>
    <w:rsid w:val="73004A1A"/>
    <w:rsid w:val="732358BE"/>
    <w:rsid w:val="734D405F"/>
    <w:rsid w:val="73D04EB3"/>
    <w:rsid w:val="73F75C4A"/>
    <w:rsid w:val="74180799"/>
    <w:rsid w:val="74BA4494"/>
    <w:rsid w:val="74EC6642"/>
    <w:rsid w:val="74FE2D13"/>
    <w:rsid w:val="750216D9"/>
    <w:rsid w:val="750C4BAB"/>
    <w:rsid w:val="759505E4"/>
    <w:rsid w:val="75C10998"/>
    <w:rsid w:val="75FFC8AE"/>
    <w:rsid w:val="76D56A9C"/>
    <w:rsid w:val="77503F83"/>
    <w:rsid w:val="77FDDB5F"/>
    <w:rsid w:val="78622A7A"/>
    <w:rsid w:val="78F94A43"/>
    <w:rsid w:val="79A77D95"/>
    <w:rsid w:val="79B36E02"/>
    <w:rsid w:val="7A0D5A6B"/>
    <w:rsid w:val="7A470208"/>
    <w:rsid w:val="7A6C0B3A"/>
    <w:rsid w:val="7A9C2647"/>
    <w:rsid w:val="7B2FBB3F"/>
    <w:rsid w:val="7B6A0D76"/>
    <w:rsid w:val="7B793B52"/>
    <w:rsid w:val="7BA938C9"/>
    <w:rsid w:val="7BFFE94D"/>
    <w:rsid w:val="7C4E48E5"/>
    <w:rsid w:val="7CB7FF5B"/>
    <w:rsid w:val="7CD27E98"/>
    <w:rsid w:val="7CEF7152"/>
    <w:rsid w:val="7D8B710A"/>
    <w:rsid w:val="7DD77A2A"/>
    <w:rsid w:val="7DEF2DF6"/>
    <w:rsid w:val="7DF1270D"/>
    <w:rsid w:val="7E540BD7"/>
    <w:rsid w:val="7E5FBD0E"/>
    <w:rsid w:val="7F156733"/>
    <w:rsid w:val="7F2A392E"/>
    <w:rsid w:val="7F779F05"/>
    <w:rsid w:val="7F7B5140"/>
    <w:rsid w:val="7FE324E5"/>
    <w:rsid w:val="7FF85620"/>
    <w:rsid w:val="97E75F32"/>
    <w:rsid w:val="97FD4E78"/>
    <w:rsid w:val="98FFE3C7"/>
    <w:rsid w:val="9BFDB755"/>
    <w:rsid w:val="9D37FA53"/>
    <w:rsid w:val="9EBF2DCF"/>
    <w:rsid w:val="A5E70A8A"/>
    <w:rsid w:val="A7BDF0D8"/>
    <w:rsid w:val="AB3A1E45"/>
    <w:rsid w:val="ADDEFE3A"/>
    <w:rsid w:val="B4DF649C"/>
    <w:rsid w:val="BBEF859D"/>
    <w:rsid w:val="BD6E4759"/>
    <w:rsid w:val="BEE3E40C"/>
    <w:rsid w:val="BFBFCE63"/>
    <w:rsid w:val="BFDA46ED"/>
    <w:rsid w:val="BFEE1211"/>
    <w:rsid w:val="CBF70B39"/>
    <w:rsid w:val="D986362E"/>
    <w:rsid w:val="E7FF9985"/>
    <w:rsid w:val="ECD90779"/>
    <w:rsid w:val="EDB7B4F2"/>
    <w:rsid w:val="EDCBDC0D"/>
    <w:rsid w:val="EEE79B5F"/>
    <w:rsid w:val="EEEEAA27"/>
    <w:rsid w:val="F2DC780B"/>
    <w:rsid w:val="F2FD6B7F"/>
    <w:rsid w:val="F6B78651"/>
    <w:rsid w:val="F6EB8E48"/>
    <w:rsid w:val="F7EFA457"/>
    <w:rsid w:val="F9FEEFD8"/>
    <w:rsid w:val="FAEF92BC"/>
    <w:rsid w:val="FAFFBBEC"/>
    <w:rsid w:val="FBBFC80C"/>
    <w:rsid w:val="FBEECCCA"/>
    <w:rsid w:val="FC7AB1A6"/>
    <w:rsid w:val="FCBD2030"/>
    <w:rsid w:val="FE3E2DDB"/>
    <w:rsid w:val="FE667E63"/>
    <w:rsid w:val="FEF7617A"/>
    <w:rsid w:val="FEF7DBFD"/>
    <w:rsid w:val="FF7C4C9C"/>
    <w:rsid w:val="FF8FBE1B"/>
    <w:rsid w:val="FFBB3A73"/>
    <w:rsid w:val="FFBB8FB7"/>
    <w:rsid w:val="FFBD76C7"/>
    <w:rsid w:val="FFEA9C1A"/>
    <w:rsid w:val="FFFD511E"/>
    <w:rsid w:val="FFFE46A4"/>
    <w:rsid w:val="FFFF3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000001" stroke="f">
      <v:fill color="#000001"/>
      <v:stroke on="f"/>
    </o:shapedefaults>
    <o:shapelayout v:ext="edit">
      <o:idmap v:ext="edit" data="2"/>
    </o:shapelayout>
  </w:shapeDefaults>
  <w:decimalSymbol w:val="."/>
  <w:listSeparator w:val=","/>
  <w15:chartTrackingRefBased/>
  <w15:docId w15:val="{4720E4D9-6D08-4D5D-A046-A789A3612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qFormat="1"/>
    <w:lsdException w:name="toc 3" w:uiPriority="39" w:unhideWhenUsed="1" w:qFormat="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semiHidden="1" w:unhideWhenUsed="1"/>
    <w:lsdException w:name="footnote text" w:unhideWhenUsed="1"/>
    <w:lsdException w:name="annotation text" w:unhideWhenUsed="1"/>
    <w:lsdException w:name="header" w:uiPriority="0"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nhideWhenUsed="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lsdException w:name="Body Text" w:qFormat="1"/>
    <w:lsdException w:name="Body Text Indent"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unhideWhenUsed="1" w:qFormat="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9"/>
    <w:qFormat/>
    <w:pPr>
      <w:keepNext/>
      <w:keepLines/>
      <w:spacing w:before="260" w:after="260" w:line="416" w:lineRule="auto"/>
      <w:outlineLvl w:val="1"/>
    </w:pPr>
    <w:rPr>
      <w:rFonts w:ascii="Cambria" w:hAnsi="Cambria"/>
      <w:b/>
      <w:bCs/>
      <w:sz w:val="32"/>
      <w:szCs w:val="32"/>
    </w:rPr>
  </w:style>
  <w:style w:type="paragraph" w:styleId="3">
    <w:name w:val="heading 3"/>
    <w:basedOn w:val="a"/>
    <w:next w:val="a"/>
    <w:uiPriority w:val="9"/>
    <w:qFormat/>
    <w:pPr>
      <w:spacing w:beforeAutospacing="1" w:afterAutospacing="1"/>
      <w:jc w:val="left"/>
      <w:outlineLvl w:val="2"/>
    </w:pPr>
    <w:rPr>
      <w:rFonts w:ascii="宋体" w:hAnsi="宋体" w:hint="eastAsia"/>
      <w:b/>
      <w:kern w:val="0"/>
      <w:sz w:val="27"/>
      <w:szCs w:val="27"/>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qFormat/>
    <w:rPr>
      <w:b/>
      <w:bCs/>
      <w:kern w:val="44"/>
      <w:sz w:val="44"/>
      <w:szCs w:val="44"/>
    </w:rPr>
  </w:style>
  <w:style w:type="character" w:customStyle="1" w:styleId="20">
    <w:name w:val="标题 2 字符"/>
    <w:link w:val="2"/>
    <w:uiPriority w:val="99"/>
    <w:rPr>
      <w:rFonts w:ascii="Cambria" w:eastAsia="宋体" w:hAnsi="Cambria" w:cs="Times New Roman"/>
      <w:b/>
      <w:bCs/>
      <w:kern w:val="2"/>
      <w:sz w:val="32"/>
      <w:szCs w:val="32"/>
    </w:rPr>
  </w:style>
  <w:style w:type="paragraph" w:styleId="TOC7">
    <w:name w:val="toc 7"/>
    <w:basedOn w:val="a"/>
    <w:next w:val="a"/>
    <w:uiPriority w:val="39"/>
    <w:unhideWhenUsed/>
    <w:pPr>
      <w:ind w:left="1260"/>
      <w:jc w:val="left"/>
    </w:pPr>
    <w:rPr>
      <w:rFonts w:ascii="Calibri" w:hAnsi="Calibri"/>
      <w:sz w:val="18"/>
      <w:szCs w:val="18"/>
    </w:rPr>
  </w:style>
  <w:style w:type="paragraph" w:styleId="a3">
    <w:name w:val="annotation text"/>
    <w:basedOn w:val="a"/>
    <w:link w:val="11"/>
    <w:uiPriority w:val="99"/>
    <w:unhideWhenUsed/>
    <w:pPr>
      <w:jc w:val="left"/>
    </w:pPr>
    <w:rPr>
      <w:rFonts w:ascii="Calibri" w:hAnsi="Calibri"/>
    </w:rPr>
  </w:style>
  <w:style w:type="character" w:customStyle="1" w:styleId="11">
    <w:name w:val="批注文字 字符1"/>
    <w:link w:val="a3"/>
    <w:uiPriority w:val="99"/>
    <w:semiHidden/>
    <w:rPr>
      <w:rFonts w:ascii="Calibri" w:eastAsia="宋体" w:hAnsi="Calibri" w:cs="Times New Roman"/>
      <w:kern w:val="2"/>
      <w:sz w:val="21"/>
      <w:szCs w:val="22"/>
    </w:rPr>
  </w:style>
  <w:style w:type="paragraph" w:styleId="a4">
    <w:name w:val="Body Text"/>
    <w:basedOn w:val="a"/>
    <w:uiPriority w:val="99"/>
    <w:qFormat/>
    <w:pPr>
      <w:spacing w:after="120"/>
    </w:pPr>
  </w:style>
  <w:style w:type="paragraph" w:styleId="a5">
    <w:name w:val="Body Text Indent"/>
    <w:basedOn w:val="a"/>
    <w:link w:val="a6"/>
    <w:uiPriority w:val="99"/>
    <w:unhideWhenUsed/>
    <w:pPr>
      <w:spacing w:after="120"/>
      <w:ind w:leftChars="200" w:left="420"/>
    </w:pPr>
    <w:rPr>
      <w:rFonts w:ascii="Calibri" w:hAnsi="Calibri"/>
    </w:rPr>
  </w:style>
  <w:style w:type="character" w:customStyle="1" w:styleId="a6">
    <w:name w:val="正文文本缩进 字符"/>
    <w:link w:val="a5"/>
    <w:uiPriority w:val="99"/>
    <w:semiHidden/>
    <w:rPr>
      <w:rFonts w:ascii="Calibri" w:hAnsi="Calibri"/>
      <w:kern w:val="2"/>
      <w:sz w:val="21"/>
      <w:szCs w:val="22"/>
    </w:rPr>
  </w:style>
  <w:style w:type="paragraph" w:styleId="TOC5">
    <w:name w:val="toc 5"/>
    <w:basedOn w:val="a"/>
    <w:next w:val="a"/>
    <w:uiPriority w:val="39"/>
    <w:unhideWhenUsed/>
    <w:pPr>
      <w:ind w:left="840"/>
      <w:jc w:val="left"/>
    </w:pPr>
    <w:rPr>
      <w:rFonts w:ascii="Calibri" w:hAnsi="Calibri"/>
      <w:sz w:val="18"/>
      <w:szCs w:val="18"/>
    </w:rPr>
  </w:style>
  <w:style w:type="paragraph" w:styleId="TOC3">
    <w:name w:val="toc 3"/>
    <w:basedOn w:val="a"/>
    <w:next w:val="a"/>
    <w:uiPriority w:val="39"/>
    <w:unhideWhenUsed/>
    <w:qFormat/>
    <w:pPr>
      <w:ind w:left="420"/>
      <w:jc w:val="left"/>
    </w:pPr>
    <w:rPr>
      <w:rFonts w:ascii="Calibri" w:hAnsi="Calibri"/>
      <w:i/>
      <w:iCs/>
      <w:sz w:val="20"/>
      <w:szCs w:val="20"/>
    </w:rPr>
  </w:style>
  <w:style w:type="paragraph" w:styleId="a7">
    <w:name w:val="Plain Text"/>
    <w:basedOn w:val="a"/>
    <w:link w:val="a8"/>
    <w:qFormat/>
    <w:rPr>
      <w:rFonts w:ascii="宋体" w:hAnsi="Courier New"/>
      <w:szCs w:val="24"/>
    </w:rPr>
  </w:style>
  <w:style w:type="character" w:customStyle="1" w:styleId="a8">
    <w:name w:val="纯文本 字符"/>
    <w:link w:val="a7"/>
    <w:rPr>
      <w:rFonts w:ascii="宋体" w:hAnsi="Courier New"/>
      <w:kern w:val="2"/>
      <w:sz w:val="21"/>
      <w:szCs w:val="24"/>
    </w:rPr>
  </w:style>
  <w:style w:type="paragraph" w:styleId="TOC8">
    <w:name w:val="toc 8"/>
    <w:basedOn w:val="a"/>
    <w:next w:val="a"/>
    <w:uiPriority w:val="39"/>
    <w:unhideWhenUsed/>
    <w:pPr>
      <w:ind w:left="1470"/>
      <w:jc w:val="left"/>
    </w:pPr>
    <w:rPr>
      <w:rFonts w:ascii="Calibri" w:hAnsi="Calibri"/>
      <w:sz w:val="18"/>
      <w:szCs w:val="18"/>
    </w:rPr>
  </w:style>
  <w:style w:type="paragraph" w:styleId="a9">
    <w:name w:val="Balloon Text"/>
    <w:basedOn w:val="a"/>
    <w:link w:val="aa"/>
    <w:uiPriority w:val="99"/>
    <w:unhideWhenUsed/>
    <w:rPr>
      <w:rFonts w:ascii="Calibri" w:hAnsi="Calibri"/>
      <w:sz w:val="18"/>
      <w:szCs w:val="18"/>
    </w:rPr>
  </w:style>
  <w:style w:type="character" w:customStyle="1" w:styleId="aa">
    <w:name w:val="批注框文本 字符"/>
    <w:link w:val="a9"/>
    <w:uiPriority w:val="99"/>
    <w:semiHidden/>
    <w:rPr>
      <w:rFonts w:ascii="Calibri" w:eastAsia="宋体" w:hAnsi="Calibri" w:cs="Times New Roman"/>
      <w:kern w:val="2"/>
      <w:sz w:val="18"/>
      <w:szCs w:val="18"/>
    </w:rPr>
  </w:style>
  <w:style w:type="paragraph" w:styleId="ab">
    <w:name w:val="footer"/>
    <w:basedOn w:val="a"/>
    <w:link w:val="12"/>
    <w:uiPriority w:val="99"/>
    <w:unhideWhenUsed/>
    <w:pPr>
      <w:tabs>
        <w:tab w:val="center" w:pos="4153"/>
        <w:tab w:val="right" w:pos="8306"/>
      </w:tabs>
      <w:snapToGrid w:val="0"/>
      <w:jc w:val="left"/>
    </w:pPr>
    <w:rPr>
      <w:kern w:val="0"/>
      <w:sz w:val="18"/>
      <w:szCs w:val="18"/>
    </w:rPr>
  </w:style>
  <w:style w:type="character" w:customStyle="1" w:styleId="12">
    <w:name w:val="页脚 字符1"/>
    <w:link w:val="ab"/>
    <w:uiPriority w:val="99"/>
    <w:qFormat/>
    <w:rPr>
      <w:sz w:val="18"/>
      <w:szCs w:val="18"/>
    </w:rPr>
  </w:style>
  <w:style w:type="paragraph" w:styleId="ac">
    <w:name w:val="header"/>
    <w:basedOn w:val="a"/>
    <w:link w:val="ad"/>
    <w:unhideWhenUsed/>
    <w:qFormat/>
    <w:pPr>
      <w:pBdr>
        <w:bottom w:val="single" w:sz="6" w:space="1" w:color="auto"/>
      </w:pBdr>
      <w:tabs>
        <w:tab w:val="center" w:pos="4153"/>
        <w:tab w:val="right" w:pos="8306"/>
      </w:tabs>
      <w:snapToGrid w:val="0"/>
      <w:jc w:val="center"/>
    </w:pPr>
    <w:rPr>
      <w:kern w:val="0"/>
      <w:sz w:val="18"/>
      <w:szCs w:val="18"/>
    </w:rPr>
  </w:style>
  <w:style w:type="character" w:customStyle="1" w:styleId="ad">
    <w:name w:val="页眉 字符"/>
    <w:link w:val="ac"/>
    <w:rPr>
      <w:sz w:val="18"/>
      <w:szCs w:val="18"/>
    </w:rPr>
  </w:style>
  <w:style w:type="paragraph" w:styleId="TOC1">
    <w:name w:val="toc 1"/>
    <w:basedOn w:val="a"/>
    <w:next w:val="a"/>
    <w:uiPriority w:val="39"/>
    <w:unhideWhenUsed/>
    <w:qFormat/>
    <w:pPr>
      <w:spacing w:before="120" w:after="120"/>
      <w:jc w:val="left"/>
    </w:pPr>
    <w:rPr>
      <w:rFonts w:ascii="Calibri" w:hAnsi="Calibri"/>
      <w:b/>
      <w:bCs/>
      <w:caps/>
      <w:sz w:val="20"/>
      <w:szCs w:val="20"/>
    </w:rPr>
  </w:style>
  <w:style w:type="paragraph" w:styleId="TOC4">
    <w:name w:val="toc 4"/>
    <w:basedOn w:val="a"/>
    <w:next w:val="a"/>
    <w:uiPriority w:val="39"/>
    <w:unhideWhenUsed/>
    <w:pPr>
      <w:ind w:left="630"/>
      <w:jc w:val="left"/>
    </w:pPr>
    <w:rPr>
      <w:rFonts w:ascii="Calibri" w:hAnsi="Calibri"/>
      <w:sz w:val="18"/>
      <w:szCs w:val="18"/>
    </w:rPr>
  </w:style>
  <w:style w:type="paragraph" w:styleId="ae">
    <w:name w:val="footnote text"/>
    <w:basedOn w:val="a"/>
    <w:link w:val="af"/>
    <w:uiPriority w:val="99"/>
    <w:unhideWhenUsed/>
    <w:pPr>
      <w:snapToGrid w:val="0"/>
      <w:jc w:val="left"/>
    </w:pPr>
    <w:rPr>
      <w:rFonts w:ascii="Calibri" w:hAnsi="Calibri"/>
      <w:sz w:val="18"/>
      <w:szCs w:val="18"/>
    </w:rPr>
  </w:style>
  <w:style w:type="character" w:customStyle="1" w:styleId="af">
    <w:name w:val="脚注文本 字符"/>
    <w:link w:val="ae"/>
    <w:uiPriority w:val="99"/>
    <w:semiHidden/>
    <w:rPr>
      <w:rFonts w:ascii="Calibri" w:hAnsi="Calibri"/>
      <w:kern w:val="2"/>
      <w:sz w:val="18"/>
      <w:szCs w:val="18"/>
    </w:rPr>
  </w:style>
  <w:style w:type="paragraph" w:styleId="TOC6">
    <w:name w:val="toc 6"/>
    <w:basedOn w:val="a"/>
    <w:next w:val="a"/>
    <w:uiPriority w:val="39"/>
    <w:unhideWhenUsed/>
    <w:pPr>
      <w:ind w:left="1050"/>
      <w:jc w:val="left"/>
    </w:pPr>
    <w:rPr>
      <w:rFonts w:ascii="Calibri" w:hAnsi="Calibri"/>
      <w:sz w:val="18"/>
      <w:szCs w:val="18"/>
    </w:rPr>
  </w:style>
  <w:style w:type="paragraph" w:styleId="TOC2">
    <w:name w:val="toc 2"/>
    <w:basedOn w:val="a"/>
    <w:next w:val="a"/>
    <w:uiPriority w:val="39"/>
    <w:qFormat/>
    <w:pPr>
      <w:ind w:left="210"/>
      <w:jc w:val="left"/>
    </w:pPr>
    <w:rPr>
      <w:rFonts w:ascii="Calibri" w:hAnsi="Calibri"/>
      <w:smallCaps/>
      <w:sz w:val="20"/>
      <w:szCs w:val="20"/>
    </w:rPr>
  </w:style>
  <w:style w:type="paragraph" w:styleId="TOC9">
    <w:name w:val="toc 9"/>
    <w:basedOn w:val="a"/>
    <w:next w:val="a"/>
    <w:uiPriority w:val="39"/>
    <w:unhideWhenUsed/>
    <w:pPr>
      <w:ind w:left="1680"/>
      <w:jc w:val="left"/>
    </w:pPr>
    <w:rPr>
      <w:rFonts w:ascii="Calibri" w:hAnsi="Calibri"/>
      <w:sz w:val="18"/>
      <w:szCs w:val="18"/>
    </w:rPr>
  </w:style>
  <w:style w:type="paragraph" w:styleId="HTML">
    <w:name w:val="HTML Preformatted"/>
    <w:basedOn w:val="a"/>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f0">
    <w:name w:val="Normal (Web)"/>
    <w:basedOn w:val="a"/>
    <w:uiPriority w:val="99"/>
    <w:unhideWhenUsed/>
    <w:pPr>
      <w:widowControl/>
      <w:spacing w:before="100" w:beforeAutospacing="1" w:after="100" w:afterAutospacing="1"/>
      <w:jc w:val="left"/>
    </w:pPr>
    <w:rPr>
      <w:rFonts w:ascii="宋体" w:hAnsi="宋体" w:cs="宋体"/>
      <w:kern w:val="0"/>
      <w:sz w:val="24"/>
      <w:szCs w:val="24"/>
    </w:rPr>
  </w:style>
  <w:style w:type="paragraph" w:styleId="af1">
    <w:name w:val="Title"/>
    <w:basedOn w:val="a"/>
    <w:next w:val="a"/>
    <w:link w:val="af2"/>
    <w:qFormat/>
    <w:pPr>
      <w:outlineLvl w:val="0"/>
    </w:pPr>
    <w:rPr>
      <w:rFonts w:ascii="Cambria" w:eastAsia="仿宋_GB2312" w:hAnsi="Cambria"/>
      <w:b/>
      <w:bCs/>
      <w:sz w:val="32"/>
      <w:szCs w:val="32"/>
    </w:rPr>
  </w:style>
  <w:style w:type="character" w:customStyle="1" w:styleId="af2">
    <w:name w:val="标题 字符"/>
    <w:link w:val="af1"/>
    <w:rPr>
      <w:rFonts w:ascii="Cambria" w:eastAsia="仿宋_GB2312" w:hAnsi="Cambria"/>
      <w:b/>
      <w:bCs/>
      <w:kern w:val="2"/>
      <w:sz w:val="32"/>
      <w:szCs w:val="32"/>
    </w:rPr>
  </w:style>
  <w:style w:type="paragraph" w:styleId="af3">
    <w:name w:val="annotation subject"/>
    <w:basedOn w:val="a3"/>
    <w:next w:val="a3"/>
    <w:link w:val="af4"/>
    <w:uiPriority w:val="99"/>
    <w:unhideWhenUsed/>
    <w:rPr>
      <w:b/>
      <w:bCs/>
    </w:rPr>
  </w:style>
  <w:style w:type="character" w:customStyle="1" w:styleId="af4">
    <w:name w:val="批注主题 字符"/>
    <w:link w:val="af3"/>
    <w:uiPriority w:val="99"/>
    <w:semiHidden/>
    <w:rPr>
      <w:rFonts w:ascii="Calibri" w:eastAsia="宋体" w:hAnsi="Calibri" w:cs="Times New Roman"/>
      <w:b/>
      <w:bCs/>
      <w:kern w:val="2"/>
      <w:sz w:val="21"/>
      <w:szCs w:val="22"/>
    </w:rPr>
  </w:style>
  <w:style w:type="paragraph" w:styleId="21">
    <w:name w:val="Body Text First Indent 2"/>
    <w:basedOn w:val="a5"/>
    <w:link w:val="22"/>
    <w:pPr>
      <w:spacing w:after="0"/>
      <w:ind w:firstLineChars="200" w:firstLine="200"/>
    </w:pPr>
    <w:rPr>
      <w:rFonts w:ascii="Times New Roman" w:hAnsi="Times New Roman"/>
      <w:sz w:val="28"/>
    </w:rPr>
  </w:style>
  <w:style w:type="character" w:customStyle="1" w:styleId="22">
    <w:name w:val="正文文本首行缩进 2 字符"/>
    <w:link w:val="21"/>
    <w:rPr>
      <w:kern w:val="2"/>
      <w:sz w:val="28"/>
      <w:szCs w:val="22"/>
    </w:rPr>
  </w:style>
  <w:style w:type="table" w:styleId="af5">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6">
    <w:name w:val="Strong"/>
    <w:uiPriority w:val="22"/>
    <w:qFormat/>
    <w:rPr>
      <w:b/>
    </w:rPr>
  </w:style>
  <w:style w:type="character" w:styleId="af7">
    <w:name w:val="Emphasis"/>
    <w:uiPriority w:val="20"/>
    <w:qFormat/>
    <w:rPr>
      <w:i/>
      <w:iCs/>
    </w:rPr>
  </w:style>
  <w:style w:type="character" w:styleId="af8">
    <w:name w:val="Hyperlink"/>
    <w:uiPriority w:val="99"/>
    <w:qFormat/>
    <w:rPr>
      <w:color w:val="0000FF"/>
      <w:u w:val="single"/>
    </w:rPr>
  </w:style>
  <w:style w:type="character" w:styleId="af9">
    <w:name w:val="annotation reference"/>
    <w:uiPriority w:val="99"/>
    <w:unhideWhenUsed/>
    <w:rPr>
      <w:sz w:val="21"/>
      <w:szCs w:val="21"/>
    </w:rPr>
  </w:style>
  <w:style w:type="character" w:styleId="afa">
    <w:name w:val="footnote reference"/>
    <w:uiPriority w:val="99"/>
    <w:unhideWhenUsed/>
    <w:rPr>
      <w:vertAlign w:val="superscript"/>
    </w:rPr>
  </w:style>
  <w:style w:type="character" w:customStyle="1" w:styleId="afb">
    <w:name w:val="页脚 字符"/>
    <w:basedOn w:val="a0"/>
    <w:uiPriority w:val="99"/>
  </w:style>
  <w:style w:type="character" w:customStyle="1" w:styleId="bjh-p">
    <w:name w:val="bjh-p"/>
    <w:basedOn w:val="a0"/>
    <w:qFormat/>
  </w:style>
  <w:style w:type="character" w:customStyle="1" w:styleId="210">
    <w:name w:val="正文文本首行缩进 2 字符1"/>
    <w:basedOn w:val="a6"/>
    <w:uiPriority w:val="99"/>
    <w:semiHidden/>
    <w:rPr>
      <w:rFonts w:ascii="Calibri" w:hAnsi="Calibri"/>
      <w:kern w:val="2"/>
      <w:sz w:val="21"/>
      <w:szCs w:val="22"/>
    </w:rPr>
  </w:style>
  <w:style w:type="character" w:customStyle="1" w:styleId="afc">
    <w:name w:val="批注文字 字符"/>
    <w:uiPriority w:val="99"/>
    <w:semiHidden/>
    <w:rPr>
      <w:rFonts w:ascii="Calibri" w:eastAsia="宋体" w:hAnsi="Calibri" w:cs="Times New Roman"/>
    </w:rPr>
  </w:style>
  <w:style w:type="character" w:styleId="afd">
    <w:name w:val="Unresolved Mention"/>
    <w:uiPriority w:val="99"/>
    <w:unhideWhenUsed/>
    <w:rPr>
      <w:color w:val="605E5C"/>
      <w:shd w:val="clear" w:color="auto" w:fill="E1DFDD"/>
    </w:rPr>
  </w:style>
  <w:style w:type="paragraph" w:customStyle="1" w:styleId="h">
    <w:name w:val="h正文"/>
    <w:basedOn w:val="a"/>
    <w:qFormat/>
    <w:pPr>
      <w:spacing w:line="360" w:lineRule="auto"/>
    </w:pPr>
    <w:rPr>
      <w:rFonts w:cs="黑体"/>
      <w:sz w:val="24"/>
      <w:szCs w:val="24"/>
    </w:rPr>
  </w:style>
  <w:style w:type="paragraph" w:customStyle="1" w:styleId="Char1CharCharChar">
    <w:name w:val=" Char1 Char Char Char"/>
    <w:basedOn w:val="a"/>
    <w:rPr>
      <w:szCs w:val="20"/>
    </w:rPr>
  </w:style>
  <w:style w:type="paragraph" w:customStyle="1" w:styleId="WPSOffice1">
    <w:name w:val="WPSOffice手动目录 1"/>
  </w:style>
  <w:style w:type="paragraph" w:customStyle="1" w:styleId="CharChar1CharCharCharCharCharChar">
    <w:name w:val="Char Char1 Char Char Char Char Char Char"/>
    <w:basedOn w:val="a"/>
    <w:pPr>
      <w:widowControl/>
      <w:spacing w:after="160" w:line="240" w:lineRule="exact"/>
      <w:ind w:left="1"/>
      <w:jc w:val="left"/>
      <w:textAlignment w:val="bottom"/>
    </w:pPr>
    <w:rPr>
      <w:kern w:val="0"/>
      <w:sz w:val="20"/>
      <w:szCs w:val="20"/>
    </w:rPr>
  </w:style>
  <w:style w:type="paragraph" w:styleId="afe">
    <w:name w:val="Revision"/>
    <w:uiPriority w:val="99"/>
    <w:semiHidden/>
    <w:rPr>
      <w:kern w:val="2"/>
      <w:sz w:val="21"/>
      <w:szCs w:val="22"/>
    </w:rPr>
  </w:style>
  <w:style w:type="paragraph" w:customStyle="1" w:styleId="WPSOffice2">
    <w:name w:val="WPSOffice手动目录 2"/>
    <w:pPr>
      <w:ind w:leftChars="200"/>
    </w:pPr>
  </w:style>
  <w:style w:type="paragraph" w:customStyle="1" w:styleId="CharCharCharCharCharCharChar">
    <w:name w:val="Char Char Char Char Char Char Char"/>
    <w:basedOn w:val="a"/>
    <w:pPr>
      <w:widowControl/>
    </w:pPr>
    <w:rPr>
      <w:szCs w:val="21"/>
    </w:rPr>
  </w:style>
  <w:style w:type="paragraph" w:customStyle="1" w:styleId="Normal24">
    <w:name w:val="Normal_24"/>
    <w:pPr>
      <w:spacing w:before="120" w:after="240"/>
      <w:jc w:val="both"/>
    </w:pPr>
    <w:rPr>
      <w:rFonts w:eastAsia="Times New Roman"/>
      <w:sz w:val="22"/>
      <w:szCs w:val="22"/>
      <w:lang w:eastAsia="en-US"/>
    </w:rPr>
  </w:style>
  <w:style w:type="paragraph" w:styleId="TOC">
    <w:name w:val="TOC Heading"/>
    <w:basedOn w:val="1"/>
    <w:next w:val="a"/>
    <w:uiPriority w:val="39"/>
    <w:qFormat/>
    <w:pPr>
      <w:widowControl/>
      <w:spacing w:before="480" w:after="0" w:line="276" w:lineRule="auto"/>
      <w:jc w:val="left"/>
      <w:outlineLvl w:val="9"/>
    </w:pPr>
    <w:rPr>
      <w:rFonts w:ascii="Cambria" w:hAnsi="Cambria"/>
      <w:color w:val="365F91"/>
      <w:kern w:val="0"/>
      <w:sz w:val="28"/>
      <w:szCs w:val="28"/>
    </w:rPr>
  </w:style>
  <w:style w:type="paragraph" w:customStyle="1" w:styleId="Normal25">
    <w:name w:val="Normal_25"/>
    <w:pPr>
      <w:spacing w:before="120" w:after="240"/>
      <w:jc w:val="both"/>
    </w:pPr>
    <w:rPr>
      <w:rFonts w:eastAsia="Times New Roman"/>
      <w:sz w:val="22"/>
      <w:szCs w:val="22"/>
      <w:lang w:eastAsia="en-US"/>
    </w:rPr>
  </w:style>
  <w:style w:type="paragraph" w:customStyle="1" w:styleId="Char">
    <w:name w:val="Char"/>
    <w:basedOn w:val="a"/>
    <w:rPr>
      <w:szCs w:val="21"/>
    </w:rPr>
  </w:style>
  <w:style w:type="table" w:customStyle="1" w:styleId="23">
    <w:name w:val="网格型2"/>
    <w:basedOn w:val="a1"/>
    <w:uiPriority w:val="39"/>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网格型1"/>
    <w:basedOn w:val="a1"/>
    <w:qFormat/>
    <w:pPr>
      <w:widowControl w:val="0"/>
      <w:jc w:val="both"/>
    </w:pPr>
    <w:rPr>
      <w:rFonts w:ascii="Calibri" w:eastAsia="微软雅黑"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relyOnVML/>
  <w:allowPNG/>
  <w:pixelsPerInch w:val="120"/>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footer" Target="footer8.xml"/><Relationship Id="rId42" Type="http://schemas.openxmlformats.org/officeDocument/2006/relationships/footer" Target="footer19.xml"/><Relationship Id="rId47" Type="http://schemas.openxmlformats.org/officeDocument/2006/relationships/footer" Target="footer22.xml"/><Relationship Id="rId63" Type="http://schemas.openxmlformats.org/officeDocument/2006/relationships/footer" Target="footer31.xml"/><Relationship Id="rId68" Type="http://schemas.openxmlformats.org/officeDocument/2006/relationships/footer" Target="footer34.xml"/><Relationship Id="rId84" Type="http://schemas.openxmlformats.org/officeDocument/2006/relationships/footer" Target="footer43.xml"/><Relationship Id="rId89" Type="http://schemas.openxmlformats.org/officeDocument/2006/relationships/header" Target="header37.xml"/><Relationship Id="rId16" Type="http://schemas.openxmlformats.org/officeDocument/2006/relationships/footer" Target="footer5.xml"/><Relationship Id="rId107" Type="http://schemas.openxmlformats.org/officeDocument/2006/relationships/theme" Target="theme/theme1.xml"/><Relationship Id="rId11" Type="http://schemas.openxmlformats.org/officeDocument/2006/relationships/header" Target="header3.xml"/><Relationship Id="rId32" Type="http://schemas.openxmlformats.org/officeDocument/2006/relationships/footer" Target="footer14.xml"/><Relationship Id="rId37" Type="http://schemas.openxmlformats.org/officeDocument/2006/relationships/header" Target="header15.xml"/><Relationship Id="rId53" Type="http://schemas.openxmlformats.org/officeDocument/2006/relationships/footer" Target="footer26.xml"/><Relationship Id="rId58" Type="http://schemas.openxmlformats.org/officeDocument/2006/relationships/header" Target="header24.xml"/><Relationship Id="rId74" Type="http://schemas.openxmlformats.org/officeDocument/2006/relationships/footer" Target="footer37.xml"/><Relationship Id="rId79" Type="http://schemas.openxmlformats.org/officeDocument/2006/relationships/header" Target="header33.xml"/><Relationship Id="rId102" Type="http://schemas.openxmlformats.org/officeDocument/2006/relationships/header" Target="header42.xml"/><Relationship Id="rId5" Type="http://schemas.openxmlformats.org/officeDocument/2006/relationships/footnotes" Target="footnotes.xml"/><Relationship Id="rId90" Type="http://schemas.openxmlformats.org/officeDocument/2006/relationships/header" Target="header38.xml"/><Relationship Id="rId95" Type="http://schemas.openxmlformats.org/officeDocument/2006/relationships/footer" Target="footer50.xml"/><Relationship Id="rId22" Type="http://schemas.openxmlformats.org/officeDocument/2006/relationships/header" Target="header8.xml"/><Relationship Id="rId27" Type="http://schemas.openxmlformats.org/officeDocument/2006/relationships/footer" Target="footer11.xml"/><Relationship Id="rId43" Type="http://schemas.openxmlformats.org/officeDocument/2006/relationships/footer" Target="footer20.xml"/><Relationship Id="rId48" Type="http://schemas.openxmlformats.org/officeDocument/2006/relationships/header" Target="header20.xml"/><Relationship Id="rId64" Type="http://schemas.openxmlformats.org/officeDocument/2006/relationships/footer" Target="footer32.xml"/><Relationship Id="rId69" Type="http://schemas.openxmlformats.org/officeDocument/2006/relationships/header" Target="header29.xml"/><Relationship Id="rId80" Type="http://schemas.openxmlformats.org/officeDocument/2006/relationships/header" Target="header34.xml"/><Relationship Id="rId85" Type="http://schemas.openxmlformats.org/officeDocument/2006/relationships/footer" Target="footer44.xml"/><Relationship Id="rId12" Type="http://schemas.openxmlformats.org/officeDocument/2006/relationships/footer" Target="footer3.xml"/><Relationship Id="rId17" Type="http://schemas.openxmlformats.org/officeDocument/2006/relationships/footer" Target="footer6.xml"/><Relationship Id="rId33" Type="http://schemas.openxmlformats.org/officeDocument/2006/relationships/header" Target="header13.xml"/><Relationship Id="rId38" Type="http://schemas.openxmlformats.org/officeDocument/2006/relationships/header" Target="header16.xml"/><Relationship Id="rId59" Type="http://schemas.openxmlformats.org/officeDocument/2006/relationships/header" Target="header25.xml"/><Relationship Id="rId103" Type="http://schemas.openxmlformats.org/officeDocument/2006/relationships/header" Target="header43.xml"/><Relationship Id="rId20" Type="http://schemas.openxmlformats.org/officeDocument/2006/relationships/footer" Target="footer7.xml"/><Relationship Id="rId41" Type="http://schemas.openxmlformats.org/officeDocument/2006/relationships/header" Target="header17.xml"/><Relationship Id="rId54" Type="http://schemas.openxmlformats.org/officeDocument/2006/relationships/header" Target="header22.xml"/><Relationship Id="rId62" Type="http://schemas.openxmlformats.org/officeDocument/2006/relationships/header" Target="header26.xml"/><Relationship Id="rId70" Type="http://schemas.openxmlformats.org/officeDocument/2006/relationships/footer" Target="footer35.xml"/><Relationship Id="rId75" Type="http://schemas.openxmlformats.org/officeDocument/2006/relationships/footer" Target="footer38.xml"/><Relationship Id="rId83" Type="http://schemas.openxmlformats.org/officeDocument/2006/relationships/header" Target="header35.xml"/><Relationship Id="rId88" Type="http://schemas.openxmlformats.org/officeDocument/2006/relationships/footer" Target="footer46.xml"/><Relationship Id="rId91" Type="http://schemas.openxmlformats.org/officeDocument/2006/relationships/footer" Target="footer47.xml"/><Relationship Id="rId96" Type="http://schemas.openxmlformats.org/officeDocument/2006/relationships/header" Target="header4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2.xml"/><Relationship Id="rId36" Type="http://schemas.openxmlformats.org/officeDocument/2006/relationships/footer" Target="footer16.xml"/><Relationship Id="rId49" Type="http://schemas.openxmlformats.org/officeDocument/2006/relationships/footer" Target="footer23.xml"/><Relationship Id="rId57" Type="http://schemas.openxmlformats.org/officeDocument/2006/relationships/footer" Target="footer28.xml"/><Relationship Id="rId106"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footer" Target="footer13.xml"/><Relationship Id="rId44" Type="http://schemas.openxmlformats.org/officeDocument/2006/relationships/header" Target="header18.xml"/><Relationship Id="rId52" Type="http://schemas.openxmlformats.org/officeDocument/2006/relationships/footer" Target="footer25.xml"/><Relationship Id="rId60" Type="http://schemas.openxmlformats.org/officeDocument/2006/relationships/footer" Target="footer29.xml"/><Relationship Id="rId65" Type="http://schemas.openxmlformats.org/officeDocument/2006/relationships/header" Target="header27.xml"/><Relationship Id="rId73" Type="http://schemas.openxmlformats.org/officeDocument/2006/relationships/header" Target="header31.xml"/><Relationship Id="rId78" Type="http://schemas.openxmlformats.org/officeDocument/2006/relationships/footer" Target="footer40.xml"/><Relationship Id="rId81" Type="http://schemas.openxmlformats.org/officeDocument/2006/relationships/footer" Target="footer41.xml"/><Relationship Id="rId86" Type="http://schemas.openxmlformats.org/officeDocument/2006/relationships/header" Target="header36.xml"/><Relationship Id="rId94" Type="http://schemas.openxmlformats.org/officeDocument/2006/relationships/footer" Target="footer49.xml"/><Relationship Id="rId99" Type="http://schemas.openxmlformats.org/officeDocument/2006/relationships/header" Target="header41.xml"/><Relationship Id="rId101" Type="http://schemas.openxmlformats.org/officeDocument/2006/relationships/footer" Target="footer54.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header" Target="header6.xml"/><Relationship Id="rId39" Type="http://schemas.openxmlformats.org/officeDocument/2006/relationships/footer" Target="footer17.xml"/><Relationship Id="rId34" Type="http://schemas.openxmlformats.org/officeDocument/2006/relationships/header" Target="header14.xml"/><Relationship Id="rId50" Type="http://schemas.openxmlformats.org/officeDocument/2006/relationships/footer" Target="footer24.xml"/><Relationship Id="rId55" Type="http://schemas.openxmlformats.org/officeDocument/2006/relationships/header" Target="header23.xml"/><Relationship Id="rId76" Type="http://schemas.openxmlformats.org/officeDocument/2006/relationships/header" Target="header32.xml"/><Relationship Id="rId97" Type="http://schemas.openxmlformats.org/officeDocument/2006/relationships/footer" Target="footer51.xml"/><Relationship Id="rId104" Type="http://schemas.openxmlformats.org/officeDocument/2006/relationships/footer" Target="footer55.xml"/><Relationship Id="rId7" Type="http://schemas.openxmlformats.org/officeDocument/2006/relationships/header" Target="header1.xml"/><Relationship Id="rId71" Type="http://schemas.openxmlformats.org/officeDocument/2006/relationships/footer" Target="footer36.xml"/><Relationship Id="rId92" Type="http://schemas.openxmlformats.org/officeDocument/2006/relationships/footer" Target="footer48.xml"/><Relationship Id="rId2" Type="http://schemas.openxmlformats.org/officeDocument/2006/relationships/styles" Target="styles.xml"/><Relationship Id="rId29" Type="http://schemas.openxmlformats.org/officeDocument/2006/relationships/header" Target="header11.xml"/><Relationship Id="rId24" Type="http://schemas.openxmlformats.org/officeDocument/2006/relationships/footer" Target="footer9.xml"/><Relationship Id="rId40" Type="http://schemas.openxmlformats.org/officeDocument/2006/relationships/footer" Target="footer18.xml"/><Relationship Id="rId45" Type="http://schemas.openxmlformats.org/officeDocument/2006/relationships/header" Target="header19.xml"/><Relationship Id="rId66" Type="http://schemas.openxmlformats.org/officeDocument/2006/relationships/header" Target="header28.xml"/><Relationship Id="rId87" Type="http://schemas.openxmlformats.org/officeDocument/2006/relationships/footer" Target="footer45.xml"/><Relationship Id="rId61" Type="http://schemas.openxmlformats.org/officeDocument/2006/relationships/footer" Target="footer30.xml"/><Relationship Id="rId82" Type="http://schemas.openxmlformats.org/officeDocument/2006/relationships/footer" Target="footer42.xml"/><Relationship Id="rId19" Type="http://schemas.openxmlformats.org/officeDocument/2006/relationships/header" Target="header7.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5.xml"/><Relationship Id="rId56" Type="http://schemas.openxmlformats.org/officeDocument/2006/relationships/footer" Target="footer27.xml"/><Relationship Id="rId77" Type="http://schemas.openxmlformats.org/officeDocument/2006/relationships/footer" Target="footer39.xml"/><Relationship Id="rId100" Type="http://schemas.openxmlformats.org/officeDocument/2006/relationships/footer" Target="footer53.xml"/><Relationship Id="rId105" Type="http://schemas.openxmlformats.org/officeDocument/2006/relationships/footer" Target="footer56.xml"/><Relationship Id="rId8" Type="http://schemas.openxmlformats.org/officeDocument/2006/relationships/header" Target="header2.xml"/><Relationship Id="rId51" Type="http://schemas.openxmlformats.org/officeDocument/2006/relationships/header" Target="header21.xml"/><Relationship Id="rId72" Type="http://schemas.openxmlformats.org/officeDocument/2006/relationships/header" Target="header30.xml"/><Relationship Id="rId93" Type="http://schemas.openxmlformats.org/officeDocument/2006/relationships/header" Target="header39.xml"/><Relationship Id="rId98" Type="http://schemas.openxmlformats.org/officeDocument/2006/relationships/footer" Target="footer52.xml"/><Relationship Id="rId3" Type="http://schemas.openxmlformats.org/officeDocument/2006/relationships/settings" Target="settings.xml"/><Relationship Id="rId25" Type="http://schemas.openxmlformats.org/officeDocument/2006/relationships/footer" Target="footer10.xml"/><Relationship Id="rId46" Type="http://schemas.openxmlformats.org/officeDocument/2006/relationships/footer" Target="footer21.xml"/><Relationship Id="rId67" Type="http://schemas.openxmlformats.org/officeDocument/2006/relationships/footer" Target="footer3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7826</Words>
  <Characters>44611</Characters>
  <Application>Microsoft Office Word</Application>
  <DocSecurity>0</DocSecurity>
  <Lines>371</Lines>
  <Paragraphs>104</Paragraphs>
  <ScaleCrop>false</ScaleCrop>
  <Company/>
  <LinksUpToDate>false</LinksUpToDate>
  <CharactersWithSpaces>52333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lxb</dc:creator>
  <cp:keywords/>
  <cp:lastModifiedBy>Cong Zhenglong</cp:lastModifiedBy>
  <cp:revision>3</cp:revision>
  <cp:lastPrinted>2021-05-29T07:20:00Z</cp:lastPrinted>
  <dcterms:created xsi:type="dcterms:W3CDTF">2023-01-19T04:38:00Z</dcterms:created>
  <dcterms:modified xsi:type="dcterms:W3CDTF">2023-01-19T04:38:00Z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2052-11.1.0.10578</vt:lpwstr>
  </property>
  <property fmtid="{D5CDD505-2E9C-101B-9397-08002B2CF9AE}" pid="3" name="ICV">
    <vt:lpwstr>6D82CC9089634FC787DCDEE4A2CF9B53</vt:lpwstr>
  </property>
</Properties>
</file>