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D2BDA" w14:textId="77777777" w:rsidR="00FF7458" w:rsidRPr="00FF7458" w:rsidRDefault="00FF7458" w:rsidP="00FF7458">
      <w:pPr>
        <w:shd w:val="clear" w:color="auto" w:fill="FFFFFF"/>
        <w:ind w:firstLineChars="0" w:firstLine="361"/>
        <w:jc w:val="center"/>
        <w:rPr>
          <w:rFonts w:ascii="宋体,微软雅黑" w:eastAsia="宋体,微软雅黑" w:hAnsi="宋体" w:cs="宋体"/>
          <w:color w:val="000000"/>
          <w:kern w:val="0"/>
          <w:sz w:val="18"/>
          <w:szCs w:val="18"/>
        </w:rPr>
      </w:pPr>
      <w:r w:rsidRPr="00FF7458">
        <w:rPr>
          <w:rFonts w:ascii="宋体,微软雅黑" w:eastAsia="宋体,微软雅黑" w:hAnsi="宋体" w:cs="宋体" w:hint="eastAsia"/>
          <w:b/>
          <w:bCs/>
          <w:color w:val="000000"/>
          <w:kern w:val="0"/>
          <w:sz w:val="18"/>
          <w:szCs w:val="18"/>
        </w:rPr>
        <w:br/>
        <w:t>乐山市法治宣传教育</w:t>
      </w:r>
    </w:p>
    <w:p w14:paraId="5CC8084F" w14:textId="77777777" w:rsidR="00FF7458" w:rsidRPr="00FF7458" w:rsidRDefault="00FF7458" w:rsidP="00FF7458">
      <w:pPr>
        <w:shd w:val="clear" w:color="auto" w:fill="FFFFFF"/>
        <w:ind w:firstLineChars="0" w:firstLine="480"/>
        <w:jc w:val="center"/>
        <w:rPr>
          <w:rFonts w:ascii="宋体,微软雅黑" w:eastAsia="宋体,微软雅黑" w:hAnsi="宋体" w:cs="宋体" w:hint="eastAsia"/>
          <w:color w:val="000000"/>
          <w:kern w:val="0"/>
          <w:sz w:val="18"/>
          <w:szCs w:val="18"/>
        </w:rPr>
      </w:pPr>
      <w:r w:rsidRPr="00FF7458">
        <w:rPr>
          <w:rFonts w:ascii="宋体,微软雅黑" w:eastAsia="宋体,微软雅黑" w:hAnsi="宋体" w:cs="宋体" w:hint="eastAsia"/>
          <w:b/>
          <w:bCs/>
          <w:color w:val="000000"/>
          <w:kern w:val="0"/>
          <w:sz w:val="18"/>
          <w:szCs w:val="18"/>
        </w:rPr>
        <w:br/>
      </w:r>
      <w:r w:rsidRPr="00FF7458">
        <w:rPr>
          <w:rFonts w:ascii="宋体,微软雅黑" w:eastAsia="宋体,微软雅黑" w:hAnsi="宋体" w:cs="宋体" w:hint="eastAsia"/>
          <w:b/>
          <w:bCs/>
          <w:color w:val="000000"/>
          <w:kern w:val="0"/>
          <w:sz w:val="18"/>
          <w:szCs w:val="18"/>
        </w:rPr>
        <w:t> </w:t>
      </w:r>
      <w:r w:rsidRPr="00FF7458">
        <w:rPr>
          <w:rFonts w:ascii="宋体,微软雅黑" w:eastAsia="宋体,微软雅黑" w:hAnsi="宋体" w:cs="宋体" w:hint="eastAsia"/>
          <w:b/>
          <w:bCs/>
          <w:color w:val="000000"/>
          <w:kern w:val="0"/>
          <w:sz w:val="18"/>
          <w:szCs w:val="18"/>
        </w:rPr>
        <w:t xml:space="preserve"> </w:t>
      </w:r>
      <w:r w:rsidRPr="00FF7458">
        <w:rPr>
          <w:rFonts w:ascii="宋体,微软雅黑" w:eastAsia="宋体,微软雅黑" w:hAnsi="宋体" w:cs="宋体" w:hint="eastAsia"/>
          <w:b/>
          <w:bCs/>
          <w:color w:val="000000"/>
          <w:kern w:val="0"/>
          <w:sz w:val="18"/>
          <w:szCs w:val="18"/>
        </w:rPr>
        <w:t> </w:t>
      </w:r>
      <w:r w:rsidRPr="00FF7458">
        <w:rPr>
          <w:rFonts w:ascii="宋体,微软雅黑" w:eastAsia="宋体,微软雅黑" w:hAnsi="宋体" w:cs="宋体" w:hint="eastAsia"/>
          <w:b/>
          <w:bCs/>
          <w:color w:val="000000"/>
          <w:kern w:val="0"/>
          <w:sz w:val="18"/>
          <w:szCs w:val="18"/>
        </w:rPr>
        <w:t xml:space="preserve"> </w:t>
      </w:r>
      <w:r w:rsidRPr="00FF7458">
        <w:rPr>
          <w:rFonts w:ascii="宋体,微软雅黑" w:eastAsia="宋体,微软雅黑" w:hAnsi="宋体" w:cs="宋体" w:hint="eastAsia"/>
          <w:b/>
          <w:bCs/>
          <w:color w:val="000000"/>
          <w:kern w:val="0"/>
          <w:sz w:val="18"/>
          <w:szCs w:val="18"/>
        </w:rPr>
        <w:t> </w:t>
      </w:r>
      <w:r w:rsidRPr="00FF7458">
        <w:rPr>
          <w:rFonts w:ascii="宋体,微软雅黑" w:eastAsia="宋体,微软雅黑" w:hAnsi="宋体" w:cs="宋体" w:hint="eastAsia"/>
          <w:b/>
          <w:bCs/>
          <w:color w:val="000000"/>
          <w:kern w:val="0"/>
          <w:sz w:val="18"/>
          <w:szCs w:val="18"/>
        </w:rPr>
        <w:t xml:space="preserve"> 第七个五年规划(2016—2020年)</w:t>
      </w:r>
    </w:p>
    <w:p w14:paraId="00F3AECC"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1F858866"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按照中央和省委、省政府部署，在市委、市政府的正确领导下，通过各地、各部门及广大干部群众共同努力，我市第六个五 年全民法治宣传教育规划( 2011 — 2015年)顺利实施完成，法治 宣传教育工作取得了显著成效。“法律七进”持续推进，以宪法 为核心的中国特色社会主义法律体系得到深入宣传，法治宣传教 育主题活动广泛开展，多层次多领域依法治理不断深化，法治创 建活动全面推进，干部群众的宪法和法律意识明显增强，治蜀兴 川重在厉行法治理念深入人心，社会治理法治化水平明显提升，法治宣传教育在全面推进依法治市、建设法治乐山中发挥了重要作用。</w:t>
      </w:r>
    </w:p>
    <w:p w14:paraId="60CE850C"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6DD31A73"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党的十八大以来，以习近平同志为核心的党中央对全面依法 治国作出了重要部署，对法治宣传教育提出了新的更高要求。我 市认真贯彻中央和省委重要部署，把依法治市作为事关全局的战 略任务和关键性工程来抓，制定出台《中共乐山市委关于推进依法治市的意见》和《中共乐山市委关于贯彻落党的十八届四中全会精神全面深入推进依法治市的决定〉〉，为全市法治宣传教育工作指明了方向，提供了遵循。与新形势新任务要求相比，有的地方和部门对法治宣传教育重要性的认识还不到位，普法宣传教育机制还不够健全，法治宣传教育工作的针对性、实效性有待进一步增强。必须坚持把全民普法和守法作为依法治市的长期性和基础性工作，深入开展法治宣传教育，增强全民法治观念，有力服务协调推进“四个全面”战略布局和“十三五”时期经济社会发展。为做好全市第七个五年法治宣传教育工作，根据《中共中央、国务院转发〈中央宣传部、司法部关于在公民中开展法治宣传教育的第七个五年规划（ 2016-2020年） &gt; 的通知》（中发〔2016〕11号）和《中共四川省委、四川省人民政府关于印发〈四川省法治宣传教育第七个五年规划（ 2016—2020年）〉的通知》（川委发〔2016〕31号）精神，结合我市实际,制定本规划。</w:t>
      </w:r>
    </w:p>
    <w:p w14:paraId="56AAA450"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6B6E78B0"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一、指导思想、主要目标和工作原则</w:t>
      </w:r>
    </w:p>
    <w:p w14:paraId="0818D9CC"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3C682347"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（一）指导思想。高举中国特色社会主义伟大旗帜，全面贯彻落实党的十八大和十八届三中、四中、五中、六中全会精神及省委、市委各项部署，以马克思列宁主义、毛泽东思想、邓小平 理论、“三个代表”重要思想、科学发展观为指导，深入学习贯 彻习近平总书记系列重要讲话精神，紧紧围绕统筹推进“五位一体”总体布局和协调推进“四个全面”战略布局，按照全面深入 推进依法治市战略部署，深入开展法治宣传教育，扎实推进依法 治理和法治创建，弘扬社会主义法治精神，建设社会主义法治文化，进一步增强全社会法治意识，为把我市建成四川旅游首选地、绿色转型示范市、山水园林宜居城、总部经济聚集区，实现“两 个先于、两个髙于、四个提升”的奋斗目标，建设美丽乐山营造 良好法治环境。</w:t>
      </w:r>
    </w:p>
    <w:p w14:paraId="021E2F2B"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5B0425F6"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（二）主要目标。法治宣传教育机制进一步健全，法治宣传教育体系更加完善，社会化、常态化的普法格局基本形成。“法律七进”深入推进，依法治理进一步深化，法治文化建设蓬勃发 展，全社会厉</w:t>
      </w:r>
      <w:r w:rsidRPr="00FF7458">
        <w:rPr>
          <w:rFonts w:ascii="宋体,微软雅黑" w:eastAsia="宋体,微软雅黑" w:hAnsi="宋体" w:cs="宋体" w:hint="eastAsia"/>
          <w:color w:val="000000"/>
          <w:kern w:val="0"/>
          <w:sz w:val="18"/>
          <w:szCs w:val="18"/>
        </w:rPr>
        <w:lastRenderedPageBreak/>
        <w:t>行法治的积极性、主动性明显提高，全民法治观念 和全体党员党章党规意识明显增强，全社会办事依法、遇事找法、</w:t>
      </w:r>
      <w:r w:rsidRPr="00FF7458">
        <w:rPr>
          <w:rFonts w:ascii="宋体,微软雅黑" w:eastAsia="宋体,微软雅黑" w:hAnsi="宋体" w:cs="宋体" w:hint="eastAsia"/>
          <w:color w:val="000000"/>
          <w:kern w:val="0"/>
          <w:sz w:val="18"/>
          <w:szCs w:val="18"/>
        </w:rPr>
        <w:t> </w:t>
      </w:r>
      <w:r w:rsidRPr="00FF7458">
        <w:rPr>
          <w:rFonts w:ascii="宋体,微软雅黑" w:eastAsia="宋体,微软雅黑" w:hAnsi="宋体" w:cs="宋体" w:hint="eastAsia"/>
          <w:color w:val="000000"/>
          <w:kern w:val="0"/>
          <w:sz w:val="18"/>
          <w:szCs w:val="18"/>
        </w:rPr>
        <w:t>解决问题用法、化解矛盾靠法的法治良序基本形成。</w:t>
      </w:r>
    </w:p>
    <w:p w14:paraId="4931480E"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02A60AF8"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（三）工作原则</w:t>
      </w:r>
    </w:p>
    <w:p w14:paraId="36FF8351"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035D8F40"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坚持围绕中心，服务大局。紧紧围绕党中央、国务院和省委、省政府重大决策部署以及市委、市政府中心工作开展法治宣传教育，积极服务“四个全面”战略布局和“两个先于、两个高于、四个提升”的奋斗目标，营造决胜全面小康、建设美丽乐山的良好法治环境。</w:t>
      </w:r>
    </w:p>
    <w:p w14:paraId="374D460B"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2A84EBE3"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——坚持以人为本，服务群众。以群众的法治需求为导向，用通俗易懂、喜闻乐见的方式开展法治宣传教育，增强全社会尊法学法守法用法意识，使广大党员群众掌握、遵守、运用国家法律法规和党内法规。</w:t>
      </w:r>
    </w:p>
    <w:p w14:paraId="485A3FC7"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494D86BD"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——坚持分类实施，突出重点。针对不同地区、部门、行业及不同对象的实际和特点，分类精准实施法治宣传教育。深入开展“法律七进”，强化问题导向，突出重点对象，带动和促进全民普法。</w:t>
      </w:r>
    </w:p>
    <w:p w14:paraId="3E36EB82"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5BF5B4D0"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坚持学用结合，普治并举。开展多层次多领域依法治理,坚持法治宣传教育与依法治理深度融合，寓法治宣传教育于立法、执法、司法、法律服务和党内法规建设等活动中，引导党员、群众在法治实践中自觉学习、运用国家法律法规和党内法规，提升法治素养。</w:t>
      </w:r>
    </w:p>
    <w:p w14:paraId="7C26808D"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6C1E9E20"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——坚持创新发展，注重实效。总结经验，把握规律，与时俱进，不断创新法治宣传教育工作理念、机制、载体和方式方法，切实增强法治宣传教育的系统性、针对性和实效性。</w:t>
      </w:r>
    </w:p>
    <w:p w14:paraId="6DA52A08"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744A7136"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二、主要任务</w:t>
      </w:r>
    </w:p>
    <w:p w14:paraId="66E60BA4"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2259897E"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一）深入学习宣传习近平总书记关于全面依法治国的重要论述。把学习宣传习近平总书记关于全面依法治国的重要论述作为重要政治任务，推动全社会了解和掌握全面依法治国的一系列新思想、新观点、新论断、新要求，增强走中国特色社会主义道路的自觉性和坚定性。深入学习宣传以习近平同志为核心的党中 央关于全面依法治国的重要部署，宣传科学立法、严格执法、公 正司法、全民守法和党内法规建设的生动实践，更好地发挥法治 的引领和规范作用。深入学习宣传省委依法治省、市委依法治市 决策部署，宣传法治乐山建设的具体实践，增强全社会参与全面 深化法治乐山建设的积极性和主动性。</w:t>
      </w:r>
    </w:p>
    <w:p w14:paraId="5FFC645D"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70A32976"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（二） 突出学习宣传宪法。坚持把学习宣传宪法摆在首要位 置，在全社会普遍开展宪法教育，弘扬宪法精神，树立宪法权威。</w:t>
      </w:r>
      <w:r w:rsidRPr="00FF7458">
        <w:rPr>
          <w:rFonts w:ascii="宋体,微软雅黑" w:eastAsia="宋体,微软雅黑" w:hAnsi="宋体" w:cs="宋体" w:hint="eastAsia"/>
          <w:color w:val="000000"/>
          <w:kern w:val="0"/>
          <w:sz w:val="18"/>
          <w:szCs w:val="18"/>
        </w:rPr>
        <w:t> </w:t>
      </w:r>
      <w:r w:rsidRPr="00FF7458">
        <w:rPr>
          <w:rFonts w:ascii="宋体,微软雅黑" w:eastAsia="宋体,微软雅黑" w:hAnsi="宋体" w:cs="宋体" w:hint="eastAsia"/>
          <w:color w:val="000000"/>
          <w:kern w:val="0"/>
          <w:sz w:val="18"/>
          <w:szCs w:val="18"/>
        </w:rPr>
        <w:t>深入宣传依宪治国、依宪执政等理念，宣传党的领导是宪法实施 的最根本保证，宣传宪法确立的国家根本制度、根本任务和我国 的国体、政体，宣传公民的基本权利和义务等</w:t>
      </w:r>
      <w:r w:rsidRPr="00FF7458">
        <w:rPr>
          <w:rFonts w:ascii="宋体,微软雅黑" w:eastAsia="宋体,微软雅黑" w:hAnsi="宋体" w:cs="宋体" w:hint="eastAsia"/>
          <w:color w:val="000000"/>
          <w:kern w:val="0"/>
          <w:sz w:val="18"/>
          <w:szCs w:val="18"/>
        </w:rPr>
        <w:lastRenderedPageBreak/>
        <w:t>宪法基本内容。宣传宪法的实施，落实宪法宣誓制度，开展“12?4”国家宪法日集中宣传活动，切实提高全体公民特别是各级领导干部和国家机关工作人员的宪法意识，增强宪法观念，捍卫宪法尊严。</w:t>
      </w:r>
    </w:p>
    <w:p w14:paraId="3E7A805D"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7C9B4A38"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（三） 深入宣传中国特色社会主义法律体系。大力宣传宪法 相关法、民法商法、行政法、经济法、社会法、刑法、诉讼与非 诉讼程序法等多个法律部门的法律法规。大力宣传社会主义民主 政治建设的法律法规，提高人民有序参与民主政治的意识和水平。</w:t>
      </w:r>
      <w:r w:rsidRPr="00FF7458">
        <w:rPr>
          <w:rFonts w:ascii="宋体,微软雅黑" w:eastAsia="宋体,微软雅黑" w:hAnsi="宋体" w:cs="宋体" w:hint="eastAsia"/>
          <w:color w:val="000000"/>
          <w:kern w:val="0"/>
          <w:sz w:val="18"/>
          <w:szCs w:val="18"/>
        </w:rPr>
        <w:t> </w:t>
      </w:r>
      <w:r w:rsidRPr="00FF7458">
        <w:rPr>
          <w:rFonts w:ascii="宋体,微软雅黑" w:eastAsia="宋体,微软雅黑" w:hAnsi="宋体" w:cs="宋体" w:hint="eastAsia"/>
          <w:color w:val="000000"/>
          <w:kern w:val="0"/>
          <w:sz w:val="18"/>
          <w:szCs w:val="18"/>
        </w:rPr>
        <w:t>大力宣传保障公民基本权利的法律法规，促进公民权利保障法治 化。大力宣传依法行政领域的法律法规，提高行政机关依法行政 和行政相对人遵守行政管理秩序的意识。大力宣传市场经济领域 的法律法规，推动全社会树立保护产权、平等交换、公平竞争、</w:t>
      </w:r>
      <w:r w:rsidRPr="00FF7458">
        <w:rPr>
          <w:rFonts w:ascii="宋体,微软雅黑" w:eastAsia="宋体,微软雅黑" w:hAnsi="宋体" w:cs="宋体" w:hint="eastAsia"/>
          <w:color w:val="000000"/>
          <w:kern w:val="0"/>
          <w:sz w:val="18"/>
          <w:szCs w:val="18"/>
        </w:rPr>
        <w:t> </w:t>
      </w:r>
      <w:r w:rsidRPr="00FF7458">
        <w:rPr>
          <w:rFonts w:ascii="宋体,微软雅黑" w:eastAsia="宋体,微软雅黑" w:hAnsi="宋体" w:cs="宋体" w:hint="eastAsia"/>
          <w:color w:val="000000"/>
          <w:kern w:val="0"/>
          <w:sz w:val="18"/>
          <w:szCs w:val="18"/>
        </w:rPr>
        <w:t>诚实信用等意识，促进大众创业万众创新，促进经济在新常态下 平稳健康运行。大力宣传有利于激发文化创造活力、保障入民基 本文化权益的相关法律法规，促进社会主义精神文明建设。大力 宣传教育、劳动就业、收入分配、社会保障、医疗丁小、食品药 品安全、禁毒防艾、寄递物流、防范诈骗、扶贫攻坚、慈善、社 会救助和妇女儿童、老年人、残疾人合法权益保护等方面法律法 规，促进保障和改善民生。大力宣传国家安全、生态安全和生产 安全、交通安全、消防安全等公共安全领域的法律法规，提高全 民安全意识和预防能力。大力宣传国防法律法规，提高全民国防 观念，促进国防建设。大力宣传党的民族、宗教政策和相关法律法规，维护民族地区繁荣稳定，促进民族关系、宗教关系和谐。大力宣传创新驱动发展战略、环境保护、防灾减灾、资源能源节约利用、休闲旅游等方面的法律法规，推进绿色发展、建设美丽乐山。大力宣传互联网领域的法律法规，促进形成网络空间良好秩序。大力宣传诉讼、行政复议、仲裁、调解、信访等方面的法律法规，引导群众依法表达诉求、维护权利，促进社会和谐稳定。大力宣传乐山地方性法规和规章，切实服务地方经济社会发展。大力宣传宪法法律至上、法律面前人人平等、权由法定、权依法 使等基本法治理念，在全社会弘扬法治精神、树立法治意识，破 除“法不责众” “人情大于国法”等错误认识，引导全民办事依 法、遇事找法、解决问题用法、化解矛盾靠法。</w:t>
      </w:r>
    </w:p>
    <w:p w14:paraId="6C7B4FC3"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51AFCAC6"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四）深入学习宣传党内法规。突出宣传党章，教育引导广大党员尊崇党章，以党章为根本遵循，坚决维护党章权威。大力宣传《中国共产党廉洁自律准则》《关于新形势下党内政治生活的若干准则》《中国共产党党内监督条例》《中国共产党纪律处分条例》《中国共产党问责条例》等党内法规，注重党内法规宣 传与国家法律宣传的衔接协调，坚持纪在法前、纪严于法，教育 引导广大党员做党章党规党纪和国家法律的自觉尊崇者、模范遵 守者、坚定捍卫者。</w:t>
      </w:r>
    </w:p>
    <w:p w14:paraId="6002ED29"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6B5138ED"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五）积极推进社会主义法治文化建设。把法治文化建设纳入现代公共文化服务体系，推动法治文化融入机关文化、企业文化、校园文化、村（社区）文化、网络文化、旅游文化，不断丰富法治文化活动的载体和形式。繁荣法治文化作品创作推广，把法治文化作品纳入各级文化作品评奖内容，纳入艺术、出版扶持 和奖励基金内容，打造法治艺术精品。创编人民群众喜闻乐见的 法治微电影、法治川剧、法治话剧、法治小品、法治歌曲、法治动漫、法治快板书等具有地方特色的法治文艺作品，讲好乐山法治故事。利用重大纪念日、民族传统节日等契机开展形式多样、各具特色的法治文化主题活动。探索以政府购买服务等方式组织开展法治文艺展演展播、法治文艺演出下基层等活动。把法治元素纳入城乡建设规划设计，加强基层法治文化公共设施建设。加强法治宣传教育工作重大理论和实践问题研究，加大高等学校对法律专业人才教育培养力度，为普法和依法治理提供理论人才支撑。</w:t>
      </w:r>
    </w:p>
    <w:p w14:paraId="2601BFAE"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2C233920"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（六）推进多层次多领域依法治理。坚持法治宣传教育与法 治实践相结合，深化法治城市创建.全面开展基层法治示范创建。提高社会治理法治化水平。推进全省“依法治旅兴旅试验区”建设。全市11</w:t>
      </w:r>
      <w:r w:rsidRPr="00FF7458">
        <w:rPr>
          <w:rFonts w:ascii="宋体,微软雅黑" w:eastAsia="宋体,微软雅黑" w:hAnsi="宋体" w:cs="宋体" w:hint="eastAsia"/>
          <w:color w:val="000000"/>
          <w:kern w:val="0"/>
          <w:sz w:val="18"/>
          <w:szCs w:val="18"/>
        </w:rPr>
        <w:lastRenderedPageBreak/>
        <w:t>个县（市、区）全部建成市级法治示范县（市、区），并积极争创省级法治示范县（市、区）、国家级法治示范县（市、区）。深入开展市级法治示范乡镇（街道）、学法用法示范机关（单位）、依法行政示范机关（单位）、依法治校示范校、诚信 守法示范企业、和谐寺观教堂等创建活动，并实行动态管理。深入开展民主法治示范村（社区）创建，教育引导基层群众自我约束、自我管理。充分发挥村规民约、居民公约、行业规章、团体章程等社会规范在社会治理中的积极作用。支持行业协会、商会等社会组织发挥行业自律和专业服务功能，发挥社会组织对其成员的行为导引、规则约束、权益维护作用。</w:t>
      </w:r>
    </w:p>
    <w:p w14:paraId="5E533BF7"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3A306D8A"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（七）推进法治教育与道德教育相结合。坚持依法治国和以德治国相结合的基本原则，促进实现法律和道德相辅相成、法治和德治相得益彰。大力弘扬社会主义核心价值观，培育社会公德、</w:t>
      </w:r>
      <w:r w:rsidRPr="00FF7458">
        <w:rPr>
          <w:rFonts w:ascii="宋体,微软雅黑" w:eastAsia="宋体,微软雅黑" w:hAnsi="宋体" w:cs="宋体" w:hint="eastAsia"/>
          <w:color w:val="000000"/>
          <w:kern w:val="0"/>
          <w:sz w:val="18"/>
          <w:szCs w:val="18"/>
        </w:rPr>
        <w:t> </w:t>
      </w:r>
      <w:r w:rsidRPr="00FF7458">
        <w:rPr>
          <w:rFonts w:ascii="宋体,微软雅黑" w:eastAsia="宋体,微软雅黑" w:hAnsi="宋体" w:cs="宋体" w:hint="eastAsia"/>
          <w:color w:val="000000"/>
          <w:kern w:val="0"/>
          <w:sz w:val="18"/>
          <w:szCs w:val="18"/>
        </w:rPr>
        <w:t>职业道德、家庭美德、个人品德，提高全社会思想道德水平。强化规则意识，倡导契约精神，弘扬公序良俗，引导人们自觉履行法定义务、社会责任、家庭责任。健全公民和组织守法信用记录，</w:t>
      </w:r>
      <w:r w:rsidRPr="00FF7458">
        <w:rPr>
          <w:rFonts w:ascii="宋体,微软雅黑" w:eastAsia="宋体,微软雅黑" w:hAnsi="宋体" w:cs="宋体" w:hint="eastAsia"/>
          <w:color w:val="000000"/>
          <w:kern w:val="0"/>
          <w:sz w:val="18"/>
          <w:szCs w:val="18"/>
        </w:rPr>
        <w:t> </w:t>
      </w:r>
      <w:r w:rsidRPr="00FF7458">
        <w:rPr>
          <w:rFonts w:ascii="宋体,微软雅黑" w:eastAsia="宋体,微软雅黑" w:hAnsi="宋体" w:cs="宋体" w:hint="eastAsia"/>
          <w:color w:val="000000"/>
          <w:kern w:val="0"/>
          <w:sz w:val="18"/>
          <w:szCs w:val="18"/>
        </w:rPr>
        <w:t>完善守法诚信褒奖机制和违法失信惩戒机制。</w:t>
      </w:r>
    </w:p>
    <w:p w14:paraId="6EE715CE"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323C7566"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三、对象和要求</w:t>
      </w:r>
    </w:p>
    <w:p w14:paraId="5470A3BE"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00469A20"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法治宣传教育的对象是一切有接受教育能力的公民，重中之重是领导干部和青少年。以“法律七进”为载体和抓手，按照有规划、有大纲、有教材、有载体要求，突出法治宣传教育的系统 性、分众化、针对性和实效性，切实推动法治进意识、进观念。</w:t>
      </w:r>
    </w:p>
    <w:p w14:paraId="2F9378E5"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4791B6AB"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（一）法律进机关。贯彻落实中央组织部、中央宣传部、司 法部、人力资源社会保障部印发的《关于完善国家工作人员学法 用法制度的意见》，坚持把领导干部带头学法、模范守法作为树立社会法治意识的关键。完善领导干部学法用法制度，把宪法法律和党内法规列入党委（党组）中心组和领导干部会前学法内容，列为党校、行政学院（校）、社会主义学校必修课。建立完善国家工作人员在线学法平台，把法治教育纳入干部教育培训总体规划，纳入国家工作人员初任培训、任职培训的必训内容，在其他 各类培训课程中融入法治教育内容，保证培训课时和质量。加强党章和党内法规学习教育，引导党员领导干部增强党章党规党纪意识，严守政治纟己律和政治规矩。健全日常学法制度，逐步建立和完善领导干部学法考勤、学法档案、学法情况通报等制度，把尊法学法守法用法情况作为考核、考察领导干部和国家工作人员的重要内容。健全重大决策合法性审查机制，积极推行党政机关法律顾问制度，各级党政机关和人民团体普遍设立公职律师。</w:t>
      </w:r>
    </w:p>
    <w:p w14:paraId="3C199F4E"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3E013D5E"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二）法律进学校。把法治教育纳入国民教育体系，制定和实施青少年法治教育大纲，做到有教材、有师资、有课时、有经费、有考试。在中小学设置并增加法治知识课时，确保在校学生都能得到基本法治知识教育 完善中小学法治课教材体系.编写法治教育教材、读本，并纳入义务教育免费教科书范围，在小学 普及宪法基本常识，在中考中增加法治知识内容，使青少年从小 树立宪法意识和国家意识。将法治教育纳入中小学幼儿园教师培训计划，加强法治课教师、法治副校长、法治辅导员培训、配备和管理。充分利用第二课堂和社会实践活动开展青少年法治教育，在开学第一课、开学典礼或毕业仪式、入队入团、成人仪式、班团会等活动中有机融入法治教育内容，深入开展“法律进班级”“法律进社团” “法律进寝室” “小手拉大手”等活动。运用模拟法庭、法治演讲（征文）、法治手抄报和邀请巡回法庭进校园等形式开展学校法治宣传教育活动。加强高等学校学生法治教育，增强其法治观念和参与法治实践的</w:t>
      </w:r>
      <w:r w:rsidRPr="00FF7458">
        <w:rPr>
          <w:rFonts w:ascii="宋体,微软雅黑" w:eastAsia="宋体,微软雅黑" w:hAnsi="宋体" w:cs="宋体" w:hint="eastAsia"/>
          <w:color w:val="000000"/>
          <w:kern w:val="0"/>
          <w:sz w:val="18"/>
          <w:szCs w:val="18"/>
        </w:rPr>
        <w:lastRenderedPageBreak/>
        <w:t>能力。强化学校、家庭、社会“三位一体”的青少年法治教育格局，加强青少年法治教育基地建设，到2020年，全市建成至少1所符合标准的青少年法治教育实践基地，在县（市、区）因地制宜、结合实际建立相应的实践 基地。</w:t>
      </w:r>
    </w:p>
    <w:p w14:paraId="509C044E"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0C5E1748"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三）法律进宗教场所。着力构建宗教场所法治宣传教育工作长效机制，不断夯实宗教场所法治宣传教育基础。建立完善法律进宗教场所常态化宣讲机制，旗帜鲜明地讲清僧尼、宗教教职人员是公民、宗教场所是基层社会单位，以及法律与戒律、守法与持戒的关系，讲清法律面前人人平等。编发“法律进宗教场所”普法读物，组织以案释法、法律知识竞麝等活动、用直观形象、法治宣传教育工作创新发展的合力。结合各地、各部门工作实际，分析不同地区、不同对象法律需求，因地制宜、分类指导，不断增强法治宣传教育的针对性。坚持问题导向，深入开展调查研究，积极解决问题、努力推动工作。及时总结推广工作中的好经验和做法，发挥典型引领和示范作用，推进法治宣传教育工作不断深 入。</w:t>
      </w:r>
    </w:p>
    <w:p w14:paraId="10AFCAB3"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42FFE894" w14:textId="77777777" w:rsidR="00FF7458" w:rsidRPr="00FF7458" w:rsidRDefault="00FF7458" w:rsidP="00FF7458">
      <w:pPr>
        <w:shd w:val="clear" w:color="auto" w:fill="FFFFFF"/>
        <w:ind w:firstLineChars="0" w:firstLine="48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四）加强考核评估。各级党委、政府要把法治宣传教育纳入综合绩效考核、综治考核和文明创建考核内容。建立健全法治宣传教育工作考评指导标准和指标体系，完善考核办法和机制。注重考核结果的运用，将法治宣传教育的实效作为对各地法治建设状况评估的重要内容。</w:t>
      </w:r>
    </w:p>
    <w:p w14:paraId="6E8A4E67" w14:textId="77777777" w:rsidR="00FF7458" w:rsidRPr="00FF7458" w:rsidRDefault="00FF7458" w:rsidP="00FF7458">
      <w:pPr>
        <w:ind w:firstLineChars="0" w:firstLine="0"/>
        <w:jc w:val="left"/>
        <w:rPr>
          <w:rFonts w:ascii="宋体" w:eastAsia="宋体" w:hAnsi="宋体" w:cs="宋体" w:hint="eastAsia"/>
          <w:kern w:val="0"/>
          <w:sz w:val="24"/>
          <w:szCs w:val="24"/>
        </w:rPr>
      </w:pPr>
      <w:r w:rsidRPr="00FF7458">
        <w:rPr>
          <w:rFonts w:ascii="宋体,微软雅黑" w:eastAsia="宋体,微软雅黑" w:hAnsi="宋体" w:cs="宋体" w:hint="eastAsia"/>
          <w:color w:val="000000"/>
          <w:kern w:val="0"/>
          <w:szCs w:val="21"/>
        </w:rPr>
        <w:br/>
      </w:r>
    </w:p>
    <w:p w14:paraId="4AEEC10D" w14:textId="77777777" w:rsidR="00FF7458" w:rsidRPr="00FF7458" w:rsidRDefault="00FF7458" w:rsidP="00FF7458">
      <w:pPr>
        <w:shd w:val="clear" w:color="auto" w:fill="FFFFFF"/>
        <w:ind w:firstLineChars="0" w:firstLine="360"/>
        <w:jc w:val="left"/>
        <w:rPr>
          <w:rFonts w:ascii="宋体,微软雅黑" w:eastAsia="宋体,微软雅黑" w:hAnsi="宋体" w:cs="宋体"/>
          <w:color w:val="000000"/>
          <w:kern w:val="0"/>
          <w:sz w:val="18"/>
          <w:szCs w:val="18"/>
        </w:rPr>
      </w:pPr>
      <w:r w:rsidRPr="00FF7458">
        <w:rPr>
          <w:rFonts w:ascii="宋体,微软雅黑" w:eastAsia="宋体,微软雅黑" w:hAnsi="宋体" w:cs="宋体" w:hint="eastAsia"/>
          <w:color w:val="000000"/>
          <w:kern w:val="0"/>
          <w:sz w:val="18"/>
          <w:szCs w:val="18"/>
        </w:rPr>
        <w:t>（五）加强经费保障。各地要把法治宣传教育工作经费纳入本级财政预算，切实予以保障，并建立动态增长机制。市级各部门（单位）要统筹安排经费，切实保障本部门（单位）法治宣传教育工作的需要。把法治宣传教育列入政府购买服务指导性目录。鼓励、支持各类社会组织和公民参与法治宣传教育工作，积极利用社会资金资源开展法治宣传教育。</w:t>
      </w:r>
    </w:p>
    <w:p w14:paraId="47590B19" w14:textId="77777777" w:rsidR="009F5C1C" w:rsidRDefault="009F5C1C">
      <w:pPr>
        <w:ind w:firstLine="420"/>
      </w:pPr>
    </w:p>
    <w:sectPr w:rsidR="009F5C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微软雅黑">
    <w:altName w:val="宋体"/>
    <w:panose1 w:val="00000000000000000000"/>
    <w:charset w:val="86"/>
    <w:family w:val="roman"/>
    <w:notTrueType/>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BD"/>
    <w:rsid w:val="000B5EBD"/>
    <w:rsid w:val="009B4B48"/>
    <w:rsid w:val="009F5C1C"/>
    <w:rsid w:val="00FE4941"/>
    <w:rsid w:val="00FE61C6"/>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BAD44-8F20-4D5B-B0BA-44FBE1A8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40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子林 王</dc:creator>
  <cp:keywords/>
  <dc:description/>
  <cp:lastModifiedBy>子林 王</cp:lastModifiedBy>
  <cp:revision>2</cp:revision>
  <dcterms:created xsi:type="dcterms:W3CDTF">2023-07-20T14:03:00Z</dcterms:created>
  <dcterms:modified xsi:type="dcterms:W3CDTF">2023-07-20T14:03:00Z</dcterms:modified>
</cp:coreProperties>
</file>