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0" w:after="120"/>
        <w:ind w:left="-31" w:leftChars="-74" w:right="-316" w:rightChars="-113" w:hanging="176" w:hangingChars="40"/>
        <w:jc w:val="center"/>
        <w:rPr>
          <w:rFonts w:hint="eastAsia" w:ascii="黑体" w:eastAsia="黑体"/>
          <w:kern w:val="0"/>
          <w:sz w:val="44"/>
          <w:szCs w:val="44"/>
        </w:rPr>
      </w:pPr>
    </w:p>
    <w:p>
      <w:pPr>
        <w:spacing w:before="120" w:after="120"/>
        <w:ind w:left="-31" w:leftChars="-74" w:right="-316" w:rightChars="-113" w:hanging="176" w:hangingChars="40"/>
        <w:jc w:val="center"/>
        <w:rPr>
          <w:rFonts w:hint="eastAsia" w:ascii="黑体" w:eastAsia="黑体"/>
          <w:kern w:val="0"/>
          <w:sz w:val="44"/>
          <w:szCs w:val="44"/>
        </w:rPr>
      </w:pPr>
    </w:p>
    <w:p>
      <w:pPr>
        <w:pStyle w:val="12"/>
        <w:ind w:left="0" w:leftChars="0"/>
        <w:jc w:val="center"/>
        <w:rPr>
          <w:rFonts w:hint="eastAsia" w:ascii="宋体" w:hAnsi="宋体" w:eastAsia="宋体"/>
          <w:b/>
          <w:sz w:val="54"/>
          <w:szCs w:val="54"/>
        </w:rPr>
      </w:pPr>
      <w:r>
        <w:rPr>
          <w:rFonts w:hint="eastAsia" w:ascii="宋体" w:hAnsi="宋体" w:eastAsia="宋体"/>
          <w:b/>
          <w:sz w:val="54"/>
          <w:szCs w:val="54"/>
        </w:rPr>
        <w:t>昆山市环境保护“十二五”规划</w:t>
      </w:r>
    </w:p>
    <w:p>
      <w:pPr>
        <w:jc w:val="center"/>
        <w:rPr>
          <w:rFonts w:hint="eastAsia" w:ascii="黑体" w:eastAsia="黑体"/>
          <w:kern w:val="0"/>
          <w:sz w:val="30"/>
          <w:szCs w:val="30"/>
        </w:rPr>
      </w:pPr>
    </w:p>
    <w:p>
      <w:pPr>
        <w:jc w:val="center"/>
        <w:rPr>
          <w:rFonts w:hint="eastAsia" w:ascii="黑体" w:eastAsia="黑体"/>
          <w:kern w:val="0"/>
          <w:sz w:val="30"/>
          <w:szCs w:val="30"/>
        </w:rPr>
      </w:pPr>
    </w:p>
    <w:p>
      <w:pPr>
        <w:jc w:val="center"/>
        <w:rPr>
          <w:rFonts w:hint="eastAsia" w:ascii="黑体" w:eastAsia="黑体"/>
          <w:kern w:val="0"/>
          <w:sz w:val="30"/>
          <w:szCs w:val="30"/>
        </w:rPr>
      </w:pPr>
    </w:p>
    <w:p>
      <w:pPr>
        <w:jc w:val="center"/>
        <w:rPr>
          <w:rFonts w:hint="eastAsia" w:ascii="黑体" w:eastAsia="黑体"/>
          <w:kern w:val="0"/>
          <w:sz w:val="30"/>
          <w:szCs w:val="30"/>
        </w:rPr>
      </w:pPr>
    </w:p>
    <w:p>
      <w:pPr>
        <w:jc w:val="center"/>
        <w:rPr>
          <w:rFonts w:hint="eastAsia" w:ascii="黑体" w:eastAsia="黑体"/>
          <w:kern w:val="0"/>
          <w:sz w:val="30"/>
          <w:szCs w:val="30"/>
        </w:rPr>
      </w:pPr>
    </w:p>
    <w:p>
      <w:pPr>
        <w:jc w:val="center"/>
        <w:rPr>
          <w:rFonts w:hint="eastAsia" w:ascii="黑体" w:eastAsia="黑体"/>
          <w:kern w:val="0"/>
          <w:sz w:val="30"/>
          <w:szCs w:val="30"/>
        </w:rPr>
      </w:pPr>
    </w:p>
    <w:p>
      <w:pPr>
        <w:jc w:val="center"/>
        <w:rPr>
          <w:rFonts w:hint="eastAsia" w:ascii="黑体" w:eastAsia="黑体"/>
          <w:kern w:val="0"/>
          <w:sz w:val="30"/>
          <w:szCs w:val="30"/>
        </w:rPr>
      </w:pPr>
    </w:p>
    <w:p>
      <w:pPr>
        <w:jc w:val="center"/>
        <w:rPr>
          <w:rFonts w:hint="eastAsia" w:ascii="黑体" w:eastAsia="黑体"/>
          <w:kern w:val="0"/>
          <w:sz w:val="30"/>
          <w:szCs w:val="30"/>
        </w:rPr>
      </w:pPr>
    </w:p>
    <w:p>
      <w:pPr>
        <w:jc w:val="center"/>
        <w:rPr>
          <w:rFonts w:hint="eastAsia" w:ascii="黑体" w:eastAsia="黑体"/>
          <w:kern w:val="0"/>
          <w:sz w:val="30"/>
          <w:szCs w:val="30"/>
        </w:rPr>
      </w:pPr>
    </w:p>
    <w:p>
      <w:pPr>
        <w:jc w:val="center"/>
        <w:rPr>
          <w:rFonts w:hint="eastAsia" w:ascii="黑体" w:eastAsia="黑体"/>
          <w:kern w:val="0"/>
          <w:sz w:val="30"/>
          <w:szCs w:val="30"/>
        </w:rPr>
      </w:pPr>
    </w:p>
    <w:p>
      <w:pPr>
        <w:jc w:val="center"/>
        <w:rPr>
          <w:rFonts w:hint="eastAsia" w:ascii="黑体" w:eastAsia="黑体"/>
          <w:kern w:val="0"/>
          <w:sz w:val="30"/>
          <w:szCs w:val="30"/>
        </w:rPr>
      </w:pPr>
    </w:p>
    <w:p>
      <w:pPr>
        <w:pStyle w:val="12"/>
        <w:ind w:left="0" w:leftChars="0"/>
        <w:jc w:val="center"/>
        <w:rPr>
          <w:rFonts w:hint="eastAsia" w:eastAsia="华文中宋"/>
          <w:b/>
          <w:sz w:val="30"/>
          <w:szCs w:val="30"/>
        </w:rPr>
      </w:pPr>
    </w:p>
    <w:p>
      <w:pPr>
        <w:pStyle w:val="12"/>
        <w:ind w:left="0" w:leftChars="0"/>
        <w:jc w:val="center"/>
        <w:rPr>
          <w:rFonts w:hint="eastAsia" w:eastAsia="华文中宋"/>
          <w:b/>
          <w:sz w:val="30"/>
          <w:szCs w:val="30"/>
        </w:rPr>
      </w:pPr>
    </w:p>
    <w:p>
      <w:pPr>
        <w:pStyle w:val="12"/>
        <w:ind w:left="0" w:leftChars="0"/>
        <w:jc w:val="center"/>
        <w:rPr>
          <w:rFonts w:hint="eastAsia" w:eastAsia="华文中宋"/>
          <w:b/>
          <w:sz w:val="30"/>
          <w:szCs w:val="30"/>
        </w:rPr>
      </w:pPr>
    </w:p>
    <w:p>
      <w:pPr>
        <w:pStyle w:val="12"/>
        <w:ind w:left="0" w:leftChars="0"/>
        <w:jc w:val="center"/>
        <w:rPr>
          <w:rFonts w:hint="eastAsia" w:eastAsia="华文中宋"/>
          <w:b/>
          <w:sz w:val="30"/>
          <w:szCs w:val="30"/>
        </w:rPr>
      </w:pPr>
    </w:p>
    <w:p>
      <w:pPr>
        <w:pStyle w:val="12"/>
        <w:ind w:left="0" w:leftChars="0"/>
        <w:jc w:val="center"/>
        <w:rPr>
          <w:rFonts w:hint="eastAsia" w:eastAsia="华文中宋"/>
          <w:b/>
          <w:sz w:val="30"/>
          <w:szCs w:val="30"/>
        </w:rPr>
        <w:sectPr>
          <w:footerReference r:id="rId5" w:type="default"/>
          <w:footerReference r:id="rId6" w:type="even"/>
          <w:endnotePr>
            <w:numFmt w:val="decimal"/>
          </w:endnotePr>
          <w:pgSz w:w="11906" w:h="16838"/>
          <w:pgMar w:top="1440" w:right="1797" w:bottom="1440" w:left="1797" w:header="851" w:footer="992" w:gutter="0"/>
          <w:pgNumType w:start="1"/>
          <w:cols w:space="425" w:num="1"/>
          <w:docGrid w:linePitch="312" w:charSpace="0"/>
        </w:sectPr>
      </w:pPr>
    </w:p>
    <w:p>
      <w:pPr>
        <w:pStyle w:val="2"/>
        <w:jc w:val="both"/>
        <w:rPr>
          <w:rFonts w:ascii="Times New Roman" w:hAnsi="Times New Roman"/>
        </w:rPr>
      </w:pPr>
      <w:bookmarkStart w:id="0" w:name="_Toc265336496"/>
      <w:bookmarkStart w:id="1" w:name="_Toc263071858"/>
      <w:bookmarkStart w:id="2" w:name="_Toc304379387"/>
      <w:bookmarkStart w:id="3" w:name="_Toc76813815"/>
      <w:bookmarkStart w:id="4" w:name="_Toc76813818"/>
      <w:bookmarkStart w:id="229" w:name="_GoBack"/>
      <w:bookmarkEnd w:id="229"/>
      <w:r>
        <w:rPr>
          <w:rFonts w:ascii="Times New Roman" w:hAnsi="Times New Roman"/>
        </w:rPr>
        <w:t xml:space="preserve"> 前言</w:t>
      </w:r>
      <w:bookmarkEnd w:id="0"/>
      <w:bookmarkEnd w:id="1"/>
      <w:bookmarkEnd w:id="2"/>
    </w:p>
    <w:p>
      <w:pPr>
        <w:spacing w:line="500" w:lineRule="exact"/>
        <w:ind w:firstLine="560" w:firstLineChars="200"/>
        <w:rPr>
          <w:szCs w:val="28"/>
        </w:rPr>
      </w:pPr>
      <w:r>
        <w:rPr>
          <w:szCs w:val="28"/>
        </w:rPr>
        <w:t>“十一五”时期，昆山市以深入学习科学发展观为强大动力，不断丰富和发展“昆山之路”内涵，坚持率先发展、科学发展、和谐发展，较好克服了国际金融危机的不利影响，全面巩固了小康社会建设成果，</w:t>
      </w:r>
      <w:r>
        <w:rPr>
          <w:bCs/>
          <w:szCs w:val="28"/>
        </w:rPr>
        <w:t>综合实力位居全国百强县（市）之首，走出一条以改革开放为特色、以科学发展为特征的新时期“昆山之路”，成为全国18个改革开放典型地区之一，</w:t>
      </w:r>
      <w:r>
        <w:rPr>
          <w:szCs w:val="28"/>
        </w:rPr>
        <w:t>奋力开启了率先基本实现现代化新征程。</w:t>
      </w:r>
    </w:p>
    <w:p>
      <w:pPr>
        <w:spacing w:line="500" w:lineRule="exact"/>
        <w:ind w:firstLine="560" w:firstLineChars="200"/>
        <w:rPr>
          <w:szCs w:val="28"/>
        </w:rPr>
      </w:pPr>
      <w:r>
        <w:rPr>
          <w:szCs w:val="28"/>
        </w:rPr>
        <w:t>在经济快速发展的同时，昆山非常重视和大力推进环境保护和生态建设，先后获得国家卫生城市、国家园林城市、国家环保模范城市、国际花园城市、联合国人居奖和中国改革十大创新城市等称号，2006年昆山被正式命名为首批“国家生态市”。</w:t>
      </w:r>
    </w:p>
    <w:p>
      <w:pPr>
        <w:spacing w:line="500" w:lineRule="exact"/>
        <w:ind w:firstLine="560" w:firstLineChars="200"/>
        <w:rPr>
          <w:szCs w:val="28"/>
        </w:rPr>
      </w:pPr>
      <w:r>
        <w:rPr>
          <w:szCs w:val="28"/>
        </w:rPr>
        <w:t>为进一步巩固昆山生态市建设成效，提升昆山可持续发展能力，昆山市政府提出建设生态文明的倡议，并编制了生态文明建设规划，开始了生态文明的建设工作，2009年昆山市已被国家环境保护部列为全国第二批生态文明建设示范点之一。</w:t>
      </w:r>
    </w:p>
    <w:p>
      <w:pPr>
        <w:spacing w:line="500" w:lineRule="exact"/>
        <w:ind w:firstLine="560" w:firstLineChars="200"/>
        <w:rPr>
          <w:szCs w:val="28"/>
        </w:rPr>
      </w:pPr>
      <w:r>
        <w:rPr>
          <w:szCs w:val="28"/>
        </w:rPr>
        <w:t>“十二五”时期是昆山经济社会发展由率先全面实现小康社会向率先实现现代化迈进的关键时期，也是推进生态文明建设的重要阶段，谋划好昆山“十二五”环境保护发展战略、发展思路、发展目标及发展重点，制定相应的政策措施，对于全面提高昆山环境质量、推动经济社会又好又快发展、实现市委提出的“三步走”战略部署，打造以低碳经济、低碳生活、低碳社会为建设标本和蓝图的低碳城市具有十分重要的意义。</w:t>
      </w:r>
    </w:p>
    <w:p>
      <w:pPr>
        <w:spacing w:line="500" w:lineRule="exact"/>
        <w:ind w:firstLine="560" w:firstLineChars="200"/>
      </w:pPr>
      <w:r>
        <w:t>“十二五”期间的环境保护工作，必须紧紧围绕省委、省政府《关于落实科学发展观促进可持续发展的意见》、《江苏生态省建设规划纲要》和《江苏省循环经济建设规划》、《苏州市生态市建设规划纲要》、《昆山市生态市建设规划》、《昆山市生态示范区建设规划》、《昆山市生态文明建设规划》的要求，以“人与自然和谐、人与社会和谐、人与人和谐”为核心内涵，建立安全的防控体系、高效的环境治理体系和完备的环境管理体系，探索昆山特色的生态文明建设模式，率先将昆山建成</w:t>
      </w:r>
      <w:r>
        <w:rPr>
          <w:szCs w:val="28"/>
        </w:rPr>
        <w:t>国家生态文明示范城市。</w:t>
      </w:r>
    </w:p>
    <w:p>
      <w:pPr>
        <w:spacing w:line="500" w:lineRule="exact"/>
        <w:ind w:firstLine="560" w:firstLineChars="200"/>
      </w:pPr>
    </w:p>
    <w:p>
      <w:pPr>
        <w:pStyle w:val="2"/>
        <w:jc w:val="both"/>
        <w:rPr>
          <w:rFonts w:ascii="Times New Roman" w:hAnsi="Times New Roman"/>
        </w:rPr>
      </w:pPr>
      <w:bookmarkStart w:id="5" w:name="_Toc304379388"/>
      <w:bookmarkStart w:id="6" w:name="_Toc265336497"/>
      <w:bookmarkStart w:id="7" w:name="_Toc263071859"/>
      <w:r>
        <w:rPr>
          <w:rFonts w:ascii="Times New Roman" w:hAnsi="Times New Roman"/>
        </w:rPr>
        <w:t>1 总论</w:t>
      </w:r>
      <w:bookmarkEnd w:id="5"/>
    </w:p>
    <w:p>
      <w:pPr>
        <w:pStyle w:val="3"/>
      </w:pPr>
      <w:bookmarkStart w:id="8" w:name="_Toc304379389"/>
      <w:r>
        <w:t>1.1规划编制目的和意义</w:t>
      </w:r>
      <w:bookmarkEnd w:id="8"/>
    </w:p>
    <w:p>
      <w:pPr>
        <w:spacing w:line="500" w:lineRule="exact"/>
        <w:ind w:firstLine="560" w:firstLineChars="200"/>
        <w:rPr>
          <w:szCs w:val="28"/>
        </w:rPr>
      </w:pPr>
      <w:r>
        <w:rPr>
          <w:szCs w:val="28"/>
        </w:rPr>
        <w:t>“十二五”时期是应对国内外环境发展重大变化的五年，是深入实践科学发展观、全面落实十七大提出的战略目标的五年，是昆山经济社会发展由率先全面实现小康社会向率先实现现代化迈进的关键时期，也是推进生态文明建设的重要阶段。谋划好昆山“十二五”环境保护与建设工作，将有力地推动发展转型，改善人居环境，促进民生和谐，从而增强发展后劲，提升城市竞争力，促进环境保护与经济建设高度融合，对于实现市委提出的“三步走”战略部署，打造以低碳经济、低碳生活、低碳社会为建设标本和蓝图的低碳城市具有十分重要的意义。</w:t>
      </w:r>
    </w:p>
    <w:p>
      <w:pPr>
        <w:pStyle w:val="3"/>
      </w:pPr>
      <w:bookmarkStart w:id="9" w:name="_Toc304379390"/>
      <w:r>
        <w:t>1.2规划编制原则</w:t>
      </w:r>
      <w:bookmarkEnd w:id="9"/>
    </w:p>
    <w:p>
      <w:pPr>
        <w:spacing w:line="500" w:lineRule="exact"/>
        <w:ind w:firstLine="560" w:firstLineChars="200"/>
      </w:pPr>
      <w:r>
        <w:t>（1）以人为本、生态优先</w:t>
      </w:r>
    </w:p>
    <w:p>
      <w:pPr>
        <w:spacing w:line="500" w:lineRule="exact"/>
        <w:ind w:firstLine="560" w:firstLineChars="200"/>
      </w:pPr>
      <w:r>
        <w:t>将保障群众身体健康和生命安全、维护群众环境权益、满足群众日益提高的对环境质量的要求作为环境保护的出发点和落脚点；突出生态优先的理念，实施生态立市战略，用城市生态学原理指导经济发展和城市建设，促进生态城市建设、生态产业发展、生态环境良性循环。</w:t>
      </w:r>
    </w:p>
    <w:p>
      <w:pPr>
        <w:spacing w:line="500" w:lineRule="exact"/>
        <w:ind w:firstLine="560" w:firstLineChars="200"/>
      </w:pPr>
      <w:r>
        <w:t>（2）资源节约、环境友好</w:t>
      </w:r>
    </w:p>
    <w:p>
      <w:pPr>
        <w:spacing w:line="500" w:lineRule="exact"/>
        <w:ind w:firstLine="560" w:firstLineChars="200"/>
      </w:pPr>
      <w:r>
        <w:t>在生产领域和消费领域，按减量化、再利用、资源化的原则，大力推进节能节水节地节材，加强资源综合利用，坚持走新型工业化道路，大力发展循环经济、低碳经济，形成有利于节约资源、保护环境的生产和生活方式。</w:t>
      </w:r>
    </w:p>
    <w:p>
      <w:pPr>
        <w:spacing w:line="500" w:lineRule="exact"/>
        <w:ind w:firstLine="560" w:firstLineChars="200"/>
      </w:pPr>
      <w:r>
        <w:t>（3）经济高效、社会公平</w:t>
      </w:r>
    </w:p>
    <w:p>
      <w:pPr>
        <w:spacing w:line="500" w:lineRule="exact"/>
        <w:ind w:firstLine="560" w:firstLineChars="200"/>
      </w:pPr>
      <w:r>
        <w:t>坚持经济高效，提高资源利用效率和综合利用水平，调整和优化产业结构，打造绿色经济体系。改善人们生产、生活、生态环境，保障环境安全、生态安全、公共安全。坚持社会公平，公平地改善和提高城市人们的生活质量、健康水平和居住条件，促进社会和谐。</w:t>
      </w:r>
    </w:p>
    <w:p>
      <w:pPr>
        <w:spacing w:line="500" w:lineRule="exact"/>
        <w:ind w:firstLine="560" w:firstLineChars="200"/>
      </w:pPr>
      <w:r>
        <w:t>（4）创新驱动、持续发展</w:t>
      </w:r>
    </w:p>
    <w:p>
      <w:pPr>
        <w:spacing w:line="500" w:lineRule="exact"/>
        <w:ind w:firstLine="560" w:firstLineChars="200"/>
      </w:pPr>
      <w:r>
        <w:t>继续推进水、气、声、固体废物污染治理和生态建设与保护，抓紧既定目标、任务、措施的落实，同时围绕人居环境改善和提升开辟新的领域和任务，保持规划的连续性、系统性和创新性。强化科技创新的引导作用和支撑作用，促进全面协调可持续发展。</w:t>
      </w:r>
    </w:p>
    <w:p>
      <w:pPr>
        <w:pStyle w:val="3"/>
      </w:pPr>
      <w:bookmarkStart w:id="10" w:name="_Toc304379391"/>
      <w:r>
        <w:t>1.3规划范围及期限</w:t>
      </w:r>
      <w:bookmarkEnd w:id="10"/>
    </w:p>
    <w:p>
      <w:pPr>
        <w:spacing w:line="500" w:lineRule="exact"/>
        <w:ind w:firstLine="560" w:firstLineChars="200"/>
      </w:pPr>
      <w:r>
        <w:t>规划范围为昆山市所有辖区，总面积927平方公里。</w:t>
      </w:r>
    </w:p>
    <w:p>
      <w:pPr>
        <w:spacing w:line="500" w:lineRule="exact"/>
        <w:ind w:firstLine="560" w:firstLineChars="200"/>
      </w:pPr>
      <w:r>
        <w:t>“十二五”规划年限为2011～2015年，规划基准年为20</w:t>
      </w:r>
      <w:r>
        <w:rPr>
          <w:rFonts w:hint="eastAsia"/>
        </w:rPr>
        <w:t>10</w:t>
      </w:r>
      <w:r>
        <w:t>年。</w:t>
      </w:r>
    </w:p>
    <w:p>
      <w:pPr>
        <w:pStyle w:val="3"/>
      </w:pPr>
      <w:bookmarkStart w:id="11" w:name="_Toc263071873"/>
      <w:bookmarkStart w:id="12" w:name="_Toc304379392"/>
      <w:bookmarkStart w:id="13" w:name="_Toc265336518"/>
      <w:r>
        <w:t>1.4编制依据</w:t>
      </w:r>
      <w:bookmarkEnd w:id="11"/>
      <w:bookmarkEnd w:id="12"/>
      <w:bookmarkEnd w:id="13"/>
    </w:p>
    <w:p>
      <w:pPr>
        <w:pStyle w:val="4"/>
        <w:rPr>
          <w:rFonts w:ascii="Times New Roman" w:hAnsi="Times New Roman"/>
        </w:rPr>
      </w:pPr>
      <w:bookmarkStart w:id="14" w:name="_Toc265336519"/>
      <w:r>
        <w:rPr>
          <w:rFonts w:ascii="Times New Roman" w:hAnsi="Times New Roman"/>
        </w:rPr>
        <w:t>1.4.1国家法律、法规、标准和政府文件</w:t>
      </w:r>
      <w:bookmarkEnd w:id="14"/>
    </w:p>
    <w:p>
      <w:pPr>
        <w:numPr>
          <w:ilvl w:val="0"/>
          <w:numId w:val="1"/>
        </w:numPr>
        <w:spacing w:line="500" w:lineRule="exact"/>
      </w:pPr>
      <w:r>
        <w:t>《中华人民共和国环境保护法》，1989.12.26；</w:t>
      </w:r>
    </w:p>
    <w:p>
      <w:pPr>
        <w:numPr>
          <w:ilvl w:val="0"/>
          <w:numId w:val="1"/>
        </w:numPr>
        <w:spacing w:line="500" w:lineRule="exact"/>
      </w:pPr>
      <w:r>
        <w:t>《中华人民共和国水法》，2002.10.1；</w:t>
      </w:r>
    </w:p>
    <w:p>
      <w:pPr>
        <w:numPr>
          <w:ilvl w:val="0"/>
          <w:numId w:val="1"/>
        </w:numPr>
        <w:spacing w:line="500" w:lineRule="exact"/>
      </w:pPr>
      <w:r>
        <w:t>《中华人民共和国水污染防治法》，2008.2.28修订；</w:t>
      </w:r>
    </w:p>
    <w:p>
      <w:pPr>
        <w:numPr>
          <w:ilvl w:val="0"/>
          <w:numId w:val="1"/>
        </w:numPr>
        <w:spacing w:line="500" w:lineRule="exact"/>
      </w:pPr>
      <w:r>
        <w:t>《中华人民共和国大气污染防治法》，2000.4.29修订；</w:t>
      </w:r>
    </w:p>
    <w:p>
      <w:pPr>
        <w:numPr>
          <w:ilvl w:val="0"/>
          <w:numId w:val="1"/>
        </w:numPr>
        <w:spacing w:line="500" w:lineRule="exact"/>
      </w:pPr>
      <w:r>
        <w:t>《中华人民共和国环境噪声污染防治法》，1989.12.1；</w:t>
      </w:r>
    </w:p>
    <w:p>
      <w:pPr>
        <w:numPr>
          <w:ilvl w:val="0"/>
          <w:numId w:val="1"/>
        </w:numPr>
        <w:spacing w:line="500" w:lineRule="exact"/>
      </w:pPr>
      <w:r>
        <w:t>《中华人民共和国固体废物污染环境防治法》，2004.12.29修订；</w:t>
      </w:r>
    </w:p>
    <w:p>
      <w:pPr>
        <w:numPr>
          <w:ilvl w:val="0"/>
          <w:numId w:val="1"/>
        </w:numPr>
        <w:spacing w:line="500" w:lineRule="exact"/>
      </w:pPr>
      <w:r>
        <w:t>《国家环境保护“十一五”规划》，（国发〔2007〕37号）；</w:t>
      </w:r>
    </w:p>
    <w:p>
      <w:pPr>
        <w:numPr>
          <w:ilvl w:val="0"/>
          <w:numId w:val="1"/>
        </w:numPr>
        <w:spacing w:line="500" w:lineRule="exact"/>
      </w:pPr>
      <w:r>
        <w:t>《全国生态环境建设规划》（国发[1998]36号）；</w:t>
      </w:r>
    </w:p>
    <w:p>
      <w:pPr>
        <w:numPr>
          <w:ilvl w:val="0"/>
          <w:numId w:val="1"/>
        </w:numPr>
        <w:spacing w:line="500" w:lineRule="exact"/>
      </w:pPr>
      <w:r>
        <w:t>《全国生态环境保护纲要》（国发[2000]38号）；</w:t>
      </w:r>
    </w:p>
    <w:p>
      <w:pPr>
        <w:numPr>
          <w:ilvl w:val="0"/>
          <w:numId w:val="1"/>
        </w:numPr>
        <w:spacing w:line="500" w:lineRule="exact"/>
      </w:pPr>
      <w:r>
        <w:t>《生态县、生态市、生态省建设指标（修订稿）》（环保部，2007）；</w:t>
      </w:r>
    </w:p>
    <w:p>
      <w:pPr>
        <w:numPr>
          <w:ilvl w:val="0"/>
          <w:numId w:val="1"/>
        </w:numPr>
        <w:spacing w:line="500" w:lineRule="exact"/>
      </w:pPr>
      <w:r>
        <w:t>《中华人民共和国国民经济与社会发展第十一个五年计划纲要》（2006）；</w:t>
      </w:r>
    </w:p>
    <w:p>
      <w:pPr>
        <w:numPr>
          <w:ilvl w:val="0"/>
          <w:numId w:val="1"/>
        </w:numPr>
        <w:spacing w:line="500" w:lineRule="exact"/>
      </w:pPr>
      <w:r>
        <w:t>《关于推进生态文明建设的指导意见》（环发[2008]126号）；</w:t>
      </w:r>
    </w:p>
    <w:p>
      <w:pPr>
        <w:numPr>
          <w:ilvl w:val="0"/>
          <w:numId w:val="1"/>
        </w:numPr>
        <w:spacing w:line="500" w:lineRule="exact"/>
      </w:pPr>
      <w:r>
        <w:rPr>
          <w:szCs w:val="28"/>
        </w:rPr>
        <w:t>《中华人民共和国清洁生产促进法》（2002.6.29）；</w:t>
      </w:r>
    </w:p>
    <w:p>
      <w:pPr>
        <w:numPr>
          <w:ilvl w:val="0"/>
          <w:numId w:val="1"/>
        </w:numPr>
        <w:spacing w:line="500" w:lineRule="exact"/>
      </w:pPr>
      <w:r>
        <w:rPr>
          <w:szCs w:val="28"/>
        </w:rPr>
        <w:t>《中华人民共和国循环经济促进法》（2008.8.29）；</w:t>
      </w:r>
    </w:p>
    <w:p>
      <w:pPr>
        <w:numPr>
          <w:ilvl w:val="0"/>
          <w:numId w:val="1"/>
        </w:numPr>
        <w:spacing w:line="500" w:lineRule="exact"/>
      </w:pPr>
      <w:r>
        <w:rPr>
          <w:szCs w:val="28"/>
        </w:rPr>
        <w:t>《中华人民共和国节约能源法》（2007.10.28修订）；</w:t>
      </w:r>
    </w:p>
    <w:p>
      <w:pPr>
        <w:numPr>
          <w:ilvl w:val="0"/>
          <w:numId w:val="1"/>
        </w:numPr>
        <w:spacing w:line="500" w:lineRule="exact"/>
      </w:pPr>
      <w:r>
        <w:rPr>
          <w:szCs w:val="28"/>
        </w:rPr>
        <w:t>《地表水环境质量标准》（GB3838-2002）；</w:t>
      </w:r>
    </w:p>
    <w:p>
      <w:pPr>
        <w:numPr>
          <w:ilvl w:val="0"/>
          <w:numId w:val="1"/>
        </w:numPr>
        <w:spacing w:line="500" w:lineRule="exact"/>
      </w:pPr>
      <w:r>
        <w:rPr>
          <w:szCs w:val="28"/>
        </w:rPr>
        <w:t>《环境空气质量标准》（GB3095-1996）；</w:t>
      </w:r>
    </w:p>
    <w:p>
      <w:pPr>
        <w:numPr>
          <w:ilvl w:val="0"/>
          <w:numId w:val="1"/>
        </w:numPr>
        <w:spacing w:line="500" w:lineRule="exact"/>
      </w:pPr>
      <w:r>
        <w:rPr>
          <w:szCs w:val="28"/>
        </w:rPr>
        <w:t>《声环境质量标准》（GB3096-2008）；</w:t>
      </w:r>
    </w:p>
    <w:p>
      <w:pPr>
        <w:numPr>
          <w:ilvl w:val="0"/>
          <w:numId w:val="1"/>
        </w:numPr>
        <w:spacing w:line="500" w:lineRule="exact"/>
      </w:pPr>
      <w:r>
        <w:rPr>
          <w:szCs w:val="28"/>
        </w:rPr>
        <w:t>《污水综合排放标准》（GB8978-1996）；</w:t>
      </w:r>
    </w:p>
    <w:p>
      <w:pPr>
        <w:numPr>
          <w:ilvl w:val="0"/>
          <w:numId w:val="1"/>
        </w:numPr>
        <w:spacing w:line="500" w:lineRule="exact"/>
        <w:rPr>
          <w:rFonts w:hint="eastAsia"/>
        </w:rPr>
      </w:pPr>
      <w:r>
        <w:rPr>
          <w:szCs w:val="28"/>
        </w:rPr>
        <w:t>《大气污染物综合排放标准》（GB16297-1996）。</w:t>
      </w:r>
    </w:p>
    <w:p>
      <w:pPr>
        <w:numPr>
          <w:ilvl w:val="0"/>
          <w:numId w:val="1"/>
        </w:numPr>
        <w:spacing w:line="500" w:lineRule="exact"/>
      </w:pPr>
      <w:r>
        <w:rPr>
          <w:rFonts w:hint="eastAsia"/>
        </w:rPr>
        <w:t>《长江三角洲地区区域规划》（2010.5）</w:t>
      </w:r>
    </w:p>
    <w:p>
      <w:pPr>
        <w:pStyle w:val="4"/>
        <w:rPr>
          <w:rFonts w:ascii="Times New Roman" w:hAnsi="Times New Roman"/>
        </w:rPr>
      </w:pPr>
      <w:bookmarkStart w:id="15" w:name="_Toc265336520"/>
      <w:r>
        <w:rPr>
          <w:rFonts w:ascii="Times New Roman" w:hAnsi="Times New Roman"/>
        </w:rPr>
        <w:t>1.4.2江苏省及苏州市相关法律、法规、标准和政府文件</w:t>
      </w:r>
      <w:bookmarkEnd w:id="15"/>
    </w:p>
    <w:p>
      <w:pPr>
        <w:numPr>
          <w:ilvl w:val="0"/>
          <w:numId w:val="2"/>
        </w:numPr>
        <w:spacing w:line="500" w:lineRule="exact"/>
      </w:pPr>
      <w:r>
        <w:t>《江苏省国民经济与社会发展第十一个五年规划纲要》；</w:t>
      </w:r>
    </w:p>
    <w:p>
      <w:pPr>
        <w:numPr>
          <w:ilvl w:val="0"/>
          <w:numId w:val="2"/>
        </w:numPr>
        <w:spacing w:line="500" w:lineRule="exact"/>
      </w:pPr>
      <w:r>
        <w:t>《江苏省环境保护条例》（1993）；</w:t>
      </w:r>
    </w:p>
    <w:p>
      <w:pPr>
        <w:numPr>
          <w:ilvl w:val="0"/>
          <w:numId w:val="2"/>
        </w:numPr>
        <w:spacing w:line="500" w:lineRule="exact"/>
      </w:pPr>
      <w:r>
        <w:t>《江苏省太湖水污染防治条例》（2007.9.27修订）；</w:t>
      </w:r>
    </w:p>
    <w:p>
      <w:pPr>
        <w:numPr>
          <w:ilvl w:val="0"/>
          <w:numId w:val="2"/>
        </w:numPr>
        <w:spacing w:line="500" w:lineRule="exact"/>
      </w:pPr>
      <w:r>
        <w:t>《江苏省农业生态环境保护条例》（1998）；</w:t>
      </w:r>
    </w:p>
    <w:p>
      <w:pPr>
        <w:numPr>
          <w:ilvl w:val="0"/>
          <w:numId w:val="2"/>
        </w:numPr>
        <w:spacing w:line="500" w:lineRule="exact"/>
      </w:pPr>
      <w:r>
        <w:t>《江苏生态省建设规划纲要》（2004）；</w:t>
      </w:r>
    </w:p>
    <w:p>
      <w:pPr>
        <w:numPr>
          <w:ilvl w:val="0"/>
          <w:numId w:val="2"/>
        </w:numPr>
        <w:spacing w:line="500" w:lineRule="exact"/>
      </w:pPr>
      <w:r>
        <w:t>《关于加强环境综合整治推进生态省建设的决定》（2001）；</w:t>
      </w:r>
    </w:p>
    <w:p>
      <w:pPr>
        <w:numPr>
          <w:ilvl w:val="0"/>
          <w:numId w:val="2"/>
        </w:numPr>
        <w:spacing w:line="500" w:lineRule="exact"/>
      </w:pPr>
      <w:r>
        <w:t>《江苏省循环经济建设规划》（2004）；</w:t>
      </w:r>
    </w:p>
    <w:p>
      <w:pPr>
        <w:numPr>
          <w:ilvl w:val="0"/>
          <w:numId w:val="2"/>
        </w:numPr>
        <w:spacing w:line="500" w:lineRule="exact"/>
      </w:pPr>
      <w:r>
        <w:t>《苏州市国民经济与社会发展第十一个五年规划纲要》（2006）；</w:t>
      </w:r>
    </w:p>
    <w:p>
      <w:pPr>
        <w:numPr>
          <w:ilvl w:val="0"/>
          <w:numId w:val="2"/>
        </w:numPr>
        <w:spacing w:line="500" w:lineRule="exact"/>
      </w:pPr>
      <w:r>
        <w:t>《苏州市环境保护“十一五”规划及中远期规划》（2006）；</w:t>
      </w:r>
    </w:p>
    <w:p>
      <w:pPr>
        <w:numPr>
          <w:ilvl w:val="0"/>
          <w:numId w:val="2"/>
        </w:numPr>
        <w:spacing w:line="500" w:lineRule="exact"/>
      </w:pPr>
      <w:r>
        <w:t>《苏州生态市建设规划纲要》（2004）；</w:t>
      </w:r>
    </w:p>
    <w:p>
      <w:pPr>
        <w:numPr>
          <w:ilvl w:val="0"/>
          <w:numId w:val="2"/>
        </w:numPr>
        <w:spacing w:line="500" w:lineRule="exact"/>
      </w:pPr>
      <w:r>
        <w:t>《苏州市循环经济建设规划》（2004）；</w:t>
      </w:r>
    </w:p>
    <w:p>
      <w:pPr>
        <w:numPr>
          <w:ilvl w:val="0"/>
          <w:numId w:val="2"/>
        </w:numPr>
        <w:spacing w:line="500" w:lineRule="exact"/>
      </w:pPr>
      <w:r>
        <w:t>《江苏省重要生态功能区规划》（2009）；</w:t>
      </w:r>
    </w:p>
    <w:p>
      <w:pPr>
        <w:numPr>
          <w:ilvl w:val="0"/>
          <w:numId w:val="2"/>
        </w:numPr>
        <w:spacing w:line="500" w:lineRule="exact"/>
      </w:pPr>
      <w:r>
        <w:rPr>
          <w:rFonts w:hint="eastAsia"/>
        </w:rPr>
        <w:t xml:space="preserve"> </w:t>
      </w:r>
      <w:r>
        <w:t>江苏省暂住人口管理条例（第二次修正）。</w:t>
      </w:r>
    </w:p>
    <w:p>
      <w:pPr>
        <w:pStyle w:val="4"/>
        <w:rPr>
          <w:rFonts w:ascii="Times New Roman" w:hAnsi="Times New Roman"/>
        </w:rPr>
      </w:pPr>
      <w:bookmarkStart w:id="16" w:name="_Toc265336521"/>
      <w:r>
        <w:rPr>
          <w:rFonts w:ascii="Times New Roman" w:hAnsi="Times New Roman"/>
        </w:rPr>
        <w:t>1.4.3昆山市相关政策、规划</w:t>
      </w:r>
      <w:bookmarkEnd w:id="16"/>
    </w:p>
    <w:p>
      <w:pPr>
        <w:numPr>
          <w:ilvl w:val="0"/>
          <w:numId w:val="3"/>
        </w:numPr>
        <w:spacing w:line="500" w:lineRule="exact"/>
      </w:pPr>
      <w:r>
        <w:t>昆山市城市总体规划纲要（2009-2030）；</w:t>
      </w:r>
    </w:p>
    <w:p>
      <w:pPr>
        <w:numPr>
          <w:ilvl w:val="0"/>
          <w:numId w:val="3"/>
        </w:numPr>
        <w:spacing w:line="500" w:lineRule="exact"/>
      </w:pPr>
      <w:r>
        <w:t>昆山市生态文明建设规划研究报告（2010）</w:t>
      </w:r>
    </w:p>
    <w:p>
      <w:pPr>
        <w:numPr>
          <w:ilvl w:val="0"/>
          <w:numId w:val="3"/>
        </w:numPr>
        <w:spacing w:line="500" w:lineRule="exact"/>
      </w:pPr>
      <w:r>
        <w:t>昆山市国民经济和社会发展第十一个五年规划汇编（2006）；</w:t>
      </w:r>
    </w:p>
    <w:p>
      <w:pPr>
        <w:numPr>
          <w:ilvl w:val="0"/>
          <w:numId w:val="3"/>
        </w:numPr>
        <w:spacing w:line="500" w:lineRule="exact"/>
      </w:pPr>
      <w:r>
        <w:t>昆山市生态城市建设总体规划（2003）；</w:t>
      </w:r>
    </w:p>
    <w:p>
      <w:pPr>
        <w:numPr>
          <w:ilvl w:val="0"/>
          <w:numId w:val="3"/>
        </w:numPr>
        <w:spacing w:line="500" w:lineRule="exact"/>
      </w:pPr>
      <w:r>
        <w:t>昆山市“十一五”环境保护专项规划（2006）；</w:t>
      </w:r>
    </w:p>
    <w:p>
      <w:pPr>
        <w:numPr>
          <w:ilvl w:val="0"/>
          <w:numId w:val="3"/>
        </w:numPr>
        <w:spacing w:line="500" w:lineRule="exact"/>
      </w:pPr>
      <w:r>
        <w:t>昆山市“十一五”交通专项规划（2006）；</w:t>
      </w:r>
    </w:p>
    <w:p>
      <w:pPr>
        <w:numPr>
          <w:ilvl w:val="0"/>
          <w:numId w:val="3"/>
        </w:numPr>
        <w:spacing w:line="500" w:lineRule="exact"/>
      </w:pPr>
      <w:r>
        <w:t>昆山市“十一五”科技发展规划（2006）；</w:t>
      </w:r>
    </w:p>
    <w:p>
      <w:pPr>
        <w:numPr>
          <w:ilvl w:val="0"/>
          <w:numId w:val="3"/>
        </w:numPr>
        <w:spacing w:line="500" w:lineRule="exact"/>
      </w:pPr>
      <w:r>
        <w:t>昆山市劳动和社会保障“十一五”发展规划（2006）；</w:t>
      </w:r>
    </w:p>
    <w:p>
      <w:pPr>
        <w:numPr>
          <w:ilvl w:val="0"/>
          <w:numId w:val="3"/>
        </w:numPr>
        <w:spacing w:line="500" w:lineRule="exact"/>
      </w:pPr>
      <w:r>
        <w:t>昆山市“十一五”教育发展规划（2006）；</w:t>
      </w:r>
    </w:p>
    <w:p>
      <w:pPr>
        <w:numPr>
          <w:ilvl w:val="0"/>
          <w:numId w:val="3"/>
        </w:numPr>
        <w:spacing w:line="500" w:lineRule="exact"/>
      </w:pPr>
      <w:r>
        <w:t>昆山市“十一五”文化发展规划修编（2007）；</w:t>
      </w:r>
    </w:p>
    <w:p>
      <w:pPr>
        <w:numPr>
          <w:ilvl w:val="0"/>
          <w:numId w:val="3"/>
        </w:numPr>
        <w:spacing w:line="500" w:lineRule="exact"/>
      </w:pPr>
      <w:r>
        <w:t>昆山开发区“十一五”发展规划（2005）；</w:t>
      </w:r>
    </w:p>
    <w:p>
      <w:pPr>
        <w:numPr>
          <w:ilvl w:val="0"/>
          <w:numId w:val="3"/>
        </w:numPr>
        <w:spacing w:line="500" w:lineRule="exact"/>
      </w:pPr>
      <w:r>
        <w:t>昆山市“十一五”人口发展专项规划（2005）；</w:t>
      </w:r>
    </w:p>
    <w:p>
      <w:pPr>
        <w:numPr>
          <w:ilvl w:val="0"/>
          <w:numId w:val="3"/>
        </w:numPr>
        <w:spacing w:line="500" w:lineRule="exact"/>
      </w:pPr>
      <w:r>
        <w:t>昆山市“十一五”能源专项规划（2005）；</w:t>
      </w:r>
    </w:p>
    <w:p>
      <w:pPr>
        <w:numPr>
          <w:ilvl w:val="0"/>
          <w:numId w:val="3"/>
        </w:numPr>
        <w:spacing w:line="500" w:lineRule="exact"/>
      </w:pPr>
      <w:r>
        <w:t>昆山市“十一五”水利建设规划（2005）；</w:t>
      </w:r>
    </w:p>
    <w:p>
      <w:pPr>
        <w:numPr>
          <w:ilvl w:val="0"/>
          <w:numId w:val="3"/>
        </w:numPr>
        <w:spacing w:line="500" w:lineRule="exact"/>
      </w:pPr>
      <w:r>
        <w:t>昆山市爱国卫生事业工作“十一五”规划（2006）；</w:t>
      </w:r>
    </w:p>
    <w:p>
      <w:pPr>
        <w:numPr>
          <w:ilvl w:val="0"/>
          <w:numId w:val="3"/>
        </w:numPr>
        <w:spacing w:line="500" w:lineRule="exact"/>
      </w:pPr>
      <w:r>
        <w:t>昆山市防洪与水资源综合规划（2007）；</w:t>
      </w:r>
    </w:p>
    <w:p>
      <w:pPr>
        <w:numPr>
          <w:ilvl w:val="0"/>
          <w:numId w:val="3"/>
        </w:numPr>
        <w:spacing w:line="500" w:lineRule="exact"/>
      </w:pPr>
      <w:r>
        <w:t>昆山市农业综合发展规划（2005-2010）；</w:t>
      </w:r>
    </w:p>
    <w:p>
      <w:pPr>
        <w:numPr>
          <w:ilvl w:val="0"/>
          <w:numId w:val="3"/>
        </w:numPr>
        <w:spacing w:line="500" w:lineRule="exact"/>
      </w:pPr>
      <w:r>
        <w:t>昆山市土地利用总体规划实施评价（2008）；</w:t>
      </w:r>
    </w:p>
    <w:p>
      <w:pPr>
        <w:numPr>
          <w:ilvl w:val="0"/>
          <w:numId w:val="3"/>
        </w:numPr>
        <w:spacing w:line="500" w:lineRule="exact"/>
      </w:pPr>
      <w:r>
        <w:t>昆山市森林生态系统规划（2003）；</w:t>
      </w:r>
    </w:p>
    <w:p>
      <w:pPr>
        <w:numPr>
          <w:ilvl w:val="0"/>
          <w:numId w:val="3"/>
        </w:numPr>
        <w:spacing w:line="500" w:lineRule="exact"/>
      </w:pPr>
      <w:r>
        <w:t>昆山市环境卫生专业规划（2007-2020）；</w:t>
      </w:r>
    </w:p>
    <w:p>
      <w:pPr>
        <w:numPr>
          <w:ilvl w:val="0"/>
          <w:numId w:val="3"/>
        </w:numPr>
        <w:spacing w:line="500" w:lineRule="exact"/>
      </w:pPr>
      <w:r>
        <w:t>昆山市农村环境综合整治规划（2006-2010）；</w:t>
      </w:r>
    </w:p>
    <w:p>
      <w:pPr>
        <w:numPr>
          <w:ilvl w:val="0"/>
          <w:numId w:val="3"/>
        </w:numPr>
        <w:spacing w:line="500" w:lineRule="exact"/>
      </w:pPr>
      <w:r>
        <w:t>昆山市现代产业体系发展规划（2009-2015）；</w:t>
      </w:r>
    </w:p>
    <w:p>
      <w:pPr>
        <w:numPr>
          <w:ilvl w:val="0"/>
          <w:numId w:val="3"/>
        </w:numPr>
        <w:spacing w:line="500" w:lineRule="exact"/>
      </w:pPr>
      <w:r>
        <w:t>昆山市“十一五”信息化建设专项规划（2005）；</w:t>
      </w:r>
    </w:p>
    <w:p>
      <w:pPr>
        <w:numPr>
          <w:ilvl w:val="0"/>
          <w:numId w:val="3"/>
        </w:numPr>
        <w:spacing w:line="500" w:lineRule="exact"/>
      </w:pPr>
      <w:r>
        <w:t>昆山市服务业发展总体规划（2005～2020）；</w:t>
      </w:r>
    </w:p>
    <w:p>
      <w:pPr>
        <w:numPr>
          <w:ilvl w:val="0"/>
          <w:numId w:val="3"/>
        </w:numPr>
        <w:spacing w:line="500" w:lineRule="exact"/>
      </w:pPr>
      <w:r>
        <w:t>昆山市旅游业发展总体规划（2003）；</w:t>
      </w:r>
    </w:p>
    <w:p>
      <w:pPr>
        <w:numPr>
          <w:ilvl w:val="0"/>
          <w:numId w:val="3"/>
        </w:numPr>
        <w:spacing w:line="500" w:lineRule="exact"/>
      </w:pPr>
      <w:r>
        <w:t>昆山市商业网点布局规划（2005）；</w:t>
      </w:r>
    </w:p>
    <w:p>
      <w:pPr>
        <w:numPr>
          <w:ilvl w:val="0"/>
          <w:numId w:val="3"/>
        </w:numPr>
        <w:spacing w:line="500" w:lineRule="exact"/>
      </w:pPr>
      <w:r>
        <w:t>昆山市统计年鉴（1998～2009）。</w:t>
      </w:r>
    </w:p>
    <w:p>
      <w:pPr>
        <w:pStyle w:val="3"/>
      </w:pPr>
      <w:bookmarkStart w:id="17" w:name="_Toc304379393"/>
      <w:bookmarkStart w:id="18" w:name="_Toc265336522"/>
      <w:bookmarkStart w:id="19" w:name="_Toc263071874"/>
      <w:r>
        <w:t>1.5技术路线</w:t>
      </w:r>
      <w:bookmarkEnd w:id="17"/>
      <w:bookmarkEnd w:id="18"/>
      <w:bookmarkEnd w:id="19"/>
    </w:p>
    <w:p>
      <w:pPr>
        <w:ind w:firstLine="480" w:firstLineChars="200"/>
      </w:pPr>
      <w:r>
        <w:rPr>
          <w:rFonts w:hint="eastAsia"/>
          <w:sz w:val="24"/>
          <w:lang/>
        </w:rPr>
        <mc:AlternateContent>
          <mc:Choice Requires="wps">
            <w:drawing>
              <wp:anchor distT="0" distB="0" distL="114300" distR="114300" simplePos="0" relativeHeight="251659264" behindDoc="0" locked="0" layoutInCell="1" allowOverlap="1">
                <wp:simplePos x="0" y="0"/>
                <wp:positionH relativeFrom="column">
                  <wp:posOffset>1522095</wp:posOffset>
                </wp:positionH>
                <wp:positionV relativeFrom="paragraph">
                  <wp:posOffset>326390</wp:posOffset>
                </wp:positionV>
                <wp:extent cx="1744345" cy="436880"/>
                <wp:effectExtent l="4445" t="4445" r="16510" b="15875"/>
                <wp:wrapNone/>
                <wp:docPr id="1" name="文本框 987"/>
                <wp:cNvGraphicFramePr/>
                <a:graphic xmlns:a="http://schemas.openxmlformats.org/drawingml/2006/main">
                  <a:graphicData uri="http://schemas.microsoft.com/office/word/2010/wordprocessingShape">
                    <wps:wsp>
                      <wps:cNvSpPr txBox="1"/>
                      <wps:spPr>
                        <a:xfrm>
                          <a:off x="0" y="0"/>
                          <a:ext cx="1744345" cy="436880"/>
                        </a:xfrm>
                        <a:prstGeom prst="rect">
                          <a:avLst/>
                        </a:prstGeom>
                        <a:noFill/>
                        <a:ln w="9525" cap="flat" cmpd="sng">
                          <a:solidFill>
                            <a:srgbClr val="000000"/>
                          </a:solidFill>
                          <a:prstDash val="solid"/>
                          <a:miter/>
                          <a:headEnd type="none" w="med" len="med"/>
                          <a:tailEnd type="none" w="med" len="med"/>
                        </a:ln>
                      </wps:spPr>
                      <wps:txbx>
                        <w:txbxContent>
                          <w:p>
                            <w:pPr>
                              <w:spacing w:line="240" w:lineRule="auto"/>
                              <w:jc w:val="center"/>
                              <w:rPr>
                                <w:rFonts w:hint="eastAsia"/>
                                <w:sz w:val="21"/>
                                <w:szCs w:val="21"/>
                              </w:rPr>
                            </w:pPr>
                            <w:r>
                              <w:rPr>
                                <w:rFonts w:hint="eastAsia"/>
                                <w:sz w:val="21"/>
                                <w:szCs w:val="21"/>
                              </w:rPr>
                              <w:t>“十一五”环保总结</w:t>
                            </w:r>
                          </w:p>
                          <w:p>
                            <w:pPr>
                              <w:spacing w:line="240" w:lineRule="auto"/>
                              <w:jc w:val="center"/>
                              <w:rPr>
                                <w:rFonts w:hint="eastAsia"/>
                                <w:sz w:val="21"/>
                                <w:szCs w:val="21"/>
                              </w:rPr>
                            </w:pPr>
                            <w:r>
                              <w:rPr>
                                <w:rFonts w:hint="eastAsia"/>
                                <w:sz w:val="21"/>
                                <w:szCs w:val="21"/>
                              </w:rPr>
                              <w:t>与“十二五”形势预测分析</w:t>
                            </w:r>
                          </w:p>
                        </w:txbxContent>
                      </wps:txbx>
                      <wps:bodyPr wrap="square" upright="1"/>
                    </wps:wsp>
                  </a:graphicData>
                </a:graphic>
              </wp:anchor>
            </w:drawing>
          </mc:Choice>
          <mc:Fallback>
            <w:pict>
              <v:shape id="文本框 987" o:spid="_x0000_s1026" o:spt="202" type="#_x0000_t202" style="position:absolute;left:0pt;margin-left:119.85pt;margin-top:25.7pt;height:34.4pt;width:137.35pt;z-index:251659264;mso-width-relative:page;mso-height-relative:page;" filled="f" stroked="t" coordsize="21600,21600" o:gfxdata="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2+YKw1gAAAAoBAAAPAAAAAAAAAAEA&#10;IAAAACIAAABkcnMvZG93bnJldi54bWxQSwECFAAUAAAACACHTuJAr27r4xECAAAdBAAADgAAAAAA&#10;AAABACAAAAAlAQAAZHJzL2Uyb0RvYy54bWxQSwUGAAAAAAYABgBZAQAAqAUAAAAA&#10;">
                <v:fill on="f" focussize="0,0"/>
                <v:stroke color="#000000" joinstyle="miter"/>
                <v:imagedata o:title=""/>
                <o:lock v:ext="edit" aspectratio="f"/>
                <v:textbox>
                  <w:txbxContent>
                    <w:p>
                      <w:pPr>
                        <w:spacing w:line="240" w:lineRule="auto"/>
                        <w:jc w:val="center"/>
                        <w:rPr>
                          <w:rFonts w:hint="eastAsia"/>
                          <w:sz w:val="21"/>
                          <w:szCs w:val="21"/>
                        </w:rPr>
                      </w:pPr>
                      <w:r>
                        <w:rPr>
                          <w:rFonts w:hint="eastAsia"/>
                          <w:sz w:val="21"/>
                          <w:szCs w:val="21"/>
                        </w:rPr>
                        <w:t>“十一五”环保总结</w:t>
                      </w:r>
                    </w:p>
                    <w:p>
                      <w:pPr>
                        <w:spacing w:line="240" w:lineRule="auto"/>
                        <w:jc w:val="center"/>
                        <w:rPr>
                          <w:rFonts w:hint="eastAsia"/>
                          <w:sz w:val="21"/>
                          <w:szCs w:val="21"/>
                        </w:rPr>
                      </w:pPr>
                      <w:r>
                        <w:rPr>
                          <w:rFonts w:hint="eastAsia"/>
                          <w:sz w:val="21"/>
                          <w:szCs w:val="21"/>
                        </w:rPr>
                        <w:t>与“十二五”形势预测分析</w:t>
                      </w:r>
                    </w:p>
                  </w:txbxContent>
                </v:textbox>
              </v:shape>
            </w:pict>
          </mc:Fallback>
        </mc:AlternateContent>
      </w:r>
      <w:r>
        <w:t>昆山市环境保护“十二五”规划编制技术路线，见图1.5-1。</w:t>
      </w:r>
    </w:p>
    <w:p>
      <w:pPr>
        <w:spacing w:line="500" w:lineRule="exact"/>
        <w:ind w:firstLine="480" w:firstLineChars="200"/>
        <w:rPr>
          <w:rFonts w:hint="eastAsia"/>
          <w:sz w:val="24"/>
        </w:rPr>
      </w:pPr>
      <w:r>
        <w:rPr>
          <w:rFonts w:hint="eastAsia"/>
          <w:sz w:val="24"/>
          <w:lang/>
        </w:rPr>
        <mc:AlternateContent>
          <mc:Choice Requires="wps">
            <w:drawing>
              <wp:anchor distT="0" distB="0" distL="114300" distR="114300" simplePos="0" relativeHeight="251720704" behindDoc="0" locked="0" layoutInCell="1" allowOverlap="1">
                <wp:simplePos x="0" y="0"/>
                <wp:positionH relativeFrom="column">
                  <wp:posOffset>5693410</wp:posOffset>
                </wp:positionH>
                <wp:positionV relativeFrom="paragraph">
                  <wp:posOffset>196215</wp:posOffset>
                </wp:positionV>
                <wp:extent cx="0" cy="6137275"/>
                <wp:effectExtent l="4445" t="0" r="8255" b="9525"/>
                <wp:wrapNone/>
                <wp:docPr id="61" name="直线 1047"/>
                <wp:cNvGraphicFramePr/>
                <a:graphic xmlns:a="http://schemas.openxmlformats.org/drawingml/2006/main">
                  <a:graphicData uri="http://schemas.microsoft.com/office/word/2010/wordprocessingShape">
                    <wps:wsp>
                      <wps:cNvSpPr/>
                      <wps:spPr>
                        <a:xfrm flipH="1" flipV="1">
                          <a:off x="0" y="0"/>
                          <a:ext cx="0" cy="613727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47" o:spid="_x0000_s1026" o:spt="20" style="position:absolute;left:0pt;flip:x y;margin-left:448.3pt;margin-top:15.45pt;height:483.25pt;width:0pt;z-index:251720704;mso-width-relative:page;mso-height-relative:page;" filled="f" stroked="t" coordsize="21600,21600" o:gfxdata="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ln/PC1AAAAAoBAAAPAAAAAAAAAAEAIAAAACIAAABkcnMvZG93bnJldi54bWxQSwECFAAU&#10;AAAACACHTuJAiomJ/vUBAADzAwAADgAAAAAAAAABACAAAAAjAQAAZHJzL2Uyb0RvYy54bWxQSwUG&#10;AAAAAAYABgBZAQAAigUAAAAA&#10;">
                <v:fill on="f" focussize="0,0"/>
                <v:stroke color="#000000" joinstyle="round"/>
                <v:imagedata o:title=""/>
                <o:lock v:ext="edit" aspectratio="f"/>
              </v:line>
            </w:pict>
          </mc:Fallback>
        </mc:AlternateContent>
      </w:r>
      <w:r>
        <w:rPr>
          <w:rFonts w:hint="eastAsia"/>
          <w:sz w:val="24"/>
          <w:lang/>
        </w:rPr>
        <mc:AlternateContent>
          <mc:Choice Requires="wps">
            <w:drawing>
              <wp:anchor distT="0" distB="0" distL="114300" distR="114300" simplePos="0" relativeHeight="251721728" behindDoc="0" locked="0" layoutInCell="1" allowOverlap="1">
                <wp:simplePos x="0" y="0"/>
                <wp:positionH relativeFrom="column">
                  <wp:posOffset>3276600</wp:posOffset>
                </wp:positionH>
                <wp:positionV relativeFrom="paragraph">
                  <wp:posOffset>196215</wp:posOffset>
                </wp:positionV>
                <wp:extent cx="2400300" cy="0"/>
                <wp:effectExtent l="0" t="38100" r="0" b="38100"/>
                <wp:wrapNone/>
                <wp:docPr id="62" name="直线 1048"/>
                <wp:cNvGraphicFramePr/>
                <a:graphic xmlns:a="http://schemas.openxmlformats.org/drawingml/2006/main">
                  <a:graphicData uri="http://schemas.microsoft.com/office/word/2010/wordprocessingShape">
                    <wps:wsp>
                      <wps:cNvSpPr/>
                      <wps:spPr>
                        <a:xfrm flipH="1">
                          <a:off x="0" y="0"/>
                          <a:ext cx="24003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48" o:spid="_x0000_s1026" o:spt="20" style="position:absolute;left:0pt;flip:x;margin-left:258pt;margin-top:15.45pt;height:0pt;width:189pt;z-index:251721728;mso-width-relative:page;mso-height-relative:page;" filled="f" stroked="t" coordsize="21600,21600" o:gfxdata="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6ZxTR2AAAAAkBAAAPAAAAAAAAAAEAIAAAACIAAABkcnMvZG93bnJldi54&#10;bWxQSwECFAAUAAAACACHTuJANN7XrfoBAADtAwAADgAAAAAAAAABACAAAAAnAQAAZHJzL2Uyb0Rv&#10;Yy54bWxQSwUGAAAAAAYABgBZAQAAkwUAAAAA&#10;">
                <v:fill on="f" focussize="0,0"/>
                <v:stroke color="#000000" joinstyle="round" endarrow="block"/>
                <v:imagedata o:title=""/>
                <o:lock v:ext="edit" aspectratio="f"/>
              </v:line>
            </w:pict>
          </mc:Fallback>
        </mc:AlternateContent>
      </w:r>
    </w:p>
    <w:p>
      <w:pPr>
        <w:spacing w:line="500" w:lineRule="exact"/>
        <w:ind w:firstLine="480" w:firstLineChars="200"/>
        <w:rPr>
          <w:rFonts w:hint="eastAsia"/>
          <w:sz w:val="24"/>
        </w:rPr>
      </w:pPr>
      <w:r>
        <w:rPr>
          <w:rFonts w:hint="eastAsia"/>
          <w:sz w:val="24"/>
          <w:lang/>
        </w:rPr>
        <mc:AlternateContent>
          <mc:Choice Requires="wps">
            <w:drawing>
              <wp:anchor distT="0" distB="0" distL="114300" distR="114300" simplePos="0" relativeHeight="251662336" behindDoc="0" locked="0" layoutInCell="1" allowOverlap="1">
                <wp:simplePos x="0" y="0"/>
                <wp:positionH relativeFrom="column">
                  <wp:posOffset>2369185</wp:posOffset>
                </wp:positionH>
                <wp:positionV relativeFrom="paragraph">
                  <wp:posOffset>111760</wp:posOffset>
                </wp:positionV>
                <wp:extent cx="0" cy="290195"/>
                <wp:effectExtent l="38100" t="0" r="38100" b="1905"/>
                <wp:wrapNone/>
                <wp:docPr id="4" name="直线 990"/>
                <wp:cNvGraphicFramePr/>
                <a:graphic xmlns:a="http://schemas.openxmlformats.org/drawingml/2006/main">
                  <a:graphicData uri="http://schemas.microsoft.com/office/word/2010/wordprocessingShape">
                    <wps:wsp>
                      <wps:cNvSpPr/>
                      <wps:spPr>
                        <a:xfrm>
                          <a:off x="0" y="0"/>
                          <a:ext cx="0" cy="29019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990" o:spid="_x0000_s1026" o:spt="20" style="position:absolute;left:0pt;margin-left:186.55pt;margin-top:8.8pt;height:22.85pt;width:0pt;z-index:251662336;mso-width-relative:page;mso-height-relative:page;" filled="f" stroked="t" coordsize="21600,21600" o:gfxdata="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F&#10;jZlp2AAAAAkBAAAPAAAAAAAAAAEAIAAAACIAAABkcnMvZG93bnJldi54bWxQSwECFAAUAAAACACH&#10;TuJAhQQQW+sBAADgAwAADgAAAAAAAAABACAAAAAnAQAAZHJzL2Uyb0RvYy54bWxQSwUGAAAAAAYA&#10;BgBZAQAAhAUAAAAA&#10;">
                <v:fill on="f" focussize="0,0"/>
                <v:stroke color="#000000" joinstyle="round" endarrow="block"/>
                <v:imagedata o:title=""/>
                <o:lock v:ext="edit" aspectratio="f"/>
              </v:line>
            </w:pict>
          </mc:Fallback>
        </mc:AlternateContent>
      </w:r>
    </w:p>
    <w:p>
      <w:pPr>
        <w:spacing w:line="500" w:lineRule="exact"/>
        <w:ind w:firstLine="480" w:firstLineChars="200"/>
        <w:rPr>
          <w:rFonts w:hint="eastAsia"/>
          <w:sz w:val="24"/>
        </w:rPr>
      </w:pPr>
      <w:r>
        <w:rPr>
          <w:rFonts w:hint="eastAsia"/>
          <w:sz w:val="24"/>
          <w:lang/>
        </w:rPr>
        <mc:AlternateContent>
          <mc:Choice Requires="wps">
            <w:drawing>
              <wp:anchor distT="0" distB="0" distL="114300" distR="114300" simplePos="0" relativeHeight="251663360" behindDoc="0" locked="0" layoutInCell="1" allowOverlap="1">
                <wp:simplePos x="0" y="0"/>
                <wp:positionH relativeFrom="column">
                  <wp:posOffset>-5080</wp:posOffset>
                </wp:positionH>
                <wp:positionV relativeFrom="paragraph">
                  <wp:posOffset>6350</wp:posOffset>
                </wp:positionV>
                <wp:extent cx="932815" cy="530860"/>
                <wp:effectExtent l="4445" t="5080" r="15240" b="10160"/>
                <wp:wrapNone/>
                <wp:docPr id="5" name="文本框 991"/>
                <wp:cNvGraphicFramePr/>
                <a:graphic xmlns:a="http://schemas.openxmlformats.org/drawingml/2006/main">
                  <a:graphicData uri="http://schemas.microsoft.com/office/word/2010/wordprocessingShape">
                    <wps:wsp>
                      <wps:cNvSpPr txBox="1"/>
                      <wps:spPr>
                        <a:xfrm>
                          <a:off x="0" y="0"/>
                          <a:ext cx="932815" cy="530860"/>
                        </a:xfrm>
                        <a:prstGeom prst="rect">
                          <a:avLst/>
                        </a:prstGeom>
                        <a:noFill/>
                        <a:ln w="9525" cap="flat" cmpd="sng">
                          <a:solidFill>
                            <a:srgbClr val="000000"/>
                          </a:solidFill>
                          <a:prstDash val="solid"/>
                          <a:miter/>
                          <a:headEnd type="none" w="med" len="med"/>
                          <a:tailEnd type="none" w="med" len="med"/>
                        </a:ln>
                      </wps:spPr>
                      <wps:txbx>
                        <w:txbxContent>
                          <w:p>
                            <w:pPr>
                              <w:spacing w:line="240" w:lineRule="auto"/>
                              <w:jc w:val="center"/>
                              <w:rPr>
                                <w:rFonts w:hint="eastAsia"/>
                                <w:sz w:val="21"/>
                                <w:szCs w:val="21"/>
                              </w:rPr>
                            </w:pPr>
                            <w:r>
                              <w:rPr>
                                <w:rFonts w:hint="eastAsia"/>
                                <w:sz w:val="21"/>
                                <w:szCs w:val="21"/>
                              </w:rPr>
                              <w:t>全省环境保护总体要求</w:t>
                            </w:r>
                          </w:p>
                        </w:txbxContent>
                      </wps:txbx>
                      <wps:bodyPr wrap="square" lIns="18000" tIns="10800" rIns="18000" bIns="10800" upright="1"/>
                    </wps:wsp>
                  </a:graphicData>
                </a:graphic>
              </wp:anchor>
            </w:drawing>
          </mc:Choice>
          <mc:Fallback>
            <w:pict>
              <v:shape id="文本框 991" o:spid="_x0000_s1026" o:spt="202" type="#_x0000_t202" style="position:absolute;left:0pt;margin-left:-0.4pt;margin-top:0.5pt;height:41.8pt;width:73.45pt;z-index:251663360;mso-width-relative:page;mso-height-relative:page;" filled="f" stroked="t" coordsize="21600,21600" o:gfxdata="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JA+lqrS&#10;AAAABgEAAA8AAAAAAAAAAQAgAAAAIgAAAGRycy9kb3ducmV2LnhtbFBLAQIUABQAAAAIAIdO4kAT&#10;zE4YJgIAAFAEAAAOAAAAAAAAAAEAIAAAACEBAABkcnMvZTJvRG9jLnhtbFBLBQYAAAAABgAGAFkB&#10;AAC5BQAAAAA=&#10;">
                <v:fill on="f" focussize="0,0"/>
                <v:stroke color="#000000" joinstyle="miter"/>
                <v:imagedata o:title=""/>
                <o:lock v:ext="edit" aspectratio="f"/>
                <v:textbox inset="0.5mm,0.3mm,0.5mm,0.3mm">
                  <w:txbxContent>
                    <w:p>
                      <w:pPr>
                        <w:spacing w:line="240" w:lineRule="auto"/>
                        <w:jc w:val="center"/>
                        <w:rPr>
                          <w:rFonts w:hint="eastAsia"/>
                          <w:sz w:val="21"/>
                          <w:szCs w:val="21"/>
                        </w:rPr>
                      </w:pPr>
                      <w:r>
                        <w:rPr>
                          <w:rFonts w:hint="eastAsia"/>
                          <w:sz w:val="21"/>
                          <w:szCs w:val="21"/>
                        </w:rPr>
                        <w:t>全省环境保护总体要求</w:t>
                      </w:r>
                    </w:p>
                  </w:txbxContent>
                </v:textbox>
              </v:shape>
            </w:pict>
          </mc:Fallback>
        </mc:AlternateContent>
      </w:r>
      <w:r>
        <w:rPr>
          <w:rFonts w:hint="eastAsia"/>
          <w:sz w:val="24"/>
          <w:lang/>
        </w:rPr>
        <mc:AlternateContent>
          <mc:Choice Requires="wps">
            <w:drawing>
              <wp:anchor distT="0" distB="0" distL="114300" distR="114300" simplePos="0" relativeHeight="251664384" behindDoc="0" locked="0" layoutInCell="1" allowOverlap="1">
                <wp:simplePos x="0" y="0"/>
                <wp:positionH relativeFrom="column">
                  <wp:posOffset>3920490</wp:posOffset>
                </wp:positionH>
                <wp:positionV relativeFrom="paragraph">
                  <wp:posOffset>5080</wp:posOffset>
                </wp:positionV>
                <wp:extent cx="1489710" cy="541020"/>
                <wp:effectExtent l="4445" t="4445" r="17145" b="13335"/>
                <wp:wrapNone/>
                <wp:docPr id="6" name="文本框 992"/>
                <wp:cNvGraphicFramePr/>
                <a:graphic xmlns:a="http://schemas.openxmlformats.org/drawingml/2006/main">
                  <a:graphicData uri="http://schemas.microsoft.com/office/word/2010/wordprocessingShape">
                    <wps:wsp>
                      <wps:cNvSpPr txBox="1"/>
                      <wps:spPr>
                        <a:xfrm>
                          <a:off x="0" y="0"/>
                          <a:ext cx="1489710" cy="541020"/>
                        </a:xfrm>
                        <a:prstGeom prst="rect">
                          <a:avLst/>
                        </a:prstGeom>
                        <a:noFill/>
                        <a:ln w="9525" cap="flat" cmpd="sng">
                          <a:solidFill>
                            <a:srgbClr val="000000"/>
                          </a:solidFill>
                          <a:prstDash val="solid"/>
                          <a:miter/>
                          <a:headEnd type="none" w="med" len="med"/>
                          <a:tailEnd type="none" w="med" len="med"/>
                        </a:ln>
                      </wps:spPr>
                      <wps:txbx>
                        <w:txbxContent>
                          <w:p>
                            <w:pPr>
                              <w:spacing w:line="240" w:lineRule="auto"/>
                              <w:jc w:val="center"/>
                              <w:rPr>
                                <w:rFonts w:hint="eastAsia"/>
                                <w:sz w:val="21"/>
                                <w:szCs w:val="21"/>
                              </w:rPr>
                            </w:pPr>
                            <w:r>
                              <w:rPr>
                                <w:rFonts w:hint="eastAsia"/>
                                <w:sz w:val="21"/>
                                <w:szCs w:val="21"/>
                              </w:rPr>
                              <w:t>市国民经济和社会发展</w:t>
                            </w:r>
                          </w:p>
                          <w:p>
                            <w:pPr>
                              <w:spacing w:line="240" w:lineRule="auto"/>
                              <w:jc w:val="center"/>
                              <w:rPr>
                                <w:rFonts w:hint="eastAsia"/>
                                <w:sz w:val="21"/>
                                <w:szCs w:val="21"/>
                              </w:rPr>
                            </w:pPr>
                            <w:r>
                              <w:rPr>
                                <w:rFonts w:hint="eastAsia"/>
                                <w:sz w:val="21"/>
                                <w:szCs w:val="21"/>
                              </w:rPr>
                              <w:t>第十二个五年规划纲要</w:t>
                            </w:r>
                          </w:p>
                        </w:txbxContent>
                      </wps:txbx>
                      <wps:bodyPr wrap="square" lIns="18000" rIns="18000" upright="1"/>
                    </wps:wsp>
                  </a:graphicData>
                </a:graphic>
              </wp:anchor>
            </w:drawing>
          </mc:Choice>
          <mc:Fallback>
            <w:pict>
              <v:shape id="文本框 992" o:spid="_x0000_s1026" o:spt="202" type="#_x0000_t202" style="position:absolute;left:0pt;margin-left:308.7pt;margin-top:0.4pt;height:42.6pt;width:117.3pt;z-index:251664384;mso-width-relative:page;mso-height-relative:page;" filled="f" stroked="t" coordsize="21600,21600" o:gfxdata="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T0phfUAAAABwEA&#10;AA8AAAAAAAAAAQAgAAAAIgAAAGRycy9kb3ducmV2LnhtbFBLAQIUABQAAAAIAIdO4kDnCpgMHgIA&#10;ADcEAAAOAAAAAAAAAAEAIAAAACMBAABkcnMvZTJvRG9jLnhtbFBLBQYAAAAABgAGAFkBAACzBQAA&#10;AAA=&#10;">
                <v:fill on="f" focussize="0,0"/>
                <v:stroke color="#000000" joinstyle="miter"/>
                <v:imagedata o:title=""/>
                <o:lock v:ext="edit" aspectratio="f"/>
                <v:textbox inset="0.5mm,1.27mm,0.5mm,1.27mm">
                  <w:txbxContent>
                    <w:p>
                      <w:pPr>
                        <w:spacing w:line="240" w:lineRule="auto"/>
                        <w:jc w:val="center"/>
                        <w:rPr>
                          <w:rFonts w:hint="eastAsia"/>
                          <w:sz w:val="21"/>
                          <w:szCs w:val="21"/>
                        </w:rPr>
                      </w:pPr>
                      <w:r>
                        <w:rPr>
                          <w:rFonts w:hint="eastAsia"/>
                          <w:sz w:val="21"/>
                          <w:szCs w:val="21"/>
                        </w:rPr>
                        <w:t>市国民经济和社会发展</w:t>
                      </w:r>
                    </w:p>
                    <w:p>
                      <w:pPr>
                        <w:spacing w:line="240" w:lineRule="auto"/>
                        <w:jc w:val="center"/>
                        <w:rPr>
                          <w:rFonts w:hint="eastAsia"/>
                          <w:sz w:val="21"/>
                          <w:szCs w:val="21"/>
                        </w:rPr>
                      </w:pPr>
                      <w:r>
                        <w:rPr>
                          <w:rFonts w:hint="eastAsia"/>
                          <w:sz w:val="21"/>
                          <w:szCs w:val="21"/>
                        </w:rPr>
                        <w:t>第十二个五年规划纲要</w:t>
                      </w:r>
                    </w:p>
                  </w:txbxContent>
                </v:textbox>
              </v:shape>
            </w:pict>
          </mc:Fallback>
        </mc:AlternateContent>
      </w:r>
      <w:r>
        <w:rPr>
          <w:rFonts w:hint="eastAsia"/>
          <w:sz w:val="24"/>
          <w:lang/>
        </w:rPr>
        <mc:AlternateContent>
          <mc:Choice Requires="wps">
            <w:drawing>
              <wp:anchor distT="0" distB="0" distL="114300" distR="114300" simplePos="0" relativeHeight="251660288" behindDoc="0" locked="0" layoutInCell="1" allowOverlap="1">
                <wp:simplePos x="0" y="0"/>
                <wp:positionH relativeFrom="column">
                  <wp:posOffset>1436370</wp:posOffset>
                </wp:positionH>
                <wp:positionV relativeFrom="paragraph">
                  <wp:posOffset>84455</wp:posOffset>
                </wp:positionV>
                <wp:extent cx="1962785" cy="445135"/>
                <wp:effectExtent l="4445" t="4445" r="13970" b="7620"/>
                <wp:wrapNone/>
                <wp:docPr id="2" name="文本框 988"/>
                <wp:cNvGraphicFramePr/>
                <a:graphic xmlns:a="http://schemas.openxmlformats.org/drawingml/2006/main">
                  <a:graphicData uri="http://schemas.microsoft.com/office/word/2010/wordprocessingShape">
                    <wps:wsp>
                      <wps:cNvSpPr txBox="1"/>
                      <wps:spPr>
                        <a:xfrm>
                          <a:off x="0" y="0"/>
                          <a:ext cx="1962785" cy="445135"/>
                        </a:xfrm>
                        <a:prstGeom prst="rect">
                          <a:avLst/>
                        </a:prstGeom>
                        <a:noFill/>
                        <a:ln w="9525" cap="flat" cmpd="sng">
                          <a:solidFill>
                            <a:srgbClr val="000000"/>
                          </a:solidFill>
                          <a:prstDash val="solid"/>
                          <a:miter/>
                          <a:headEnd type="none" w="med" len="med"/>
                          <a:tailEnd type="none" w="med" len="med"/>
                        </a:ln>
                      </wps:spPr>
                      <wps:txbx>
                        <w:txbxContent>
                          <w:p>
                            <w:pPr>
                              <w:spacing w:line="240" w:lineRule="auto"/>
                              <w:jc w:val="center"/>
                              <w:rPr>
                                <w:rFonts w:hint="eastAsia"/>
                                <w:sz w:val="21"/>
                                <w:szCs w:val="21"/>
                              </w:rPr>
                            </w:pPr>
                            <w:r>
                              <w:rPr>
                                <w:rFonts w:hint="eastAsia"/>
                                <w:sz w:val="21"/>
                                <w:szCs w:val="21"/>
                              </w:rPr>
                              <w:t>环境保护规划目标</w:t>
                            </w:r>
                          </w:p>
                          <w:p>
                            <w:pPr>
                              <w:spacing w:line="240" w:lineRule="auto"/>
                              <w:jc w:val="center"/>
                              <w:rPr>
                                <w:rFonts w:hint="eastAsia"/>
                                <w:sz w:val="21"/>
                                <w:szCs w:val="21"/>
                              </w:rPr>
                            </w:pPr>
                            <w:r>
                              <w:rPr>
                                <w:rFonts w:hint="eastAsia"/>
                                <w:sz w:val="21"/>
                                <w:szCs w:val="21"/>
                              </w:rPr>
                              <w:t>与规划指标</w:t>
                            </w:r>
                          </w:p>
                        </w:txbxContent>
                      </wps:txbx>
                      <wps:bodyPr wrap="square" upright="1"/>
                    </wps:wsp>
                  </a:graphicData>
                </a:graphic>
              </wp:anchor>
            </w:drawing>
          </mc:Choice>
          <mc:Fallback>
            <w:pict>
              <v:shape id="文本框 988" o:spid="_x0000_s1026" o:spt="202" type="#_x0000_t202" style="position:absolute;left:0pt;margin-left:113.1pt;margin-top:6.65pt;height:35.05pt;width:154.55pt;z-index:251660288;mso-width-relative:page;mso-height-relative:page;" filled="f" stroked="t" coordsize="21600,21600" o:gfxdata="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FSPfnzWAAAACQEAAA8AAAAAAAAAAQAg&#10;AAAAIgAAAGRycy9kb3ducmV2LnhtbFBLAQIUABQAAAAIAIdO4kDn64erEAIAAB0EAAAOAAAAAAAA&#10;AAEAIAAAACUBAABkcnMvZTJvRG9jLnhtbFBLBQYAAAAABgAGAFkBAACnBQAAAAA=&#10;">
                <v:fill on="f" focussize="0,0"/>
                <v:stroke color="#000000" joinstyle="miter"/>
                <v:imagedata o:title=""/>
                <o:lock v:ext="edit" aspectratio="f"/>
                <v:textbox>
                  <w:txbxContent>
                    <w:p>
                      <w:pPr>
                        <w:spacing w:line="240" w:lineRule="auto"/>
                        <w:jc w:val="center"/>
                        <w:rPr>
                          <w:rFonts w:hint="eastAsia"/>
                          <w:sz w:val="21"/>
                          <w:szCs w:val="21"/>
                        </w:rPr>
                      </w:pPr>
                      <w:r>
                        <w:rPr>
                          <w:rFonts w:hint="eastAsia"/>
                          <w:sz w:val="21"/>
                          <w:szCs w:val="21"/>
                        </w:rPr>
                        <w:t>环境保护规划目标</w:t>
                      </w:r>
                    </w:p>
                    <w:p>
                      <w:pPr>
                        <w:spacing w:line="240" w:lineRule="auto"/>
                        <w:jc w:val="center"/>
                        <w:rPr>
                          <w:rFonts w:hint="eastAsia"/>
                          <w:sz w:val="21"/>
                          <w:szCs w:val="21"/>
                        </w:rPr>
                      </w:pPr>
                      <w:r>
                        <w:rPr>
                          <w:rFonts w:hint="eastAsia"/>
                          <w:sz w:val="21"/>
                          <w:szCs w:val="21"/>
                        </w:rPr>
                        <w:t>与规划指标</w:t>
                      </w:r>
                    </w:p>
                  </w:txbxContent>
                </v:textbox>
              </v:shape>
            </w:pict>
          </mc:Fallback>
        </mc:AlternateContent>
      </w:r>
      <w:r>
        <w:rPr>
          <w:rFonts w:hint="eastAsia"/>
          <w:sz w:val="24"/>
          <w:lang/>
        </w:rPr>
        <mc:AlternateContent>
          <mc:Choice Requires="wps">
            <w:drawing>
              <wp:anchor distT="0" distB="0" distL="114300" distR="114300" simplePos="0" relativeHeight="251668480" behindDoc="0" locked="0" layoutInCell="1" allowOverlap="1">
                <wp:simplePos x="0" y="0"/>
                <wp:positionH relativeFrom="column">
                  <wp:posOffset>3387090</wp:posOffset>
                </wp:positionH>
                <wp:positionV relativeFrom="paragraph">
                  <wp:posOffset>278130</wp:posOffset>
                </wp:positionV>
                <wp:extent cx="508635" cy="0"/>
                <wp:effectExtent l="0" t="38100" r="12065" b="38100"/>
                <wp:wrapNone/>
                <wp:docPr id="10" name="直线 996"/>
                <wp:cNvGraphicFramePr/>
                <a:graphic xmlns:a="http://schemas.openxmlformats.org/drawingml/2006/main">
                  <a:graphicData uri="http://schemas.microsoft.com/office/word/2010/wordprocessingShape">
                    <wps:wsp>
                      <wps:cNvSpPr/>
                      <wps:spPr>
                        <a:xfrm flipH="1">
                          <a:off x="0" y="0"/>
                          <a:ext cx="50863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996" o:spid="_x0000_s1026" o:spt="20" style="position:absolute;left:0pt;flip:x;margin-left:266.7pt;margin-top:21.9pt;height:0pt;width:40.05pt;z-index:251668480;mso-width-relative:page;mso-height-relative:page;" filled="f" stroked="t" coordsize="21600,21600" o:gfxdata="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8fbMa2AAAAAkBAAAPAAAAAAAAAAEAIAAAACIAAABkcnMvZG93bnJldi54bWxQ&#10;SwECFAAUAAAACACHTuJAvvytIPcBAADrAwAADgAAAAAAAAABACAAAAAnAQAAZHJzL2Uyb0RvYy54&#10;bWxQSwUGAAAAAAYABgBZAQAAkAUAAAAA&#10;">
                <v:fill on="f" focussize="0,0"/>
                <v:stroke color="#000000" joinstyle="round" endarrow="block"/>
                <v:imagedata o:title=""/>
                <o:lock v:ext="edit" aspectratio="f"/>
              </v:line>
            </w:pict>
          </mc:Fallback>
        </mc:AlternateContent>
      </w:r>
      <w:r>
        <w:rPr>
          <w:rFonts w:hint="eastAsia"/>
          <w:sz w:val="24"/>
          <w:lang/>
        </w:rPr>
        <mc:AlternateContent>
          <mc:Choice Requires="wps">
            <w:drawing>
              <wp:anchor distT="0" distB="0" distL="114300" distR="114300" simplePos="0" relativeHeight="251667456" behindDoc="0" locked="0" layoutInCell="1" allowOverlap="1">
                <wp:simplePos x="0" y="0"/>
                <wp:positionH relativeFrom="column">
                  <wp:posOffset>927735</wp:posOffset>
                </wp:positionH>
                <wp:positionV relativeFrom="paragraph">
                  <wp:posOffset>278130</wp:posOffset>
                </wp:positionV>
                <wp:extent cx="508635" cy="0"/>
                <wp:effectExtent l="0" t="38100" r="12065" b="38100"/>
                <wp:wrapNone/>
                <wp:docPr id="9" name="直线 995"/>
                <wp:cNvGraphicFramePr/>
                <a:graphic xmlns:a="http://schemas.openxmlformats.org/drawingml/2006/main">
                  <a:graphicData uri="http://schemas.microsoft.com/office/word/2010/wordprocessingShape">
                    <wps:wsp>
                      <wps:cNvSpPr/>
                      <wps:spPr>
                        <a:xfrm>
                          <a:off x="0" y="0"/>
                          <a:ext cx="50863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995" o:spid="_x0000_s1026" o:spt="20" style="position:absolute;left:0pt;margin-left:73.05pt;margin-top:21.9pt;height:0pt;width:40.05pt;z-index:251667456;mso-width-relative:page;mso-height-relative:page;" filled="f" stroked="t" coordsize="21600,21600" o:gfxdata="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h0KriNgAAAAJAQAADwAAAAAAAAABACAAAAAiAAAAZHJzL2Rvd25yZXYueG1sUEsBAhQAFAAA&#10;AAgAh07iQB1YFv7vAQAA4AMAAA4AAAAAAAAAAQAgAAAAJwEAAGRycy9lMm9Eb2MueG1sUEsFBgAA&#10;AAAGAAYAWQEAAIgFAAAAAA==&#10;">
                <v:fill on="f" focussize="0,0"/>
                <v:stroke color="#000000" joinstyle="round" endarrow="block"/>
                <v:imagedata o:title=""/>
                <o:lock v:ext="edit" aspectratio="f"/>
              </v:line>
            </w:pict>
          </mc:Fallback>
        </mc:AlternateContent>
      </w:r>
    </w:p>
    <w:p>
      <w:pPr>
        <w:spacing w:line="500" w:lineRule="exact"/>
        <w:ind w:firstLine="480" w:firstLineChars="200"/>
        <w:rPr>
          <w:rFonts w:hint="eastAsia"/>
          <w:sz w:val="24"/>
        </w:rPr>
      </w:pPr>
      <w:r>
        <w:rPr>
          <w:rFonts w:hint="eastAsia"/>
          <w:sz w:val="24"/>
          <w:lang/>
        </w:rPr>
        <mc:AlternateContent>
          <mc:Choice Requires="wps">
            <w:drawing>
              <wp:anchor distT="0" distB="0" distL="114300" distR="114300" simplePos="0" relativeHeight="251669504" behindDoc="0" locked="0" layoutInCell="1" allowOverlap="1">
                <wp:simplePos x="0" y="0"/>
                <wp:positionH relativeFrom="column">
                  <wp:posOffset>2369185</wp:posOffset>
                </wp:positionH>
                <wp:positionV relativeFrom="paragraph">
                  <wp:posOffset>250825</wp:posOffset>
                </wp:positionV>
                <wp:extent cx="0" cy="290195"/>
                <wp:effectExtent l="38100" t="0" r="38100" b="1905"/>
                <wp:wrapNone/>
                <wp:docPr id="11" name="直线 997"/>
                <wp:cNvGraphicFramePr/>
                <a:graphic xmlns:a="http://schemas.openxmlformats.org/drawingml/2006/main">
                  <a:graphicData uri="http://schemas.microsoft.com/office/word/2010/wordprocessingShape">
                    <wps:wsp>
                      <wps:cNvSpPr/>
                      <wps:spPr>
                        <a:xfrm>
                          <a:off x="0" y="0"/>
                          <a:ext cx="0" cy="29019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997" o:spid="_x0000_s1026" o:spt="20" style="position:absolute;left:0pt;margin-left:186.55pt;margin-top:19.75pt;height:22.85pt;width:0pt;z-index:251669504;mso-width-relative:page;mso-height-relative:page;" filled="f" stroked="t" coordsize="21600,21600" o:gfxdata="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9yXMl2QAAAAkBAAAPAAAAAAAAAAEAIAAAACIAAABkcnMvZG93bnJldi54bWxQSwECFAAUAAAA&#10;CACHTuJAzQcMcO0BAADhAwAADgAAAAAAAAABACAAAAAoAQAAZHJzL2Uyb0RvYy54bWxQSwUGAAAA&#10;AAYABgBZAQAAhwUAAAAA&#10;">
                <v:fill on="f" focussize="0,0"/>
                <v:stroke color="#000000" joinstyle="round" endarrow="block"/>
                <v:imagedata o:title=""/>
                <o:lock v:ext="edit" aspectratio="f"/>
              </v:line>
            </w:pict>
          </mc:Fallback>
        </mc:AlternateContent>
      </w:r>
    </w:p>
    <w:p>
      <w:pPr>
        <w:spacing w:line="500" w:lineRule="exact"/>
        <w:ind w:firstLine="480" w:firstLineChars="200"/>
        <w:rPr>
          <w:rFonts w:hint="eastAsia"/>
          <w:sz w:val="24"/>
        </w:rPr>
      </w:pPr>
      <w:r>
        <w:rPr>
          <w:rFonts w:hint="eastAsia"/>
          <w:sz w:val="24"/>
          <w:lang/>
        </w:rPr>
        <mc:AlternateContent>
          <mc:Choice Requires="wps">
            <w:drawing>
              <wp:anchor distT="0" distB="0" distL="114300" distR="114300" simplePos="0" relativeHeight="251661312" behindDoc="0" locked="0" layoutInCell="1" allowOverlap="1">
                <wp:simplePos x="0" y="0"/>
                <wp:positionH relativeFrom="column">
                  <wp:posOffset>1436370</wp:posOffset>
                </wp:positionH>
                <wp:positionV relativeFrom="paragraph">
                  <wp:posOffset>223520</wp:posOffset>
                </wp:positionV>
                <wp:extent cx="1962785" cy="416560"/>
                <wp:effectExtent l="4445" t="4445" r="13970" b="10795"/>
                <wp:wrapNone/>
                <wp:docPr id="3" name="文本框 989"/>
                <wp:cNvGraphicFramePr/>
                <a:graphic xmlns:a="http://schemas.openxmlformats.org/drawingml/2006/main">
                  <a:graphicData uri="http://schemas.microsoft.com/office/word/2010/wordprocessingShape">
                    <wps:wsp>
                      <wps:cNvSpPr txBox="1"/>
                      <wps:spPr>
                        <a:xfrm>
                          <a:off x="0" y="0"/>
                          <a:ext cx="1962785" cy="416560"/>
                        </a:xfrm>
                        <a:prstGeom prst="rect">
                          <a:avLst/>
                        </a:prstGeom>
                        <a:noFill/>
                        <a:ln w="9525" cap="flat" cmpd="sng">
                          <a:solidFill>
                            <a:srgbClr val="000000"/>
                          </a:solidFill>
                          <a:prstDash val="solid"/>
                          <a:miter/>
                          <a:headEnd type="none" w="med" len="med"/>
                          <a:tailEnd type="none" w="med" len="med"/>
                        </a:ln>
                      </wps:spPr>
                      <wps:txbx>
                        <w:txbxContent>
                          <w:p>
                            <w:pPr>
                              <w:spacing w:line="240" w:lineRule="auto"/>
                              <w:jc w:val="center"/>
                              <w:rPr>
                                <w:rFonts w:hint="eastAsia"/>
                                <w:sz w:val="21"/>
                                <w:szCs w:val="21"/>
                              </w:rPr>
                            </w:pPr>
                            <w:r>
                              <w:rPr>
                                <w:rFonts w:hint="eastAsia"/>
                                <w:sz w:val="21"/>
                                <w:szCs w:val="21"/>
                              </w:rPr>
                              <w:t>确定环境保护的</w:t>
                            </w:r>
                          </w:p>
                          <w:p>
                            <w:pPr>
                              <w:spacing w:line="240" w:lineRule="auto"/>
                              <w:jc w:val="center"/>
                              <w:rPr>
                                <w:rFonts w:hint="eastAsia"/>
                                <w:sz w:val="21"/>
                                <w:szCs w:val="21"/>
                              </w:rPr>
                            </w:pPr>
                            <w:r>
                              <w:rPr>
                                <w:rFonts w:hint="eastAsia"/>
                                <w:sz w:val="21"/>
                                <w:szCs w:val="21"/>
                              </w:rPr>
                              <w:t>重点领域和主要任务</w:t>
                            </w:r>
                          </w:p>
                        </w:txbxContent>
                      </wps:txbx>
                      <wps:bodyPr wrap="square" upright="1"/>
                    </wps:wsp>
                  </a:graphicData>
                </a:graphic>
              </wp:anchor>
            </w:drawing>
          </mc:Choice>
          <mc:Fallback>
            <w:pict>
              <v:shape id="文本框 989" o:spid="_x0000_s1026" o:spt="202" type="#_x0000_t202" style="position:absolute;left:0pt;margin-left:113.1pt;margin-top:17.6pt;height:32.8pt;width:154.55pt;z-index:251661312;mso-width-relative:page;mso-height-relative:page;" filled="f" stroked="t" coordsize="21600,21600" o:gfxdata="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nC8uYNcAAAAKAQAADwAAAAAAAAAB&#10;ACAAAAAiAAAAZHJzL2Rvd25yZXYueG1sUEsBAhQAFAAAAAgAh07iQJWyWTgRAgAAHQQAAA4AAAAA&#10;AAAAAQAgAAAAJgEAAGRycy9lMm9Eb2MueG1sUEsFBgAAAAAGAAYAWQEAAKkFAAAAAA==&#10;">
                <v:fill on="f" focussize="0,0"/>
                <v:stroke color="#000000" joinstyle="miter"/>
                <v:imagedata o:title=""/>
                <o:lock v:ext="edit" aspectratio="f"/>
                <v:textbox>
                  <w:txbxContent>
                    <w:p>
                      <w:pPr>
                        <w:spacing w:line="240" w:lineRule="auto"/>
                        <w:jc w:val="center"/>
                        <w:rPr>
                          <w:rFonts w:hint="eastAsia"/>
                          <w:sz w:val="21"/>
                          <w:szCs w:val="21"/>
                        </w:rPr>
                      </w:pPr>
                      <w:r>
                        <w:rPr>
                          <w:rFonts w:hint="eastAsia"/>
                          <w:sz w:val="21"/>
                          <w:szCs w:val="21"/>
                        </w:rPr>
                        <w:t>确定环境保护的</w:t>
                      </w:r>
                    </w:p>
                    <w:p>
                      <w:pPr>
                        <w:spacing w:line="240" w:lineRule="auto"/>
                        <w:jc w:val="center"/>
                        <w:rPr>
                          <w:rFonts w:hint="eastAsia"/>
                          <w:sz w:val="21"/>
                          <w:szCs w:val="21"/>
                        </w:rPr>
                      </w:pPr>
                      <w:r>
                        <w:rPr>
                          <w:rFonts w:hint="eastAsia"/>
                          <w:sz w:val="21"/>
                          <w:szCs w:val="21"/>
                        </w:rPr>
                        <w:t>重点领域和主要任务</w:t>
                      </w:r>
                    </w:p>
                  </w:txbxContent>
                </v:textbox>
              </v:shape>
            </w:pict>
          </mc:Fallback>
        </mc:AlternateContent>
      </w:r>
    </w:p>
    <w:p>
      <w:pPr>
        <w:spacing w:line="500" w:lineRule="exact"/>
        <w:ind w:firstLine="480" w:firstLineChars="200"/>
        <w:rPr>
          <w:rFonts w:hint="eastAsia"/>
          <w:sz w:val="24"/>
        </w:rPr>
      </w:pPr>
    </w:p>
    <w:p>
      <w:pPr>
        <w:spacing w:line="500" w:lineRule="exact"/>
        <w:ind w:firstLine="480" w:firstLineChars="200"/>
        <w:rPr>
          <w:rFonts w:hint="eastAsia"/>
          <w:sz w:val="24"/>
        </w:rPr>
      </w:pPr>
      <w:r>
        <w:rPr>
          <w:rFonts w:hint="eastAsia"/>
          <w:sz w:val="24"/>
          <w:lang/>
        </w:rPr>
        <mc:AlternateContent>
          <mc:Choice Requires="wps">
            <w:drawing>
              <wp:anchor distT="0" distB="0" distL="114300" distR="114300" simplePos="0" relativeHeight="251722752" behindDoc="0" locked="0" layoutInCell="1" allowOverlap="1">
                <wp:simplePos x="0" y="0"/>
                <wp:positionH relativeFrom="column">
                  <wp:posOffset>2362200</wp:posOffset>
                </wp:positionH>
                <wp:positionV relativeFrom="paragraph">
                  <wp:posOffset>204470</wp:posOffset>
                </wp:positionV>
                <wp:extent cx="3314700" cy="0"/>
                <wp:effectExtent l="0" t="38100" r="0" b="38100"/>
                <wp:wrapNone/>
                <wp:docPr id="63" name="直线 1049"/>
                <wp:cNvGraphicFramePr/>
                <a:graphic xmlns:a="http://schemas.openxmlformats.org/drawingml/2006/main">
                  <a:graphicData uri="http://schemas.microsoft.com/office/word/2010/wordprocessingShape">
                    <wps:wsp>
                      <wps:cNvSpPr/>
                      <wps:spPr>
                        <a:xfrm flipH="1">
                          <a:off x="0" y="0"/>
                          <a:ext cx="3314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49" o:spid="_x0000_s1026" o:spt="20" style="position:absolute;left:0pt;flip:x;margin-left:186pt;margin-top:16.1pt;height:0pt;width:261pt;z-index:251722752;mso-width-relative:page;mso-height-relative:page;" filled="f" stroked="t" coordsize="21600,21600" o:gfxdata="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qGU69gAAAAJAQAADwAAAAAAAAABACAAAAAiAAAAZHJzL2Rvd25yZXYu&#10;eG1sUEsBAhQAFAAAAAgAh07iQAnhuUv7AQAA7QMAAA4AAAAAAAAAAQAgAAAAJwEAAGRycy9lMm9E&#10;b2MueG1sUEsFBgAAAAAGAAYAWQEAAJQFAAAAAA==&#10;">
                <v:fill on="f" focussize="0,0"/>
                <v:stroke color="#000000" joinstyle="round" endarrow="block"/>
                <v:imagedata o:title=""/>
                <o:lock v:ext="edit" aspectratio="f"/>
              </v:line>
            </w:pict>
          </mc:Fallback>
        </mc:AlternateContent>
      </w:r>
      <w:r>
        <w:rPr>
          <w:rFonts w:hint="eastAsia"/>
          <w:sz w:val="24"/>
          <w:lang/>
        </w:rPr>
        <mc:AlternateContent>
          <mc:Choice Requires="wps">
            <w:drawing>
              <wp:anchor distT="0" distB="0" distL="114300" distR="114300" simplePos="0" relativeHeight="251685888" behindDoc="0" locked="0" layoutInCell="1" allowOverlap="1">
                <wp:simplePos x="0" y="0"/>
                <wp:positionH relativeFrom="column">
                  <wp:posOffset>2353310</wp:posOffset>
                </wp:positionH>
                <wp:positionV relativeFrom="paragraph">
                  <wp:posOffset>1270</wp:posOffset>
                </wp:positionV>
                <wp:extent cx="0" cy="854710"/>
                <wp:effectExtent l="38100" t="0" r="38100" b="8890"/>
                <wp:wrapNone/>
                <wp:docPr id="27" name="直线 1013"/>
                <wp:cNvGraphicFramePr/>
                <a:graphic xmlns:a="http://schemas.openxmlformats.org/drawingml/2006/main">
                  <a:graphicData uri="http://schemas.microsoft.com/office/word/2010/wordprocessingShape">
                    <wps:wsp>
                      <wps:cNvSpPr/>
                      <wps:spPr>
                        <a:xfrm>
                          <a:off x="0" y="0"/>
                          <a:ext cx="0" cy="85471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13" o:spid="_x0000_s1026" o:spt="20" style="position:absolute;left:0pt;margin-left:185.3pt;margin-top:0.1pt;height:67.3pt;width:0pt;z-index:251685888;mso-width-relative:page;mso-height-relative:page;" filled="f" stroked="t" coordsize="21600,21600" o:gfxdata="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D6GSmTXAAAACAEAAA8AAAAAAAAAAQAgAAAAIgAAAGRycy9kb3ducmV2LnhtbFBLAQIUABQA&#10;AAAIAIdO4kDbtinr8QEAAOIDAAAOAAAAAAAAAAEAIAAAACYBAABkcnMvZTJvRG9jLnhtbFBLBQYA&#10;AAAABgAGAFkBAACJBQAAAAA=&#10;">
                <v:fill on="f" focussize="0,0"/>
                <v:stroke color="#000000" joinstyle="round" endarrow="block"/>
                <v:imagedata o:title=""/>
                <o:lock v:ext="edit" aspectratio="f"/>
              </v:line>
            </w:pict>
          </mc:Fallback>
        </mc:AlternateContent>
      </w:r>
    </w:p>
    <w:p>
      <w:pPr>
        <w:spacing w:line="500" w:lineRule="exact"/>
        <w:ind w:firstLine="480" w:firstLineChars="200"/>
        <w:rPr>
          <w:rFonts w:hint="eastAsia"/>
          <w:sz w:val="24"/>
        </w:rPr>
      </w:pPr>
      <w:r>
        <w:rPr>
          <w:rFonts w:hint="eastAsia"/>
          <w:sz w:val="24"/>
          <w:lang/>
        </w:rPr>
        <mc:AlternateContent>
          <mc:Choice Requires="wps">
            <w:drawing>
              <wp:anchor distT="0" distB="0" distL="114300" distR="114300" simplePos="0" relativeHeight="251703296" behindDoc="0" locked="0" layoutInCell="1" allowOverlap="1">
                <wp:simplePos x="0" y="0"/>
                <wp:positionH relativeFrom="column">
                  <wp:posOffset>5144770</wp:posOffset>
                </wp:positionH>
                <wp:positionV relativeFrom="paragraph">
                  <wp:posOffset>142240</wp:posOffset>
                </wp:positionV>
                <wp:extent cx="0" cy="387350"/>
                <wp:effectExtent l="38100" t="0" r="38100" b="6350"/>
                <wp:wrapNone/>
                <wp:docPr id="44" name="直线 1030"/>
                <wp:cNvGraphicFramePr/>
                <a:graphic xmlns:a="http://schemas.openxmlformats.org/drawingml/2006/main">
                  <a:graphicData uri="http://schemas.microsoft.com/office/word/2010/wordprocessingShape">
                    <wps:wsp>
                      <wps:cNvSpPr/>
                      <wps:spPr>
                        <a:xfrm>
                          <a:off x="0" y="0"/>
                          <a:ext cx="0" cy="38735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30" o:spid="_x0000_s1026" o:spt="20" style="position:absolute;left:0pt;margin-left:405.1pt;margin-top:11.2pt;height:30.5pt;width:0pt;z-index:251703296;mso-width-relative:page;mso-height-relative:page;" filled="f" stroked="t" coordsize="21600,21600" o:gfxdata="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sGmSLYAAAACQEAAA8AAAAAAAAAAQAgAAAAIgAAAGRycy9kb3ducmV2LnhtbFBLAQIUABQA&#10;AAAIAIdO4kDjzxF+8AEAAOIDAAAOAAAAAAAAAAEAIAAAACcBAABkcnMvZTJvRG9jLnhtbFBLBQYA&#10;AAAABgAGAFkBAACJBQAAAAA=&#10;">
                <v:fill on="f" focussize="0,0"/>
                <v:stroke color="#000000" joinstyle="round" endarrow="block"/>
                <v:imagedata o:title=""/>
                <o:lock v:ext="edit" aspectratio="f"/>
              </v:line>
            </w:pict>
          </mc:Fallback>
        </mc:AlternateContent>
      </w:r>
      <w:r>
        <w:rPr>
          <w:rFonts w:hint="eastAsia"/>
          <w:sz w:val="24"/>
          <w:lang/>
        </w:rPr>
        <mc:AlternateContent>
          <mc:Choice Requires="wps">
            <w:drawing>
              <wp:anchor distT="0" distB="0" distL="114300" distR="114300" simplePos="0" relativeHeight="251705344" behindDoc="0" locked="0" layoutInCell="1" allowOverlap="1">
                <wp:simplePos x="0" y="0"/>
                <wp:positionH relativeFrom="column">
                  <wp:posOffset>-114300</wp:posOffset>
                </wp:positionH>
                <wp:positionV relativeFrom="paragraph">
                  <wp:posOffset>146685</wp:posOffset>
                </wp:positionV>
                <wp:extent cx="5257800" cy="0"/>
                <wp:effectExtent l="0" t="4445" r="0" b="5080"/>
                <wp:wrapNone/>
                <wp:docPr id="46" name="直线 1032"/>
                <wp:cNvGraphicFramePr/>
                <a:graphic xmlns:a="http://schemas.openxmlformats.org/drawingml/2006/main">
                  <a:graphicData uri="http://schemas.microsoft.com/office/word/2010/wordprocessingShape">
                    <wps:wsp>
                      <wps:cNvSpPr/>
                      <wps:spPr>
                        <a:xfrm>
                          <a:off x="0" y="0"/>
                          <a:ext cx="52578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32" o:spid="_x0000_s1026" o:spt="20" style="position:absolute;left:0pt;margin-left:-9pt;margin-top:11.55pt;height:0pt;width:414pt;z-index:251705344;mso-width-relative:page;mso-height-relative:page;" filled="f" stroked="t" coordsize="21600,21600" o:gfxdata="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KfbCrV&#10;AAAACQEAAA8AAAAAAAAAAQAgAAAAIgAAAGRycy9kb3ducmV2LnhtbFBLAQIUABQAAAAIAIdO4kAV&#10;FA2p6gEAAN8DAAAOAAAAAAAAAAEAIAAAACQBAABkcnMvZTJvRG9jLnhtbFBLBQYAAAAABgAGAFkB&#10;AACABQAAAAA=&#10;">
                <v:fill on="f" focussize="0,0"/>
                <v:stroke color="#000000" joinstyle="round"/>
                <v:imagedata o:title=""/>
                <o:lock v:ext="edit" aspectratio="f"/>
              </v:line>
            </w:pict>
          </mc:Fallback>
        </mc:AlternateContent>
      </w:r>
      <w:r>
        <w:rPr>
          <w:rFonts w:hint="eastAsia"/>
          <w:sz w:val="24"/>
          <w:lang/>
        </w:rPr>
        <mc:AlternateContent>
          <mc:Choice Requires="wps">
            <w:drawing>
              <wp:anchor distT="0" distB="0" distL="114300" distR="114300" simplePos="0" relativeHeight="251704320" behindDoc="0" locked="0" layoutInCell="1" allowOverlap="1">
                <wp:simplePos x="0" y="0"/>
                <wp:positionH relativeFrom="column">
                  <wp:posOffset>-114300</wp:posOffset>
                </wp:positionH>
                <wp:positionV relativeFrom="paragraph">
                  <wp:posOffset>146685</wp:posOffset>
                </wp:positionV>
                <wp:extent cx="0" cy="387350"/>
                <wp:effectExtent l="38100" t="0" r="38100" b="6350"/>
                <wp:wrapNone/>
                <wp:docPr id="45" name="直线 1031"/>
                <wp:cNvGraphicFramePr/>
                <a:graphic xmlns:a="http://schemas.openxmlformats.org/drawingml/2006/main">
                  <a:graphicData uri="http://schemas.microsoft.com/office/word/2010/wordprocessingShape">
                    <wps:wsp>
                      <wps:cNvSpPr/>
                      <wps:spPr>
                        <a:xfrm>
                          <a:off x="0" y="0"/>
                          <a:ext cx="0" cy="38735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31" o:spid="_x0000_s1026" o:spt="20" style="position:absolute;left:0pt;margin-left:-9pt;margin-top:11.55pt;height:30.5pt;width:0pt;z-index:251704320;mso-width-relative:page;mso-height-relative:page;" filled="f" stroked="t" coordsize="21600,21600" o:gfxdata="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BmTQMPYAAAACQEAAA8AAAAAAAAAAQAgAAAAIgAAAGRycy9kb3ducmV2LnhtbFBLAQIUABQA&#10;AAAIAIdO4kCtiFn78AEAAOIDAAAOAAAAAAAAAAEAIAAAACcBAABkcnMvZTJvRG9jLnhtbFBLBQYA&#10;AAAABgAGAFkBAACJBQAAAAA=&#10;">
                <v:fill on="f" focussize="0,0"/>
                <v:stroke color="#000000" joinstyle="round" endarrow="block"/>
                <v:imagedata o:title=""/>
                <o:lock v:ext="edit" aspectratio="f"/>
              </v:line>
            </w:pict>
          </mc:Fallback>
        </mc:AlternateContent>
      </w:r>
      <w:r>
        <w:rPr>
          <w:rFonts w:hint="eastAsia"/>
          <w:sz w:val="24"/>
          <w:lang/>
        </w:rPr>
        <mc:AlternateContent>
          <mc:Choice Requires="wps">
            <w:drawing>
              <wp:anchor distT="0" distB="0" distL="114300" distR="114300" simplePos="0" relativeHeight="251695104" behindDoc="0" locked="0" layoutInCell="1" allowOverlap="1">
                <wp:simplePos x="0" y="0"/>
                <wp:positionH relativeFrom="column">
                  <wp:posOffset>4683125</wp:posOffset>
                </wp:positionH>
                <wp:positionV relativeFrom="paragraph">
                  <wp:posOffset>151130</wp:posOffset>
                </wp:positionV>
                <wp:extent cx="0" cy="387350"/>
                <wp:effectExtent l="38100" t="0" r="38100" b="6350"/>
                <wp:wrapNone/>
                <wp:docPr id="36" name="直线 1022"/>
                <wp:cNvGraphicFramePr/>
                <a:graphic xmlns:a="http://schemas.openxmlformats.org/drawingml/2006/main">
                  <a:graphicData uri="http://schemas.microsoft.com/office/word/2010/wordprocessingShape">
                    <wps:wsp>
                      <wps:cNvSpPr/>
                      <wps:spPr>
                        <a:xfrm>
                          <a:off x="0" y="0"/>
                          <a:ext cx="0" cy="38735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22" o:spid="_x0000_s1026" o:spt="20" style="position:absolute;left:0pt;margin-left:368.75pt;margin-top:11.9pt;height:30.5pt;width:0pt;z-index:251695104;mso-width-relative:page;mso-height-relative:page;" filled="f" stroked="t" coordsize="21600,21600" o:gfxdata="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PU7LvZAAAACQEAAA8AAAAAAAAAAQAgAAAAIgAAAGRycy9kb3ducmV2LnhtbFBLAQIU&#10;ABQAAAAIAIdO4kCUX8ko8gEAAOIDAAAOAAAAAAAAAAEAIAAAACgBAABkcnMvZTJvRG9jLnhtbFBL&#10;BQYAAAAABgAGAFkBAACMBQAAAAA=&#10;">
                <v:fill on="f" focussize="0,0"/>
                <v:stroke color="#000000" joinstyle="round" endarrow="block"/>
                <v:imagedata o:title=""/>
                <o:lock v:ext="edit" aspectratio="f"/>
              </v:line>
            </w:pict>
          </mc:Fallback>
        </mc:AlternateContent>
      </w:r>
      <w:r>
        <w:rPr>
          <w:rFonts w:hint="eastAsia"/>
          <w:sz w:val="24"/>
          <w:lang/>
        </w:rPr>
        <mc:AlternateContent>
          <mc:Choice Requires="wps">
            <w:drawing>
              <wp:anchor distT="0" distB="0" distL="114300" distR="114300" simplePos="0" relativeHeight="251694080" behindDoc="0" locked="0" layoutInCell="1" allowOverlap="1">
                <wp:simplePos x="0" y="0"/>
                <wp:positionH relativeFrom="column">
                  <wp:posOffset>4029075</wp:posOffset>
                </wp:positionH>
                <wp:positionV relativeFrom="paragraph">
                  <wp:posOffset>151130</wp:posOffset>
                </wp:positionV>
                <wp:extent cx="0" cy="387350"/>
                <wp:effectExtent l="38100" t="0" r="38100" b="6350"/>
                <wp:wrapNone/>
                <wp:docPr id="35" name="直线 1021"/>
                <wp:cNvGraphicFramePr/>
                <a:graphic xmlns:a="http://schemas.openxmlformats.org/drawingml/2006/main">
                  <a:graphicData uri="http://schemas.microsoft.com/office/word/2010/wordprocessingShape">
                    <wps:wsp>
                      <wps:cNvSpPr/>
                      <wps:spPr>
                        <a:xfrm>
                          <a:off x="0" y="0"/>
                          <a:ext cx="0" cy="38735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21" o:spid="_x0000_s1026" o:spt="20" style="position:absolute;left:0pt;margin-left:317.25pt;margin-top:11.9pt;height:30.5pt;width:0pt;z-index:251694080;mso-width-relative:page;mso-height-relative:page;" filled="f" stroked="t" coordsize="21600,21600" o:gfxdata="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8ReDT2QAAAAkBAAAPAAAAAAAAAAEAIAAAACIAAABkcnMvZG93bnJldi54bWxQSwECFAAU&#10;AAAACACHTuJAB5BgfPABAADiAwAADgAAAAAAAAABACAAAAAoAQAAZHJzL2Uyb0RvYy54bWxQSwUG&#10;AAAAAAYABgBZAQAAigUAAAAA&#10;">
                <v:fill on="f" focussize="0,0"/>
                <v:stroke color="#000000" joinstyle="round" endarrow="block"/>
                <v:imagedata o:title=""/>
                <o:lock v:ext="edit" aspectratio="f"/>
              </v:line>
            </w:pict>
          </mc:Fallback>
        </mc:AlternateContent>
      </w:r>
      <w:r>
        <w:rPr>
          <w:rFonts w:hint="eastAsia"/>
          <w:sz w:val="24"/>
          <w:lang/>
        </w:rPr>
        <mc:AlternateContent>
          <mc:Choice Requires="wps">
            <w:drawing>
              <wp:anchor distT="0" distB="0" distL="114300" distR="114300" simplePos="0" relativeHeight="251693056" behindDoc="0" locked="0" layoutInCell="1" allowOverlap="1">
                <wp:simplePos x="0" y="0"/>
                <wp:positionH relativeFrom="column">
                  <wp:posOffset>1038225</wp:posOffset>
                </wp:positionH>
                <wp:positionV relativeFrom="paragraph">
                  <wp:posOffset>151130</wp:posOffset>
                </wp:positionV>
                <wp:extent cx="0" cy="387350"/>
                <wp:effectExtent l="38100" t="0" r="38100" b="6350"/>
                <wp:wrapNone/>
                <wp:docPr id="34" name="直线 1020"/>
                <wp:cNvGraphicFramePr/>
                <a:graphic xmlns:a="http://schemas.openxmlformats.org/drawingml/2006/main">
                  <a:graphicData uri="http://schemas.microsoft.com/office/word/2010/wordprocessingShape">
                    <wps:wsp>
                      <wps:cNvSpPr/>
                      <wps:spPr>
                        <a:xfrm>
                          <a:off x="0" y="0"/>
                          <a:ext cx="0" cy="38735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20" o:spid="_x0000_s1026" o:spt="20" style="position:absolute;left:0pt;margin-left:81.75pt;margin-top:11.9pt;height:30.5pt;width:0pt;z-index:251693056;mso-width-relative:page;mso-height-relative:page;" filled="f" stroked="t" coordsize="21600,21600" o:gfxdata="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CC0IhTYAAAACQEAAA8AAAAAAAAAAQAgAAAAIgAAAGRycy9kb3ducmV2LnhtbFBLAQIUABQA&#10;AAAIAIdO4kBJ1yj58AEAAOIDAAAOAAAAAAAAAAEAIAAAACcBAABkcnMvZTJvRG9jLnhtbFBLBQYA&#10;AAAABgAGAFkBAACJBQAAAAA=&#10;">
                <v:fill on="f" focussize="0,0"/>
                <v:stroke color="#000000" joinstyle="round" endarrow="block"/>
                <v:imagedata o:title=""/>
                <o:lock v:ext="edit" aspectratio="f"/>
              </v:line>
            </w:pict>
          </mc:Fallback>
        </mc:AlternateContent>
      </w:r>
      <w:r>
        <w:rPr>
          <w:rFonts w:hint="eastAsia"/>
          <w:sz w:val="24"/>
          <w:lang/>
        </w:rPr>
        <mc:AlternateContent>
          <mc:Choice Requires="wps">
            <w:drawing>
              <wp:anchor distT="0" distB="0" distL="114300" distR="114300" simplePos="0" relativeHeight="251687936" behindDoc="0" locked="0" layoutInCell="1" allowOverlap="1">
                <wp:simplePos x="0" y="0"/>
                <wp:positionH relativeFrom="column">
                  <wp:posOffset>3521710</wp:posOffset>
                </wp:positionH>
                <wp:positionV relativeFrom="paragraph">
                  <wp:posOffset>151130</wp:posOffset>
                </wp:positionV>
                <wp:extent cx="0" cy="387350"/>
                <wp:effectExtent l="38100" t="0" r="38100" b="6350"/>
                <wp:wrapNone/>
                <wp:docPr id="29" name="直线 1015"/>
                <wp:cNvGraphicFramePr/>
                <a:graphic xmlns:a="http://schemas.openxmlformats.org/drawingml/2006/main">
                  <a:graphicData uri="http://schemas.microsoft.com/office/word/2010/wordprocessingShape">
                    <wps:wsp>
                      <wps:cNvSpPr/>
                      <wps:spPr>
                        <a:xfrm>
                          <a:off x="0" y="0"/>
                          <a:ext cx="0" cy="38735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15" o:spid="_x0000_s1026" o:spt="20" style="position:absolute;left:0pt;margin-left:277.3pt;margin-top:11.9pt;height:30.5pt;width:0pt;z-index:251687936;mso-width-relative:page;mso-height-relative:page;" filled="f" stroked="t" coordsize="21600,21600" o:gfxdata="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XJeDq9kAAAAJAQAADwAAAAAAAAABACAAAAAiAAAAZHJzL2Rvd25yZXYueG1sUEsBAhQA&#10;FAAAAAgAh07iQLGp0rzxAQAA4gMAAA4AAAAAAAAAAQAgAAAAKAEAAGRycy9lMm9Eb2MueG1sUEsF&#10;BgAAAAAGAAYAWQEAAIsFAAAAAA==&#10;">
                <v:fill on="f" focussize="0,0"/>
                <v:stroke color="#000000" joinstyle="round" endarrow="block"/>
                <v:imagedata o:title=""/>
                <o:lock v:ext="edit" aspectratio="f"/>
              </v:line>
            </w:pict>
          </mc:Fallback>
        </mc:AlternateContent>
      </w:r>
      <w:r>
        <w:rPr>
          <w:rFonts w:hint="eastAsia"/>
          <w:sz w:val="24"/>
          <w:lang/>
        </w:rPr>
        <mc:AlternateContent>
          <mc:Choice Requires="wps">
            <w:drawing>
              <wp:anchor distT="0" distB="0" distL="114300" distR="114300" simplePos="0" relativeHeight="251686912" behindDoc="0" locked="0" layoutInCell="1" allowOverlap="1">
                <wp:simplePos x="0" y="0"/>
                <wp:positionH relativeFrom="column">
                  <wp:posOffset>2939415</wp:posOffset>
                </wp:positionH>
                <wp:positionV relativeFrom="paragraph">
                  <wp:posOffset>151130</wp:posOffset>
                </wp:positionV>
                <wp:extent cx="0" cy="387350"/>
                <wp:effectExtent l="38100" t="0" r="38100" b="6350"/>
                <wp:wrapNone/>
                <wp:docPr id="28" name="直线 1014"/>
                <wp:cNvGraphicFramePr/>
                <a:graphic xmlns:a="http://schemas.openxmlformats.org/drawingml/2006/main">
                  <a:graphicData uri="http://schemas.microsoft.com/office/word/2010/wordprocessingShape">
                    <wps:wsp>
                      <wps:cNvSpPr/>
                      <wps:spPr>
                        <a:xfrm>
                          <a:off x="0" y="0"/>
                          <a:ext cx="0" cy="38735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14" o:spid="_x0000_s1026" o:spt="20" style="position:absolute;left:0pt;margin-left:231.45pt;margin-top:11.9pt;height:30.5pt;width:0pt;z-index:251686912;mso-width-relative:page;mso-height-relative:page;" filled="f" stroked="t" coordsize="21600,21600" o:gfxdata="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t13t2AAAAAkBAAAPAAAAAAAAAAEAIAAAACIAAABkcnMvZG93bnJldi54bWxQSwECFAAU&#10;AAAACACHTuJA/+6aOfEBAADiAwAADgAAAAAAAAABACAAAAAnAQAAZHJzL2Uyb0RvYy54bWxQSwUG&#10;AAAAAAYABgBZAQAAigUAAAAA&#10;">
                <v:fill on="f" focussize="0,0"/>
                <v:stroke color="#000000" joinstyle="round" endarrow="block"/>
                <v:imagedata o:title=""/>
                <o:lock v:ext="edit" aspectratio="f"/>
              </v:line>
            </w:pict>
          </mc:Fallback>
        </mc:AlternateContent>
      </w:r>
      <w:r>
        <w:rPr>
          <w:rFonts w:hint="eastAsia"/>
          <w:sz w:val="24"/>
          <w:lang/>
        </w:rPr>
        <mc:AlternateContent>
          <mc:Choice Requires="wps">
            <w:drawing>
              <wp:anchor distT="0" distB="0" distL="114300" distR="114300" simplePos="0" relativeHeight="251684864" behindDoc="0" locked="0" layoutInCell="1" allowOverlap="1">
                <wp:simplePos x="0" y="0"/>
                <wp:positionH relativeFrom="column">
                  <wp:posOffset>1628775</wp:posOffset>
                </wp:positionH>
                <wp:positionV relativeFrom="paragraph">
                  <wp:posOffset>151130</wp:posOffset>
                </wp:positionV>
                <wp:extent cx="0" cy="387350"/>
                <wp:effectExtent l="38100" t="0" r="38100" b="6350"/>
                <wp:wrapNone/>
                <wp:docPr id="26" name="直线 1012"/>
                <wp:cNvGraphicFramePr/>
                <a:graphic xmlns:a="http://schemas.openxmlformats.org/drawingml/2006/main">
                  <a:graphicData uri="http://schemas.microsoft.com/office/word/2010/wordprocessingShape">
                    <wps:wsp>
                      <wps:cNvSpPr/>
                      <wps:spPr>
                        <a:xfrm>
                          <a:off x="0" y="0"/>
                          <a:ext cx="0" cy="38735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12" o:spid="_x0000_s1026" o:spt="20" style="position:absolute;left:0pt;margin-left:128.25pt;margin-top:11.9pt;height:30.5pt;width:0pt;z-index:251684864;mso-width-relative:page;mso-height-relative:page;" filled="f" stroked="t" coordsize="21600,21600" o:gfxdata="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mMFlidkAAAAJAQAADwAAAAAAAAABACAAAAAiAAAAZHJzL2Rvd25yZXYueG1sUEsBAhQA&#10;FAAAAAgAh07iQHPfLEzxAQAA4gMAAA4AAAAAAAAAAQAgAAAAKAEAAGRycy9lMm9Eb2MueG1sUEsF&#10;BgAAAAAGAAYAWQEAAIsFAAAAAA==&#10;">
                <v:fill on="f" focussize="0,0"/>
                <v:stroke color="#000000" joinstyle="round" endarrow="block"/>
                <v:imagedata o:title=""/>
                <o:lock v:ext="edit" aspectratio="f"/>
              </v:line>
            </w:pict>
          </mc:Fallback>
        </mc:AlternateContent>
      </w:r>
      <w:r>
        <w:rPr>
          <w:rFonts w:hint="eastAsia"/>
          <w:sz w:val="24"/>
          <w:lang/>
        </w:rPr>
        <mc:AlternateContent>
          <mc:Choice Requires="wps">
            <w:drawing>
              <wp:anchor distT="0" distB="0" distL="114300" distR="114300" simplePos="0" relativeHeight="251683840" behindDoc="0" locked="0" layoutInCell="1" allowOverlap="1">
                <wp:simplePos x="0" y="0"/>
                <wp:positionH relativeFrom="column">
                  <wp:posOffset>428625</wp:posOffset>
                </wp:positionH>
                <wp:positionV relativeFrom="paragraph">
                  <wp:posOffset>151130</wp:posOffset>
                </wp:positionV>
                <wp:extent cx="0" cy="387350"/>
                <wp:effectExtent l="38100" t="0" r="38100" b="6350"/>
                <wp:wrapNone/>
                <wp:docPr id="25" name="直线 1011"/>
                <wp:cNvGraphicFramePr/>
                <a:graphic xmlns:a="http://schemas.openxmlformats.org/drawingml/2006/main">
                  <a:graphicData uri="http://schemas.microsoft.com/office/word/2010/wordprocessingShape">
                    <wps:wsp>
                      <wps:cNvSpPr/>
                      <wps:spPr>
                        <a:xfrm>
                          <a:off x="0" y="0"/>
                          <a:ext cx="0" cy="38735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11" o:spid="_x0000_s1026" o:spt="20" style="position:absolute;left:0pt;margin-left:33.75pt;margin-top:11.9pt;height:30.5pt;width:0pt;z-index:251683840;mso-width-relative:page;mso-height-relative:page;" filled="f" stroked="t" coordsize="21600,21600" o:gfxdata="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m40eF1wAAAAcBAAAPAAAAAAAAAAEAIAAAACIAAABkcnMvZG93bnJldi54bWxQSwECFAAUAAAA&#10;CACHTuJA4BCFGO8BAADiAwAADgAAAAAAAAABACAAAAAmAQAAZHJzL2Uyb0RvYy54bWxQSwUGAAAA&#10;AAYABgBZAQAAhwUAAAAA&#10;">
                <v:fill on="f" focussize="0,0"/>
                <v:stroke color="#000000" joinstyle="round" endarrow="block"/>
                <v:imagedata o:title=""/>
                <o:lock v:ext="edit" aspectratio="f"/>
              </v:line>
            </w:pict>
          </mc:Fallback>
        </mc:AlternateContent>
      </w:r>
    </w:p>
    <w:p>
      <w:pPr>
        <w:spacing w:line="500" w:lineRule="exact"/>
        <w:ind w:firstLine="480" w:firstLineChars="200"/>
        <w:rPr>
          <w:rFonts w:hint="eastAsia"/>
          <w:sz w:val="24"/>
        </w:rPr>
      </w:pPr>
      <w:r>
        <w:rPr>
          <w:rFonts w:hint="eastAsia"/>
          <w:sz w:val="24"/>
          <w:lang/>
        </w:rPr>
        <mc:AlternateContent>
          <mc:Choice Requires="wps">
            <w:drawing>
              <wp:anchor distT="0" distB="0" distL="114300" distR="114300" simplePos="0" relativeHeight="251702272" behindDoc="0" locked="0" layoutInCell="1" allowOverlap="1">
                <wp:simplePos x="0" y="0"/>
                <wp:positionH relativeFrom="column">
                  <wp:posOffset>4391025</wp:posOffset>
                </wp:positionH>
                <wp:positionV relativeFrom="paragraph">
                  <wp:posOffset>221615</wp:posOffset>
                </wp:positionV>
                <wp:extent cx="460375" cy="483870"/>
                <wp:effectExtent l="4445" t="4445" r="5080" b="6985"/>
                <wp:wrapNone/>
                <wp:docPr id="43" name="文本框 1029"/>
                <wp:cNvGraphicFramePr/>
                <a:graphic xmlns:a="http://schemas.openxmlformats.org/drawingml/2006/main">
                  <a:graphicData uri="http://schemas.microsoft.com/office/word/2010/wordprocessingShape">
                    <wps:wsp>
                      <wps:cNvSpPr txBox="1"/>
                      <wps:spPr>
                        <a:xfrm>
                          <a:off x="0" y="0"/>
                          <a:ext cx="460375" cy="483870"/>
                        </a:xfrm>
                        <a:prstGeom prst="rect">
                          <a:avLst/>
                        </a:prstGeom>
                        <a:noFill/>
                        <a:ln w="9525" cap="flat" cmpd="sng">
                          <a:solidFill>
                            <a:srgbClr val="000000"/>
                          </a:solidFill>
                          <a:prstDash val="solid"/>
                          <a:miter/>
                          <a:headEnd type="none" w="med" len="med"/>
                          <a:tailEnd type="none" w="med" len="med"/>
                        </a:ln>
                      </wps:spPr>
                      <wps:txbx>
                        <w:txbxContent>
                          <w:p>
                            <w:pPr>
                              <w:pStyle w:val="11"/>
                              <w:spacing w:line="360" w:lineRule="exact"/>
                              <w:rPr>
                                <w:rFonts w:ascii="宋体" w:hAnsi="宋体"/>
                              </w:rPr>
                            </w:pPr>
                            <w:r>
                              <w:rPr>
                                <w:rFonts w:hint="eastAsia" w:ascii="宋体" w:hAnsi="宋体"/>
                              </w:rPr>
                              <w:t>监管能力建设</w:t>
                            </w:r>
                          </w:p>
                        </w:txbxContent>
                      </wps:txbx>
                      <wps:bodyPr wrap="square" lIns="0" tIns="10800" rIns="0" bIns="10800" upright="1"/>
                    </wps:wsp>
                  </a:graphicData>
                </a:graphic>
              </wp:anchor>
            </w:drawing>
          </mc:Choice>
          <mc:Fallback>
            <w:pict>
              <v:shape id="文本框 1029" o:spid="_x0000_s1026" o:spt="202" type="#_x0000_t202" style="position:absolute;left:0pt;margin-left:345.75pt;margin-top:17.45pt;height:38.1pt;width:36.25pt;z-index:251702272;mso-width-relative:page;mso-height-relative:page;" filled="f" stroked="t" coordsize="21600,21600" o:gfxdata="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oWJCn1wAAAAoBAAAPAAAAAAAAAAEAIAAAACIAAABkcnMvZG93bnJldi54bWxQSwECFAAUAAAA&#10;CACHTuJAyUCvFygCAABKBAAADgAAAAAAAAABACAAAAAmAQAAZHJzL2Uyb0RvYy54bWxQSwUGAAAA&#10;AAYABgBZAQAAwAUAAAAA&#10;">
                <v:fill on="f" focussize="0,0"/>
                <v:stroke color="#000000" joinstyle="miter"/>
                <v:imagedata o:title=""/>
                <o:lock v:ext="edit" aspectratio="f"/>
                <v:textbox inset="0mm,0.3mm,0mm,0.3mm">
                  <w:txbxContent>
                    <w:p>
                      <w:pPr>
                        <w:pStyle w:val="11"/>
                        <w:spacing w:line="360" w:lineRule="exact"/>
                        <w:rPr>
                          <w:rFonts w:ascii="宋体" w:hAnsi="宋体"/>
                        </w:rPr>
                      </w:pPr>
                      <w:r>
                        <w:rPr>
                          <w:rFonts w:hint="eastAsia" w:ascii="宋体" w:hAnsi="宋体"/>
                        </w:rPr>
                        <w:t>监管能力建设</w:t>
                      </w:r>
                    </w:p>
                  </w:txbxContent>
                </v:textbox>
              </v:shape>
            </w:pict>
          </mc:Fallback>
        </mc:AlternateContent>
      </w:r>
      <w:r>
        <w:rPr>
          <w:rFonts w:hint="eastAsia"/>
          <w:sz w:val="24"/>
          <w:lang/>
        </w:rPr>
        <mc:AlternateContent>
          <mc:Choice Requires="wps">
            <w:drawing>
              <wp:anchor distT="0" distB="0" distL="114300" distR="114300" simplePos="0" relativeHeight="251701248" behindDoc="0" locked="0" layoutInCell="1" allowOverlap="1">
                <wp:simplePos x="0" y="0"/>
                <wp:positionH relativeFrom="column">
                  <wp:posOffset>3829050</wp:posOffset>
                </wp:positionH>
                <wp:positionV relativeFrom="paragraph">
                  <wp:posOffset>221615</wp:posOffset>
                </wp:positionV>
                <wp:extent cx="460375" cy="483870"/>
                <wp:effectExtent l="4445" t="4445" r="5080" b="6985"/>
                <wp:wrapNone/>
                <wp:docPr id="42" name="文本框 1028"/>
                <wp:cNvGraphicFramePr/>
                <a:graphic xmlns:a="http://schemas.openxmlformats.org/drawingml/2006/main">
                  <a:graphicData uri="http://schemas.microsoft.com/office/word/2010/wordprocessingShape">
                    <wps:wsp>
                      <wps:cNvSpPr txBox="1"/>
                      <wps:spPr>
                        <a:xfrm>
                          <a:off x="0" y="0"/>
                          <a:ext cx="460375" cy="483870"/>
                        </a:xfrm>
                        <a:prstGeom prst="rect">
                          <a:avLst/>
                        </a:prstGeom>
                        <a:noFill/>
                        <a:ln w="9525" cap="flat" cmpd="sng">
                          <a:solidFill>
                            <a:srgbClr val="000000"/>
                          </a:solidFill>
                          <a:prstDash val="solid"/>
                          <a:miter/>
                          <a:headEnd type="none" w="med" len="med"/>
                          <a:tailEnd type="none" w="med" len="med"/>
                        </a:ln>
                      </wps:spPr>
                      <wps:txbx>
                        <w:txbxContent>
                          <w:p>
                            <w:pPr>
                              <w:pStyle w:val="11"/>
                              <w:spacing w:line="360" w:lineRule="exact"/>
                              <w:rPr>
                                <w:rFonts w:hint="eastAsia" w:ascii="宋体" w:hAnsi="宋体"/>
                              </w:rPr>
                            </w:pPr>
                            <w:r>
                              <w:rPr>
                                <w:rFonts w:hint="eastAsia" w:ascii="宋体" w:hAnsi="宋体"/>
                              </w:rPr>
                              <w:t>核与辐射监管</w:t>
                            </w:r>
                          </w:p>
                          <w:p>
                            <w:pPr>
                              <w:rPr>
                                <w:rFonts w:hint="eastAsia"/>
                              </w:rPr>
                            </w:pPr>
                          </w:p>
                        </w:txbxContent>
                      </wps:txbx>
                      <wps:bodyPr wrap="square" lIns="0" tIns="10800" rIns="0" bIns="10800" upright="1"/>
                    </wps:wsp>
                  </a:graphicData>
                </a:graphic>
              </wp:anchor>
            </w:drawing>
          </mc:Choice>
          <mc:Fallback>
            <w:pict>
              <v:shape id="文本框 1028" o:spid="_x0000_s1026" o:spt="202" type="#_x0000_t202" style="position:absolute;left:0pt;margin-left:301.5pt;margin-top:17.45pt;height:38.1pt;width:36.25pt;z-index:251701248;mso-width-relative:page;mso-height-relative:page;" filled="f" stroked="t" coordsize="21600,21600" o:gfxdata="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qa+/a1wAAAAoBAAAPAAAAAAAAAAEAIAAAACIAAABkcnMvZG93bnJldi54bWxQSwECFAAUAAAA&#10;CACHTuJAW1fpvygCAABKBAAADgAAAAAAAAABACAAAAAmAQAAZHJzL2Uyb0RvYy54bWxQSwUGAAAA&#10;AAYABgBZAQAAwAUAAAAA&#10;">
                <v:fill on="f" focussize="0,0"/>
                <v:stroke color="#000000" joinstyle="miter"/>
                <v:imagedata o:title=""/>
                <o:lock v:ext="edit" aspectratio="f"/>
                <v:textbox inset="0mm,0.3mm,0mm,0.3mm">
                  <w:txbxContent>
                    <w:p>
                      <w:pPr>
                        <w:pStyle w:val="11"/>
                        <w:spacing w:line="360" w:lineRule="exact"/>
                        <w:rPr>
                          <w:rFonts w:hint="eastAsia" w:ascii="宋体" w:hAnsi="宋体"/>
                        </w:rPr>
                      </w:pPr>
                      <w:r>
                        <w:rPr>
                          <w:rFonts w:hint="eastAsia" w:ascii="宋体" w:hAnsi="宋体"/>
                        </w:rPr>
                        <w:t>核与辐射监管</w:t>
                      </w:r>
                    </w:p>
                    <w:p>
                      <w:pPr>
                        <w:rPr>
                          <w:rFonts w:hint="eastAsia"/>
                        </w:rPr>
                      </w:pPr>
                    </w:p>
                  </w:txbxContent>
                </v:textbox>
              </v:shape>
            </w:pict>
          </mc:Fallback>
        </mc:AlternateContent>
      </w:r>
      <w:r>
        <w:rPr>
          <w:rFonts w:hint="eastAsia"/>
          <w:sz w:val="24"/>
          <w:lang/>
        </w:rPr>
        <mc:AlternateContent>
          <mc:Choice Requires="wps">
            <w:drawing>
              <wp:anchor distT="0" distB="0" distL="114300" distR="114300" simplePos="0" relativeHeight="251692032" behindDoc="0" locked="0" layoutInCell="1" allowOverlap="1">
                <wp:simplePos x="0" y="0"/>
                <wp:positionH relativeFrom="column">
                  <wp:posOffset>4953000</wp:posOffset>
                </wp:positionH>
                <wp:positionV relativeFrom="paragraph">
                  <wp:posOffset>212090</wp:posOffset>
                </wp:positionV>
                <wp:extent cx="435610" cy="483870"/>
                <wp:effectExtent l="4445" t="4445" r="17145" b="6985"/>
                <wp:wrapNone/>
                <wp:docPr id="33" name="文本框 1019"/>
                <wp:cNvGraphicFramePr/>
                <a:graphic xmlns:a="http://schemas.openxmlformats.org/drawingml/2006/main">
                  <a:graphicData uri="http://schemas.microsoft.com/office/word/2010/wordprocessingShape">
                    <wps:wsp>
                      <wps:cNvSpPr txBox="1"/>
                      <wps:spPr>
                        <a:xfrm>
                          <a:off x="0" y="0"/>
                          <a:ext cx="435610" cy="483870"/>
                        </a:xfrm>
                        <a:prstGeom prst="rect">
                          <a:avLst/>
                        </a:prstGeom>
                        <a:noFill/>
                        <a:ln w="9525" cap="flat" cmpd="sng">
                          <a:solidFill>
                            <a:srgbClr val="000000"/>
                          </a:solidFill>
                          <a:prstDash val="solid"/>
                          <a:miter/>
                          <a:headEnd type="none" w="med" len="med"/>
                          <a:tailEnd type="none" w="med" len="med"/>
                        </a:ln>
                      </wps:spPr>
                      <wps:txbx>
                        <w:txbxContent>
                          <w:p>
                            <w:pPr>
                              <w:pStyle w:val="11"/>
                              <w:spacing w:line="360" w:lineRule="exact"/>
                              <w:rPr>
                                <w:rFonts w:hint="eastAsia" w:ascii="宋体" w:hAnsi="宋体"/>
                              </w:rPr>
                            </w:pPr>
                            <w:r>
                              <w:rPr>
                                <w:rFonts w:hint="eastAsia" w:ascii="宋体" w:hAnsi="宋体"/>
                              </w:rPr>
                              <w:t>生态文明建设</w:t>
                            </w:r>
                          </w:p>
                          <w:p>
                            <w:pPr>
                              <w:pStyle w:val="11"/>
                              <w:rPr>
                                <w:rFonts w:hint="eastAsia"/>
                              </w:rPr>
                            </w:pPr>
                          </w:p>
                          <w:p>
                            <w:pPr>
                              <w:pStyle w:val="11"/>
                              <w:rPr>
                                <w:rFonts w:hint="eastAsia"/>
                              </w:rPr>
                            </w:pPr>
                          </w:p>
                        </w:txbxContent>
                      </wps:txbx>
                      <wps:bodyPr wrap="square" lIns="0" tIns="10800" rIns="0" bIns="10800" upright="1"/>
                    </wps:wsp>
                  </a:graphicData>
                </a:graphic>
              </wp:anchor>
            </w:drawing>
          </mc:Choice>
          <mc:Fallback>
            <w:pict>
              <v:shape id="文本框 1019" o:spid="_x0000_s1026" o:spt="202" type="#_x0000_t202" style="position:absolute;left:0pt;margin-left:390pt;margin-top:16.7pt;height:38.1pt;width:34.3pt;z-index:251692032;mso-width-relative:page;mso-height-relative:page;" filled="f" stroked="t" coordsize="21600,21600" o:gfxdata="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rb6XvZAAAACgEAAA8AAAAAAAAAAQAgAAAAIgAAAGRycy9kb3ducmV2LnhtbFBLAQIUABQA&#10;AAAIAIdO4kC9Z/p5KAIAAEoEAAAOAAAAAAAAAAEAIAAAACgBAABkcnMvZTJvRG9jLnhtbFBLBQYA&#10;AAAABgAGAFkBAADCBQAAAAA=&#10;">
                <v:fill on="f" focussize="0,0"/>
                <v:stroke color="#000000" joinstyle="miter"/>
                <v:imagedata o:title=""/>
                <o:lock v:ext="edit" aspectratio="f"/>
                <v:textbox inset="0mm,0.3mm,0mm,0.3mm">
                  <w:txbxContent>
                    <w:p>
                      <w:pPr>
                        <w:pStyle w:val="11"/>
                        <w:spacing w:line="360" w:lineRule="exact"/>
                        <w:rPr>
                          <w:rFonts w:hint="eastAsia" w:ascii="宋体" w:hAnsi="宋体"/>
                        </w:rPr>
                      </w:pPr>
                      <w:r>
                        <w:rPr>
                          <w:rFonts w:hint="eastAsia" w:ascii="宋体" w:hAnsi="宋体"/>
                        </w:rPr>
                        <w:t>生态文明建设</w:t>
                      </w:r>
                    </w:p>
                    <w:p>
                      <w:pPr>
                        <w:pStyle w:val="11"/>
                        <w:rPr>
                          <w:rFonts w:hint="eastAsia"/>
                        </w:rPr>
                      </w:pPr>
                    </w:p>
                    <w:p>
                      <w:pPr>
                        <w:pStyle w:val="11"/>
                        <w:rPr>
                          <w:rFonts w:hint="eastAsia"/>
                        </w:rPr>
                      </w:pPr>
                    </w:p>
                  </w:txbxContent>
                </v:textbox>
              </v:shape>
            </w:pict>
          </mc:Fallback>
        </mc:AlternateContent>
      </w:r>
      <w:r>
        <w:rPr>
          <w:rFonts w:hint="eastAsia"/>
          <w:sz w:val="24"/>
          <w:lang/>
        </w:rPr>
        <mc:AlternateContent>
          <mc:Choice Requires="wps">
            <w:drawing>
              <wp:anchor distT="0" distB="0" distL="114300" distR="114300" simplePos="0" relativeHeight="251691008" behindDoc="0" locked="0" layoutInCell="1" allowOverlap="1">
                <wp:simplePos x="0" y="0"/>
                <wp:positionH relativeFrom="column">
                  <wp:posOffset>3315335</wp:posOffset>
                </wp:positionH>
                <wp:positionV relativeFrom="paragraph">
                  <wp:posOffset>220980</wp:posOffset>
                </wp:positionV>
                <wp:extent cx="436245" cy="483870"/>
                <wp:effectExtent l="4445" t="4445" r="16510" b="6985"/>
                <wp:wrapNone/>
                <wp:docPr id="32" name="文本框 1018"/>
                <wp:cNvGraphicFramePr/>
                <a:graphic xmlns:a="http://schemas.openxmlformats.org/drawingml/2006/main">
                  <a:graphicData uri="http://schemas.microsoft.com/office/word/2010/wordprocessingShape">
                    <wps:wsp>
                      <wps:cNvSpPr txBox="1"/>
                      <wps:spPr>
                        <a:xfrm>
                          <a:off x="0" y="0"/>
                          <a:ext cx="436245" cy="483870"/>
                        </a:xfrm>
                        <a:prstGeom prst="rect">
                          <a:avLst/>
                        </a:prstGeom>
                        <a:noFill/>
                        <a:ln w="9525" cap="flat" cmpd="sng">
                          <a:solidFill>
                            <a:srgbClr val="000000"/>
                          </a:solidFill>
                          <a:prstDash val="solid"/>
                          <a:miter/>
                          <a:headEnd type="none" w="med" len="med"/>
                          <a:tailEnd type="none" w="med" len="med"/>
                        </a:ln>
                      </wps:spPr>
                      <wps:txbx>
                        <w:txbxContent>
                          <w:p>
                            <w:pPr>
                              <w:pStyle w:val="11"/>
                              <w:spacing w:line="360" w:lineRule="exact"/>
                              <w:rPr>
                                <w:rFonts w:hint="eastAsia" w:ascii="宋体" w:hAnsi="宋体"/>
                              </w:rPr>
                            </w:pPr>
                            <w:r>
                              <w:rPr>
                                <w:rFonts w:hint="eastAsia" w:ascii="宋体" w:hAnsi="宋体"/>
                              </w:rPr>
                              <w:t>总量</w:t>
                            </w:r>
                          </w:p>
                          <w:p>
                            <w:pPr>
                              <w:pStyle w:val="11"/>
                              <w:spacing w:line="360" w:lineRule="exact"/>
                              <w:rPr>
                                <w:rFonts w:hint="eastAsia"/>
                              </w:rPr>
                            </w:pPr>
                            <w:r>
                              <w:rPr>
                                <w:rFonts w:hint="eastAsia" w:ascii="宋体" w:hAnsi="宋体"/>
                              </w:rPr>
                              <w:t>控制</w:t>
                            </w:r>
                          </w:p>
                        </w:txbxContent>
                      </wps:txbx>
                      <wps:bodyPr wrap="square" lIns="0" tIns="10800" rIns="0" bIns="10800" upright="1"/>
                    </wps:wsp>
                  </a:graphicData>
                </a:graphic>
              </wp:anchor>
            </w:drawing>
          </mc:Choice>
          <mc:Fallback>
            <w:pict>
              <v:shape id="文本框 1018" o:spid="_x0000_s1026" o:spt="202" type="#_x0000_t202" style="position:absolute;left:0pt;margin-left:261.05pt;margin-top:17.4pt;height:38.1pt;width:34.35pt;z-index:251691008;mso-width-relative:page;mso-height-relative:page;" filled="f" stroked="t" coordsize="21600,21600" o:gfxdata="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pbOlnXAAAACgEAAA8AAAAAAAAAAQAgAAAAIgAAAGRycy9kb3ducmV2LnhtbFBLAQIUABQAAAAI&#10;AIdO4kDdj6aAJwIAAEoEAAAOAAAAAAAAAAEAIAAAACYBAABkcnMvZTJvRG9jLnhtbFBLBQYAAAAA&#10;BgAGAFkBAAC/BQAAAAA=&#10;">
                <v:fill on="f" focussize="0,0"/>
                <v:stroke color="#000000" joinstyle="miter"/>
                <v:imagedata o:title=""/>
                <o:lock v:ext="edit" aspectratio="f"/>
                <v:textbox inset="0mm,0.3mm,0mm,0.3mm">
                  <w:txbxContent>
                    <w:p>
                      <w:pPr>
                        <w:pStyle w:val="11"/>
                        <w:spacing w:line="360" w:lineRule="exact"/>
                        <w:rPr>
                          <w:rFonts w:hint="eastAsia" w:ascii="宋体" w:hAnsi="宋体"/>
                        </w:rPr>
                      </w:pPr>
                      <w:r>
                        <w:rPr>
                          <w:rFonts w:hint="eastAsia" w:ascii="宋体" w:hAnsi="宋体"/>
                        </w:rPr>
                        <w:t>总量</w:t>
                      </w:r>
                    </w:p>
                    <w:p>
                      <w:pPr>
                        <w:pStyle w:val="11"/>
                        <w:spacing w:line="360" w:lineRule="exact"/>
                        <w:rPr>
                          <w:rFonts w:hint="eastAsia"/>
                        </w:rPr>
                      </w:pPr>
                      <w:r>
                        <w:rPr>
                          <w:rFonts w:hint="eastAsia" w:ascii="宋体" w:hAnsi="宋体"/>
                        </w:rPr>
                        <w:t>控制</w:t>
                      </w:r>
                    </w:p>
                  </w:txbxContent>
                </v:textbox>
              </v:shape>
            </w:pict>
          </mc:Fallback>
        </mc:AlternateContent>
      </w:r>
      <w:r>
        <w:rPr>
          <w:rFonts w:hint="eastAsia"/>
          <w:sz w:val="24"/>
          <w:lang/>
        </w:rPr>
        <mc:AlternateContent>
          <mc:Choice Requires="wps">
            <w:drawing>
              <wp:anchor distT="0" distB="0" distL="114300" distR="114300" simplePos="0" relativeHeight="251681792" behindDoc="0" locked="0" layoutInCell="1" allowOverlap="1">
                <wp:simplePos x="0" y="0"/>
                <wp:positionH relativeFrom="column">
                  <wp:posOffset>2678430</wp:posOffset>
                </wp:positionH>
                <wp:positionV relativeFrom="paragraph">
                  <wp:posOffset>220980</wp:posOffset>
                </wp:positionV>
                <wp:extent cx="533400" cy="483870"/>
                <wp:effectExtent l="4445" t="4445" r="8255" b="6985"/>
                <wp:wrapNone/>
                <wp:docPr id="23" name="文本框 1009"/>
                <wp:cNvGraphicFramePr/>
                <a:graphic xmlns:a="http://schemas.openxmlformats.org/drawingml/2006/main">
                  <a:graphicData uri="http://schemas.microsoft.com/office/word/2010/wordprocessingShape">
                    <wps:wsp>
                      <wps:cNvSpPr txBox="1"/>
                      <wps:spPr>
                        <a:xfrm>
                          <a:off x="0" y="0"/>
                          <a:ext cx="533400" cy="483870"/>
                        </a:xfrm>
                        <a:prstGeom prst="rect">
                          <a:avLst/>
                        </a:prstGeom>
                        <a:noFill/>
                        <a:ln w="9525" cap="flat" cmpd="sng">
                          <a:solidFill>
                            <a:srgbClr val="000000"/>
                          </a:solidFill>
                          <a:prstDash val="solid"/>
                          <a:miter/>
                          <a:headEnd type="none" w="med" len="med"/>
                          <a:tailEnd type="none" w="med" len="med"/>
                        </a:ln>
                      </wps:spPr>
                      <wps:txbx>
                        <w:txbxContent>
                          <w:p>
                            <w:pPr>
                              <w:pStyle w:val="11"/>
                              <w:spacing w:line="360" w:lineRule="exact"/>
                              <w:rPr>
                                <w:rFonts w:hint="eastAsia" w:ascii="宋体" w:hAnsi="宋体"/>
                              </w:rPr>
                            </w:pPr>
                            <w:r>
                              <w:rPr>
                                <w:rFonts w:hint="eastAsia" w:ascii="宋体" w:hAnsi="宋体"/>
                              </w:rPr>
                              <w:t>生态环</w:t>
                            </w:r>
                          </w:p>
                          <w:p>
                            <w:pPr>
                              <w:pStyle w:val="11"/>
                              <w:spacing w:line="360" w:lineRule="exact"/>
                              <w:rPr>
                                <w:rFonts w:hint="eastAsia" w:ascii="宋体" w:hAnsi="宋体"/>
                              </w:rPr>
                            </w:pPr>
                            <w:r>
                              <w:rPr>
                                <w:rFonts w:hint="eastAsia" w:ascii="宋体" w:hAnsi="宋体"/>
                              </w:rPr>
                              <w:t>境建设</w:t>
                            </w:r>
                          </w:p>
                        </w:txbxContent>
                      </wps:txbx>
                      <wps:bodyPr wrap="square" lIns="0" tIns="10800" rIns="0" bIns="10800" upright="1"/>
                    </wps:wsp>
                  </a:graphicData>
                </a:graphic>
              </wp:anchor>
            </w:drawing>
          </mc:Choice>
          <mc:Fallback>
            <w:pict>
              <v:shape id="文本框 1009" o:spid="_x0000_s1026" o:spt="202" type="#_x0000_t202" style="position:absolute;left:0pt;margin-left:210.9pt;margin-top:17.4pt;height:38.1pt;width:42pt;z-index:251681792;mso-width-relative:page;mso-height-relative:page;" filled="f" stroked="t" coordsize="21600,21600" o:gfxdata="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Qk3mvXAAAACgEAAA8AAAAAAAAAAQAgAAAAIgAAAGRycy9kb3ducmV2LnhtbFBLAQIUABQAAAAI&#10;AIdO4kDj01TNJwIAAEoEAAAOAAAAAAAAAAEAIAAAACYBAABkcnMvZTJvRG9jLnhtbFBLBQYAAAAA&#10;BgAGAFkBAAC/BQAAAAA=&#10;">
                <v:fill on="f" focussize="0,0"/>
                <v:stroke color="#000000" joinstyle="miter"/>
                <v:imagedata o:title=""/>
                <o:lock v:ext="edit" aspectratio="f"/>
                <v:textbox inset="0mm,0.3mm,0mm,0.3mm">
                  <w:txbxContent>
                    <w:p>
                      <w:pPr>
                        <w:pStyle w:val="11"/>
                        <w:spacing w:line="360" w:lineRule="exact"/>
                        <w:rPr>
                          <w:rFonts w:hint="eastAsia" w:ascii="宋体" w:hAnsi="宋体"/>
                        </w:rPr>
                      </w:pPr>
                      <w:r>
                        <w:rPr>
                          <w:rFonts w:hint="eastAsia" w:ascii="宋体" w:hAnsi="宋体"/>
                        </w:rPr>
                        <w:t>生态环</w:t>
                      </w:r>
                    </w:p>
                    <w:p>
                      <w:pPr>
                        <w:pStyle w:val="11"/>
                        <w:spacing w:line="360" w:lineRule="exact"/>
                        <w:rPr>
                          <w:rFonts w:hint="eastAsia" w:ascii="宋体" w:hAnsi="宋体"/>
                        </w:rPr>
                      </w:pPr>
                      <w:r>
                        <w:rPr>
                          <w:rFonts w:hint="eastAsia" w:ascii="宋体" w:hAnsi="宋体"/>
                        </w:rPr>
                        <w:t>境建设</w:t>
                      </w:r>
                    </w:p>
                  </w:txbxContent>
                </v:textbox>
              </v:shape>
            </w:pict>
          </mc:Fallback>
        </mc:AlternateContent>
      </w:r>
      <w:r>
        <w:rPr>
          <w:rFonts w:hint="eastAsia"/>
          <w:sz w:val="24"/>
          <w:lang/>
        </w:rPr>
        <mc:AlternateContent>
          <mc:Choice Requires="wps">
            <w:drawing>
              <wp:anchor distT="0" distB="0" distL="114300" distR="114300" simplePos="0" relativeHeight="251680768" behindDoc="0" locked="0" layoutInCell="1" allowOverlap="1">
                <wp:simplePos x="0" y="0"/>
                <wp:positionH relativeFrom="column">
                  <wp:posOffset>1974215</wp:posOffset>
                </wp:positionH>
                <wp:positionV relativeFrom="paragraph">
                  <wp:posOffset>220980</wp:posOffset>
                </wp:positionV>
                <wp:extent cx="617855" cy="483870"/>
                <wp:effectExtent l="4445" t="4445" r="12700" b="6985"/>
                <wp:wrapNone/>
                <wp:docPr id="22" name="文本框 1008"/>
                <wp:cNvGraphicFramePr/>
                <a:graphic xmlns:a="http://schemas.openxmlformats.org/drawingml/2006/main">
                  <a:graphicData uri="http://schemas.microsoft.com/office/word/2010/wordprocessingShape">
                    <wps:wsp>
                      <wps:cNvSpPr txBox="1"/>
                      <wps:spPr>
                        <a:xfrm>
                          <a:off x="0" y="0"/>
                          <a:ext cx="617855" cy="483870"/>
                        </a:xfrm>
                        <a:prstGeom prst="rect">
                          <a:avLst/>
                        </a:prstGeom>
                        <a:noFill/>
                        <a:ln w="9525" cap="flat" cmpd="sng">
                          <a:solidFill>
                            <a:srgbClr val="000000"/>
                          </a:solidFill>
                          <a:prstDash val="solid"/>
                          <a:miter/>
                          <a:headEnd type="none" w="med" len="med"/>
                          <a:tailEnd type="none" w="med" len="med"/>
                        </a:ln>
                      </wps:spPr>
                      <wps:txbx>
                        <w:txbxContent>
                          <w:p>
                            <w:pPr>
                              <w:pStyle w:val="11"/>
                              <w:spacing w:line="360" w:lineRule="exact"/>
                              <w:rPr>
                                <w:rFonts w:hint="eastAsia" w:ascii="宋体" w:hAnsi="宋体"/>
                              </w:rPr>
                            </w:pPr>
                            <w:r>
                              <w:rPr>
                                <w:rFonts w:hint="eastAsia" w:ascii="宋体" w:hAnsi="宋体"/>
                              </w:rPr>
                              <w:t>城乡环境</w:t>
                            </w:r>
                          </w:p>
                          <w:p>
                            <w:pPr>
                              <w:pStyle w:val="11"/>
                              <w:spacing w:line="360" w:lineRule="exact"/>
                              <w:rPr>
                                <w:rFonts w:hint="eastAsia" w:ascii="宋体" w:hAnsi="宋体"/>
                              </w:rPr>
                            </w:pPr>
                            <w:r>
                              <w:rPr>
                                <w:rFonts w:hint="eastAsia" w:ascii="宋体" w:hAnsi="宋体"/>
                              </w:rPr>
                              <w:t>综合整治</w:t>
                            </w:r>
                          </w:p>
                        </w:txbxContent>
                      </wps:txbx>
                      <wps:bodyPr wrap="square" lIns="0" tIns="10800" rIns="0" bIns="10800" upright="1"/>
                    </wps:wsp>
                  </a:graphicData>
                </a:graphic>
              </wp:anchor>
            </w:drawing>
          </mc:Choice>
          <mc:Fallback>
            <w:pict>
              <v:shape id="文本框 1008" o:spid="_x0000_s1026" o:spt="202" type="#_x0000_t202" style="position:absolute;left:0pt;margin-left:155.45pt;margin-top:17.4pt;height:38.1pt;width:48.65pt;z-index:251680768;mso-width-relative:page;mso-height-relative:page;" filled="f" stroked="t" coordsize="21600,21600" o:gfxdata="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GSIiSbXAAAACgEAAA8AAAAAAAAAAQAgAAAAIgAAAGRycy9kb3ducmV2LnhtbFBLAQIUABQAAAAI&#10;AIdO4kAE+oTwJwIAAEoEAAAOAAAAAAAAAAEAIAAAACYBAABkcnMvZTJvRG9jLnhtbFBLBQYAAAAA&#10;BgAGAFkBAAC/BQAAAAA=&#10;">
                <v:fill on="f" focussize="0,0"/>
                <v:stroke color="#000000" joinstyle="miter"/>
                <v:imagedata o:title=""/>
                <o:lock v:ext="edit" aspectratio="f"/>
                <v:textbox inset="0mm,0.3mm,0mm,0.3mm">
                  <w:txbxContent>
                    <w:p>
                      <w:pPr>
                        <w:pStyle w:val="11"/>
                        <w:spacing w:line="360" w:lineRule="exact"/>
                        <w:rPr>
                          <w:rFonts w:hint="eastAsia" w:ascii="宋体" w:hAnsi="宋体"/>
                        </w:rPr>
                      </w:pPr>
                      <w:r>
                        <w:rPr>
                          <w:rFonts w:hint="eastAsia" w:ascii="宋体" w:hAnsi="宋体"/>
                        </w:rPr>
                        <w:t>城乡环境</w:t>
                      </w:r>
                    </w:p>
                    <w:p>
                      <w:pPr>
                        <w:pStyle w:val="11"/>
                        <w:spacing w:line="360" w:lineRule="exact"/>
                        <w:rPr>
                          <w:rFonts w:hint="eastAsia" w:ascii="宋体" w:hAnsi="宋体"/>
                        </w:rPr>
                      </w:pPr>
                      <w:r>
                        <w:rPr>
                          <w:rFonts w:hint="eastAsia" w:ascii="宋体" w:hAnsi="宋体"/>
                        </w:rPr>
                        <w:t>综合整治</w:t>
                      </w:r>
                    </w:p>
                  </w:txbxContent>
                </v:textbox>
              </v:shape>
            </w:pict>
          </mc:Fallback>
        </mc:AlternateContent>
      </w:r>
      <w:r>
        <w:rPr>
          <w:rFonts w:hint="eastAsia"/>
          <w:sz w:val="24"/>
          <w:lang/>
        </w:rPr>
        <mc:AlternateContent>
          <mc:Choice Requires="wps">
            <w:drawing>
              <wp:anchor distT="0" distB="0" distL="114300" distR="114300" simplePos="0" relativeHeight="251679744" behindDoc="0" locked="0" layoutInCell="1" allowOverlap="1">
                <wp:simplePos x="0" y="0"/>
                <wp:positionH relativeFrom="column">
                  <wp:posOffset>1396365</wp:posOffset>
                </wp:positionH>
                <wp:positionV relativeFrom="paragraph">
                  <wp:posOffset>220980</wp:posOffset>
                </wp:positionV>
                <wp:extent cx="484505" cy="483870"/>
                <wp:effectExtent l="4445" t="4445" r="6350" b="6985"/>
                <wp:wrapNone/>
                <wp:docPr id="21" name="文本框 1007"/>
                <wp:cNvGraphicFramePr/>
                <a:graphic xmlns:a="http://schemas.openxmlformats.org/drawingml/2006/main">
                  <a:graphicData uri="http://schemas.microsoft.com/office/word/2010/wordprocessingShape">
                    <wps:wsp>
                      <wps:cNvSpPr txBox="1"/>
                      <wps:spPr>
                        <a:xfrm>
                          <a:off x="0" y="0"/>
                          <a:ext cx="484505" cy="483870"/>
                        </a:xfrm>
                        <a:prstGeom prst="rect">
                          <a:avLst/>
                        </a:prstGeom>
                        <a:noFill/>
                        <a:ln w="9525" cap="flat" cmpd="sng">
                          <a:solidFill>
                            <a:srgbClr val="000000"/>
                          </a:solidFill>
                          <a:prstDash val="solid"/>
                          <a:miter/>
                          <a:headEnd type="none" w="med" len="med"/>
                          <a:tailEnd type="none" w="med" len="med"/>
                        </a:ln>
                      </wps:spPr>
                      <wps:txbx>
                        <w:txbxContent>
                          <w:p>
                            <w:pPr>
                              <w:pStyle w:val="11"/>
                              <w:spacing w:line="360" w:lineRule="exact"/>
                              <w:rPr>
                                <w:rFonts w:hint="eastAsia" w:ascii="宋体" w:hAnsi="宋体"/>
                              </w:rPr>
                            </w:pPr>
                            <w:r>
                              <w:rPr>
                                <w:rFonts w:hint="eastAsia" w:ascii="宋体" w:hAnsi="宋体"/>
                              </w:rPr>
                              <w:t>工业污</w:t>
                            </w:r>
                          </w:p>
                          <w:p>
                            <w:pPr>
                              <w:pStyle w:val="11"/>
                              <w:spacing w:line="360" w:lineRule="exact"/>
                              <w:rPr>
                                <w:rFonts w:hint="eastAsia" w:ascii="宋体" w:hAnsi="宋体"/>
                              </w:rPr>
                            </w:pPr>
                            <w:r>
                              <w:rPr>
                                <w:rFonts w:hint="eastAsia" w:ascii="宋体" w:hAnsi="宋体"/>
                              </w:rPr>
                              <w:t>染防治</w:t>
                            </w:r>
                          </w:p>
                        </w:txbxContent>
                      </wps:txbx>
                      <wps:bodyPr wrap="square" lIns="0" tIns="10800" rIns="0" bIns="10800" upright="1"/>
                    </wps:wsp>
                  </a:graphicData>
                </a:graphic>
              </wp:anchor>
            </w:drawing>
          </mc:Choice>
          <mc:Fallback>
            <w:pict>
              <v:shape id="文本框 1007" o:spid="_x0000_s1026" o:spt="202" type="#_x0000_t202" style="position:absolute;left:0pt;margin-left:109.95pt;margin-top:17.4pt;height:38.1pt;width:38.15pt;z-index:251679744;mso-width-relative:page;mso-height-relative:page;" filled="f" stroked="t" coordsize="21600,21600" o:gfxdata="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ltaQx2AAAAAoBAAAPAAAAAAAAAAEAIAAAACIAAABkcnMvZG93bnJldi54bWxQSwECFAAUAAAA&#10;CACHTuJAk3VtoicCAABKBAAADgAAAAAAAAABACAAAAAnAQAAZHJzL2Uyb0RvYy54bWxQSwUGAAAA&#10;AAYABgBZAQAAwAUAAAAA&#10;">
                <v:fill on="f" focussize="0,0"/>
                <v:stroke color="#000000" joinstyle="miter"/>
                <v:imagedata o:title=""/>
                <o:lock v:ext="edit" aspectratio="f"/>
                <v:textbox inset="0mm,0.3mm,0mm,0.3mm">
                  <w:txbxContent>
                    <w:p>
                      <w:pPr>
                        <w:pStyle w:val="11"/>
                        <w:spacing w:line="360" w:lineRule="exact"/>
                        <w:rPr>
                          <w:rFonts w:hint="eastAsia" w:ascii="宋体" w:hAnsi="宋体"/>
                        </w:rPr>
                      </w:pPr>
                      <w:r>
                        <w:rPr>
                          <w:rFonts w:hint="eastAsia" w:ascii="宋体" w:hAnsi="宋体"/>
                        </w:rPr>
                        <w:t>工业污</w:t>
                      </w:r>
                    </w:p>
                    <w:p>
                      <w:pPr>
                        <w:pStyle w:val="11"/>
                        <w:spacing w:line="360" w:lineRule="exact"/>
                        <w:rPr>
                          <w:rFonts w:hint="eastAsia" w:ascii="宋体" w:hAnsi="宋体"/>
                        </w:rPr>
                      </w:pPr>
                      <w:r>
                        <w:rPr>
                          <w:rFonts w:hint="eastAsia" w:ascii="宋体" w:hAnsi="宋体"/>
                        </w:rPr>
                        <w:t>染防治</w:t>
                      </w:r>
                    </w:p>
                  </w:txbxContent>
                </v:textbox>
              </v:shape>
            </w:pict>
          </mc:Fallback>
        </mc:AlternateContent>
      </w:r>
      <w:r>
        <w:rPr>
          <w:rFonts w:hint="eastAsia"/>
          <w:sz w:val="24"/>
          <w:lang/>
        </w:rPr>
        <mc:AlternateContent>
          <mc:Choice Requires="wps">
            <w:drawing>
              <wp:anchor distT="0" distB="0" distL="114300" distR="114300" simplePos="0" relativeHeight="251678720" behindDoc="0" locked="0" layoutInCell="1" allowOverlap="1">
                <wp:simplePos x="0" y="0"/>
                <wp:positionH relativeFrom="column">
                  <wp:posOffset>808990</wp:posOffset>
                </wp:positionH>
                <wp:positionV relativeFrom="paragraph">
                  <wp:posOffset>220980</wp:posOffset>
                </wp:positionV>
                <wp:extent cx="484505" cy="483870"/>
                <wp:effectExtent l="4445" t="4445" r="6350" b="6985"/>
                <wp:wrapNone/>
                <wp:docPr id="20" name="文本框 1006"/>
                <wp:cNvGraphicFramePr/>
                <a:graphic xmlns:a="http://schemas.openxmlformats.org/drawingml/2006/main">
                  <a:graphicData uri="http://schemas.microsoft.com/office/word/2010/wordprocessingShape">
                    <wps:wsp>
                      <wps:cNvSpPr txBox="1"/>
                      <wps:spPr>
                        <a:xfrm>
                          <a:off x="0" y="0"/>
                          <a:ext cx="484505" cy="483870"/>
                        </a:xfrm>
                        <a:prstGeom prst="rect">
                          <a:avLst/>
                        </a:prstGeom>
                        <a:noFill/>
                        <a:ln w="9525" cap="flat" cmpd="sng">
                          <a:solidFill>
                            <a:srgbClr val="000000"/>
                          </a:solidFill>
                          <a:prstDash val="solid"/>
                          <a:miter/>
                          <a:headEnd type="none" w="med" len="med"/>
                          <a:tailEnd type="none" w="med" len="med"/>
                        </a:ln>
                      </wps:spPr>
                      <wps:txbx>
                        <w:txbxContent>
                          <w:p>
                            <w:pPr>
                              <w:pStyle w:val="11"/>
                              <w:spacing w:line="360" w:lineRule="exact"/>
                              <w:rPr>
                                <w:rFonts w:hint="eastAsia" w:ascii="宋体" w:hAnsi="宋体"/>
                              </w:rPr>
                            </w:pPr>
                            <w:r>
                              <w:rPr>
                                <w:rFonts w:hint="eastAsia" w:ascii="宋体" w:hAnsi="宋体"/>
                              </w:rPr>
                              <w:t>固废污</w:t>
                            </w:r>
                          </w:p>
                          <w:p>
                            <w:pPr>
                              <w:pStyle w:val="11"/>
                              <w:spacing w:line="360" w:lineRule="exact"/>
                              <w:rPr>
                                <w:rFonts w:hint="eastAsia"/>
                              </w:rPr>
                            </w:pPr>
                            <w:r>
                              <w:rPr>
                                <w:rFonts w:hint="eastAsia" w:ascii="宋体" w:hAnsi="宋体"/>
                              </w:rPr>
                              <w:t>染防治</w:t>
                            </w:r>
                          </w:p>
                        </w:txbxContent>
                      </wps:txbx>
                      <wps:bodyPr wrap="square" lIns="0" tIns="10800" rIns="0" bIns="10800" upright="1"/>
                    </wps:wsp>
                  </a:graphicData>
                </a:graphic>
              </wp:anchor>
            </w:drawing>
          </mc:Choice>
          <mc:Fallback>
            <w:pict>
              <v:shape id="文本框 1006" o:spid="_x0000_s1026" o:spt="202" type="#_x0000_t202" style="position:absolute;left:0pt;margin-left:63.7pt;margin-top:17.4pt;height:38.1pt;width:38.15pt;z-index:251678720;mso-width-relative:page;mso-height-relative:page;" filled="f" stroked="t" coordsize="21600,21600" o:gfxdata="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S&#10;jzE01wAAAAoBAAAPAAAAAAAAAAEAIAAAACIAAABkcnMvZG93bnJldi54bWxQSwECFAAUAAAACACH&#10;TuJAAWIrCiUCAABKBAAADgAAAAAAAAABACAAAAAmAQAAZHJzL2Uyb0RvYy54bWxQSwUGAAAAAAYA&#10;BgBZAQAAvQUAAAAA&#10;">
                <v:fill on="f" focussize="0,0"/>
                <v:stroke color="#000000" joinstyle="miter"/>
                <v:imagedata o:title=""/>
                <o:lock v:ext="edit" aspectratio="f"/>
                <v:textbox inset="0mm,0.3mm,0mm,0.3mm">
                  <w:txbxContent>
                    <w:p>
                      <w:pPr>
                        <w:pStyle w:val="11"/>
                        <w:spacing w:line="360" w:lineRule="exact"/>
                        <w:rPr>
                          <w:rFonts w:hint="eastAsia" w:ascii="宋体" w:hAnsi="宋体"/>
                        </w:rPr>
                      </w:pPr>
                      <w:r>
                        <w:rPr>
                          <w:rFonts w:hint="eastAsia" w:ascii="宋体" w:hAnsi="宋体"/>
                        </w:rPr>
                        <w:t>固废污</w:t>
                      </w:r>
                    </w:p>
                    <w:p>
                      <w:pPr>
                        <w:pStyle w:val="11"/>
                        <w:spacing w:line="360" w:lineRule="exact"/>
                        <w:rPr>
                          <w:rFonts w:hint="eastAsia"/>
                        </w:rPr>
                      </w:pPr>
                      <w:r>
                        <w:rPr>
                          <w:rFonts w:hint="eastAsia" w:ascii="宋体" w:hAnsi="宋体"/>
                        </w:rPr>
                        <w:t>染防治</w:t>
                      </w:r>
                    </w:p>
                  </w:txbxContent>
                </v:textbox>
              </v:shape>
            </w:pict>
          </mc:Fallback>
        </mc:AlternateContent>
      </w:r>
      <w:r>
        <w:rPr>
          <w:rFonts w:hint="eastAsia"/>
          <w:sz w:val="24"/>
          <w:lang/>
        </w:rPr>
        <mc:AlternateContent>
          <mc:Choice Requires="wps">
            <w:drawing>
              <wp:anchor distT="0" distB="0" distL="114300" distR="114300" simplePos="0" relativeHeight="251677696" behindDoc="0" locked="0" layoutInCell="1" allowOverlap="1">
                <wp:simplePos x="0" y="0"/>
                <wp:positionH relativeFrom="column">
                  <wp:posOffset>212090</wp:posOffset>
                </wp:positionH>
                <wp:positionV relativeFrom="paragraph">
                  <wp:posOffset>220980</wp:posOffset>
                </wp:positionV>
                <wp:extent cx="460375" cy="483870"/>
                <wp:effectExtent l="4445" t="4445" r="5080" b="6985"/>
                <wp:wrapNone/>
                <wp:docPr id="19" name="文本框 1005"/>
                <wp:cNvGraphicFramePr/>
                <a:graphic xmlns:a="http://schemas.openxmlformats.org/drawingml/2006/main">
                  <a:graphicData uri="http://schemas.microsoft.com/office/word/2010/wordprocessingShape">
                    <wps:wsp>
                      <wps:cNvSpPr txBox="1"/>
                      <wps:spPr>
                        <a:xfrm>
                          <a:off x="0" y="0"/>
                          <a:ext cx="460375" cy="483870"/>
                        </a:xfrm>
                        <a:prstGeom prst="rect">
                          <a:avLst/>
                        </a:prstGeom>
                        <a:noFill/>
                        <a:ln w="9525" cap="flat" cmpd="sng">
                          <a:solidFill>
                            <a:srgbClr val="000000"/>
                          </a:solidFill>
                          <a:prstDash val="solid"/>
                          <a:miter/>
                          <a:headEnd type="none" w="med" len="med"/>
                          <a:tailEnd type="none" w="med" len="med"/>
                        </a:ln>
                      </wps:spPr>
                      <wps:txbx>
                        <w:txbxContent>
                          <w:p>
                            <w:pPr>
                              <w:pStyle w:val="11"/>
                              <w:spacing w:line="360" w:lineRule="exact"/>
                              <w:rPr>
                                <w:rFonts w:hint="eastAsia" w:ascii="宋体" w:hAnsi="宋体"/>
                                <w:szCs w:val="21"/>
                              </w:rPr>
                            </w:pPr>
                            <w:r>
                              <w:rPr>
                                <w:rFonts w:hint="eastAsia" w:ascii="宋体" w:hAnsi="宋体"/>
                                <w:szCs w:val="21"/>
                              </w:rPr>
                              <w:t>大气环</w:t>
                            </w:r>
                          </w:p>
                          <w:p>
                            <w:pPr>
                              <w:pStyle w:val="11"/>
                              <w:spacing w:line="360" w:lineRule="exact"/>
                              <w:rPr>
                                <w:rFonts w:hint="eastAsia"/>
                                <w:szCs w:val="21"/>
                              </w:rPr>
                            </w:pPr>
                            <w:r>
                              <w:rPr>
                                <w:rFonts w:hint="eastAsia" w:ascii="宋体" w:hAnsi="宋体"/>
                                <w:szCs w:val="21"/>
                              </w:rPr>
                              <w:t>境保护</w:t>
                            </w:r>
                          </w:p>
                        </w:txbxContent>
                      </wps:txbx>
                      <wps:bodyPr wrap="square" lIns="0" tIns="10800" rIns="0" bIns="10800" upright="1"/>
                    </wps:wsp>
                  </a:graphicData>
                </a:graphic>
              </wp:anchor>
            </w:drawing>
          </mc:Choice>
          <mc:Fallback>
            <w:pict>
              <v:shape id="文本框 1005" o:spid="_x0000_s1026" o:spt="202" type="#_x0000_t202" style="position:absolute;left:0pt;margin-left:16.7pt;margin-top:17.4pt;height:38.1pt;width:36.25pt;z-index:251677696;mso-width-relative:page;mso-height-relative:page;" filled="f" stroked="t" coordsize="21600,21600" o:gfxdata="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WH6AnXAAAACQEAAA8AAAAAAAAAAQAgAAAAIgAAAGRycy9kb3ducmV2LnhtbFBLAQIUABQAAAAI&#10;AIdO4kCL69OuJwIAAEoEAAAOAAAAAAAAAAEAIAAAACYBAABkcnMvZTJvRG9jLnhtbFBLBQYAAAAA&#10;BgAGAFkBAAC/BQAAAAA=&#10;">
                <v:fill on="f" focussize="0,0"/>
                <v:stroke color="#000000" joinstyle="miter"/>
                <v:imagedata o:title=""/>
                <o:lock v:ext="edit" aspectratio="f"/>
                <v:textbox inset="0mm,0.3mm,0mm,0.3mm">
                  <w:txbxContent>
                    <w:p>
                      <w:pPr>
                        <w:pStyle w:val="11"/>
                        <w:spacing w:line="360" w:lineRule="exact"/>
                        <w:rPr>
                          <w:rFonts w:hint="eastAsia" w:ascii="宋体" w:hAnsi="宋体"/>
                          <w:szCs w:val="21"/>
                        </w:rPr>
                      </w:pPr>
                      <w:r>
                        <w:rPr>
                          <w:rFonts w:hint="eastAsia" w:ascii="宋体" w:hAnsi="宋体"/>
                          <w:szCs w:val="21"/>
                        </w:rPr>
                        <w:t>大气环</w:t>
                      </w:r>
                    </w:p>
                    <w:p>
                      <w:pPr>
                        <w:pStyle w:val="11"/>
                        <w:spacing w:line="360" w:lineRule="exact"/>
                        <w:rPr>
                          <w:rFonts w:hint="eastAsia"/>
                          <w:szCs w:val="21"/>
                        </w:rPr>
                      </w:pPr>
                      <w:r>
                        <w:rPr>
                          <w:rFonts w:hint="eastAsia" w:ascii="宋体" w:hAnsi="宋体"/>
                          <w:szCs w:val="21"/>
                        </w:rPr>
                        <w:t>境保护</w:t>
                      </w:r>
                    </w:p>
                  </w:txbxContent>
                </v:textbox>
              </v:shape>
            </w:pict>
          </mc:Fallback>
        </mc:AlternateContent>
      </w:r>
      <w:r>
        <w:rPr>
          <w:rFonts w:hint="eastAsia"/>
          <w:sz w:val="24"/>
          <w:lang/>
        </w:rPr>
        <mc:AlternateContent>
          <mc:Choice Requires="wps">
            <w:drawing>
              <wp:anchor distT="0" distB="0" distL="114300" distR="114300" simplePos="0" relativeHeight="251676672" behindDoc="0" locked="0" layoutInCell="1" allowOverlap="1">
                <wp:simplePos x="0" y="0"/>
                <wp:positionH relativeFrom="column">
                  <wp:posOffset>-361950</wp:posOffset>
                </wp:positionH>
                <wp:positionV relativeFrom="paragraph">
                  <wp:posOffset>215900</wp:posOffset>
                </wp:positionV>
                <wp:extent cx="436245" cy="483870"/>
                <wp:effectExtent l="4445" t="4445" r="16510" b="6985"/>
                <wp:wrapNone/>
                <wp:docPr id="18" name="文本框 1004"/>
                <wp:cNvGraphicFramePr/>
                <a:graphic xmlns:a="http://schemas.openxmlformats.org/drawingml/2006/main">
                  <a:graphicData uri="http://schemas.microsoft.com/office/word/2010/wordprocessingShape">
                    <wps:wsp>
                      <wps:cNvSpPr txBox="1"/>
                      <wps:spPr>
                        <a:xfrm>
                          <a:off x="0" y="0"/>
                          <a:ext cx="436245" cy="483870"/>
                        </a:xfrm>
                        <a:prstGeom prst="rect">
                          <a:avLst/>
                        </a:prstGeom>
                        <a:noFill/>
                        <a:ln w="9525" cap="flat" cmpd="sng">
                          <a:solidFill>
                            <a:srgbClr val="000000"/>
                          </a:solidFill>
                          <a:prstDash val="solid"/>
                          <a:miter/>
                          <a:headEnd type="none" w="med" len="med"/>
                          <a:tailEnd type="none" w="med" len="med"/>
                        </a:ln>
                      </wps:spPr>
                      <wps:txbx>
                        <w:txbxContent>
                          <w:p>
                            <w:pPr>
                              <w:pStyle w:val="11"/>
                              <w:spacing w:line="360" w:lineRule="exact"/>
                              <w:rPr>
                                <w:rFonts w:hint="eastAsia" w:ascii="宋体" w:hAnsi="宋体"/>
                              </w:rPr>
                            </w:pPr>
                            <w:r>
                              <w:rPr>
                                <w:rFonts w:hint="eastAsia" w:ascii="宋体" w:hAnsi="宋体"/>
                              </w:rPr>
                              <w:t>水环境</w:t>
                            </w:r>
                          </w:p>
                          <w:p>
                            <w:pPr>
                              <w:pStyle w:val="11"/>
                              <w:spacing w:line="360" w:lineRule="exact"/>
                              <w:rPr>
                                <w:rFonts w:hint="eastAsia"/>
                              </w:rPr>
                            </w:pPr>
                            <w:r>
                              <w:rPr>
                                <w:rFonts w:hint="eastAsia" w:ascii="宋体" w:hAnsi="宋体"/>
                              </w:rPr>
                              <w:t>保护</w:t>
                            </w:r>
                          </w:p>
                        </w:txbxContent>
                      </wps:txbx>
                      <wps:bodyPr wrap="square" lIns="0" tIns="10800" rIns="0" bIns="10800" upright="1"/>
                    </wps:wsp>
                  </a:graphicData>
                </a:graphic>
              </wp:anchor>
            </w:drawing>
          </mc:Choice>
          <mc:Fallback>
            <w:pict>
              <v:shape id="文本框 1004" o:spid="_x0000_s1026" o:spt="202" type="#_x0000_t202" style="position:absolute;left:0pt;margin-left:-28.5pt;margin-top:17pt;height:38.1pt;width:34.35pt;z-index:251676672;mso-width-relative:page;mso-height-relative:page;" filled="f" stroked="t" coordsize="21600,21600" o:gfxdata="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c3bTvNYAAAAJAQAADwAAAAAAAAABACAAAAAiAAAAZHJzL2Rvd25yZXYueG1sUEsBAhQAFAAAAAgA&#10;h07iQO9T894nAgAASgQAAA4AAAAAAAAAAQAgAAAAJQEAAGRycy9lMm9Eb2MueG1sUEsFBgAAAAAG&#10;AAYAWQEAAL4FAAAAAA==&#10;">
                <v:fill on="f" focussize="0,0"/>
                <v:stroke color="#000000" joinstyle="miter"/>
                <v:imagedata o:title=""/>
                <o:lock v:ext="edit" aspectratio="f"/>
                <v:textbox inset="0mm,0.3mm,0mm,0.3mm">
                  <w:txbxContent>
                    <w:p>
                      <w:pPr>
                        <w:pStyle w:val="11"/>
                        <w:spacing w:line="360" w:lineRule="exact"/>
                        <w:rPr>
                          <w:rFonts w:hint="eastAsia" w:ascii="宋体" w:hAnsi="宋体"/>
                        </w:rPr>
                      </w:pPr>
                      <w:r>
                        <w:rPr>
                          <w:rFonts w:hint="eastAsia" w:ascii="宋体" w:hAnsi="宋体"/>
                        </w:rPr>
                        <w:t>水环境</w:t>
                      </w:r>
                    </w:p>
                    <w:p>
                      <w:pPr>
                        <w:pStyle w:val="11"/>
                        <w:spacing w:line="360" w:lineRule="exact"/>
                        <w:rPr>
                          <w:rFonts w:hint="eastAsia"/>
                        </w:rPr>
                      </w:pPr>
                      <w:r>
                        <w:rPr>
                          <w:rFonts w:hint="eastAsia" w:ascii="宋体" w:hAnsi="宋体"/>
                        </w:rPr>
                        <w:t>保护</w:t>
                      </w:r>
                    </w:p>
                  </w:txbxContent>
                </v:textbox>
              </v:shape>
            </w:pict>
          </mc:Fallback>
        </mc:AlternateContent>
      </w:r>
    </w:p>
    <w:p>
      <w:pPr>
        <w:spacing w:line="500" w:lineRule="exact"/>
        <w:ind w:firstLine="480" w:firstLineChars="200"/>
        <w:rPr>
          <w:rFonts w:hint="eastAsia"/>
          <w:sz w:val="24"/>
        </w:rPr>
      </w:pPr>
    </w:p>
    <w:p>
      <w:pPr>
        <w:spacing w:line="500" w:lineRule="exact"/>
        <w:ind w:firstLine="480" w:firstLineChars="200"/>
        <w:rPr>
          <w:rFonts w:hint="eastAsia"/>
          <w:sz w:val="24"/>
        </w:rPr>
      </w:pPr>
      <w:r>
        <w:rPr>
          <w:rFonts w:hint="eastAsia"/>
          <w:sz w:val="24"/>
          <w:lang/>
        </w:rPr>
        <mc:AlternateContent>
          <mc:Choice Requires="wps">
            <w:drawing>
              <wp:anchor distT="0" distB="0" distL="114300" distR="114300" simplePos="0" relativeHeight="251718656" behindDoc="0" locked="0" layoutInCell="1" allowOverlap="1">
                <wp:simplePos x="0" y="0"/>
                <wp:positionH relativeFrom="column">
                  <wp:posOffset>4114800</wp:posOffset>
                </wp:positionH>
                <wp:positionV relativeFrom="paragraph">
                  <wp:posOffset>72390</wp:posOffset>
                </wp:positionV>
                <wp:extent cx="0" cy="396240"/>
                <wp:effectExtent l="4445" t="0" r="8255" b="10160"/>
                <wp:wrapNone/>
                <wp:docPr id="59" name="直线 1045"/>
                <wp:cNvGraphicFramePr/>
                <a:graphic xmlns:a="http://schemas.openxmlformats.org/drawingml/2006/main">
                  <a:graphicData uri="http://schemas.microsoft.com/office/word/2010/wordprocessingShape">
                    <wps:wsp>
                      <wps:cNvSpPr/>
                      <wps:spPr>
                        <a:xfrm flipV="1">
                          <a:off x="0" y="0"/>
                          <a:ext cx="0" cy="39624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45" o:spid="_x0000_s1026" o:spt="20" style="position:absolute;left:0pt;flip:y;margin-left:324pt;margin-top:5.7pt;height:31.2pt;width:0pt;z-index:251718656;mso-width-relative:page;mso-height-relative:page;" filled="f" stroked="t" coordsize="21600,21600" o:gfxdata="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iCeyvWAAAACQEAAA8AAAAAAAAAAQAgAAAAIgAAAGRycy9kb3ducmV2LnhtbFBLAQIUABQA&#10;AAAIAIdO4kDqEp2K8gEAAOgDAAAOAAAAAAAAAAEAIAAAACUBAABkcnMvZTJvRG9jLnhtbFBLBQYA&#10;AAAABgAGAFkBAACJBQAAAAA=&#10;">
                <v:fill on="f" focussize="0,0"/>
                <v:stroke color="#000000" joinstyle="round"/>
                <v:imagedata o:title=""/>
                <o:lock v:ext="edit" aspectratio="f"/>
              </v:line>
            </w:pict>
          </mc:Fallback>
        </mc:AlternateContent>
      </w:r>
      <w:r>
        <w:rPr>
          <w:rFonts w:hint="eastAsia"/>
          <w:sz w:val="24"/>
          <w:lang/>
        </w:rPr>
        <mc:AlternateContent>
          <mc:Choice Requires="wps">
            <w:drawing>
              <wp:anchor distT="0" distB="0" distL="114300" distR="114300" simplePos="0" relativeHeight="251716608" behindDoc="0" locked="0" layoutInCell="1" allowOverlap="1">
                <wp:simplePos x="0" y="0"/>
                <wp:positionH relativeFrom="column">
                  <wp:posOffset>4686300</wp:posOffset>
                </wp:positionH>
                <wp:positionV relativeFrom="paragraph">
                  <wp:posOffset>81915</wp:posOffset>
                </wp:positionV>
                <wp:extent cx="0" cy="594360"/>
                <wp:effectExtent l="4445" t="0" r="8255" b="2540"/>
                <wp:wrapNone/>
                <wp:docPr id="57" name="直线 1043"/>
                <wp:cNvGraphicFramePr/>
                <a:graphic xmlns:a="http://schemas.openxmlformats.org/drawingml/2006/main">
                  <a:graphicData uri="http://schemas.microsoft.com/office/word/2010/wordprocessingShape">
                    <wps:wsp>
                      <wps:cNvSpPr/>
                      <wps:spPr>
                        <a:xfrm flipV="1">
                          <a:off x="0" y="0"/>
                          <a:ext cx="0" cy="5943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43" o:spid="_x0000_s1026" o:spt="20" style="position:absolute;left:0pt;flip:y;margin-left:369pt;margin-top:6.45pt;height:46.8pt;width:0pt;z-index:251716608;mso-width-relative:page;mso-height-relative:page;" filled="f" stroked="t" coordsize="21600,21600" o:gfxdata="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6aLUE1gAAAAoBAAAPAAAAAAAAAAEAIAAAACIAAABkcnMvZG93bnJldi54bWxQSwECFAAU&#10;AAAACACHTuJAt3RLOPMBAADoAwAADgAAAAAAAAABACAAAAAlAQAAZHJzL2Uyb0RvYy54bWxQSwUG&#10;AAAAAAYABgBZAQAAigUAAAAA&#10;">
                <v:fill on="f" focussize="0,0"/>
                <v:stroke color="#000000" joinstyle="round"/>
                <v:imagedata o:title=""/>
                <o:lock v:ext="edit" aspectratio="f"/>
              </v:line>
            </w:pict>
          </mc:Fallback>
        </mc:AlternateContent>
      </w:r>
      <w:r>
        <w:rPr>
          <w:rFonts w:hint="eastAsia"/>
          <w:sz w:val="24"/>
          <w:lang/>
        </w:rPr>
        <mc:AlternateContent>
          <mc:Choice Requires="wps">
            <w:drawing>
              <wp:anchor distT="0" distB="0" distL="114300" distR="114300" simplePos="0" relativeHeight="251715584" behindDoc="0" locked="0" layoutInCell="1" allowOverlap="1">
                <wp:simplePos x="0" y="0"/>
                <wp:positionH relativeFrom="column">
                  <wp:posOffset>5153025</wp:posOffset>
                </wp:positionH>
                <wp:positionV relativeFrom="paragraph">
                  <wp:posOffset>62865</wp:posOffset>
                </wp:positionV>
                <wp:extent cx="0" cy="792480"/>
                <wp:effectExtent l="4445" t="0" r="8255" b="7620"/>
                <wp:wrapNone/>
                <wp:docPr id="56" name="直线 1042"/>
                <wp:cNvGraphicFramePr/>
                <a:graphic xmlns:a="http://schemas.openxmlformats.org/drawingml/2006/main">
                  <a:graphicData uri="http://schemas.microsoft.com/office/word/2010/wordprocessingShape">
                    <wps:wsp>
                      <wps:cNvSpPr/>
                      <wps:spPr>
                        <a:xfrm flipV="1">
                          <a:off x="0" y="0"/>
                          <a:ext cx="0" cy="7924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42" o:spid="_x0000_s1026" o:spt="20" style="position:absolute;left:0pt;flip:y;margin-left:405.75pt;margin-top:4.95pt;height:62.4pt;width:0pt;z-index:251715584;mso-width-relative:page;mso-height-relative:page;" filled="f" stroked="t" coordsize="21600,21600" o:gfxdata="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I2B8XWAAAACQEAAA8AAAAAAAAAAQAgAAAAIgAAAGRycy9kb3ducmV2LnhtbFBLAQIUABQA&#10;AAAIAIdO4kDzKLTr8gEAAOgDAAAOAAAAAAAAAAEAIAAAACUBAABkcnMvZTJvRG9jLnhtbFBLBQYA&#10;AAAABgAGAFkBAACJBQAAAAA=&#10;">
                <v:fill on="f" focussize="0,0"/>
                <v:stroke color="#000000" joinstyle="round"/>
                <v:imagedata o:title=""/>
                <o:lock v:ext="edit" aspectratio="f"/>
              </v:line>
            </w:pict>
          </mc:Fallback>
        </mc:AlternateContent>
      </w:r>
      <w:r>
        <w:rPr>
          <w:rFonts w:hint="eastAsia"/>
          <w:sz w:val="24"/>
          <w:lang/>
        </w:rPr>
        <mc:AlternateContent>
          <mc:Choice Requires="wps">
            <w:drawing>
              <wp:anchor distT="0" distB="0" distL="114300" distR="114300" simplePos="0" relativeHeight="251712512" behindDoc="0" locked="0" layoutInCell="1" allowOverlap="1">
                <wp:simplePos x="0" y="0"/>
                <wp:positionH relativeFrom="column">
                  <wp:posOffset>1057275</wp:posOffset>
                </wp:positionH>
                <wp:positionV relativeFrom="paragraph">
                  <wp:posOffset>72390</wp:posOffset>
                </wp:positionV>
                <wp:extent cx="0" cy="396240"/>
                <wp:effectExtent l="4445" t="0" r="8255" b="10160"/>
                <wp:wrapNone/>
                <wp:docPr id="53" name="直线 1039"/>
                <wp:cNvGraphicFramePr/>
                <a:graphic xmlns:a="http://schemas.openxmlformats.org/drawingml/2006/main">
                  <a:graphicData uri="http://schemas.microsoft.com/office/word/2010/wordprocessingShape">
                    <wps:wsp>
                      <wps:cNvSpPr/>
                      <wps:spPr>
                        <a:xfrm flipV="1">
                          <a:off x="0" y="0"/>
                          <a:ext cx="0" cy="39624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39" o:spid="_x0000_s1026" o:spt="20" style="position:absolute;left:0pt;flip:y;margin-left:83.25pt;margin-top:5.7pt;height:31.2pt;width:0pt;z-index:251712512;mso-width-relative:page;mso-height-relative:page;" filled="f" stroked="t" coordsize="21600,21600" o:gfxdata="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4Xv9hNYAAAAJAQAADwAAAAAAAAABACAAAAAiAAAAZHJzL2Rvd25yZXYueG1sUEsBAhQAFAAA&#10;AAgAh07iQBYzWFvxAQAA6AMAAA4AAAAAAAAAAQAgAAAAJQEAAGRycy9lMm9Eb2MueG1sUEsFBgAA&#10;AAAGAAYAWQEAAIgFAAAAAA==&#10;">
                <v:fill on="f" focussize="0,0"/>
                <v:stroke color="#000000" joinstyle="round"/>
                <v:imagedata o:title=""/>
                <o:lock v:ext="edit" aspectratio="f"/>
              </v:line>
            </w:pict>
          </mc:Fallback>
        </mc:AlternateContent>
      </w:r>
      <w:r>
        <w:rPr>
          <w:rFonts w:hint="eastAsia"/>
          <w:sz w:val="24"/>
          <w:lang/>
        </w:rPr>
        <mc:AlternateContent>
          <mc:Choice Requires="wps">
            <w:drawing>
              <wp:anchor distT="0" distB="0" distL="114300" distR="114300" simplePos="0" relativeHeight="251711488" behindDoc="0" locked="0" layoutInCell="1" allowOverlap="1">
                <wp:simplePos x="0" y="0"/>
                <wp:positionH relativeFrom="column">
                  <wp:posOffset>485775</wp:posOffset>
                </wp:positionH>
                <wp:positionV relativeFrom="paragraph">
                  <wp:posOffset>72390</wp:posOffset>
                </wp:positionV>
                <wp:extent cx="0" cy="594360"/>
                <wp:effectExtent l="4445" t="0" r="8255" b="2540"/>
                <wp:wrapNone/>
                <wp:docPr id="52" name="直线 1038"/>
                <wp:cNvGraphicFramePr/>
                <a:graphic xmlns:a="http://schemas.openxmlformats.org/drawingml/2006/main">
                  <a:graphicData uri="http://schemas.microsoft.com/office/word/2010/wordprocessingShape">
                    <wps:wsp>
                      <wps:cNvSpPr/>
                      <wps:spPr>
                        <a:xfrm flipV="1">
                          <a:off x="0" y="0"/>
                          <a:ext cx="0" cy="5943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38" o:spid="_x0000_s1026" o:spt="20" style="position:absolute;left:0pt;flip:y;margin-left:38.25pt;margin-top:5.7pt;height:46.8pt;width:0pt;z-index:251711488;mso-width-relative:page;mso-height-relative:page;" filled="f" stroked="t" coordsize="21600,21600" o:gfxdata="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vGWHY1AAAAAgBAAAPAAAAAAAAAAEAIAAAACIAAABkcnMvZG93bnJldi54bWxQSwECFAAUAAAA&#10;CACHTuJA3+1BEPIBAADoAwAADgAAAAAAAAABACAAAAAjAQAAZHJzL2Uyb0RvYy54bWxQSwUGAAAA&#10;AAYABgBZAQAAhwUAAAAA&#10;">
                <v:fill on="f" focussize="0,0"/>
                <v:stroke color="#000000" joinstyle="round"/>
                <v:imagedata o:title=""/>
                <o:lock v:ext="edit" aspectratio="f"/>
              </v:line>
            </w:pict>
          </mc:Fallback>
        </mc:AlternateContent>
      </w:r>
      <w:r>
        <w:rPr>
          <w:rFonts w:hint="eastAsia"/>
          <w:sz w:val="24"/>
          <w:lang/>
        </w:rPr>
        <mc:AlternateContent>
          <mc:Choice Requires="wps">
            <w:drawing>
              <wp:anchor distT="0" distB="0" distL="114300" distR="114300" simplePos="0" relativeHeight="251710464" behindDoc="0" locked="0" layoutInCell="1" allowOverlap="1">
                <wp:simplePos x="0" y="0"/>
                <wp:positionH relativeFrom="column">
                  <wp:posOffset>-85725</wp:posOffset>
                </wp:positionH>
                <wp:positionV relativeFrom="paragraph">
                  <wp:posOffset>62865</wp:posOffset>
                </wp:positionV>
                <wp:extent cx="0" cy="792480"/>
                <wp:effectExtent l="4445" t="0" r="8255" b="7620"/>
                <wp:wrapNone/>
                <wp:docPr id="51" name="直线 1037"/>
                <wp:cNvGraphicFramePr/>
                <a:graphic xmlns:a="http://schemas.openxmlformats.org/drawingml/2006/main">
                  <a:graphicData uri="http://schemas.microsoft.com/office/word/2010/wordprocessingShape">
                    <wps:wsp>
                      <wps:cNvSpPr/>
                      <wps:spPr>
                        <a:xfrm flipV="1">
                          <a:off x="0" y="0"/>
                          <a:ext cx="0" cy="7924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37" o:spid="_x0000_s1026" o:spt="20" style="position:absolute;left:0pt;flip:y;margin-left:-6.75pt;margin-top:4.95pt;height:62.4pt;width:0pt;z-index:251710464;mso-width-relative:page;mso-height-relative:page;" filled="f" stroked="t" coordsize="21600,21600" o:gfxdata="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COdmnLWAAAACQEAAA8AAAAAAAAAAQAgAAAAIgAAAGRycy9kb3ducmV2LnhtbFBLAQIUABQA&#10;AAAIAIdO4kChwF848gEAAOgDAAAOAAAAAAAAAAEAIAAAACUBAABkcnMvZTJvRG9jLnhtbFBLBQYA&#10;AAAABgAGAFkBAACJBQAAAAA=&#10;">
                <v:fill on="f" focussize="0,0"/>
                <v:stroke color="#000000" joinstyle="round"/>
                <v:imagedata o:title=""/>
                <o:lock v:ext="edit" aspectratio="f"/>
              </v:line>
            </w:pict>
          </mc:Fallback>
        </mc:AlternateContent>
      </w:r>
      <w:r>
        <w:rPr>
          <w:rFonts w:hint="eastAsia"/>
          <w:sz w:val="24"/>
          <w:lang/>
        </w:rPr>
        <mc:AlternateContent>
          <mc:Choice Requires="wps">
            <w:drawing>
              <wp:anchor distT="0" distB="0" distL="114300" distR="114300" simplePos="0" relativeHeight="251706368" behindDoc="0" locked="0" layoutInCell="1" allowOverlap="1">
                <wp:simplePos x="0" y="0"/>
                <wp:positionH relativeFrom="column">
                  <wp:posOffset>3533775</wp:posOffset>
                </wp:positionH>
                <wp:positionV relativeFrom="paragraph">
                  <wp:posOffset>72390</wp:posOffset>
                </wp:positionV>
                <wp:extent cx="0" cy="290195"/>
                <wp:effectExtent l="38100" t="0" r="38100" b="1905"/>
                <wp:wrapNone/>
                <wp:docPr id="47" name="直线 1033"/>
                <wp:cNvGraphicFramePr/>
                <a:graphic xmlns:a="http://schemas.openxmlformats.org/drawingml/2006/main">
                  <a:graphicData uri="http://schemas.microsoft.com/office/word/2010/wordprocessingShape">
                    <wps:wsp>
                      <wps:cNvSpPr/>
                      <wps:spPr>
                        <a:xfrm>
                          <a:off x="0" y="0"/>
                          <a:ext cx="0" cy="29019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33" o:spid="_x0000_s1026" o:spt="20" style="position:absolute;left:0pt;margin-left:278.25pt;margin-top:5.7pt;height:22.85pt;width:0pt;z-index:251706368;mso-width-relative:page;mso-height-relative:page;" filled="f" stroked="t" coordsize="21600,21600" o:gfxdata="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P8Hr/9gAAAAJAQAADwAAAAAAAAABACAAAAAiAAAAZHJzL2Rvd25yZXYueG1sUEsBAhQAFAAA&#10;AAgAh07iQG6X7GrvAQAA4gMAAA4AAAAAAAAAAQAgAAAAJwEAAGRycy9lMm9Eb2MueG1sUEsFBgAA&#10;AAAGAAYAWQEAAIgFAAAAAA==&#10;">
                <v:fill on="f" focussize="0,0"/>
                <v:stroke color="#000000" joinstyle="round" endarrow="block"/>
                <v:imagedata o:title=""/>
                <o:lock v:ext="edit" aspectratio="f"/>
              </v:line>
            </w:pict>
          </mc:Fallback>
        </mc:AlternateContent>
      </w:r>
      <w:r>
        <w:rPr>
          <w:rFonts w:hint="eastAsia"/>
          <w:sz w:val="24"/>
          <w:lang/>
        </w:rPr>
        <mc:AlternateContent>
          <mc:Choice Requires="wps">
            <w:drawing>
              <wp:anchor distT="0" distB="0" distL="114300" distR="114300" simplePos="0" relativeHeight="251696128" behindDoc="0" locked="0" layoutInCell="1" allowOverlap="1">
                <wp:simplePos x="0" y="0"/>
                <wp:positionH relativeFrom="column">
                  <wp:posOffset>2276475</wp:posOffset>
                </wp:positionH>
                <wp:positionV relativeFrom="paragraph">
                  <wp:posOffset>69850</wp:posOffset>
                </wp:positionV>
                <wp:extent cx="0" cy="290195"/>
                <wp:effectExtent l="38100" t="0" r="38100" b="1905"/>
                <wp:wrapNone/>
                <wp:docPr id="37" name="直线 1023"/>
                <wp:cNvGraphicFramePr/>
                <a:graphic xmlns:a="http://schemas.openxmlformats.org/drawingml/2006/main">
                  <a:graphicData uri="http://schemas.microsoft.com/office/word/2010/wordprocessingShape">
                    <wps:wsp>
                      <wps:cNvSpPr/>
                      <wps:spPr>
                        <a:xfrm>
                          <a:off x="0" y="0"/>
                          <a:ext cx="0" cy="29019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23" o:spid="_x0000_s1026" o:spt="20" style="position:absolute;left:0pt;margin-left:179.25pt;margin-top:5.5pt;height:22.85pt;width:0pt;z-index:251696128;mso-width-relative:page;mso-height-relative:page;" filled="f" stroked="t" coordsize="21600,21600" o:gfxdata="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ZRGcdgAAAAJAQAADwAAAAAAAAABACAAAAAiAAAAZHJzL2Rvd25yZXYueG1sUEsBAhQAFAAA&#10;AAgAh07iQMSP1e3vAQAA4gMAAA4AAAAAAAAAAQAgAAAAJwEAAGRycy9lMm9Eb2MueG1sUEsFBgAA&#10;AAAGAAYAWQEAAIgFAAAAAA==&#10;">
                <v:fill on="f" focussize="0,0"/>
                <v:stroke color="#000000" joinstyle="round" endarrow="block"/>
                <v:imagedata o:title=""/>
                <o:lock v:ext="edit" aspectratio="f"/>
              </v:line>
            </w:pict>
          </mc:Fallback>
        </mc:AlternateContent>
      </w:r>
      <w:r>
        <w:rPr>
          <w:rFonts w:hint="eastAsia"/>
          <w:sz w:val="24"/>
          <w:lang/>
        </w:rPr>
        <mc:AlternateContent>
          <mc:Choice Requires="wps">
            <w:drawing>
              <wp:anchor distT="0" distB="0" distL="114300" distR="114300" simplePos="0" relativeHeight="251689984" behindDoc="0" locked="0" layoutInCell="1" allowOverlap="1">
                <wp:simplePos x="0" y="0"/>
                <wp:positionH relativeFrom="column">
                  <wp:posOffset>2933700</wp:posOffset>
                </wp:positionH>
                <wp:positionV relativeFrom="paragraph">
                  <wp:posOffset>69850</wp:posOffset>
                </wp:positionV>
                <wp:extent cx="0" cy="290195"/>
                <wp:effectExtent l="38100" t="0" r="38100" b="1905"/>
                <wp:wrapNone/>
                <wp:docPr id="31" name="直线 1017"/>
                <wp:cNvGraphicFramePr/>
                <a:graphic xmlns:a="http://schemas.openxmlformats.org/drawingml/2006/main">
                  <a:graphicData uri="http://schemas.microsoft.com/office/word/2010/wordprocessingShape">
                    <wps:wsp>
                      <wps:cNvSpPr/>
                      <wps:spPr>
                        <a:xfrm>
                          <a:off x="0" y="0"/>
                          <a:ext cx="0" cy="29019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17" o:spid="_x0000_s1026" o:spt="20" style="position:absolute;left:0pt;margin-left:231pt;margin-top:5.5pt;height:22.85pt;width:0pt;z-index:251689984;mso-width-relative:page;mso-height-relative:page;" filled="f" stroked="t" coordsize="21600,21600" o:gfxdata="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gcBIn2AAAAAkBAAAPAAAAAAAAAAEAIAAAACIAAABkcnMvZG93bnJldi54bWxQSwECFAAUAAAA&#10;CACHTuJAuQXYLe4BAADiAwAADgAAAAAAAAABACAAAAAnAQAAZHJzL2Uyb0RvYy54bWxQSwUGAAAA&#10;AAYABgBZAQAAhwUAAAAA&#10;">
                <v:fill on="f" focussize="0,0"/>
                <v:stroke color="#000000" joinstyle="round" endarrow="block"/>
                <v:imagedata o:title=""/>
                <o:lock v:ext="edit" aspectratio="f"/>
              </v:line>
            </w:pict>
          </mc:Fallback>
        </mc:AlternateContent>
      </w:r>
      <w:r>
        <w:rPr>
          <w:rFonts w:hint="eastAsia"/>
          <w:sz w:val="24"/>
          <w:lang/>
        </w:rPr>
        <mc:AlternateContent>
          <mc:Choice Requires="wps">
            <w:drawing>
              <wp:anchor distT="0" distB="0" distL="114300" distR="114300" simplePos="0" relativeHeight="251688960" behindDoc="0" locked="0" layoutInCell="1" allowOverlap="1">
                <wp:simplePos x="0" y="0"/>
                <wp:positionH relativeFrom="column">
                  <wp:posOffset>1628775</wp:posOffset>
                </wp:positionH>
                <wp:positionV relativeFrom="paragraph">
                  <wp:posOffset>67945</wp:posOffset>
                </wp:positionV>
                <wp:extent cx="0" cy="290195"/>
                <wp:effectExtent l="38100" t="0" r="38100" b="1905"/>
                <wp:wrapNone/>
                <wp:docPr id="30" name="直线 1016"/>
                <wp:cNvGraphicFramePr/>
                <a:graphic xmlns:a="http://schemas.openxmlformats.org/drawingml/2006/main">
                  <a:graphicData uri="http://schemas.microsoft.com/office/word/2010/wordprocessingShape">
                    <wps:wsp>
                      <wps:cNvSpPr/>
                      <wps:spPr>
                        <a:xfrm>
                          <a:off x="0" y="0"/>
                          <a:ext cx="0" cy="29019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16" o:spid="_x0000_s1026" o:spt="20" style="position:absolute;left:0pt;margin-left:128.25pt;margin-top:5.35pt;height:22.85pt;width:0pt;z-index:251688960;mso-width-relative:page;mso-height-relative:page;" filled="f" stroked="t" coordsize="21600,21600" o:gfxdata="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ghCow2AAAAAkBAAAPAAAAAAAAAAEAIAAAACIAAABkcnMvZG93bnJldi54bWxQSwECFAAUAAAA&#10;CACHTuJA90KQqO4BAADiAwAADgAAAAAAAAABACAAAAAnAQAAZHJzL2Uyb0RvYy54bWxQSwUGAAAA&#10;AAYABgBZAQAAhwUAAAAA&#10;">
                <v:fill on="f" focussize="0,0"/>
                <v:stroke color="#000000" joinstyle="round" endarrow="block"/>
                <v:imagedata o:title=""/>
                <o:lock v:ext="edit" aspectratio="f"/>
              </v:line>
            </w:pict>
          </mc:Fallback>
        </mc:AlternateContent>
      </w:r>
    </w:p>
    <w:p>
      <w:pPr>
        <w:spacing w:line="500" w:lineRule="exact"/>
        <w:ind w:firstLine="480" w:firstLineChars="200"/>
        <w:rPr>
          <w:rFonts w:hint="eastAsia"/>
          <w:sz w:val="24"/>
        </w:rPr>
      </w:pPr>
      <w:r>
        <w:rPr>
          <w:rFonts w:hint="eastAsia"/>
          <w:sz w:val="24"/>
          <w:lang/>
        </w:rPr>
        <mc:AlternateContent>
          <mc:Choice Requires="wps">
            <w:drawing>
              <wp:anchor distT="0" distB="0" distL="114300" distR="114300" simplePos="0" relativeHeight="251714560" behindDoc="0" locked="0" layoutInCell="1" allowOverlap="1">
                <wp:simplePos x="0" y="0"/>
                <wp:positionH relativeFrom="column">
                  <wp:posOffset>3657600</wp:posOffset>
                </wp:positionH>
                <wp:positionV relativeFrom="paragraph">
                  <wp:posOffset>151130</wp:posOffset>
                </wp:positionV>
                <wp:extent cx="457200" cy="0"/>
                <wp:effectExtent l="0" t="38100" r="0" b="38100"/>
                <wp:wrapNone/>
                <wp:docPr id="55" name="直线 1041"/>
                <wp:cNvGraphicFramePr/>
                <a:graphic xmlns:a="http://schemas.openxmlformats.org/drawingml/2006/main">
                  <a:graphicData uri="http://schemas.microsoft.com/office/word/2010/wordprocessingShape">
                    <wps:wsp>
                      <wps:cNvSpPr/>
                      <wps:spPr>
                        <a:xfrm flipH="1">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41" o:spid="_x0000_s1026" o:spt="20" style="position:absolute;left:0pt;flip:x;margin-left:288pt;margin-top:11.9pt;height:0pt;width:36pt;z-index:251714560;mso-width-relative:page;mso-height-relative:page;" filled="f" stroked="t" coordsize="21600,21600" o:gfxdata="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cFYhj9gAAAAJAQAADwAAAAAAAAABACAAAAAiAAAAZHJzL2Rvd25yZXYueG1s&#10;UEsBAhQAFAAAAAgAh07iQBXqpmf4AQAA7AMAAA4AAAAAAAAAAQAgAAAAJwEAAGRycy9lMm9Eb2Mu&#10;eG1sUEsFBgAAAAAGAAYAWQEAAJEFAAAAAA==&#10;">
                <v:fill on="f" focussize="0,0"/>
                <v:stroke color="#000000" joinstyle="round" endarrow="block"/>
                <v:imagedata o:title=""/>
                <o:lock v:ext="edit" aspectratio="f"/>
              </v:line>
            </w:pict>
          </mc:Fallback>
        </mc:AlternateContent>
      </w:r>
      <w:r>
        <w:rPr>
          <w:rFonts w:hint="eastAsia"/>
          <w:sz w:val="24"/>
          <w:lang/>
        </w:rPr>
        <mc:AlternateContent>
          <mc:Choice Requires="wps">
            <w:drawing>
              <wp:anchor distT="0" distB="0" distL="114300" distR="114300" simplePos="0" relativeHeight="251709440" behindDoc="0" locked="0" layoutInCell="1" allowOverlap="1">
                <wp:simplePos x="0" y="0"/>
                <wp:positionH relativeFrom="column">
                  <wp:posOffset>1066800</wp:posOffset>
                </wp:positionH>
                <wp:positionV relativeFrom="paragraph">
                  <wp:posOffset>151130</wp:posOffset>
                </wp:positionV>
                <wp:extent cx="342900" cy="0"/>
                <wp:effectExtent l="0" t="38100" r="0" b="38100"/>
                <wp:wrapNone/>
                <wp:docPr id="50" name="直线 1036"/>
                <wp:cNvGraphicFramePr/>
                <a:graphic xmlns:a="http://schemas.openxmlformats.org/drawingml/2006/main">
                  <a:graphicData uri="http://schemas.microsoft.com/office/word/2010/wordprocessingShape">
                    <wps:wsp>
                      <wps:cNvSpPr/>
                      <wps:spPr>
                        <a:xfrm>
                          <a:off x="0" y="0"/>
                          <a:ext cx="342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36" o:spid="_x0000_s1026" o:spt="20" style="position:absolute;left:0pt;margin-left:84pt;margin-top:11.9pt;height:0pt;width:27pt;z-index:251709440;mso-width-relative:page;mso-height-relative:page;" filled="f" stroked="t" coordsize="21600,21600" o:gfxdata="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AmQojXAAAACQEAAA8AAAAAAAAAAQAgAAAAIgAAAGRycy9kb3ducmV2LnhtbFBLAQIUABQA&#10;AAAIAIdO4kB5E4GZ8QEAAOIDAAAOAAAAAAAAAAEAIAAAACYBAABkcnMvZTJvRG9jLnhtbFBLBQYA&#10;AAAABgAGAFkBAACJBQAAAAA=&#10;">
                <v:fill on="f" focussize="0,0"/>
                <v:stroke color="#000000" joinstyle="round" endarrow="block"/>
                <v:imagedata o:title=""/>
                <o:lock v:ext="edit" aspectratio="f"/>
              </v:line>
            </w:pict>
          </mc:Fallback>
        </mc:AlternateContent>
      </w:r>
      <w:r>
        <w:rPr>
          <w:rFonts w:hint="eastAsia"/>
          <w:sz w:val="24"/>
          <w:lang/>
        </w:rPr>
        <mc:AlternateContent>
          <mc:Choice Requires="wps">
            <w:drawing>
              <wp:anchor distT="0" distB="0" distL="114300" distR="114300" simplePos="0" relativeHeight="251682816" behindDoc="0" locked="0" layoutInCell="1" allowOverlap="1">
                <wp:simplePos x="0" y="0"/>
                <wp:positionH relativeFrom="column">
                  <wp:posOffset>1412240</wp:posOffset>
                </wp:positionH>
                <wp:positionV relativeFrom="paragraph">
                  <wp:posOffset>42545</wp:posOffset>
                </wp:positionV>
                <wp:extent cx="2245360" cy="676910"/>
                <wp:effectExtent l="5080" t="4445" r="10160" b="17145"/>
                <wp:wrapNone/>
                <wp:docPr id="24" name="文本框 1010"/>
                <wp:cNvGraphicFramePr/>
                <a:graphic xmlns:a="http://schemas.openxmlformats.org/drawingml/2006/main">
                  <a:graphicData uri="http://schemas.microsoft.com/office/word/2010/wordprocessingShape">
                    <wps:wsp>
                      <wps:cNvSpPr txBox="1"/>
                      <wps:spPr>
                        <a:xfrm>
                          <a:off x="0" y="0"/>
                          <a:ext cx="2245360" cy="676910"/>
                        </a:xfrm>
                        <a:prstGeom prst="rect">
                          <a:avLst/>
                        </a:prstGeom>
                        <a:noFill/>
                        <a:ln w="9525" cap="flat" cmpd="sng">
                          <a:solidFill>
                            <a:srgbClr val="000000"/>
                          </a:solidFill>
                          <a:prstDash val="solid"/>
                          <a:miter/>
                          <a:headEnd type="none" w="med" len="med"/>
                          <a:tailEnd type="none" w="med" len="med"/>
                        </a:ln>
                      </wps:spPr>
                      <wps:txbx>
                        <w:txbxContent>
                          <w:p>
                            <w:pPr>
                              <w:spacing w:line="240" w:lineRule="auto"/>
                              <w:jc w:val="center"/>
                              <w:rPr>
                                <w:rFonts w:hint="eastAsia"/>
                                <w:sz w:val="21"/>
                                <w:szCs w:val="21"/>
                              </w:rPr>
                            </w:pPr>
                            <w:r>
                              <w:rPr>
                                <w:rFonts w:hint="eastAsia"/>
                                <w:sz w:val="21"/>
                                <w:szCs w:val="21"/>
                              </w:rPr>
                              <w:t>现状</w:t>
                            </w:r>
                          </w:p>
                          <w:p>
                            <w:pPr>
                              <w:spacing w:line="240" w:lineRule="auto"/>
                              <w:jc w:val="center"/>
                              <w:rPr>
                                <w:rFonts w:hint="eastAsia"/>
                                <w:sz w:val="21"/>
                                <w:szCs w:val="21"/>
                              </w:rPr>
                            </w:pPr>
                            <w:r>
                              <w:rPr>
                                <w:rFonts w:hint="eastAsia"/>
                                <w:sz w:val="21"/>
                                <w:szCs w:val="21"/>
                              </w:rPr>
                              <w:t>实施目标</w:t>
                            </w:r>
                          </w:p>
                          <w:p>
                            <w:pPr>
                              <w:spacing w:line="240" w:lineRule="auto"/>
                              <w:jc w:val="center"/>
                              <w:rPr>
                                <w:rFonts w:hint="eastAsia"/>
                                <w:sz w:val="21"/>
                                <w:szCs w:val="21"/>
                              </w:rPr>
                            </w:pPr>
                            <w:r>
                              <w:rPr>
                                <w:rFonts w:hint="eastAsia"/>
                                <w:sz w:val="21"/>
                                <w:szCs w:val="21"/>
                              </w:rPr>
                              <w:t>措施与任务</w:t>
                            </w:r>
                          </w:p>
                        </w:txbxContent>
                      </wps:txbx>
                      <wps:bodyPr wrap="square" upright="1"/>
                    </wps:wsp>
                  </a:graphicData>
                </a:graphic>
              </wp:anchor>
            </w:drawing>
          </mc:Choice>
          <mc:Fallback>
            <w:pict>
              <v:shape id="文本框 1010" o:spid="_x0000_s1026" o:spt="202" type="#_x0000_t202" style="position:absolute;left:0pt;margin-left:111.2pt;margin-top:3.35pt;height:53.3pt;width:176.8pt;z-index:251682816;mso-width-relative:page;mso-height-relative:page;" filled="f" stroked="t" coordsize="21600,21600" o:gfxdata="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SdcWE1QAAAAkBAAAPAAAAAAAAAAEA&#10;IAAAACIAAABkcnMvZG93bnJldi54bWxQSwECFAAUAAAACACHTuJAXrVYTxICAAAfBAAADgAAAAAA&#10;AAABACAAAAAkAQAAZHJzL2Uyb0RvYy54bWxQSwUGAAAAAAYABgBZAQAAqAUAAAAA&#10;">
                <v:fill on="f" focussize="0,0"/>
                <v:stroke color="#000000" joinstyle="miter"/>
                <v:imagedata o:title=""/>
                <o:lock v:ext="edit" aspectratio="f"/>
                <v:textbox>
                  <w:txbxContent>
                    <w:p>
                      <w:pPr>
                        <w:spacing w:line="240" w:lineRule="auto"/>
                        <w:jc w:val="center"/>
                        <w:rPr>
                          <w:rFonts w:hint="eastAsia"/>
                          <w:sz w:val="21"/>
                          <w:szCs w:val="21"/>
                        </w:rPr>
                      </w:pPr>
                      <w:r>
                        <w:rPr>
                          <w:rFonts w:hint="eastAsia"/>
                          <w:sz w:val="21"/>
                          <w:szCs w:val="21"/>
                        </w:rPr>
                        <w:t>现状</w:t>
                      </w:r>
                    </w:p>
                    <w:p>
                      <w:pPr>
                        <w:spacing w:line="240" w:lineRule="auto"/>
                        <w:jc w:val="center"/>
                        <w:rPr>
                          <w:rFonts w:hint="eastAsia"/>
                          <w:sz w:val="21"/>
                          <w:szCs w:val="21"/>
                        </w:rPr>
                      </w:pPr>
                      <w:r>
                        <w:rPr>
                          <w:rFonts w:hint="eastAsia"/>
                          <w:sz w:val="21"/>
                          <w:szCs w:val="21"/>
                        </w:rPr>
                        <w:t>实施目标</w:t>
                      </w:r>
                    </w:p>
                    <w:p>
                      <w:pPr>
                        <w:spacing w:line="240" w:lineRule="auto"/>
                        <w:jc w:val="center"/>
                        <w:rPr>
                          <w:rFonts w:hint="eastAsia"/>
                          <w:sz w:val="21"/>
                          <w:szCs w:val="21"/>
                        </w:rPr>
                      </w:pPr>
                      <w:r>
                        <w:rPr>
                          <w:rFonts w:hint="eastAsia"/>
                          <w:sz w:val="21"/>
                          <w:szCs w:val="21"/>
                        </w:rPr>
                        <w:t>措施与任务</w:t>
                      </w:r>
                    </w:p>
                  </w:txbxContent>
                </v:textbox>
              </v:shape>
            </w:pict>
          </mc:Fallback>
        </mc:AlternateContent>
      </w:r>
    </w:p>
    <w:p>
      <w:pPr>
        <w:spacing w:line="500" w:lineRule="exact"/>
        <w:ind w:firstLine="480" w:firstLineChars="200"/>
        <w:rPr>
          <w:rFonts w:hint="eastAsia"/>
          <w:sz w:val="24"/>
        </w:rPr>
      </w:pPr>
      <w:r>
        <w:rPr>
          <w:rFonts w:hint="eastAsia"/>
          <w:sz w:val="24"/>
          <w:lang/>
        </w:rPr>
        <mc:AlternateContent>
          <mc:Choice Requires="wps">
            <w:drawing>
              <wp:anchor distT="0" distB="0" distL="114300" distR="114300" simplePos="0" relativeHeight="251717632" behindDoc="0" locked="0" layoutInCell="1" allowOverlap="1">
                <wp:simplePos x="0" y="0"/>
                <wp:positionH relativeFrom="column">
                  <wp:posOffset>3657600</wp:posOffset>
                </wp:positionH>
                <wp:positionV relativeFrom="paragraph">
                  <wp:posOffset>41275</wp:posOffset>
                </wp:positionV>
                <wp:extent cx="1028700" cy="0"/>
                <wp:effectExtent l="0" t="38100" r="0" b="38100"/>
                <wp:wrapNone/>
                <wp:docPr id="58" name="直线 1044"/>
                <wp:cNvGraphicFramePr/>
                <a:graphic xmlns:a="http://schemas.openxmlformats.org/drawingml/2006/main">
                  <a:graphicData uri="http://schemas.microsoft.com/office/word/2010/wordprocessingShape">
                    <wps:wsp>
                      <wps:cNvSpPr/>
                      <wps:spPr>
                        <a:xfrm flipH="1">
                          <a:off x="0" y="0"/>
                          <a:ext cx="10287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44" o:spid="_x0000_s1026" o:spt="20" style="position:absolute;left:0pt;flip:x;margin-left:288pt;margin-top:3.25pt;height:0pt;width:81pt;z-index:251717632;mso-width-relative:page;mso-height-relative:page;" filled="f" stroked="t" coordsize="21600,21600" o:gfxdata="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HiM6NNYAAAAHAQAADwAAAAAAAAABACAAAAAiAAAAZHJzL2Rvd25yZXYueG1s&#10;UEsBAhQAFAAAAAgAh07iQK++SlH6AQAA7QMAAA4AAAAAAAAAAQAgAAAAJQEAAGRycy9lMm9Eb2Mu&#10;eG1sUEsFBgAAAAAGAAYAWQEAAJEFAAAAAA==&#10;">
                <v:fill on="f" focussize="0,0"/>
                <v:stroke color="#000000" joinstyle="round" endarrow="block"/>
                <v:imagedata o:title=""/>
                <o:lock v:ext="edit" aspectratio="f"/>
              </v:line>
            </w:pict>
          </mc:Fallback>
        </mc:AlternateContent>
      </w:r>
      <w:r>
        <w:rPr>
          <w:rFonts w:hint="eastAsia"/>
          <w:sz w:val="24"/>
          <w:lang/>
        </w:rPr>
        <mc:AlternateContent>
          <mc:Choice Requires="wps">
            <w:drawing>
              <wp:anchor distT="0" distB="0" distL="114300" distR="114300" simplePos="0" relativeHeight="251713536" behindDoc="0" locked="0" layoutInCell="1" allowOverlap="1">
                <wp:simplePos x="0" y="0"/>
                <wp:positionH relativeFrom="column">
                  <wp:posOffset>3657600</wp:posOffset>
                </wp:positionH>
                <wp:positionV relativeFrom="paragraph">
                  <wp:posOffset>220345</wp:posOffset>
                </wp:positionV>
                <wp:extent cx="1485900" cy="0"/>
                <wp:effectExtent l="0" t="38100" r="0" b="38100"/>
                <wp:wrapNone/>
                <wp:docPr id="54" name="直线 1040"/>
                <wp:cNvGraphicFramePr/>
                <a:graphic xmlns:a="http://schemas.openxmlformats.org/drawingml/2006/main">
                  <a:graphicData uri="http://schemas.microsoft.com/office/word/2010/wordprocessingShape">
                    <wps:wsp>
                      <wps:cNvSpPr/>
                      <wps:spPr>
                        <a:xfrm flipH="1">
                          <a:off x="0" y="0"/>
                          <a:ext cx="1485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40" o:spid="_x0000_s1026" o:spt="20" style="position:absolute;left:0pt;flip:x;margin-left:288pt;margin-top:17.35pt;height:0pt;width:117pt;z-index:251713536;mso-width-relative:page;mso-height-relative:page;" filled="f" stroked="t" coordsize="21600,21600" o:gfxdata="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OXkeK/YAAAACQEAAA8AAAAAAAAAAQAgAAAAIgAAAGRycy9kb3ducmV2Lnht&#10;bFBLAQIUABQAAAAIAIdO4kD5pjjv+QEAAO0DAAAOAAAAAAAAAAEAIAAAACcBAABkcnMvZTJvRG9j&#10;LnhtbFBLBQYAAAAABgAGAFkBAACSBQAAAAA=&#10;">
                <v:fill on="f" focussize="0,0"/>
                <v:stroke color="#000000" joinstyle="round" endarrow="block"/>
                <v:imagedata o:title=""/>
                <o:lock v:ext="edit" aspectratio="f"/>
              </v:line>
            </w:pict>
          </mc:Fallback>
        </mc:AlternateContent>
      </w:r>
      <w:r>
        <w:rPr>
          <w:rFonts w:hint="eastAsia"/>
          <w:sz w:val="24"/>
          <w:lang/>
        </w:rPr>
        <mc:AlternateContent>
          <mc:Choice Requires="wps">
            <w:drawing>
              <wp:anchor distT="0" distB="0" distL="114300" distR="114300" simplePos="0" relativeHeight="251708416" behindDoc="0" locked="0" layoutInCell="1" allowOverlap="1">
                <wp:simplePos x="0" y="0"/>
                <wp:positionH relativeFrom="column">
                  <wp:posOffset>495300</wp:posOffset>
                </wp:positionH>
                <wp:positionV relativeFrom="paragraph">
                  <wp:posOffset>31750</wp:posOffset>
                </wp:positionV>
                <wp:extent cx="914400" cy="0"/>
                <wp:effectExtent l="0" t="38100" r="0" b="38100"/>
                <wp:wrapNone/>
                <wp:docPr id="49" name="直线 1035"/>
                <wp:cNvGraphicFramePr/>
                <a:graphic xmlns:a="http://schemas.openxmlformats.org/drawingml/2006/main">
                  <a:graphicData uri="http://schemas.microsoft.com/office/word/2010/wordprocessingShape">
                    <wps:wsp>
                      <wps:cNvSpPr/>
                      <wps:spPr>
                        <a:xfrm>
                          <a:off x="0" y="0"/>
                          <a:ext cx="9144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35" o:spid="_x0000_s1026" o:spt="20" style="position:absolute;left:0pt;margin-left:39pt;margin-top:2.5pt;height:0pt;width:72pt;z-index:251708416;mso-width-relative:page;mso-height-relative:page;" filled="f" stroked="t" coordsize="21600,21600" o:gfxdata="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AtrEt1gAAAAYBAAAPAAAAAAAAAAEAIAAAACIAAABkcnMvZG93bnJldi54bWxQSwECFAAUAAAA&#10;CACHTuJApaKYyPABAADiAwAADgAAAAAAAAABACAAAAAlAQAAZHJzL2Uyb0RvYy54bWxQSwUGAAAA&#10;AAYABgBZAQAAhwUAAAAA&#10;">
                <v:fill on="f" focussize="0,0"/>
                <v:stroke color="#000000" joinstyle="round" endarrow="block"/>
                <v:imagedata o:title=""/>
                <o:lock v:ext="edit" aspectratio="f"/>
              </v:line>
            </w:pict>
          </mc:Fallback>
        </mc:AlternateContent>
      </w:r>
      <w:r>
        <w:rPr>
          <w:rFonts w:hint="eastAsia"/>
          <w:sz w:val="24"/>
          <w:lang/>
        </w:rPr>
        <mc:AlternateContent>
          <mc:Choice Requires="wps">
            <w:drawing>
              <wp:anchor distT="0" distB="0" distL="114300" distR="114300" simplePos="0" relativeHeight="251707392" behindDoc="0" locked="0" layoutInCell="1" allowOverlap="1">
                <wp:simplePos x="0" y="0"/>
                <wp:positionH relativeFrom="column">
                  <wp:posOffset>-76200</wp:posOffset>
                </wp:positionH>
                <wp:positionV relativeFrom="paragraph">
                  <wp:posOffset>220345</wp:posOffset>
                </wp:positionV>
                <wp:extent cx="1485900" cy="0"/>
                <wp:effectExtent l="0" t="38100" r="0" b="38100"/>
                <wp:wrapNone/>
                <wp:docPr id="48" name="直线 1034"/>
                <wp:cNvGraphicFramePr/>
                <a:graphic xmlns:a="http://schemas.openxmlformats.org/drawingml/2006/main">
                  <a:graphicData uri="http://schemas.microsoft.com/office/word/2010/wordprocessingShape">
                    <wps:wsp>
                      <wps:cNvSpPr/>
                      <wps:spPr>
                        <a:xfrm>
                          <a:off x="0" y="0"/>
                          <a:ext cx="14859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34" o:spid="_x0000_s1026" o:spt="20" style="position:absolute;left:0pt;margin-left:-6pt;margin-top:17.35pt;height:0pt;width:117pt;z-index:251707392;mso-width-relative:page;mso-height-relative:page;" filled="f" stroked="t" coordsize="21600,21600" o:gfxdata="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pYXFptgAAAAJAQAADwAAAAAAAAABACAAAAAiAAAAZHJzL2Rvd25yZXYueG1sUEsBAhQA&#10;FAAAAAgAh07iQJal9DPyAQAA4wMAAA4AAAAAAAAAAQAgAAAAJwEAAGRycy9lMm9Eb2MueG1sUEsF&#10;BgAAAAAGAAYAWQEAAIsFAAAAAA==&#10;">
                <v:fill on="f" focussize="0,0"/>
                <v:stroke color="#000000" joinstyle="round" endarrow="block"/>
                <v:imagedata o:title=""/>
                <o:lock v:ext="edit" aspectratio="f"/>
              </v:line>
            </w:pict>
          </mc:Fallback>
        </mc:AlternateContent>
      </w:r>
    </w:p>
    <w:p>
      <w:pPr>
        <w:spacing w:line="500" w:lineRule="exact"/>
        <w:ind w:firstLine="480" w:firstLineChars="200"/>
        <w:rPr>
          <w:rFonts w:hint="eastAsia"/>
          <w:sz w:val="24"/>
        </w:rPr>
      </w:pPr>
      <w:r>
        <w:rPr>
          <w:rFonts w:hint="eastAsia"/>
          <w:sz w:val="24"/>
          <w:lang/>
        </w:rPr>
        <mc:AlternateContent>
          <mc:Choice Requires="wps">
            <w:drawing>
              <wp:anchor distT="0" distB="0" distL="114300" distR="114300" simplePos="0" relativeHeight="251670528" behindDoc="0" locked="0" layoutInCell="1" allowOverlap="1">
                <wp:simplePos x="0" y="0"/>
                <wp:positionH relativeFrom="column">
                  <wp:posOffset>2514600</wp:posOffset>
                </wp:positionH>
                <wp:positionV relativeFrom="paragraph">
                  <wp:posOffset>84455</wp:posOffset>
                </wp:positionV>
                <wp:extent cx="0" cy="241300"/>
                <wp:effectExtent l="38100" t="0" r="38100" b="0"/>
                <wp:wrapNone/>
                <wp:docPr id="12" name="直线 998"/>
                <wp:cNvGraphicFramePr/>
                <a:graphic xmlns:a="http://schemas.openxmlformats.org/drawingml/2006/main">
                  <a:graphicData uri="http://schemas.microsoft.com/office/word/2010/wordprocessingShape">
                    <wps:wsp>
                      <wps:cNvSpPr/>
                      <wps:spPr>
                        <a:xfrm>
                          <a:off x="0" y="0"/>
                          <a:ext cx="0" cy="2413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998" o:spid="_x0000_s1026" o:spt="20" style="position:absolute;left:0pt;margin-left:198pt;margin-top:6.65pt;height:19pt;width:0pt;z-index:251670528;mso-width-relative:page;mso-height-relative:page;" filled="f" stroked="t" coordsize="21600,21600" o:gfxdata="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iQdrTYAAAACQEAAA8AAAAAAAAAAQAgAAAAIgAAAGRycy9kb3ducmV2LnhtbFBLAQIUABQA&#10;AAAIAIdO4kC3Jv598AEAAOEDAAAOAAAAAAAAAAEAIAAAACcBAABkcnMvZTJvRG9jLnhtbFBLBQYA&#10;AAAABgAGAFkBAACJBQAAAAA=&#10;">
                <v:fill on="f" focussize="0,0"/>
                <v:stroke color="#000000" joinstyle="round" endarrow="block"/>
                <v:imagedata o:title=""/>
                <o:lock v:ext="edit" aspectratio="f"/>
              </v:line>
            </w:pict>
          </mc:Fallback>
        </mc:AlternateContent>
      </w:r>
    </w:p>
    <w:p>
      <w:pPr>
        <w:spacing w:line="500" w:lineRule="exact"/>
        <w:ind w:firstLine="480" w:firstLineChars="200"/>
        <w:rPr>
          <w:rFonts w:hint="eastAsia"/>
          <w:sz w:val="24"/>
        </w:rPr>
      </w:pPr>
      <w:r>
        <w:rPr>
          <w:rFonts w:hint="eastAsia"/>
          <w:sz w:val="24"/>
          <w:lang/>
        </w:rPr>
        <mc:AlternateContent>
          <mc:Choice Requires="wps">
            <w:drawing>
              <wp:anchor distT="0" distB="0" distL="114300" distR="114300" simplePos="0" relativeHeight="251697152" behindDoc="0" locked="0" layoutInCell="1" allowOverlap="1">
                <wp:simplePos x="0" y="0"/>
                <wp:positionH relativeFrom="column">
                  <wp:posOffset>1402080</wp:posOffset>
                </wp:positionH>
                <wp:positionV relativeFrom="paragraph">
                  <wp:posOffset>29210</wp:posOffset>
                </wp:positionV>
                <wp:extent cx="2245360" cy="290195"/>
                <wp:effectExtent l="5080" t="4445" r="10160" b="10160"/>
                <wp:wrapNone/>
                <wp:docPr id="38" name="文本框 1024"/>
                <wp:cNvGraphicFramePr/>
                <a:graphic xmlns:a="http://schemas.openxmlformats.org/drawingml/2006/main">
                  <a:graphicData uri="http://schemas.microsoft.com/office/word/2010/wordprocessingShape">
                    <wps:wsp>
                      <wps:cNvSpPr txBox="1"/>
                      <wps:spPr>
                        <a:xfrm>
                          <a:off x="0" y="0"/>
                          <a:ext cx="2245360" cy="290195"/>
                        </a:xfrm>
                        <a:prstGeom prst="rect">
                          <a:avLst/>
                        </a:prstGeom>
                        <a:noFill/>
                        <a:ln w="9525" cap="flat" cmpd="sng">
                          <a:solidFill>
                            <a:srgbClr val="000000"/>
                          </a:solidFill>
                          <a:prstDash val="solid"/>
                          <a:miter/>
                          <a:headEnd type="none" w="med" len="med"/>
                          <a:tailEnd type="none" w="med" len="med"/>
                        </a:ln>
                      </wps:spPr>
                      <wps:txbx>
                        <w:txbxContent>
                          <w:p>
                            <w:pPr>
                              <w:spacing w:line="240" w:lineRule="auto"/>
                              <w:jc w:val="center"/>
                              <w:rPr>
                                <w:rFonts w:hint="eastAsia"/>
                                <w:sz w:val="21"/>
                                <w:szCs w:val="21"/>
                              </w:rPr>
                            </w:pPr>
                            <w:r>
                              <w:rPr>
                                <w:rFonts w:hint="eastAsia"/>
                                <w:sz w:val="21"/>
                                <w:szCs w:val="21"/>
                              </w:rPr>
                              <w:t>工程项目（投资、效益分析）</w:t>
                            </w:r>
                          </w:p>
                        </w:txbxContent>
                      </wps:txbx>
                      <wps:bodyPr wrap="square" upright="1"/>
                    </wps:wsp>
                  </a:graphicData>
                </a:graphic>
              </wp:anchor>
            </w:drawing>
          </mc:Choice>
          <mc:Fallback>
            <w:pict>
              <v:shape id="文本框 1024" o:spid="_x0000_s1026" o:spt="202" type="#_x0000_t202" style="position:absolute;left:0pt;margin-left:110.4pt;margin-top:2.3pt;height:22.85pt;width:176.8pt;z-index:251697152;mso-width-relative:page;mso-height-relative:page;" filled="f" stroked="t" coordsize="21600,21600" o:gfxdata="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vKYw5dYAAAAIAQAADwAAAAAAAAAB&#10;ACAAAAAiAAAAZHJzL2Rvd25yZXYueG1sUEsBAhQAFAAAAAgAh07iQFfTpEwSAgAAHwQAAA4AAAAA&#10;AAAAAQAgAAAAJQEAAGRycy9lMm9Eb2MueG1sUEsFBgAAAAAGAAYAWQEAAKkFAAAAAA==&#10;">
                <v:fill on="f" focussize="0,0"/>
                <v:stroke color="#000000" joinstyle="miter"/>
                <v:imagedata o:title=""/>
                <o:lock v:ext="edit" aspectratio="f"/>
                <v:textbox>
                  <w:txbxContent>
                    <w:p>
                      <w:pPr>
                        <w:spacing w:line="240" w:lineRule="auto"/>
                        <w:jc w:val="center"/>
                        <w:rPr>
                          <w:rFonts w:hint="eastAsia"/>
                          <w:sz w:val="21"/>
                          <w:szCs w:val="21"/>
                        </w:rPr>
                      </w:pPr>
                      <w:r>
                        <w:rPr>
                          <w:rFonts w:hint="eastAsia"/>
                          <w:sz w:val="21"/>
                          <w:szCs w:val="21"/>
                        </w:rPr>
                        <w:t>工程项目（投资、效益分析）</w:t>
                      </w:r>
                    </w:p>
                  </w:txbxContent>
                </v:textbox>
              </v:shape>
            </w:pict>
          </mc:Fallback>
        </mc:AlternateContent>
      </w:r>
    </w:p>
    <w:p>
      <w:pPr>
        <w:spacing w:line="500" w:lineRule="exact"/>
        <w:ind w:firstLine="480" w:firstLineChars="200"/>
        <w:rPr>
          <w:rFonts w:hint="eastAsia"/>
          <w:sz w:val="24"/>
        </w:rPr>
      </w:pPr>
      <w:r>
        <w:rPr>
          <w:rFonts w:hint="eastAsia"/>
          <w:sz w:val="24"/>
          <w:lang/>
        </w:rPr>
        <mc:AlternateContent>
          <mc:Choice Requires="wps">
            <w:drawing>
              <wp:anchor distT="0" distB="0" distL="114300" distR="114300" simplePos="0" relativeHeight="251698176" behindDoc="0" locked="0" layoutInCell="1" allowOverlap="1">
                <wp:simplePos x="0" y="0"/>
                <wp:positionH relativeFrom="column">
                  <wp:posOffset>2504440</wp:posOffset>
                </wp:positionH>
                <wp:positionV relativeFrom="paragraph">
                  <wp:posOffset>11430</wp:posOffset>
                </wp:positionV>
                <wp:extent cx="0" cy="241300"/>
                <wp:effectExtent l="38100" t="0" r="38100" b="0"/>
                <wp:wrapNone/>
                <wp:docPr id="39" name="直线 1025"/>
                <wp:cNvGraphicFramePr/>
                <a:graphic xmlns:a="http://schemas.openxmlformats.org/drawingml/2006/main">
                  <a:graphicData uri="http://schemas.microsoft.com/office/word/2010/wordprocessingShape">
                    <wps:wsp>
                      <wps:cNvSpPr/>
                      <wps:spPr>
                        <a:xfrm>
                          <a:off x="0" y="0"/>
                          <a:ext cx="0" cy="2413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25" o:spid="_x0000_s1026" o:spt="20" style="position:absolute;left:0pt;margin-left:197.2pt;margin-top:0.9pt;height:19pt;width:0pt;z-index:251698176;mso-width-relative:page;mso-height-relative:page;" filled="f" stroked="t" coordsize="21600,21600" o:gfxdata="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aZUsNtYAAAAIAQAADwAAAAAAAAABACAAAAAiAAAAZHJzL2Rvd25yZXYueG1sUEsBAhQAFAAA&#10;AAgAh07iQOL5+DHxAQAA4gMAAA4AAAAAAAAAAQAgAAAAJQEAAGRycy9lMm9Eb2MueG1sUEsFBgAA&#10;AAAGAAYAWQEAAIgFAAAAAA==&#10;">
                <v:fill on="f" focussize="0,0"/>
                <v:stroke color="#000000" joinstyle="round" endarrow="block"/>
                <v:imagedata o:title=""/>
                <o:lock v:ext="edit" aspectratio="f"/>
              </v:line>
            </w:pict>
          </mc:Fallback>
        </mc:AlternateContent>
      </w:r>
      <w:r>
        <w:rPr>
          <w:rFonts w:hint="eastAsia"/>
          <w:sz w:val="24"/>
          <w:lang/>
        </w:rPr>
        <mc:AlternateContent>
          <mc:Choice Requires="wps">
            <w:drawing>
              <wp:anchor distT="0" distB="0" distL="114300" distR="114300" simplePos="0" relativeHeight="251665408" behindDoc="0" locked="0" layoutInCell="1" allowOverlap="1">
                <wp:simplePos x="0" y="0"/>
                <wp:positionH relativeFrom="column">
                  <wp:posOffset>1412240</wp:posOffset>
                </wp:positionH>
                <wp:positionV relativeFrom="paragraph">
                  <wp:posOffset>283210</wp:posOffset>
                </wp:positionV>
                <wp:extent cx="2245360" cy="290195"/>
                <wp:effectExtent l="5080" t="4445" r="10160" b="10160"/>
                <wp:wrapNone/>
                <wp:docPr id="7" name="文本框 993"/>
                <wp:cNvGraphicFramePr/>
                <a:graphic xmlns:a="http://schemas.openxmlformats.org/drawingml/2006/main">
                  <a:graphicData uri="http://schemas.microsoft.com/office/word/2010/wordprocessingShape">
                    <wps:wsp>
                      <wps:cNvSpPr txBox="1"/>
                      <wps:spPr>
                        <a:xfrm>
                          <a:off x="0" y="0"/>
                          <a:ext cx="2245360" cy="290195"/>
                        </a:xfrm>
                        <a:prstGeom prst="rect">
                          <a:avLst/>
                        </a:prstGeom>
                        <a:noFill/>
                        <a:ln w="9525" cap="flat" cmpd="sng">
                          <a:solidFill>
                            <a:srgbClr val="000000"/>
                          </a:solidFill>
                          <a:prstDash val="solid"/>
                          <a:miter/>
                          <a:headEnd type="none" w="med" len="med"/>
                          <a:tailEnd type="none" w="med" len="med"/>
                        </a:ln>
                      </wps:spPr>
                      <wps:txbx>
                        <w:txbxContent>
                          <w:p>
                            <w:pPr>
                              <w:spacing w:line="240" w:lineRule="auto"/>
                              <w:jc w:val="center"/>
                              <w:rPr>
                                <w:rFonts w:hint="eastAsia"/>
                                <w:sz w:val="21"/>
                                <w:szCs w:val="21"/>
                              </w:rPr>
                            </w:pPr>
                            <w:r>
                              <w:rPr>
                                <w:rFonts w:hint="eastAsia"/>
                                <w:sz w:val="21"/>
                                <w:szCs w:val="21"/>
                              </w:rPr>
                              <w:t>组织实施保障措施</w:t>
                            </w:r>
                          </w:p>
                        </w:txbxContent>
                      </wps:txbx>
                      <wps:bodyPr wrap="square" upright="1"/>
                    </wps:wsp>
                  </a:graphicData>
                </a:graphic>
              </wp:anchor>
            </w:drawing>
          </mc:Choice>
          <mc:Fallback>
            <w:pict>
              <v:shape id="文本框 993" o:spid="_x0000_s1026" o:spt="202" type="#_x0000_t202" style="position:absolute;left:0pt;margin-left:111.2pt;margin-top:22.3pt;height:22.85pt;width:176.8pt;z-index:251665408;mso-width-relative:page;mso-height-relative:page;" filled="f" stroked="t" coordsize="21600,21600" o:gfxdata="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1XQaw1wAAAAkBAAAPAAAAAAAAAAEA&#10;IAAAACIAAABkcnMvZG93bnJldi54bWxQSwECFAAUAAAACACHTuJAOhc1mhACAAAdBAAADgAAAAAA&#10;AAABACAAAAAmAQAAZHJzL2Uyb0RvYy54bWxQSwUGAAAAAAYABgBZAQAAqAUAAAAA&#10;">
                <v:fill on="f" focussize="0,0"/>
                <v:stroke color="#000000" joinstyle="miter"/>
                <v:imagedata o:title=""/>
                <o:lock v:ext="edit" aspectratio="f"/>
                <v:textbox>
                  <w:txbxContent>
                    <w:p>
                      <w:pPr>
                        <w:spacing w:line="240" w:lineRule="auto"/>
                        <w:jc w:val="center"/>
                        <w:rPr>
                          <w:rFonts w:hint="eastAsia"/>
                          <w:sz w:val="21"/>
                          <w:szCs w:val="21"/>
                        </w:rPr>
                      </w:pPr>
                      <w:r>
                        <w:rPr>
                          <w:rFonts w:hint="eastAsia"/>
                          <w:sz w:val="21"/>
                          <w:szCs w:val="21"/>
                        </w:rPr>
                        <w:t>组织实施保障措施</w:t>
                      </w:r>
                    </w:p>
                  </w:txbxContent>
                </v:textbox>
              </v:shape>
            </w:pict>
          </mc:Fallback>
        </mc:AlternateContent>
      </w:r>
    </w:p>
    <w:p>
      <w:pPr>
        <w:spacing w:line="500" w:lineRule="exact"/>
        <w:ind w:firstLine="480" w:firstLineChars="200"/>
        <w:rPr>
          <w:rFonts w:hint="eastAsia"/>
          <w:sz w:val="24"/>
        </w:rPr>
      </w:pPr>
      <w:r>
        <w:rPr>
          <w:rFonts w:hint="eastAsia"/>
          <w:sz w:val="24"/>
          <w:lang/>
        </w:rPr>
        <mc:AlternateContent>
          <mc:Choice Requires="wps">
            <w:drawing>
              <wp:anchor distT="0" distB="0" distL="114300" distR="114300" simplePos="0" relativeHeight="251699200" behindDoc="0" locked="0" layoutInCell="1" allowOverlap="1">
                <wp:simplePos x="0" y="0"/>
                <wp:positionH relativeFrom="column">
                  <wp:posOffset>2505710</wp:posOffset>
                </wp:positionH>
                <wp:positionV relativeFrom="paragraph">
                  <wp:posOffset>273050</wp:posOffset>
                </wp:positionV>
                <wp:extent cx="0" cy="242570"/>
                <wp:effectExtent l="38100" t="0" r="38100" b="11430"/>
                <wp:wrapNone/>
                <wp:docPr id="40" name="直线 1026"/>
                <wp:cNvGraphicFramePr/>
                <a:graphic xmlns:a="http://schemas.openxmlformats.org/drawingml/2006/main">
                  <a:graphicData uri="http://schemas.microsoft.com/office/word/2010/wordprocessingShape">
                    <wps:wsp>
                      <wps:cNvSpPr/>
                      <wps:spPr>
                        <a:xfrm flipH="1">
                          <a:off x="0" y="0"/>
                          <a:ext cx="0" cy="2425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26" o:spid="_x0000_s1026" o:spt="20" style="position:absolute;left:0pt;flip:x;margin-left:197.3pt;margin-top:21.5pt;height:19.1pt;width:0pt;z-index:251699200;mso-width-relative:page;mso-height-relative:page;" filled="f" stroked="t" coordsize="21600,21600" o:gfxdata="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Pyna63YAAAACQEAAA8AAAAAAAAAAQAgAAAAIgAAAGRycy9kb3ducmV2Lnht&#10;bFBLAQIUABQAAAAIAIdO4kAAAl/K+QEAAOwDAAAOAAAAAAAAAAEAIAAAACcBAABkcnMvZTJvRG9j&#10;LnhtbFBLBQYAAAAABgAGAFkBAACSBQAAAAA=&#10;">
                <v:fill on="f" focussize="0,0"/>
                <v:stroke color="#000000" joinstyle="round" endarrow="block"/>
                <v:imagedata o:title=""/>
                <o:lock v:ext="edit" aspectratio="f"/>
              </v:line>
            </w:pict>
          </mc:Fallback>
        </mc:AlternateContent>
      </w:r>
    </w:p>
    <w:p>
      <w:pPr>
        <w:spacing w:line="500" w:lineRule="exact"/>
        <w:ind w:firstLine="480" w:firstLineChars="200"/>
        <w:rPr>
          <w:rFonts w:hint="eastAsia"/>
          <w:sz w:val="24"/>
        </w:rPr>
      </w:pPr>
      <w:r>
        <w:rPr>
          <w:rFonts w:hint="eastAsia"/>
          <w:sz w:val="24"/>
          <w:lang/>
        </w:rPr>
        <mc:AlternateContent>
          <mc:Choice Requires="wps">
            <w:drawing>
              <wp:anchor distT="0" distB="0" distL="114300" distR="114300" simplePos="0" relativeHeight="251700224" behindDoc="0" locked="0" layoutInCell="1" allowOverlap="1">
                <wp:simplePos x="0" y="0"/>
                <wp:positionH relativeFrom="column">
                  <wp:posOffset>1412240</wp:posOffset>
                </wp:positionH>
                <wp:positionV relativeFrom="paragraph">
                  <wp:posOffset>209550</wp:posOffset>
                </wp:positionV>
                <wp:extent cx="2245360" cy="290195"/>
                <wp:effectExtent l="5080" t="4445" r="10160" b="10160"/>
                <wp:wrapNone/>
                <wp:docPr id="41" name="文本框 1027"/>
                <wp:cNvGraphicFramePr/>
                <a:graphic xmlns:a="http://schemas.openxmlformats.org/drawingml/2006/main">
                  <a:graphicData uri="http://schemas.microsoft.com/office/word/2010/wordprocessingShape">
                    <wps:wsp>
                      <wps:cNvSpPr txBox="1"/>
                      <wps:spPr>
                        <a:xfrm>
                          <a:off x="0" y="0"/>
                          <a:ext cx="2245360" cy="290195"/>
                        </a:xfrm>
                        <a:prstGeom prst="rect">
                          <a:avLst/>
                        </a:prstGeom>
                        <a:noFill/>
                        <a:ln w="9525" cap="flat" cmpd="sng">
                          <a:solidFill>
                            <a:srgbClr val="000000"/>
                          </a:solidFill>
                          <a:prstDash val="solid"/>
                          <a:miter/>
                          <a:headEnd type="none" w="med" len="med"/>
                          <a:tailEnd type="none" w="med" len="med"/>
                        </a:ln>
                      </wps:spPr>
                      <wps:txbx>
                        <w:txbxContent>
                          <w:p>
                            <w:pPr>
                              <w:spacing w:line="240" w:lineRule="auto"/>
                              <w:jc w:val="center"/>
                              <w:rPr>
                                <w:rFonts w:hint="eastAsia"/>
                                <w:sz w:val="21"/>
                                <w:szCs w:val="21"/>
                              </w:rPr>
                            </w:pPr>
                            <w:r>
                              <w:rPr>
                                <w:rFonts w:hint="eastAsia"/>
                                <w:sz w:val="21"/>
                                <w:szCs w:val="21"/>
                              </w:rPr>
                              <w:t>环保“十二五”规划技术报告</w:t>
                            </w:r>
                          </w:p>
                        </w:txbxContent>
                      </wps:txbx>
                      <wps:bodyPr wrap="square" upright="1"/>
                    </wps:wsp>
                  </a:graphicData>
                </a:graphic>
              </wp:anchor>
            </w:drawing>
          </mc:Choice>
          <mc:Fallback>
            <w:pict>
              <v:shape id="文本框 1027" o:spid="_x0000_s1026" o:spt="202" type="#_x0000_t202" style="position:absolute;left:0pt;margin-left:111.2pt;margin-top:16.5pt;height:22.85pt;width:176.8pt;z-index:251700224;mso-width-relative:page;mso-height-relative:page;" filled="f" stroked="t" coordsize="21600,21600" o:gfxdata="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Frp0PzXAAAACQEAAA8AAAAAAAAA&#10;AQAgAAAAIgAAAGRycy9kb3ducmV2LnhtbFBLAQIUABQAAAAIAIdO4kAe1FjhEgIAAB8EAAAOAAAA&#10;AAAAAAEAIAAAACYBAABkcnMvZTJvRG9jLnhtbFBLBQYAAAAABgAGAFkBAACqBQAAAAA=&#10;">
                <v:fill on="f" focussize="0,0"/>
                <v:stroke color="#000000" joinstyle="miter"/>
                <v:imagedata o:title=""/>
                <o:lock v:ext="edit" aspectratio="f"/>
                <v:textbox>
                  <w:txbxContent>
                    <w:p>
                      <w:pPr>
                        <w:spacing w:line="240" w:lineRule="auto"/>
                        <w:jc w:val="center"/>
                        <w:rPr>
                          <w:rFonts w:hint="eastAsia"/>
                          <w:sz w:val="21"/>
                          <w:szCs w:val="21"/>
                        </w:rPr>
                      </w:pPr>
                      <w:r>
                        <w:rPr>
                          <w:rFonts w:hint="eastAsia"/>
                          <w:sz w:val="21"/>
                          <w:szCs w:val="21"/>
                        </w:rPr>
                        <w:t>环保“十二五”规划技术报告</w:t>
                      </w:r>
                    </w:p>
                  </w:txbxContent>
                </v:textbox>
              </v:shape>
            </w:pict>
          </mc:Fallback>
        </mc:AlternateContent>
      </w:r>
    </w:p>
    <w:p>
      <w:pPr>
        <w:spacing w:line="500" w:lineRule="exact"/>
        <w:ind w:firstLine="480" w:firstLineChars="200"/>
        <w:rPr>
          <w:rFonts w:hint="eastAsia"/>
          <w:sz w:val="24"/>
        </w:rPr>
      </w:pPr>
      <w:r>
        <w:rPr>
          <w:rFonts w:hint="eastAsia"/>
          <w:sz w:val="24"/>
          <w:lang/>
        </w:rPr>
        <mc:AlternateContent>
          <mc:Choice Requires="wps">
            <w:drawing>
              <wp:anchor distT="0" distB="0" distL="114300" distR="114300" simplePos="0" relativeHeight="251671552" behindDoc="0" locked="0" layoutInCell="1" allowOverlap="1">
                <wp:simplePos x="0" y="0"/>
                <wp:positionH relativeFrom="column">
                  <wp:posOffset>2505710</wp:posOffset>
                </wp:positionH>
                <wp:positionV relativeFrom="paragraph">
                  <wp:posOffset>219710</wp:posOffset>
                </wp:positionV>
                <wp:extent cx="0" cy="241300"/>
                <wp:effectExtent l="38100" t="0" r="38100" b="0"/>
                <wp:wrapNone/>
                <wp:docPr id="13" name="直线 999"/>
                <wp:cNvGraphicFramePr/>
                <a:graphic xmlns:a="http://schemas.openxmlformats.org/drawingml/2006/main">
                  <a:graphicData uri="http://schemas.microsoft.com/office/word/2010/wordprocessingShape">
                    <wps:wsp>
                      <wps:cNvSpPr/>
                      <wps:spPr>
                        <a:xfrm>
                          <a:off x="0" y="0"/>
                          <a:ext cx="0" cy="2413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999" o:spid="_x0000_s1026" o:spt="20" style="position:absolute;left:0pt;margin-left:197.3pt;margin-top:17.3pt;height:19pt;width:0pt;z-index:251671552;mso-width-relative:page;mso-height-relative:page;" filled="f" stroked="t" coordsize="21600,21600" o:gfxdata="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UpfEfYAAAACQEAAA8AAAAAAAAAAQAgAAAAIgAAAGRycy9kb3ducmV2LnhtbFBLAQIUABQA&#10;AAAIAIdO4kCpO+YI8AEAAOEDAAAOAAAAAAAAAAEAIAAAACcBAABkcnMvZTJvRG9jLnhtbFBLBQYA&#10;AAAABgAGAFkBAACJBQAAAAA=&#10;">
                <v:fill on="f" focussize="0,0"/>
                <v:stroke color="#000000" joinstyle="round" endarrow="block"/>
                <v:imagedata o:title=""/>
                <o:lock v:ext="edit" aspectratio="f"/>
              </v:line>
            </w:pict>
          </mc:Fallback>
        </mc:AlternateContent>
      </w:r>
    </w:p>
    <w:p>
      <w:pPr>
        <w:spacing w:line="500" w:lineRule="exact"/>
        <w:ind w:firstLine="480" w:firstLineChars="200"/>
        <w:rPr>
          <w:sz w:val="24"/>
        </w:rPr>
      </w:pPr>
      <w:r>
        <w:rPr>
          <w:sz w:val="24"/>
          <w:lang/>
        </w:rPr>
        <mc:AlternateContent>
          <mc:Choice Requires="wps">
            <w:drawing>
              <wp:anchor distT="0" distB="0" distL="114300" distR="114300" simplePos="0" relativeHeight="251666432" behindDoc="0" locked="0" layoutInCell="1" allowOverlap="1">
                <wp:simplePos x="0" y="0"/>
                <wp:positionH relativeFrom="column">
                  <wp:posOffset>1446530</wp:posOffset>
                </wp:positionH>
                <wp:positionV relativeFrom="paragraph">
                  <wp:posOffset>163830</wp:posOffset>
                </wp:positionV>
                <wp:extent cx="2221230" cy="290830"/>
                <wp:effectExtent l="5080" t="5080" r="8890" b="8890"/>
                <wp:wrapNone/>
                <wp:docPr id="8" name="文本框 994"/>
                <wp:cNvGraphicFramePr/>
                <a:graphic xmlns:a="http://schemas.openxmlformats.org/drawingml/2006/main">
                  <a:graphicData uri="http://schemas.microsoft.com/office/word/2010/wordprocessingShape">
                    <wps:wsp>
                      <wps:cNvSpPr txBox="1"/>
                      <wps:spPr>
                        <a:xfrm>
                          <a:off x="0" y="0"/>
                          <a:ext cx="2221230" cy="290830"/>
                        </a:xfrm>
                        <a:prstGeom prst="rect">
                          <a:avLst/>
                        </a:prstGeom>
                        <a:noFill/>
                        <a:ln w="9525" cap="flat" cmpd="sng">
                          <a:solidFill>
                            <a:srgbClr val="000000"/>
                          </a:solidFill>
                          <a:prstDash val="solid"/>
                          <a:miter/>
                          <a:headEnd type="none" w="med" len="med"/>
                          <a:tailEnd type="none" w="med" len="med"/>
                        </a:ln>
                      </wps:spPr>
                      <wps:txbx>
                        <w:txbxContent>
                          <w:p>
                            <w:pPr>
                              <w:spacing w:line="240" w:lineRule="auto"/>
                              <w:jc w:val="center"/>
                              <w:rPr>
                                <w:sz w:val="21"/>
                                <w:szCs w:val="21"/>
                              </w:rPr>
                            </w:pPr>
                            <w:r>
                              <w:rPr>
                                <w:rFonts w:hint="eastAsia"/>
                                <w:sz w:val="21"/>
                                <w:szCs w:val="21"/>
                              </w:rPr>
                              <w:t>技术报告审查</w:t>
                            </w:r>
                          </w:p>
                        </w:txbxContent>
                      </wps:txbx>
                      <wps:bodyPr wrap="square" upright="1"/>
                    </wps:wsp>
                  </a:graphicData>
                </a:graphic>
              </wp:anchor>
            </w:drawing>
          </mc:Choice>
          <mc:Fallback>
            <w:pict>
              <v:shape id="文本框 994" o:spid="_x0000_s1026" o:spt="202" type="#_x0000_t202" style="position:absolute;left:0pt;margin-left:113.9pt;margin-top:12.9pt;height:22.9pt;width:174.9pt;z-index:251666432;mso-width-relative:page;mso-height-relative:page;" filled="f" stroked="t" coordsize="21600,21600" o:gfxdata="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rFFRdYAAAAJAQAADwAAAAAAAAABACAA&#10;AAAiAAAAZHJzL2Rvd25yZXYueG1sUEsBAhQAFAAAAAgAh07iQHrCNywPAgAAHQQAAA4AAAAAAAAA&#10;AQAgAAAAJQEAAGRycy9lMm9Eb2MueG1sUEsFBgAAAAAGAAYAWQEAAKYFAAAAAA==&#10;">
                <v:fill on="f" focussize="0,0"/>
                <v:stroke color="#000000" joinstyle="miter"/>
                <v:imagedata o:title=""/>
                <o:lock v:ext="edit" aspectratio="f"/>
                <v:textbox>
                  <w:txbxContent>
                    <w:p>
                      <w:pPr>
                        <w:spacing w:line="240" w:lineRule="auto"/>
                        <w:jc w:val="center"/>
                        <w:rPr>
                          <w:sz w:val="21"/>
                          <w:szCs w:val="21"/>
                        </w:rPr>
                      </w:pPr>
                      <w:r>
                        <w:rPr>
                          <w:rFonts w:hint="eastAsia"/>
                          <w:sz w:val="21"/>
                          <w:szCs w:val="21"/>
                        </w:rPr>
                        <w:t>技术报告审查</w:t>
                      </w:r>
                    </w:p>
                  </w:txbxContent>
                </v:textbox>
              </v:shape>
            </w:pict>
          </mc:Fallback>
        </mc:AlternateContent>
      </w:r>
    </w:p>
    <w:p>
      <w:pPr>
        <w:spacing w:line="500" w:lineRule="exact"/>
        <w:rPr>
          <w:rFonts w:hint="eastAsia"/>
          <w:b/>
          <w:sz w:val="24"/>
        </w:rPr>
      </w:pPr>
      <w:r>
        <w:rPr>
          <w:sz w:val="24"/>
          <w:lang/>
        </w:rPr>
        <mc:AlternateContent>
          <mc:Choice Requires="wps">
            <w:drawing>
              <wp:anchor distT="0" distB="0" distL="114300" distR="114300" simplePos="0" relativeHeight="251719680" behindDoc="0" locked="0" layoutInCell="1" allowOverlap="1">
                <wp:simplePos x="0" y="0"/>
                <wp:positionH relativeFrom="column">
                  <wp:posOffset>3676650</wp:posOffset>
                </wp:positionH>
                <wp:positionV relativeFrom="paragraph">
                  <wp:posOffset>5080</wp:posOffset>
                </wp:positionV>
                <wp:extent cx="2023110" cy="0"/>
                <wp:effectExtent l="0" t="4445" r="0" b="5080"/>
                <wp:wrapNone/>
                <wp:docPr id="60" name="直线 1046"/>
                <wp:cNvGraphicFramePr/>
                <a:graphic xmlns:a="http://schemas.openxmlformats.org/drawingml/2006/main">
                  <a:graphicData uri="http://schemas.microsoft.com/office/word/2010/wordprocessingShape">
                    <wps:wsp>
                      <wps:cNvSpPr/>
                      <wps:spPr>
                        <a:xfrm>
                          <a:off x="0" y="0"/>
                          <a:ext cx="202311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46" o:spid="_x0000_s1026" o:spt="20" style="position:absolute;left:0pt;margin-left:289.5pt;margin-top:0.4pt;height:0pt;width:159.3pt;z-index:251719680;mso-width-relative:page;mso-height-relative:page;" filled="f" stroked="t" coordsize="21600,21600" o:gfxdata="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SAl5jtQA&#10;AAAFAQAADwAAAAAAAAABACAAAAAiAAAAZHJzL2Rvd25yZXYueG1sUEsBAhQAFAAAAAgAh07iQCiL&#10;Q/HqAQAA3wMAAA4AAAAAAAAAAQAgAAAAIwEAAGRycy9lMm9Eb2MueG1sUEsFBgAAAAAGAAYAWQEA&#10;AH8FAAAAAA==&#10;">
                <v:fill on="f" focussize="0,0"/>
                <v:stroke color="#000000" joinstyle="round"/>
                <v:imagedata o:title=""/>
                <o:lock v:ext="edit" aspectratio="f"/>
              </v:line>
            </w:pict>
          </mc:Fallback>
        </mc:AlternateContent>
      </w:r>
      <w:r>
        <w:rPr>
          <w:b/>
          <w:sz w:val="24"/>
          <w:lang/>
        </w:rPr>
        <mc:AlternateContent>
          <mc:Choice Requires="wps">
            <w:drawing>
              <wp:anchor distT="0" distB="0" distL="114300" distR="114300" simplePos="0" relativeHeight="251673600" behindDoc="0" locked="0" layoutInCell="1" allowOverlap="1">
                <wp:simplePos x="0" y="0"/>
                <wp:positionH relativeFrom="column">
                  <wp:posOffset>2495550</wp:posOffset>
                </wp:positionH>
                <wp:positionV relativeFrom="paragraph">
                  <wp:posOffset>155575</wp:posOffset>
                </wp:positionV>
                <wp:extent cx="0" cy="241300"/>
                <wp:effectExtent l="38100" t="0" r="38100" b="0"/>
                <wp:wrapNone/>
                <wp:docPr id="15" name="直线 1001"/>
                <wp:cNvGraphicFramePr/>
                <a:graphic xmlns:a="http://schemas.openxmlformats.org/drawingml/2006/main">
                  <a:graphicData uri="http://schemas.microsoft.com/office/word/2010/wordprocessingShape">
                    <wps:wsp>
                      <wps:cNvSpPr/>
                      <wps:spPr>
                        <a:xfrm>
                          <a:off x="0" y="0"/>
                          <a:ext cx="0" cy="2413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01" o:spid="_x0000_s1026" o:spt="20" style="position:absolute;left:0pt;margin-left:196.5pt;margin-top:12.25pt;height:19pt;width:0pt;z-index:251673600;mso-width-relative:page;mso-height-relative:page;" filled="f" stroked="t" coordsize="21600,21600" o:gfxdata="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AQDgK2gAAAAkBAAAPAAAAAAAAAAEAIAAAACIAAABkcnMvZG93bnJldi54bWxQSwECFAAU&#10;AAAACACHTuJAUg8cbe8BAADiAwAADgAAAAAAAAABACAAAAApAQAAZHJzL2Uyb0RvYy54bWxQSwUG&#10;AAAAAAYABgBZAQAAigUAAAAA&#10;">
                <v:fill on="f" focussize="0,0"/>
                <v:stroke color="#000000" joinstyle="round" endarrow="block"/>
                <v:imagedata o:title=""/>
                <o:lock v:ext="edit" aspectratio="f"/>
              </v:line>
            </w:pict>
          </mc:Fallback>
        </mc:AlternateContent>
      </w:r>
    </w:p>
    <w:p>
      <w:pPr>
        <w:spacing w:line="500" w:lineRule="exact"/>
        <w:ind w:firstLine="480" w:firstLineChars="200"/>
        <w:rPr>
          <w:rFonts w:hint="eastAsia"/>
          <w:b/>
          <w:sz w:val="24"/>
        </w:rPr>
      </w:pPr>
      <w:r>
        <w:rPr>
          <w:sz w:val="24"/>
          <w:lang/>
        </w:rPr>
        <mc:AlternateContent>
          <mc:Choice Requires="wps">
            <w:drawing>
              <wp:anchor distT="0" distB="0" distL="114300" distR="114300" simplePos="0" relativeHeight="251672576" behindDoc="0" locked="0" layoutInCell="1" allowOverlap="1">
                <wp:simplePos x="0" y="0"/>
                <wp:positionH relativeFrom="column">
                  <wp:posOffset>1417320</wp:posOffset>
                </wp:positionH>
                <wp:positionV relativeFrom="paragraph">
                  <wp:posOffset>100330</wp:posOffset>
                </wp:positionV>
                <wp:extent cx="2233295" cy="290195"/>
                <wp:effectExtent l="4445" t="4445" r="10160" b="10160"/>
                <wp:wrapNone/>
                <wp:docPr id="14" name="文本框 1000"/>
                <wp:cNvGraphicFramePr/>
                <a:graphic xmlns:a="http://schemas.openxmlformats.org/drawingml/2006/main">
                  <a:graphicData uri="http://schemas.microsoft.com/office/word/2010/wordprocessingShape">
                    <wps:wsp>
                      <wps:cNvSpPr txBox="1"/>
                      <wps:spPr>
                        <a:xfrm>
                          <a:off x="0" y="0"/>
                          <a:ext cx="2233295" cy="290195"/>
                        </a:xfrm>
                        <a:prstGeom prst="rect">
                          <a:avLst/>
                        </a:prstGeom>
                        <a:noFill/>
                        <a:ln w="9525" cap="flat" cmpd="sng">
                          <a:solidFill>
                            <a:srgbClr val="000000"/>
                          </a:solidFill>
                          <a:prstDash val="solid"/>
                          <a:miter/>
                          <a:headEnd type="none" w="med" len="med"/>
                          <a:tailEnd type="none" w="med" len="med"/>
                        </a:ln>
                      </wps:spPr>
                      <wps:txbx>
                        <w:txbxContent>
                          <w:p>
                            <w:pPr>
                              <w:spacing w:line="240" w:lineRule="auto"/>
                              <w:jc w:val="center"/>
                              <w:rPr>
                                <w:rFonts w:hint="eastAsia"/>
                                <w:sz w:val="21"/>
                                <w:szCs w:val="21"/>
                              </w:rPr>
                            </w:pPr>
                            <w:r>
                              <w:rPr>
                                <w:rFonts w:hint="eastAsia"/>
                                <w:sz w:val="21"/>
                                <w:szCs w:val="21"/>
                              </w:rPr>
                              <w:t>环保“十二五”规划（文本）</w:t>
                            </w:r>
                          </w:p>
                          <w:p>
                            <w:pPr>
                              <w:rPr>
                                <w:rFonts w:hint="eastAsia"/>
                              </w:rPr>
                            </w:pPr>
                          </w:p>
                        </w:txbxContent>
                      </wps:txbx>
                      <wps:bodyPr wrap="square" upright="1"/>
                    </wps:wsp>
                  </a:graphicData>
                </a:graphic>
              </wp:anchor>
            </w:drawing>
          </mc:Choice>
          <mc:Fallback>
            <w:pict>
              <v:shape id="文本框 1000" o:spid="_x0000_s1026" o:spt="202" type="#_x0000_t202" style="position:absolute;left:0pt;margin-left:111.6pt;margin-top:7.9pt;height:22.85pt;width:175.85pt;z-index:251672576;mso-width-relative:page;mso-height-relative:page;" filled="f" stroked="t" coordsize="21600,21600" o:gfxdata="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Wz0DG9YAAAAJAQAADwAAAAAAAAABACAA&#10;AAAiAAAAZHJzL2Rvd25yZXYueG1sUEsBAhQAFAAAAAgAh07iQH9eCsEPAgAAHwQAAA4AAAAAAAAA&#10;AQAgAAAAJQEAAGRycy9lMm9Eb2MueG1sUEsFBgAAAAAGAAYAWQEAAKYFAAAAAA==&#10;">
                <v:fill on="f" focussize="0,0"/>
                <v:stroke color="#000000" joinstyle="miter"/>
                <v:imagedata o:title=""/>
                <o:lock v:ext="edit" aspectratio="f"/>
                <v:textbox>
                  <w:txbxContent>
                    <w:p>
                      <w:pPr>
                        <w:spacing w:line="240" w:lineRule="auto"/>
                        <w:jc w:val="center"/>
                        <w:rPr>
                          <w:rFonts w:hint="eastAsia"/>
                          <w:sz w:val="21"/>
                          <w:szCs w:val="21"/>
                        </w:rPr>
                      </w:pPr>
                      <w:r>
                        <w:rPr>
                          <w:rFonts w:hint="eastAsia"/>
                          <w:sz w:val="21"/>
                          <w:szCs w:val="21"/>
                        </w:rPr>
                        <w:t>环保“十二五”规划（文本）</w:t>
                      </w:r>
                    </w:p>
                    <w:p>
                      <w:pPr>
                        <w:rPr>
                          <w:rFonts w:hint="eastAsia"/>
                        </w:rPr>
                      </w:pPr>
                    </w:p>
                  </w:txbxContent>
                </v:textbox>
              </v:shape>
            </w:pict>
          </mc:Fallback>
        </mc:AlternateContent>
      </w:r>
    </w:p>
    <w:p>
      <w:pPr>
        <w:spacing w:line="500" w:lineRule="exact"/>
        <w:ind w:firstLine="560" w:firstLineChars="200"/>
        <w:rPr>
          <w:rFonts w:hint="eastAsia"/>
          <w:b/>
          <w:sz w:val="24"/>
        </w:rPr>
      </w:pPr>
      <w:r>
        <w:rPr>
          <w:lang/>
        </w:rPr>
        <mc:AlternateContent>
          <mc:Choice Requires="wps">
            <w:drawing>
              <wp:anchor distT="0" distB="0" distL="114300" distR="114300" simplePos="0" relativeHeight="251675648" behindDoc="0" locked="0" layoutInCell="1" allowOverlap="1">
                <wp:simplePos x="0" y="0"/>
                <wp:positionH relativeFrom="column">
                  <wp:posOffset>2495550</wp:posOffset>
                </wp:positionH>
                <wp:positionV relativeFrom="paragraph">
                  <wp:posOffset>95250</wp:posOffset>
                </wp:positionV>
                <wp:extent cx="0" cy="241300"/>
                <wp:effectExtent l="38100" t="0" r="38100" b="0"/>
                <wp:wrapNone/>
                <wp:docPr id="17" name="直线 1003"/>
                <wp:cNvGraphicFramePr/>
                <a:graphic xmlns:a="http://schemas.openxmlformats.org/drawingml/2006/main">
                  <a:graphicData uri="http://schemas.microsoft.com/office/word/2010/wordprocessingShape">
                    <wps:wsp>
                      <wps:cNvSpPr/>
                      <wps:spPr>
                        <a:xfrm>
                          <a:off x="0" y="0"/>
                          <a:ext cx="0" cy="2413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03" o:spid="_x0000_s1026" o:spt="20" style="position:absolute;left:0pt;margin-left:196.5pt;margin-top:7.5pt;height:19pt;width:0pt;z-index:251675648;mso-width-relative:page;mso-height-relative:page;" filled="f" stroked="t" coordsize="21600,21600" o:gfxdata="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l7/NK2AAAAAkBAAAPAAAAAAAAAAEAIAAAACIAAABkcnMvZG93bnJldi54bWxQSwECFAAU&#10;AAAACACHTuJAj4f9vPEBAADiAwAADgAAAAAAAAABACAAAAAnAQAAZHJzL2Uyb0RvYy54bWxQSwUG&#10;AAAAAAYABgBZAQAAigUAAAAA&#10;">
                <v:fill on="f" focussize="0,0"/>
                <v:stroke color="#000000" joinstyle="round" endarrow="block"/>
                <v:imagedata o:title=""/>
                <o:lock v:ext="edit" aspectratio="f"/>
              </v:line>
            </w:pict>
          </mc:Fallback>
        </mc:AlternateContent>
      </w:r>
    </w:p>
    <w:p>
      <w:pPr>
        <w:spacing w:line="500" w:lineRule="exact"/>
        <w:ind w:firstLine="560" w:firstLineChars="200"/>
        <w:rPr>
          <w:rFonts w:hint="eastAsia"/>
          <w:b/>
          <w:sz w:val="24"/>
        </w:rPr>
      </w:pPr>
      <w:r>
        <w:rPr>
          <w:lang/>
        </w:rPr>
        <mc:AlternateContent>
          <mc:Choice Requires="wps">
            <w:drawing>
              <wp:anchor distT="0" distB="0" distL="114300" distR="114300" simplePos="0" relativeHeight="251674624" behindDoc="0" locked="0" layoutInCell="1" allowOverlap="1">
                <wp:simplePos x="0" y="0"/>
                <wp:positionH relativeFrom="column">
                  <wp:posOffset>1437640</wp:posOffset>
                </wp:positionH>
                <wp:positionV relativeFrom="paragraph">
                  <wp:posOffset>25400</wp:posOffset>
                </wp:positionV>
                <wp:extent cx="2233295" cy="290195"/>
                <wp:effectExtent l="4445" t="4445" r="10160" b="10160"/>
                <wp:wrapNone/>
                <wp:docPr id="16" name="文本框 1002"/>
                <wp:cNvGraphicFramePr/>
                <a:graphic xmlns:a="http://schemas.openxmlformats.org/drawingml/2006/main">
                  <a:graphicData uri="http://schemas.microsoft.com/office/word/2010/wordprocessingShape">
                    <wps:wsp>
                      <wps:cNvSpPr txBox="1"/>
                      <wps:spPr>
                        <a:xfrm>
                          <a:off x="0" y="0"/>
                          <a:ext cx="2233295" cy="290195"/>
                        </a:xfrm>
                        <a:prstGeom prst="rect">
                          <a:avLst/>
                        </a:prstGeom>
                        <a:noFill/>
                        <a:ln w="9525" cap="flat" cmpd="sng">
                          <a:solidFill>
                            <a:srgbClr val="000000"/>
                          </a:solidFill>
                          <a:prstDash val="solid"/>
                          <a:miter/>
                          <a:headEnd type="none" w="med" len="med"/>
                          <a:tailEnd type="none" w="med" len="med"/>
                        </a:ln>
                      </wps:spPr>
                      <wps:txbx>
                        <w:txbxContent>
                          <w:p>
                            <w:pPr>
                              <w:spacing w:line="240" w:lineRule="auto"/>
                              <w:jc w:val="center"/>
                              <w:rPr>
                                <w:rFonts w:hint="eastAsia"/>
                                <w:sz w:val="21"/>
                                <w:szCs w:val="21"/>
                              </w:rPr>
                            </w:pPr>
                            <w:r>
                              <w:rPr>
                                <w:rFonts w:hint="eastAsia"/>
                                <w:sz w:val="21"/>
                                <w:szCs w:val="21"/>
                              </w:rPr>
                              <w:t>批准实施</w:t>
                            </w:r>
                          </w:p>
                        </w:txbxContent>
                      </wps:txbx>
                      <wps:bodyPr wrap="square" upright="1"/>
                    </wps:wsp>
                  </a:graphicData>
                </a:graphic>
              </wp:anchor>
            </w:drawing>
          </mc:Choice>
          <mc:Fallback>
            <w:pict>
              <v:shape id="文本框 1002" o:spid="_x0000_s1026" o:spt="202" type="#_x0000_t202" style="position:absolute;left:0pt;margin-left:113.2pt;margin-top:2pt;height:22.85pt;width:175.85pt;z-index:251674624;mso-width-relative:page;mso-height-relative:page;" filled="f" stroked="t" coordsize="21600,21600" o:gfxdata="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KqvicjWAAAACAEAAA8AAAAAAAAAAQAg&#10;AAAAIgAAAGRycy9kb3ducmV2LnhtbFBLAQIUABQAAAAIAIdO4kCc0eQ7EAIAAB8EAAAOAAAAAAAA&#10;AAEAIAAAACUBAABkcnMvZTJvRG9jLnhtbFBLBQYAAAAABgAGAFkBAACnBQAAAAA=&#10;">
                <v:fill on="f" focussize="0,0"/>
                <v:stroke color="#000000" joinstyle="miter"/>
                <v:imagedata o:title=""/>
                <o:lock v:ext="edit" aspectratio="f"/>
                <v:textbox>
                  <w:txbxContent>
                    <w:p>
                      <w:pPr>
                        <w:spacing w:line="240" w:lineRule="auto"/>
                        <w:jc w:val="center"/>
                        <w:rPr>
                          <w:rFonts w:hint="eastAsia"/>
                          <w:sz w:val="21"/>
                          <w:szCs w:val="21"/>
                        </w:rPr>
                      </w:pPr>
                      <w:r>
                        <w:rPr>
                          <w:rFonts w:hint="eastAsia"/>
                          <w:sz w:val="21"/>
                          <w:szCs w:val="21"/>
                        </w:rPr>
                        <w:t>批准实施</w:t>
                      </w:r>
                    </w:p>
                  </w:txbxContent>
                </v:textbox>
              </v:shape>
            </w:pict>
          </mc:Fallback>
        </mc:AlternateContent>
      </w:r>
    </w:p>
    <w:p>
      <w:pPr>
        <w:spacing w:line="500" w:lineRule="exact"/>
        <w:jc w:val="center"/>
        <w:rPr>
          <w:rFonts w:hint="eastAsia"/>
        </w:rPr>
      </w:pPr>
      <w:r>
        <w:rPr>
          <w:b/>
          <w:sz w:val="24"/>
        </w:rPr>
        <w:t>图1.</w:t>
      </w:r>
      <w:r>
        <w:rPr>
          <w:rFonts w:hint="eastAsia"/>
          <w:b/>
          <w:sz w:val="24"/>
        </w:rPr>
        <w:t>5</w:t>
      </w:r>
      <w:r>
        <w:rPr>
          <w:b/>
          <w:sz w:val="24"/>
        </w:rPr>
        <w:t>-1  规划编制技术路线图</w:t>
      </w:r>
    </w:p>
    <w:p>
      <w:pPr>
        <w:pStyle w:val="2"/>
        <w:jc w:val="both"/>
        <w:rPr>
          <w:rFonts w:ascii="Times New Roman" w:hAnsi="Times New Roman"/>
        </w:rPr>
      </w:pPr>
      <w:bookmarkStart w:id="20" w:name="_Toc304379394"/>
      <w:r>
        <w:rPr>
          <w:rFonts w:ascii="Times New Roman" w:hAnsi="Times New Roman"/>
        </w:rPr>
        <w:t xml:space="preserve">2 </w:t>
      </w:r>
      <w:bookmarkEnd w:id="6"/>
      <w:bookmarkEnd w:id="7"/>
      <w:r>
        <w:rPr>
          <w:rFonts w:ascii="Times New Roman" w:hAnsi="Times New Roman"/>
        </w:rPr>
        <w:t>现状分析</w:t>
      </w:r>
      <w:bookmarkEnd w:id="20"/>
    </w:p>
    <w:p>
      <w:pPr>
        <w:pStyle w:val="3"/>
        <w:spacing w:line="500" w:lineRule="exact"/>
        <w:jc w:val="left"/>
      </w:pPr>
      <w:bookmarkStart w:id="21" w:name="_Toc265336498"/>
      <w:bookmarkStart w:id="22" w:name="_Toc304379395"/>
      <w:bookmarkStart w:id="23" w:name="_Toc263071860"/>
      <w:r>
        <w:t>2.1 “十一五”环保规划执行情况</w:t>
      </w:r>
      <w:bookmarkEnd w:id="21"/>
      <w:bookmarkEnd w:id="22"/>
      <w:bookmarkEnd w:id="23"/>
    </w:p>
    <w:p>
      <w:pPr>
        <w:spacing w:line="500" w:lineRule="exact"/>
        <w:ind w:firstLine="560" w:firstLineChars="200"/>
      </w:pPr>
      <w:r>
        <w:t>自2006年以来，昆山市将“十一五” 环境保护计划中确定的各项指标纳入全市国民经济和社会发展计划，分解落实到市长环保目标责任书和各职能部门年度工作计划中，以保证“十一五”计划目标和指标的顺利实施。</w:t>
      </w:r>
    </w:p>
    <w:p>
      <w:pPr>
        <w:spacing w:line="500" w:lineRule="exact"/>
        <w:ind w:firstLine="560" w:firstLineChars="200"/>
      </w:pPr>
      <w:r>
        <w:t>为推动“十一五”环保规划的实施，采取了以下具体做法：</w:t>
      </w:r>
    </w:p>
    <w:p>
      <w:pPr>
        <w:spacing w:line="500" w:lineRule="exact"/>
        <w:ind w:firstLine="560" w:firstLineChars="200"/>
      </w:pPr>
      <w:r>
        <w:t>（1）加强组织领导，建立环保目标责任制</w:t>
      </w:r>
    </w:p>
    <w:p>
      <w:pPr>
        <w:spacing w:line="500" w:lineRule="exact"/>
        <w:ind w:firstLine="560" w:firstLineChars="200"/>
      </w:pPr>
      <w:r>
        <w:t>建立和完善严格的目标责任制，签订目标责任状，层层抓好落实，确保责任到位、措施到位、投入到位。</w:t>
      </w:r>
    </w:p>
    <w:p>
      <w:pPr>
        <w:spacing w:line="500" w:lineRule="exact"/>
        <w:ind w:firstLine="560" w:firstLineChars="200"/>
      </w:pPr>
      <w:r>
        <w:t>（2）加大财政投入，建立健全投入机制</w:t>
      </w:r>
    </w:p>
    <w:p>
      <w:pPr>
        <w:spacing w:line="500" w:lineRule="exact"/>
        <w:ind w:firstLine="560" w:firstLineChars="200"/>
      </w:pPr>
      <w:r>
        <w:t>将环保建设支出列入市财政预算科目，环保投入不低于市GDP的3.5%，其中政府环保投入不低于当年财政支出的2%，“十一五”期间重点投向生态环境和水环境综合治理。</w:t>
      </w:r>
    </w:p>
    <w:p>
      <w:pPr>
        <w:spacing w:line="500" w:lineRule="exact"/>
        <w:ind w:firstLine="560" w:firstLineChars="200"/>
      </w:pPr>
      <w:r>
        <w:t>（3）完善管理制度，创新环保体制机制</w:t>
      </w:r>
    </w:p>
    <w:p>
      <w:pPr>
        <w:spacing w:line="500" w:lineRule="exact"/>
        <w:ind w:firstLine="560" w:firstLineChars="200"/>
      </w:pPr>
      <w:r>
        <w:t>建立污水治理的责任追究制度，全面推行污水厂建设和运行招投标制度，建立清洁能源替代财政补贴机制，引入排污权交易制度，从源头削减水污染排放等。</w:t>
      </w:r>
    </w:p>
    <w:p>
      <w:pPr>
        <w:spacing w:line="500" w:lineRule="exact"/>
        <w:ind w:firstLine="560" w:firstLineChars="200"/>
      </w:pPr>
      <w:r>
        <w:t>（4）加强监管力度，提高环境监测、监察能力</w:t>
      </w:r>
    </w:p>
    <w:p>
      <w:pPr>
        <w:spacing w:line="500" w:lineRule="exact"/>
        <w:ind w:firstLine="560" w:firstLineChars="200"/>
      </w:pPr>
      <w:r>
        <w:t>在现有财政投入水平的基础上，逐步增加环境监测、环境监察能力建设方面的财政支出，保障环境监测和环境执法工作的正常进行，逐步健全了污染源在线监测和信息管理网络，进一步提高自动化监测能力，实现废水治理自动化监控，监督排污企业安装并完善远程自动化监控联网装置。</w:t>
      </w:r>
    </w:p>
    <w:p>
      <w:pPr>
        <w:spacing w:line="500" w:lineRule="exact"/>
        <w:ind w:firstLine="560" w:firstLineChars="200"/>
      </w:pPr>
      <w:r>
        <w:t>（5）加强跟踪评估，实施干部环保绩效考核</w:t>
      </w:r>
    </w:p>
    <w:p>
      <w:pPr>
        <w:spacing w:line="500" w:lineRule="exact"/>
        <w:ind w:firstLine="560" w:firstLineChars="200"/>
      </w:pPr>
      <w:r>
        <w:t>按照“三负责”的原则，由市政府建立干部的环保绩效考核机制，绩效考核的指标包括执行环保法律法规、环境保护工作的组织领导、生态市建设和循环经济建设、污染排放强度、环境质量变化、公众满意程度等方面内容，涵盖与老百姓息息相关的种种环境问题。</w:t>
      </w:r>
    </w:p>
    <w:p>
      <w:pPr>
        <w:spacing w:line="500" w:lineRule="exact"/>
        <w:ind w:firstLine="560" w:firstLineChars="200"/>
      </w:pPr>
      <w:r>
        <w:t>建立定期的工作任务执行情况跟踪制度，各责任单位每个月以书面报告形式向环保局汇报工作任务的进展情况。</w:t>
      </w:r>
    </w:p>
    <w:p>
      <w:pPr>
        <w:pStyle w:val="3"/>
      </w:pPr>
      <w:bookmarkStart w:id="24" w:name="_Toc263071861"/>
      <w:bookmarkStart w:id="25" w:name="_Toc304379396"/>
      <w:bookmarkStart w:id="26" w:name="_Toc265336502"/>
      <w:r>
        <w:t>2.2“十一五”环保工作总结</w:t>
      </w:r>
      <w:bookmarkEnd w:id="24"/>
      <w:bookmarkEnd w:id="25"/>
      <w:bookmarkEnd w:id="26"/>
    </w:p>
    <w:p>
      <w:pPr>
        <w:spacing w:line="500" w:lineRule="exact"/>
        <w:ind w:firstLine="562" w:firstLineChars="200"/>
        <w:rPr>
          <w:b/>
        </w:rPr>
      </w:pPr>
      <w:r>
        <w:rPr>
          <w:b/>
        </w:rPr>
        <w:t>（1）环境保护战略地位更加突出</w:t>
      </w:r>
    </w:p>
    <w:p>
      <w:pPr>
        <w:spacing w:line="500" w:lineRule="exact"/>
        <w:ind w:firstLine="560" w:firstLineChars="200"/>
        <w:jc w:val="left"/>
        <w:rPr>
          <w:szCs w:val="28"/>
        </w:rPr>
      </w:pPr>
      <w:r>
        <w:rPr>
          <w:szCs w:val="28"/>
        </w:rPr>
        <w:t>昆山历届市委、市政府高度重视环境保护工作，在经济社会高速发展的同时，环境保护工作不断加强，环境保护战略地位也愈加突出，特别在“十一五”期间，环境保护战略地位得到了进一步的强化与提升。</w:t>
      </w:r>
    </w:p>
    <w:p>
      <w:pPr>
        <w:spacing w:line="500" w:lineRule="exact"/>
        <w:ind w:firstLine="560" w:firstLineChars="200"/>
        <w:jc w:val="left"/>
        <w:rPr>
          <w:szCs w:val="28"/>
        </w:rPr>
      </w:pPr>
      <w:r>
        <w:rPr>
          <w:szCs w:val="28"/>
        </w:rPr>
        <w:t>《昆山市国民经济和社会发展第十一个五年规划纲要》明确提出实施“可持续发展战略”，坚定不移地实施可持续发展战略，就是要以人与自然和谐共处为目标，切实转变经济增长方式，努力构建以高新技术为支撑、以绿色产业和清洁生产为重点的经济结构，构筑与生态系统相容、利于永续发展的产业空间格局；经过新一轮修编的《昆山市城市总体规划纲要》（2009-2030）将“生态约束促进人居环境改善、节能减排促进低碳城市建设”作为重要的发展策略，指导未来昆山的城市建设；《昆山市国民经济和社会发展第十二个五年规划纲要》明确提出“坚持经济发展与资源环境相协调，进一步加强环境保护，积极发展循环经济，建设低碳城市，缓解资源短缺与经济发展的矛盾，提高环境承载力，构筑与生态系统相容、利于永续发展的产业空间格局”。</w:t>
      </w:r>
    </w:p>
    <w:p>
      <w:pPr>
        <w:spacing w:line="500" w:lineRule="exact"/>
        <w:ind w:firstLine="562" w:firstLineChars="200"/>
        <w:rPr>
          <w:b/>
        </w:rPr>
      </w:pPr>
      <w:r>
        <w:rPr>
          <w:b/>
        </w:rPr>
        <w:t>（2）生态安全格局初步形成</w:t>
      </w:r>
    </w:p>
    <w:p>
      <w:pPr>
        <w:spacing w:line="500" w:lineRule="exact"/>
        <w:ind w:firstLine="560" w:firstLineChars="200"/>
        <w:jc w:val="left"/>
        <w:rPr>
          <w:szCs w:val="28"/>
        </w:rPr>
      </w:pPr>
      <w:r>
        <w:rPr>
          <w:szCs w:val="28"/>
        </w:rPr>
        <w:t>“十一五”期间，昆山市紧紧围绕生态文明创建、生态市建设的总目标和营造适宜经济发展、适宜生活居住的城市环境要求，逐步形成了以生态控制线为基础，以环境功能区划为管理手段，以城市开发功能区划为参考依据的立体管理体系。</w:t>
      </w:r>
    </w:p>
    <w:p>
      <w:pPr>
        <w:spacing w:line="500" w:lineRule="exact"/>
        <w:ind w:firstLine="560" w:firstLineChars="200"/>
        <w:jc w:val="left"/>
        <w:rPr>
          <w:szCs w:val="28"/>
        </w:rPr>
      </w:pPr>
      <w:r>
        <w:rPr>
          <w:szCs w:val="28"/>
        </w:rPr>
        <w:t>在生态功能提升方面重点强化自然生态系统的生态服务功能，强化城区生态环境的恢复与建设，增强生态环境控制力，实现生态功能的动态平衡，构建区域生态安全网络格局，连通大型生态用地，隔离城市功能组团，保障区域生态安全；</w:t>
      </w:r>
    </w:p>
    <w:p>
      <w:pPr>
        <w:spacing w:line="500" w:lineRule="exact"/>
        <w:ind w:firstLine="560" w:firstLineChars="200"/>
        <w:jc w:val="left"/>
        <w:rPr>
          <w:szCs w:val="28"/>
        </w:rPr>
      </w:pPr>
      <w:r>
        <w:rPr>
          <w:szCs w:val="28"/>
        </w:rPr>
        <w:t>在生态人居环境改善方面重点开展城市绿道网的建设工作，结合昆山绿道建设的实际情况，昆山绿道网构建以区域绿道为骨干，城市绿道、社区绿道为补充，涵盖生态型、郊野型、都市型三类绿道的绿道网，营造结构合理、衔接有序、连通便捷、配套完善的昆山绿道网络体系。城市布局步入合理发展的轨道，多中心、组团式、网络化的城市布局初现雏形。</w:t>
      </w:r>
    </w:p>
    <w:p>
      <w:pPr>
        <w:spacing w:line="500" w:lineRule="exact"/>
        <w:ind w:firstLine="560" w:firstLineChars="200"/>
        <w:jc w:val="left"/>
        <w:rPr>
          <w:szCs w:val="28"/>
        </w:rPr>
      </w:pPr>
      <w:r>
        <w:rPr>
          <w:szCs w:val="28"/>
        </w:rPr>
        <w:t>在城市发展的规划、建设中，生态优先的理念越来越受到重视，为促进环境保护、构建环境安全格局奠定了良好的基础。</w:t>
      </w:r>
    </w:p>
    <w:p>
      <w:pPr>
        <w:spacing w:line="500" w:lineRule="exact"/>
        <w:ind w:firstLine="562" w:firstLineChars="200"/>
        <w:rPr>
          <w:b/>
        </w:rPr>
      </w:pPr>
      <w:r>
        <w:rPr>
          <w:b/>
        </w:rPr>
        <w:t>（3）经济与环境发展日趋协调</w:t>
      </w:r>
    </w:p>
    <w:p>
      <w:pPr>
        <w:spacing w:line="500" w:lineRule="exact"/>
        <w:ind w:firstLine="560" w:firstLineChars="200"/>
        <w:jc w:val="left"/>
        <w:rPr>
          <w:szCs w:val="28"/>
        </w:rPr>
      </w:pPr>
      <w:r>
        <w:rPr>
          <w:szCs w:val="28"/>
        </w:rPr>
        <w:t>“十一五”期间，昆山经济继续保持快速发展，2010年全市地区生产总值达到2100.28亿元，比2005年增长1.8倍。人均地区生产总值11.9万元，比2005年增长72.5%。在发展动力上，由依靠外资带动为主向内资外资竞相发展转变，形成多种所有制经济共同发展的新格局；在产业结构上，由以制造业为主向制造业与服务业双轮驱动转变，形成三次产业协调发展、相互促进的新格局；在空间布局上，由分散布局向集中布局转变，形成集约发展、节约发展、可持续发展的新格局。</w:t>
      </w:r>
    </w:p>
    <w:p>
      <w:pPr>
        <w:spacing w:line="500" w:lineRule="exact"/>
        <w:ind w:firstLine="560" w:firstLineChars="200"/>
        <w:jc w:val="left"/>
        <w:rPr>
          <w:szCs w:val="28"/>
        </w:rPr>
      </w:pPr>
      <w:r>
        <w:rPr>
          <w:szCs w:val="28"/>
        </w:rPr>
        <w:t>万元GDP能耗、万元GDP水耗降低至20</w:t>
      </w:r>
      <w:r>
        <w:rPr>
          <w:rFonts w:hint="eastAsia"/>
          <w:szCs w:val="28"/>
        </w:rPr>
        <w:t>10</w:t>
      </w:r>
      <w:r>
        <w:rPr>
          <w:szCs w:val="28"/>
        </w:rPr>
        <w:t>年的0.5</w:t>
      </w:r>
      <w:r>
        <w:rPr>
          <w:rFonts w:hint="eastAsia"/>
          <w:szCs w:val="28"/>
        </w:rPr>
        <w:t>6</w:t>
      </w:r>
      <w:r>
        <w:rPr>
          <w:szCs w:val="28"/>
        </w:rPr>
        <w:t>吨标准煤、23.12立方米,经济发展更注意速度与结构、质量与效益相统一，对进一步合理利用资源，大幅度降低单位产出的资源消耗和单位产出的排污，起到了决定性的作用。</w:t>
      </w:r>
    </w:p>
    <w:p>
      <w:pPr>
        <w:spacing w:line="500" w:lineRule="exact"/>
        <w:ind w:firstLine="562" w:firstLineChars="200"/>
        <w:rPr>
          <w:b/>
        </w:rPr>
      </w:pPr>
      <w:r>
        <w:rPr>
          <w:b/>
        </w:rPr>
        <w:t>（4）城市环境基础设施逐步完善</w:t>
      </w:r>
    </w:p>
    <w:p>
      <w:pPr>
        <w:spacing w:line="500" w:lineRule="exact"/>
        <w:ind w:firstLine="560" w:firstLineChars="200"/>
        <w:jc w:val="left"/>
        <w:rPr>
          <w:szCs w:val="28"/>
        </w:rPr>
      </w:pPr>
      <w:r>
        <w:rPr>
          <w:szCs w:val="28"/>
        </w:rPr>
        <w:t>逐年加大环保投入，突出抓好水环境治理保护，投入近3亿元用于饮用水水源地保护和饮用水深度处理工程，率先成为区域实行饮用水深度处理的城市，第二饮用水源长江引水工程全面开工建设。每年新增绿地面积1500万平方米左右，促进“绿色昆山”建设，成功创建国家可持续发展实验区。</w:t>
      </w:r>
    </w:p>
    <w:p>
      <w:pPr>
        <w:spacing w:line="500" w:lineRule="exact"/>
        <w:ind w:firstLine="560" w:firstLineChars="200"/>
        <w:jc w:val="left"/>
        <w:rPr>
          <w:szCs w:val="28"/>
        </w:rPr>
      </w:pPr>
      <w:r>
        <w:rPr>
          <w:szCs w:val="28"/>
        </w:rPr>
        <w:t>建成了一批污水处理设施及收集管网、生活垃圾无害化处理设施、危险废物和医疗废物处理设施、污水处理厂污泥处置设施，城镇生活污水集中处理率（二级）84.5%，生活垃圾无害化处理率100%。已建和在建的污水处理厂24座，已建d400～1800mm污水管道800km；建成生活垃圾无害化处理设施1座，处理量35.49万吨/</w:t>
      </w:r>
      <w:r>
        <w:rPr>
          <w:rFonts w:hint="eastAsia"/>
          <w:szCs w:val="28"/>
        </w:rPr>
        <w:t>年</w:t>
      </w:r>
      <w:r>
        <w:rPr>
          <w:szCs w:val="28"/>
        </w:rPr>
        <w:t>；垃圾发电厂1座，危险废物处理处置率100%。</w:t>
      </w:r>
    </w:p>
    <w:p>
      <w:pPr>
        <w:spacing w:line="500" w:lineRule="exact"/>
        <w:ind w:firstLine="562" w:firstLineChars="200"/>
        <w:rPr>
          <w:b/>
        </w:rPr>
      </w:pPr>
      <w:r>
        <w:rPr>
          <w:b/>
        </w:rPr>
        <w:t>（5）主要污染物减排取得成效</w:t>
      </w:r>
    </w:p>
    <w:p>
      <w:pPr>
        <w:spacing w:line="500" w:lineRule="exact"/>
        <w:ind w:firstLine="560" w:firstLineChars="200"/>
        <w:rPr>
          <w:szCs w:val="28"/>
        </w:rPr>
      </w:pPr>
      <w:r>
        <w:rPr>
          <w:szCs w:val="28"/>
        </w:rPr>
        <w:t>在经济快速发展的同时，主要污染物排放基本得到控制。与2005年相比，20</w:t>
      </w:r>
      <w:r>
        <w:rPr>
          <w:rFonts w:hint="eastAsia"/>
          <w:szCs w:val="28"/>
        </w:rPr>
        <w:t>10</w:t>
      </w:r>
      <w:r>
        <w:rPr>
          <w:szCs w:val="28"/>
        </w:rPr>
        <w:t>年全市化学需氧量和二氧化硫排放量分别为1.19万吨、</w:t>
      </w:r>
      <w:r>
        <w:rPr>
          <w:rFonts w:hint="eastAsia"/>
          <w:szCs w:val="28"/>
        </w:rPr>
        <w:t>1.1993</w:t>
      </w:r>
      <w:r>
        <w:rPr>
          <w:szCs w:val="28"/>
        </w:rPr>
        <w:t>万吨，超额完成“十一五”下达的目标任务（2010年COD年排放量控制在1.22万吨、SO</w:t>
      </w:r>
      <w:r>
        <w:rPr>
          <w:szCs w:val="28"/>
          <w:vertAlign w:val="subscript"/>
        </w:rPr>
        <w:t>2</w:t>
      </w:r>
      <w:r>
        <w:rPr>
          <w:szCs w:val="28"/>
        </w:rPr>
        <w:t>年排放量控制在1.2万吨）。</w:t>
      </w:r>
    </w:p>
    <w:p>
      <w:pPr>
        <w:spacing w:line="500" w:lineRule="exact"/>
        <w:ind w:firstLine="560" w:firstLineChars="200"/>
        <w:rPr>
          <w:szCs w:val="28"/>
        </w:rPr>
      </w:pPr>
      <w:r>
        <w:rPr>
          <w:szCs w:val="28"/>
        </w:rPr>
        <w:t>调整结构腾容：排出低产出、高污染、高排放企业名单，有计划、有组织、有节奏地实施转移或关停。“十一五”关闭昆山双鹤药业有限责任公司、苏州新城集团公司、昆山恒发工业基布有限公司等化工印染企业及印染生产线。</w:t>
      </w:r>
    </w:p>
    <w:p>
      <w:pPr>
        <w:spacing w:line="500" w:lineRule="exact"/>
        <w:ind w:firstLine="560" w:firstLineChars="200"/>
        <w:rPr>
          <w:szCs w:val="28"/>
        </w:rPr>
      </w:pPr>
      <w:r>
        <w:rPr>
          <w:szCs w:val="28"/>
        </w:rPr>
        <w:t>实施工程减排：对于减排工程，做到月检查、月通报，确保减排工程“早实施、早完工、早见效”。</w:t>
      </w:r>
    </w:p>
    <w:p>
      <w:pPr>
        <w:spacing w:line="500" w:lineRule="exact"/>
        <w:ind w:firstLine="560" w:firstLineChars="200"/>
        <w:rPr>
          <w:szCs w:val="28"/>
        </w:rPr>
      </w:pPr>
      <w:r>
        <w:rPr>
          <w:szCs w:val="28"/>
        </w:rPr>
        <w:t>强化管理增效：切实加强减排企业工作台帐建设和减排项目现场管理，抓好业务培训，不断提高项目管理水平，使减排工程在运行中实际减排量尽可能都能得到上级环保部门的核查认可。</w:t>
      </w:r>
    </w:p>
    <w:p>
      <w:pPr>
        <w:spacing w:line="500" w:lineRule="exact"/>
        <w:ind w:firstLine="560" w:firstLineChars="200"/>
        <w:rPr>
          <w:szCs w:val="28"/>
        </w:rPr>
      </w:pPr>
      <w:r>
        <w:rPr>
          <w:szCs w:val="28"/>
        </w:rPr>
        <w:t>政策引导减排：认真开展主要水污染物排污权有偿使用试点工作，出台《昆山市主要水污染物排污权有偿使用和交易试点工作实施方案》，利用经济杠杆引导企业约束排污行为。</w:t>
      </w:r>
    </w:p>
    <w:p>
      <w:pPr>
        <w:spacing w:line="500" w:lineRule="exact"/>
        <w:ind w:firstLine="562" w:firstLineChars="200"/>
        <w:rPr>
          <w:b/>
        </w:rPr>
      </w:pPr>
      <w:r>
        <w:rPr>
          <w:b/>
        </w:rPr>
        <w:t>（6）人居环境质量稳步提高</w:t>
      </w:r>
    </w:p>
    <w:p>
      <w:pPr>
        <w:spacing w:line="500" w:lineRule="exact"/>
        <w:ind w:firstLine="560" w:firstLineChars="200"/>
        <w:jc w:val="left"/>
        <w:rPr>
          <w:szCs w:val="28"/>
        </w:rPr>
      </w:pPr>
      <w:r>
        <w:rPr>
          <w:szCs w:val="28"/>
        </w:rPr>
        <w:t>城市环境质量总体保持稳定，污染恶化趋势基本得到遏制，部分环境要素、部分区域流域环境质量有不同程度的改善。20</w:t>
      </w:r>
      <w:r>
        <w:rPr>
          <w:rFonts w:hint="eastAsia"/>
          <w:szCs w:val="28"/>
        </w:rPr>
        <w:t>10</w:t>
      </w:r>
      <w:r>
        <w:rPr>
          <w:szCs w:val="28"/>
        </w:rPr>
        <w:t>年空气质量优良率98.08%，主要饮用水源水质良好，河流总体污染水平有所降低。全市环境质量总体保持良好水平，主要空气污染物浓度符合国家环境空气质量二级标准，酸雨和灰霾现象较为突出；主要饮用水源水质良好，符合饮用水源水质要求；部分河流湖泊污染仍较严重，劣于国家地表水V类标准；城市声环境处于轻度污染水平。</w:t>
      </w:r>
    </w:p>
    <w:p>
      <w:pPr>
        <w:spacing w:line="500" w:lineRule="exact"/>
        <w:ind w:firstLine="562" w:firstLineChars="200"/>
        <w:rPr>
          <w:b/>
        </w:rPr>
      </w:pPr>
      <w:r>
        <w:rPr>
          <w:b/>
        </w:rPr>
        <w:t>（7）生态保护和建设稳步推进</w:t>
      </w:r>
    </w:p>
    <w:p>
      <w:pPr>
        <w:spacing w:line="500" w:lineRule="exact"/>
        <w:ind w:firstLine="560" w:firstLineChars="200"/>
        <w:jc w:val="left"/>
        <w:rPr>
          <w:szCs w:val="28"/>
        </w:rPr>
      </w:pPr>
      <w:r>
        <w:rPr>
          <w:szCs w:val="28"/>
        </w:rPr>
        <w:t>近几年，昆山市加大环境保护投资力度，生态建设取得了明显的成效。昆山市相继获得国家卫生城市、国家环境保护模范城市、国家园林城市和国家级生态示范区、最佳中国魅力城市等称号后，2006年被国家环保总局正式命名为首批“国家生态市”，2007年，顺利通过中国人居环境奖考核验收，2009年6月份，被国家环境保护部列入第二批全国生态文明建设试点城市，9月初，完成了生态文明建设规划的编制，并于11月在北京顺利通过了国家环境保护部组织的专家论证。</w:t>
      </w:r>
    </w:p>
    <w:p>
      <w:pPr>
        <w:spacing w:line="500" w:lineRule="exact"/>
        <w:ind w:firstLine="560" w:firstLineChars="200"/>
        <w:jc w:val="left"/>
        <w:rPr>
          <w:szCs w:val="28"/>
        </w:rPr>
      </w:pPr>
      <w:r>
        <w:rPr>
          <w:szCs w:val="28"/>
        </w:rPr>
        <w:t>全市各镇全部建设成环境优美乡镇；创建各类绿色学校250所，其中国家表彰绿色学校1所，江苏省级绿色学校30所，苏州市级绿色学校95所，昆山市级绿色学校124所；创建各类绿色社区157个，其中国家级绿色社区1个，江苏省绿色社区60个，苏州市绿色社区96个；创建省级生态村94个。通过绿色创建工作大大提高了居民生态环境意识，为建设生态文明社会奠定了广泛的群众基础。</w:t>
      </w:r>
    </w:p>
    <w:p>
      <w:pPr>
        <w:spacing w:line="500" w:lineRule="exact"/>
        <w:ind w:firstLine="562" w:firstLineChars="200"/>
        <w:rPr>
          <w:b/>
        </w:rPr>
      </w:pPr>
      <w:r>
        <w:rPr>
          <w:b/>
        </w:rPr>
        <w:t xml:space="preserve"> （8）环境监管能力进一步加强</w:t>
      </w:r>
    </w:p>
    <w:p>
      <w:pPr>
        <w:spacing w:line="500" w:lineRule="exact"/>
        <w:ind w:firstLine="560" w:firstLineChars="200"/>
        <w:jc w:val="left"/>
        <w:rPr>
          <w:szCs w:val="28"/>
        </w:rPr>
      </w:pPr>
      <w:r>
        <w:rPr>
          <w:szCs w:val="28"/>
        </w:rPr>
        <w:t>“十一五”以来，昆山市以生态市建设和污染减排为核心，努力建设和完善污染减排指标、监测、考核体系，逐步建立先进的环境监测预警体系和完备的环境执法监督体系，同时持续改善环境管理基础条件。</w:t>
      </w:r>
    </w:p>
    <w:p>
      <w:pPr>
        <w:spacing w:line="500" w:lineRule="exact"/>
        <w:ind w:firstLine="560" w:firstLineChars="200"/>
        <w:jc w:val="left"/>
        <w:rPr>
          <w:szCs w:val="28"/>
          <w:u w:val="single"/>
        </w:rPr>
      </w:pPr>
      <w:r>
        <w:rPr>
          <w:szCs w:val="28"/>
        </w:rPr>
        <w:t>切实加大环保执法力度，严肃查处违法排污行为，严格实施环境影响评价和“三同时”制度，充分发挥自动监控、环境监测和环境监察的作用，对环保设施运行和排污达标情况强化日常监管，扎实推进“六查一提高”环境监察执法活动，坚持执行最严格的环境管理制度。加大对信访举报、长期超标、故意违法、排放不正常等四类重点企业的执法力度，对超标准和超总量及提标的排污企业实行限期治理，治理期间限产限排，逾期不能达标的予以关闭，全面完成挂牌督办任务，有效控制违法排污行为。</w:t>
      </w:r>
    </w:p>
    <w:p>
      <w:pPr>
        <w:spacing w:line="500" w:lineRule="exact"/>
        <w:ind w:firstLine="560" w:firstLineChars="200"/>
        <w:jc w:val="left"/>
        <w:rPr>
          <w:szCs w:val="28"/>
        </w:rPr>
      </w:pPr>
      <w:r>
        <w:rPr>
          <w:szCs w:val="28"/>
        </w:rPr>
        <w:t>此外，还大力加强环境管理体制机制的创新，在环境立法、环境执法、环境政策及管理方式等方面进行了大胆的探索。</w:t>
      </w:r>
    </w:p>
    <w:p>
      <w:pPr>
        <w:spacing w:line="500" w:lineRule="exact"/>
        <w:ind w:firstLine="560" w:firstLineChars="200"/>
        <w:jc w:val="left"/>
        <w:rPr>
          <w:szCs w:val="28"/>
        </w:rPr>
      </w:pPr>
      <w:r>
        <w:rPr>
          <w:szCs w:val="28"/>
        </w:rPr>
        <w:t>根据市委、市政府提出的转变经济发展方式、提升产业结构、走新型工业化道路的发展思路，进一步提高了昆山市开发建设项目的准入门槛，结合《江苏省太湖水污染防治条例》的实施，修订了《昆山市推进产业结构调整、推行绿色招商引资指导意见》，提出了严于省、市规定的产业准入要求。产业布局优先考虑环境容量，禁止建设与产业政策不符和含磷氮排放的工业项目，针对新扩建电子、线路板企业增扩建电镀工艺、喷涂线项目，向市政府提出并由政府批准了相关控制意见。</w:t>
      </w:r>
    </w:p>
    <w:p>
      <w:pPr>
        <w:pStyle w:val="3"/>
      </w:pPr>
      <w:bookmarkStart w:id="27" w:name="_Toc304379397"/>
      <w:r>
        <w:t>2.3环境现状分析</w:t>
      </w:r>
      <w:bookmarkEnd w:id="27"/>
    </w:p>
    <w:p>
      <w:pPr>
        <w:pStyle w:val="4"/>
        <w:rPr>
          <w:rFonts w:ascii="Times New Roman" w:hAnsi="Times New Roman"/>
        </w:rPr>
      </w:pPr>
      <w:bookmarkStart w:id="28" w:name="_Toc265336525"/>
      <w:r>
        <w:rPr>
          <w:rFonts w:ascii="Times New Roman" w:hAnsi="Times New Roman"/>
        </w:rPr>
        <w:t>2.3.1环境质量现状</w:t>
      </w:r>
      <w:bookmarkEnd w:id="28"/>
    </w:p>
    <w:p>
      <w:pPr>
        <w:pStyle w:val="5"/>
        <w:ind w:left="0"/>
        <w:rPr>
          <w:rFonts w:eastAsia="仿宋_GB2312"/>
        </w:rPr>
      </w:pPr>
      <w:r>
        <w:rPr>
          <w:rFonts w:eastAsia="仿宋_GB2312"/>
        </w:rPr>
        <w:t>2.3.1.1水环境质量现状</w:t>
      </w:r>
    </w:p>
    <w:p>
      <w:pPr>
        <w:widowControl/>
        <w:adjustRightInd/>
        <w:snapToGrid/>
        <w:spacing w:line="500" w:lineRule="exact"/>
        <w:ind w:firstLine="584" w:firstLineChars="200"/>
        <w:jc w:val="left"/>
        <w:rPr>
          <w:rFonts w:hint="eastAsia"/>
          <w:spacing w:val="6"/>
          <w:kern w:val="0"/>
          <w:szCs w:val="28"/>
        </w:rPr>
      </w:pPr>
      <w:r>
        <w:rPr>
          <w:spacing w:val="6"/>
          <w:kern w:val="0"/>
          <w:szCs w:val="28"/>
        </w:rPr>
        <w:t>根据20</w:t>
      </w:r>
      <w:r>
        <w:rPr>
          <w:rFonts w:hint="eastAsia"/>
          <w:spacing w:val="6"/>
          <w:kern w:val="0"/>
          <w:szCs w:val="28"/>
        </w:rPr>
        <w:t>10</w:t>
      </w:r>
      <w:r>
        <w:rPr>
          <w:spacing w:val="6"/>
          <w:kern w:val="0"/>
          <w:szCs w:val="28"/>
        </w:rPr>
        <w:t>年《昆山市环境质量报告书》，昆山市饮用水源水、主要河道和湖泊水的水环境质量如下</w:t>
      </w:r>
      <w:r>
        <w:rPr>
          <w:rFonts w:hint="eastAsia"/>
          <w:spacing w:val="6"/>
          <w:kern w:val="0"/>
          <w:szCs w:val="28"/>
        </w:rPr>
        <w:t>。</w:t>
      </w:r>
    </w:p>
    <w:p>
      <w:pPr>
        <w:widowControl/>
        <w:adjustRightInd/>
        <w:snapToGrid/>
        <w:spacing w:line="500" w:lineRule="exact"/>
        <w:ind w:firstLine="438" w:firstLineChars="150"/>
        <w:jc w:val="left"/>
        <w:rPr>
          <w:spacing w:val="6"/>
          <w:kern w:val="0"/>
          <w:szCs w:val="28"/>
        </w:rPr>
      </w:pPr>
      <w:r>
        <w:rPr>
          <w:spacing w:val="6"/>
          <w:kern w:val="0"/>
          <w:szCs w:val="28"/>
        </w:rPr>
        <w:t>（1）集中式饮用水水源地水质</w:t>
      </w:r>
    </w:p>
    <w:p>
      <w:pPr>
        <w:widowControl/>
        <w:adjustRightInd/>
        <w:snapToGrid/>
        <w:spacing w:line="500" w:lineRule="exact"/>
        <w:ind w:firstLine="584" w:firstLineChars="200"/>
        <w:jc w:val="left"/>
        <w:rPr>
          <w:spacing w:val="6"/>
          <w:kern w:val="0"/>
          <w:szCs w:val="28"/>
        </w:rPr>
      </w:pPr>
      <w:r>
        <w:rPr>
          <w:spacing w:val="6"/>
          <w:kern w:val="0"/>
          <w:szCs w:val="28"/>
        </w:rPr>
        <w:t xml:space="preserve">  </w:t>
      </w:r>
      <w:r>
        <w:rPr>
          <w:rFonts w:hint="eastAsia"/>
          <w:spacing w:val="6"/>
          <w:kern w:val="0"/>
          <w:szCs w:val="28"/>
        </w:rPr>
        <w:t>2010年昆山市集中式饮用水水源地水质能达到水域功能要求的地表水Ⅲ类水标准，全年取水总量为26548.61万吨，水质达标率为100％，属安全饮用水质。</w:t>
      </w:r>
    </w:p>
    <w:p>
      <w:pPr>
        <w:widowControl/>
        <w:adjustRightInd/>
        <w:snapToGrid/>
        <w:spacing w:line="500" w:lineRule="exact"/>
        <w:jc w:val="center"/>
        <w:rPr>
          <w:spacing w:val="6"/>
          <w:kern w:val="0"/>
          <w:szCs w:val="28"/>
        </w:rPr>
      </w:pPr>
      <w:r>
        <w:rPr>
          <w:spacing w:val="6"/>
          <w:kern w:val="0"/>
          <w:szCs w:val="28"/>
        </w:rPr>
        <w:t>表2.3-1  集中式饮用水源地主要污染指标年均值汇总表</w:t>
      </w:r>
    </w:p>
    <w:tbl>
      <w:tblPr>
        <w:tblStyle w:val="33"/>
        <w:tblW w:w="510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61"/>
        <w:gridCol w:w="550"/>
        <w:gridCol w:w="912"/>
        <w:gridCol w:w="780"/>
        <w:gridCol w:w="550"/>
        <w:gridCol w:w="550"/>
        <w:gridCol w:w="550"/>
        <w:gridCol w:w="550"/>
        <w:gridCol w:w="550"/>
        <w:gridCol w:w="551"/>
        <w:gridCol w:w="833"/>
        <w:gridCol w:w="754"/>
        <w:gridCol w:w="6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jc w:val="center"/>
        </w:trPr>
        <w:tc>
          <w:tcPr>
            <w:tcW w:w="448" w:type="pct"/>
            <w:noWrap w:val="0"/>
            <w:vAlign w:val="center"/>
          </w:tcPr>
          <w:p>
            <w:pPr>
              <w:jc w:val="center"/>
              <w:rPr>
                <w:rFonts w:hint="eastAsia" w:ascii="仿宋_GB2312"/>
                <w:sz w:val="18"/>
              </w:rPr>
            </w:pPr>
            <w:r>
              <w:rPr>
                <w:rFonts w:hint="eastAsia" w:ascii="仿宋_GB2312"/>
                <w:sz w:val="18"/>
              </w:rPr>
              <w:t>水源地名称</w:t>
            </w:r>
          </w:p>
        </w:tc>
        <w:tc>
          <w:tcPr>
            <w:tcW w:w="324" w:type="pct"/>
            <w:noWrap w:val="0"/>
            <w:vAlign w:val="center"/>
          </w:tcPr>
          <w:p>
            <w:pPr>
              <w:jc w:val="center"/>
              <w:rPr>
                <w:rFonts w:hint="eastAsia" w:ascii="仿宋_GB2312"/>
                <w:sz w:val="18"/>
              </w:rPr>
            </w:pPr>
            <w:r>
              <w:rPr>
                <w:rFonts w:hint="eastAsia" w:ascii="仿宋_GB2312"/>
                <w:sz w:val="18"/>
              </w:rPr>
              <w:t>溶解氧</w:t>
            </w:r>
          </w:p>
          <w:p>
            <w:pPr>
              <w:jc w:val="center"/>
              <w:rPr>
                <w:rFonts w:hint="eastAsia" w:ascii="仿宋_GB2312"/>
                <w:sz w:val="18"/>
              </w:rPr>
            </w:pPr>
            <w:r>
              <w:rPr>
                <w:rFonts w:hint="eastAsia" w:ascii="仿宋_GB2312"/>
                <w:sz w:val="18"/>
              </w:rPr>
              <w:t>(mg/L)</w:t>
            </w:r>
          </w:p>
        </w:tc>
        <w:tc>
          <w:tcPr>
            <w:tcW w:w="537" w:type="pct"/>
            <w:noWrap w:val="0"/>
            <w:vAlign w:val="center"/>
          </w:tcPr>
          <w:p>
            <w:pPr>
              <w:jc w:val="center"/>
              <w:rPr>
                <w:rFonts w:hint="eastAsia" w:ascii="仿宋_GB2312"/>
                <w:sz w:val="18"/>
              </w:rPr>
            </w:pPr>
            <w:r>
              <w:rPr>
                <w:rFonts w:hint="eastAsia" w:ascii="仿宋_GB2312"/>
                <w:sz w:val="18"/>
              </w:rPr>
              <w:t>高锰酸盐指数(mg/L)</w:t>
            </w:r>
          </w:p>
        </w:tc>
        <w:tc>
          <w:tcPr>
            <w:tcW w:w="459" w:type="pct"/>
            <w:noWrap w:val="0"/>
            <w:vAlign w:val="center"/>
          </w:tcPr>
          <w:p>
            <w:pPr>
              <w:jc w:val="center"/>
              <w:rPr>
                <w:rFonts w:hint="eastAsia" w:ascii="仿宋_GB2312"/>
                <w:sz w:val="18"/>
              </w:rPr>
            </w:pPr>
            <w:r>
              <w:rPr>
                <w:rFonts w:hint="eastAsia" w:ascii="仿宋_GB2312"/>
                <w:sz w:val="18"/>
              </w:rPr>
              <w:t>生化需氧量(mg/L)</w:t>
            </w:r>
          </w:p>
        </w:tc>
        <w:tc>
          <w:tcPr>
            <w:tcW w:w="323" w:type="pct"/>
            <w:noWrap w:val="0"/>
            <w:vAlign w:val="center"/>
          </w:tcPr>
          <w:p>
            <w:pPr>
              <w:jc w:val="center"/>
              <w:rPr>
                <w:rFonts w:hint="eastAsia" w:ascii="仿宋_GB2312"/>
                <w:sz w:val="18"/>
              </w:rPr>
            </w:pPr>
            <w:r>
              <w:rPr>
                <w:rFonts w:hint="eastAsia" w:ascii="仿宋_GB2312"/>
                <w:sz w:val="18"/>
              </w:rPr>
              <w:t>挥发酚</w:t>
            </w:r>
          </w:p>
          <w:p>
            <w:pPr>
              <w:jc w:val="center"/>
              <w:rPr>
                <w:rFonts w:hint="eastAsia" w:ascii="仿宋_GB2312"/>
                <w:sz w:val="18"/>
              </w:rPr>
            </w:pPr>
            <w:r>
              <w:rPr>
                <w:rFonts w:hint="eastAsia" w:ascii="仿宋_GB2312"/>
                <w:sz w:val="18"/>
              </w:rPr>
              <w:t>(mg/L)</w:t>
            </w:r>
          </w:p>
        </w:tc>
        <w:tc>
          <w:tcPr>
            <w:tcW w:w="323" w:type="pct"/>
            <w:noWrap w:val="0"/>
            <w:vAlign w:val="center"/>
          </w:tcPr>
          <w:p>
            <w:pPr>
              <w:jc w:val="center"/>
              <w:rPr>
                <w:rFonts w:hint="eastAsia" w:ascii="仿宋_GB2312"/>
                <w:sz w:val="18"/>
              </w:rPr>
            </w:pPr>
            <w:r>
              <w:rPr>
                <w:rFonts w:hint="eastAsia" w:ascii="仿宋_GB2312"/>
                <w:sz w:val="18"/>
              </w:rPr>
              <w:t>氨氮</w:t>
            </w:r>
          </w:p>
          <w:p>
            <w:pPr>
              <w:jc w:val="center"/>
              <w:rPr>
                <w:rFonts w:hint="eastAsia" w:ascii="仿宋_GB2312"/>
                <w:sz w:val="18"/>
              </w:rPr>
            </w:pPr>
            <w:r>
              <w:rPr>
                <w:rFonts w:hint="eastAsia" w:ascii="仿宋_GB2312"/>
                <w:sz w:val="18"/>
              </w:rPr>
              <w:t>(mg/L)</w:t>
            </w:r>
          </w:p>
        </w:tc>
        <w:tc>
          <w:tcPr>
            <w:tcW w:w="323" w:type="pct"/>
            <w:noWrap w:val="0"/>
            <w:vAlign w:val="center"/>
          </w:tcPr>
          <w:p>
            <w:pPr>
              <w:jc w:val="center"/>
              <w:rPr>
                <w:rFonts w:hint="eastAsia" w:ascii="仿宋_GB2312"/>
                <w:sz w:val="18"/>
              </w:rPr>
            </w:pPr>
            <w:r>
              <w:rPr>
                <w:rFonts w:hint="eastAsia" w:ascii="仿宋_GB2312"/>
                <w:sz w:val="18"/>
              </w:rPr>
              <w:t>总磷</w:t>
            </w:r>
          </w:p>
          <w:p>
            <w:pPr>
              <w:jc w:val="center"/>
              <w:rPr>
                <w:rFonts w:ascii="仿宋_GB2312"/>
                <w:sz w:val="18"/>
              </w:rPr>
            </w:pPr>
            <w:r>
              <w:rPr>
                <w:rFonts w:hint="eastAsia" w:ascii="仿宋_GB2312"/>
                <w:sz w:val="18"/>
              </w:rPr>
              <w:t>(mg/L)</w:t>
            </w:r>
          </w:p>
        </w:tc>
        <w:tc>
          <w:tcPr>
            <w:tcW w:w="323" w:type="pct"/>
            <w:noWrap w:val="0"/>
            <w:vAlign w:val="center"/>
          </w:tcPr>
          <w:p>
            <w:pPr>
              <w:jc w:val="center"/>
              <w:rPr>
                <w:rFonts w:hint="eastAsia" w:ascii="仿宋_GB2312"/>
                <w:sz w:val="18"/>
              </w:rPr>
            </w:pPr>
            <w:r>
              <w:rPr>
                <w:rFonts w:hint="eastAsia" w:ascii="仿宋_GB2312"/>
                <w:sz w:val="18"/>
              </w:rPr>
              <w:t>总氮</w:t>
            </w:r>
          </w:p>
          <w:p>
            <w:pPr>
              <w:jc w:val="center"/>
              <w:rPr>
                <w:rFonts w:hint="eastAsia" w:ascii="仿宋_GB2312"/>
                <w:sz w:val="18"/>
              </w:rPr>
            </w:pPr>
            <w:r>
              <w:rPr>
                <w:rFonts w:hint="eastAsia" w:ascii="仿宋_GB2312"/>
                <w:sz w:val="18"/>
              </w:rPr>
              <w:t>(mg/L)</w:t>
            </w:r>
          </w:p>
        </w:tc>
        <w:tc>
          <w:tcPr>
            <w:tcW w:w="323" w:type="pct"/>
            <w:noWrap w:val="0"/>
            <w:vAlign w:val="center"/>
          </w:tcPr>
          <w:p>
            <w:pPr>
              <w:jc w:val="center"/>
              <w:rPr>
                <w:rFonts w:hint="eastAsia" w:ascii="仿宋_GB2312"/>
                <w:sz w:val="18"/>
              </w:rPr>
            </w:pPr>
            <w:r>
              <w:rPr>
                <w:rFonts w:hint="eastAsia" w:ascii="仿宋_GB2312"/>
                <w:sz w:val="18"/>
              </w:rPr>
              <w:t>石油类</w:t>
            </w:r>
          </w:p>
          <w:p>
            <w:pPr>
              <w:jc w:val="center"/>
              <w:rPr>
                <w:rFonts w:hint="eastAsia" w:ascii="仿宋_GB2312"/>
                <w:sz w:val="18"/>
              </w:rPr>
            </w:pPr>
            <w:r>
              <w:rPr>
                <w:rFonts w:hint="eastAsia" w:ascii="仿宋_GB2312"/>
                <w:sz w:val="18"/>
              </w:rPr>
              <w:t>(mg/L)</w:t>
            </w:r>
          </w:p>
        </w:tc>
        <w:tc>
          <w:tcPr>
            <w:tcW w:w="323" w:type="pct"/>
            <w:noWrap w:val="0"/>
            <w:vAlign w:val="center"/>
          </w:tcPr>
          <w:p>
            <w:pPr>
              <w:jc w:val="center"/>
              <w:rPr>
                <w:rFonts w:hint="eastAsia" w:ascii="仿宋_GB2312"/>
                <w:sz w:val="18"/>
              </w:rPr>
            </w:pPr>
            <w:r>
              <w:rPr>
                <w:rFonts w:hint="eastAsia" w:ascii="仿宋_GB2312"/>
                <w:sz w:val="18"/>
              </w:rPr>
              <w:t>氟化物</w:t>
            </w:r>
          </w:p>
          <w:p>
            <w:pPr>
              <w:jc w:val="center"/>
              <w:rPr>
                <w:rFonts w:hint="eastAsia" w:ascii="仿宋_GB2312"/>
                <w:sz w:val="18"/>
              </w:rPr>
            </w:pPr>
            <w:r>
              <w:rPr>
                <w:rFonts w:hint="eastAsia" w:ascii="仿宋_GB2312"/>
                <w:sz w:val="18"/>
              </w:rPr>
              <w:t>(mg/L)</w:t>
            </w:r>
          </w:p>
        </w:tc>
        <w:tc>
          <w:tcPr>
            <w:tcW w:w="490" w:type="pct"/>
            <w:noWrap w:val="0"/>
            <w:vAlign w:val="center"/>
          </w:tcPr>
          <w:p>
            <w:pPr>
              <w:jc w:val="center"/>
              <w:rPr>
                <w:rFonts w:hint="eastAsia" w:ascii="仿宋_GB2312"/>
                <w:sz w:val="18"/>
              </w:rPr>
            </w:pPr>
            <w:r>
              <w:rPr>
                <w:rFonts w:hint="eastAsia" w:ascii="仿宋_GB2312"/>
                <w:sz w:val="18"/>
              </w:rPr>
              <w:t>粪大肠菌群（个/升）</w:t>
            </w:r>
          </w:p>
        </w:tc>
        <w:tc>
          <w:tcPr>
            <w:tcW w:w="443" w:type="pct"/>
            <w:noWrap w:val="0"/>
            <w:vAlign w:val="center"/>
          </w:tcPr>
          <w:p>
            <w:pPr>
              <w:jc w:val="center"/>
              <w:rPr>
                <w:rFonts w:hint="eastAsia" w:ascii="仿宋_GB2312"/>
                <w:sz w:val="18"/>
              </w:rPr>
            </w:pPr>
            <w:r>
              <w:rPr>
                <w:rFonts w:hint="eastAsia" w:ascii="仿宋_GB2312"/>
                <w:sz w:val="18"/>
              </w:rPr>
              <w:t>年取水量（万吨）</w:t>
            </w:r>
          </w:p>
        </w:tc>
        <w:tc>
          <w:tcPr>
            <w:tcW w:w="359" w:type="pct"/>
            <w:noWrap w:val="0"/>
            <w:vAlign w:val="center"/>
          </w:tcPr>
          <w:p>
            <w:pPr>
              <w:jc w:val="center"/>
              <w:rPr>
                <w:rFonts w:hint="eastAsia" w:ascii="仿宋_GB2312"/>
                <w:sz w:val="18"/>
              </w:rPr>
            </w:pPr>
            <w:r>
              <w:rPr>
                <w:rFonts w:hint="eastAsia" w:ascii="仿宋_GB2312"/>
                <w:sz w:val="18"/>
              </w:rPr>
              <w:t>达标率(%)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jc w:val="center"/>
        </w:trPr>
        <w:tc>
          <w:tcPr>
            <w:tcW w:w="448" w:type="pct"/>
            <w:tcBorders>
              <w:bottom w:val="single" w:color="auto" w:sz="4" w:space="0"/>
            </w:tcBorders>
            <w:noWrap w:val="0"/>
            <w:vAlign w:val="center"/>
          </w:tcPr>
          <w:p>
            <w:pPr>
              <w:jc w:val="center"/>
              <w:rPr>
                <w:rFonts w:hint="eastAsia"/>
                <w:sz w:val="18"/>
              </w:rPr>
            </w:pPr>
            <w:r>
              <w:rPr>
                <w:rFonts w:hint="eastAsia"/>
                <w:sz w:val="18"/>
              </w:rPr>
              <w:t>庙泾河二水厂</w:t>
            </w:r>
          </w:p>
        </w:tc>
        <w:tc>
          <w:tcPr>
            <w:tcW w:w="324" w:type="pct"/>
            <w:tcBorders>
              <w:bottom w:val="single" w:color="auto" w:sz="4" w:space="0"/>
            </w:tcBorders>
            <w:noWrap w:val="0"/>
            <w:vAlign w:val="center"/>
          </w:tcPr>
          <w:p>
            <w:pPr>
              <w:jc w:val="center"/>
              <w:rPr>
                <w:rFonts w:ascii="宋体" w:hAnsi="宋体" w:cs="宋体"/>
                <w:sz w:val="18"/>
                <w:szCs w:val="18"/>
              </w:rPr>
            </w:pPr>
            <w:r>
              <w:rPr>
                <w:rFonts w:hint="eastAsia"/>
                <w:sz w:val="18"/>
                <w:szCs w:val="18"/>
              </w:rPr>
              <w:t>8.19</w:t>
            </w:r>
          </w:p>
        </w:tc>
        <w:tc>
          <w:tcPr>
            <w:tcW w:w="537" w:type="pct"/>
            <w:tcBorders>
              <w:bottom w:val="single" w:color="auto" w:sz="4" w:space="0"/>
            </w:tcBorders>
            <w:noWrap w:val="0"/>
            <w:vAlign w:val="center"/>
          </w:tcPr>
          <w:p>
            <w:pPr>
              <w:jc w:val="center"/>
              <w:rPr>
                <w:rFonts w:ascii="宋体" w:hAnsi="宋体" w:cs="宋体"/>
                <w:sz w:val="18"/>
                <w:szCs w:val="18"/>
              </w:rPr>
            </w:pPr>
            <w:r>
              <w:rPr>
                <w:rFonts w:hint="eastAsia"/>
                <w:sz w:val="18"/>
                <w:szCs w:val="18"/>
              </w:rPr>
              <w:t>4.4</w:t>
            </w:r>
          </w:p>
        </w:tc>
        <w:tc>
          <w:tcPr>
            <w:tcW w:w="459" w:type="pct"/>
            <w:tcBorders>
              <w:bottom w:val="single" w:color="auto" w:sz="4" w:space="0"/>
            </w:tcBorders>
            <w:noWrap w:val="0"/>
            <w:vAlign w:val="center"/>
          </w:tcPr>
          <w:p>
            <w:pPr>
              <w:jc w:val="center"/>
              <w:rPr>
                <w:rFonts w:ascii="宋体" w:hAnsi="宋体" w:cs="宋体"/>
                <w:sz w:val="18"/>
                <w:szCs w:val="18"/>
              </w:rPr>
            </w:pPr>
            <w:r>
              <w:rPr>
                <w:rFonts w:hint="eastAsia"/>
                <w:sz w:val="18"/>
                <w:szCs w:val="18"/>
              </w:rPr>
              <w:t>2.7</w:t>
            </w:r>
          </w:p>
        </w:tc>
        <w:tc>
          <w:tcPr>
            <w:tcW w:w="323" w:type="pct"/>
            <w:tcBorders>
              <w:bottom w:val="single" w:color="auto" w:sz="4" w:space="0"/>
            </w:tcBorders>
            <w:noWrap w:val="0"/>
            <w:vAlign w:val="center"/>
          </w:tcPr>
          <w:p>
            <w:pPr>
              <w:jc w:val="center"/>
              <w:rPr>
                <w:rFonts w:ascii="宋体" w:hAnsi="宋体" w:cs="宋体"/>
                <w:sz w:val="18"/>
                <w:szCs w:val="18"/>
              </w:rPr>
            </w:pPr>
            <w:r>
              <w:rPr>
                <w:rFonts w:hint="eastAsia"/>
                <w:sz w:val="18"/>
                <w:szCs w:val="18"/>
              </w:rPr>
              <w:t>0.0007</w:t>
            </w:r>
          </w:p>
        </w:tc>
        <w:tc>
          <w:tcPr>
            <w:tcW w:w="323" w:type="pct"/>
            <w:tcBorders>
              <w:bottom w:val="single" w:color="auto" w:sz="4" w:space="0"/>
            </w:tcBorders>
            <w:noWrap w:val="0"/>
            <w:vAlign w:val="center"/>
          </w:tcPr>
          <w:p>
            <w:pPr>
              <w:jc w:val="center"/>
              <w:rPr>
                <w:rFonts w:ascii="宋体" w:hAnsi="宋体" w:cs="宋体"/>
                <w:sz w:val="18"/>
                <w:szCs w:val="18"/>
              </w:rPr>
            </w:pPr>
            <w:r>
              <w:rPr>
                <w:rFonts w:hint="eastAsia"/>
                <w:sz w:val="18"/>
                <w:szCs w:val="18"/>
              </w:rPr>
              <w:t>0.29</w:t>
            </w:r>
          </w:p>
        </w:tc>
        <w:tc>
          <w:tcPr>
            <w:tcW w:w="323" w:type="pct"/>
            <w:tcBorders>
              <w:bottom w:val="single" w:color="auto" w:sz="4" w:space="0"/>
            </w:tcBorders>
            <w:noWrap w:val="0"/>
            <w:vAlign w:val="center"/>
          </w:tcPr>
          <w:p>
            <w:pPr>
              <w:jc w:val="center"/>
              <w:rPr>
                <w:rFonts w:ascii="宋体" w:hAnsi="宋体" w:cs="宋体"/>
                <w:sz w:val="18"/>
                <w:szCs w:val="18"/>
              </w:rPr>
            </w:pPr>
            <w:r>
              <w:rPr>
                <w:rFonts w:hint="eastAsia"/>
                <w:sz w:val="18"/>
                <w:szCs w:val="18"/>
              </w:rPr>
              <w:t>0.05</w:t>
            </w:r>
          </w:p>
        </w:tc>
        <w:tc>
          <w:tcPr>
            <w:tcW w:w="323" w:type="pct"/>
            <w:tcBorders>
              <w:bottom w:val="single" w:color="auto" w:sz="4" w:space="0"/>
            </w:tcBorders>
            <w:noWrap w:val="0"/>
            <w:vAlign w:val="center"/>
          </w:tcPr>
          <w:p>
            <w:pPr>
              <w:jc w:val="center"/>
              <w:rPr>
                <w:rFonts w:ascii="宋体" w:hAnsi="宋体" w:cs="宋体"/>
                <w:sz w:val="18"/>
                <w:szCs w:val="18"/>
              </w:rPr>
            </w:pPr>
            <w:r>
              <w:rPr>
                <w:rFonts w:hint="eastAsia"/>
                <w:sz w:val="18"/>
                <w:szCs w:val="18"/>
              </w:rPr>
              <w:t>0.92</w:t>
            </w:r>
          </w:p>
        </w:tc>
        <w:tc>
          <w:tcPr>
            <w:tcW w:w="323" w:type="pct"/>
            <w:tcBorders>
              <w:bottom w:val="single" w:color="auto" w:sz="4" w:space="0"/>
            </w:tcBorders>
            <w:noWrap w:val="0"/>
            <w:vAlign w:val="center"/>
          </w:tcPr>
          <w:p>
            <w:pPr>
              <w:jc w:val="center"/>
              <w:rPr>
                <w:rFonts w:ascii="宋体" w:hAnsi="宋体" w:cs="宋体"/>
                <w:sz w:val="18"/>
                <w:szCs w:val="18"/>
              </w:rPr>
            </w:pPr>
            <w:r>
              <w:rPr>
                <w:rFonts w:hint="eastAsia"/>
                <w:sz w:val="18"/>
                <w:szCs w:val="18"/>
              </w:rPr>
              <w:t>0.04</w:t>
            </w:r>
          </w:p>
        </w:tc>
        <w:tc>
          <w:tcPr>
            <w:tcW w:w="323" w:type="pct"/>
            <w:tcBorders>
              <w:bottom w:val="single" w:color="auto" w:sz="4" w:space="0"/>
            </w:tcBorders>
            <w:noWrap w:val="0"/>
            <w:vAlign w:val="center"/>
          </w:tcPr>
          <w:p>
            <w:pPr>
              <w:jc w:val="center"/>
              <w:rPr>
                <w:rFonts w:ascii="宋体" w:hAnsi="宋体" w:cs="宋体"/>
                <w:sz w:val="18"/>
                <w:szCs w:val="18"/>
              </w:rPr>
            </w:pPr>
            <w:r>
              <w:rPr>
                <w:rFonts w:hint="eastAsia"/>
                <w:sz w:val="18"/>
                <w:szCs w:val="18"/>
              </w:rPr>
              <w:t>0.69</w:t>
            </w:r>
          </w:p>
        </w:tc>
        <w:tc>
          <w:tcPr>
            <w:tcW w:w="490" w:type="pct"/>
            <w:tcBorders>
              <w:bottom w:val="single" w:color="auto" w:sz="4" w:space="0"/>
            </w:tcBorders>
            <w:noWrap w:val="0"/>
            <w:vAlign w:val="center"/>
          </w:tcPr>
          <w:p>
            <w:pPr>
              <w:jc w:val="center"/>
              <w:rPr>
                <w:rFonts w:ascii="宋体" w:hAnsi="宋体" w:cs="宋体"/>
                <w:sz w:val="18"/>
                <w:szCs w:val="18"/>
              </w:rPr>
            </w:pPr>
            <w:r>
              <w:rPr>
                <w:rFonts w:hint="eastAsia"/>
                <w:sz w:val="18"/>
                <w:szCs w:val="18"/>
              </w:rPr>
              <w:t>137</w:t>
            </w:r>
          </w:p>
        </w:tc>
        <w:tc>
          <w:tcPr>
            <w:tcW w:w="443" w:type="pct"/>
            <w:tcBorders>
              <w:bottom w:val="single" w:color="auto" w:sz="4" w:space="0"/>
            </w:tcBorders>
            <w:noWrap w:val="0"/>
            <w:vAlign w:val="center"/>
          </w:tcPr>
          <w:p>
            <w:pPr>
              <w:jc w:val="center"/>
              <w:rPr>
                <w:rFonts w:hint="eastAsia"/>
                <w:sz w:val="18"/>
              </w:rPr>
            </w:pPr>
            <w:r>
              <w:rPr>
                <w:rFonts w:hint="eastAsia"/>
                <w:sz w:val="18"/>
              </w:rPr>
              <w:t>12128.42</w:t>
            </w:r>
          </w:p>
        </w:tc>
        <w:tc>
          <w:tcPr>
            <w:tcW w:w="359" w:type="pct"/>
            <w:tcBorders>
              <w:bottom w:val="single" w:color="auto" w:sz="4" w:space="0"/>
            </w:tcBorders>
            <w:noWrap w:val="0"/>
            <w:vAlign w:val="center"/>
          </w:tcPr>
          <w:p>
            <w:pPr>
              <w:jc w:val="center"/>
              <w:rPr>
                <w:rFonts w:hint="eastAsia"/>
                <w:sz w:val="18"/>
              </w:rPr>
            </w:pPr>
            <w:r>
              <w:rPr>
                <w:rFonts w:hint="eastAsia"/>
                <w:sz w:val="18"/>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jc w:val="center"/>
        </w:trPr>
        <w:tc>
          <w:tcPr>
            <w:tcW w:w="448" w:type="pct"/>
            <w:shd w:val="clear" w:color="auto" w:fill="auto"/>
            <w:noWrap w:val="0"/>
            <w:vAlign w:val="center"/>
          </w:tcPr>
          <w:p>
            <w:pPr>
              <w:jc w:val="center"/>
              <w:rPr>
                <w:rFonts w:hint="eastAsia"/>
                <w:sz w:val="18"/>
              </w:rPr>
            </w:pPr>
            <w:r>
              <w:rPr>
                <w:rFonts w:hint="eastAsia"/>
                <w:sz w:val="18"/>
              </w:rPr>
              <w:t>傀儡湖三水厂</w:t>
            </w:r>
          </w:p>
        </w:tc>
        <w:tc>
          <w:tcPr>
            <w:tcW w:w="324" w:type="pct"/>
            <w:shd w:val="clear" w:color="auto" w:fill="auto"/>
            <w:noWrap w:val="0"/>
            <w:vAlign w:val="center"/>
          </w:tcPr>
          <w:p>
            <w:pPr>
              <w:jc w:val="center"/>
              <w:rPr>
                <w:rFonts w:ascii="宋体" w:hAnsi="宋体" w:cs="宋体"/>
                <w:sz w:val="18"/>
                <w:szCs w:val="18"/>
              </w:rPr>
            </w:pPr>
            <w:r>
              <w:rPr>
                <w:rFonts w:hint="eastAsia"/>
                <w:sz w:val="18"/>
                <w:szCs w:val="18"/>
              </w:rPr>
              <w:t>8.12</w:t>
            </w:r>
          </w:p>
        </w:tc>
        <w:tc>
          <w:tcPr>
            <w:tcW w:w="537" w:type="pct"/>
            <w:shd w:val="clear" w:color="auto" w:fill="auto"/>
            <w:noWrap w:val="0"/>
            <w:vAlign w:val="center"/>
          </w:tcPr>
          <w:p>
            <w:pPr>
              <w:jc w:val="center"/>
              <w:rPr>
                <w:rFonts w:ascii="宋体" w:hAnsi="宋体" w:cs="宋体"/>
                <w:sz w:val="18"/>
                <w:szCs w:val="18"/>
              </w:rPr>
            </w:pPr>
            <w:r>
              <w:rPr>
                <w:rFonts w:hint="eastAsia"/>
                <w:sz w:val="18"/>
                <w:szCs w:val="18"/>
              </w:rPr>
              <w:t>4.6</w:t>
            </w:r>
          </w:p>
        </w:tc>
        <w:tc>
          <w:tcPr>
            <w:tcW w:w="459" w:type="pct"/>
            <w:shd w:val="clear" w:color="auto" w:fill="auto"/>
            <w:noWrap w:val="0"/>
            <w:vAlign w:val="center"/>
          </w:tcPr>
          <w:p>
            <w:pPr>
              <w:jc w:val="center"/>
              <w:rPr>
                <w:rFonts w:ascii="宋体" w:hAnsi="宋体" w:cs="宋体"/>
                <w:sz w:val="18"/>
                <w:szCs w:val="18"/>
              </w:rPr>
            </w:pPr>
            <w:r>
              <w:rPr>
                <w:rFonts w:hint="eastAsia"/>
                <w:sz w:val="18"/>
                <w:szCs w:val="18"/>
              </w:rPr>
              <w:t>3.0</w:t>
            </w:r>
          </w:p>
        </w:tc>
        <w:tc>
          <w:tcPr>
            <w:tcW w:w="323" w:type="pct"/>
            <w:shd w:val="clear" w:color="auto" w:fill="auto"/>
            <w:noWrap w:val="0"/>
            <w:vAlign w:val="center"/>
          </w:tcPr>
          <w:p>
            <w:pPr>
              <w:jc w:val="center"/>
              <w:rPr>
                <w:rFonts w:ascii="宋体" w:hAnsi="宋体" w:cs="宋体"/>
                <w:sz w:val="18"/>
                <w:szCs w:val="18"/>
              </w:rPr>
            </w:pPr>
            <w:r>
              <w:rPr>
                <w:rFonts w:hint="eastAsia"/>
                <w:sz w:val="18"/>
                <w:szCs w:val="18"/>
              </w:rPr>
              <w:t>0.0007</w:t>
            </w:r>
          </w:p>
        </w:tc>
        <w:tc>
          <w:tcPr>
            <w:tcW w:w="323" w:type="pct"/>
            <w:shd w:val="clear" w:color="auto" w:fill="auto"/>
            <w:noWrap w:val="0"/>
            <w:vAlign w:val="center"/>
          </w:tcPr>
          <w:p>
            <w:pPr>
              <w:jc w:val="center"/>
              <w:rPr>
                <w:rFonts w:ascii="宋体" w:hAnsi="宋体" w:cs="宋体"/>
                <w:sz w:val="18"/>
                <w:szCs w:val="18"/>
              </w:rPr>
            </w:pPr>
            <w:r>
              <w:rPr>
                <w:rFonts w:hint="eastAsia"/>
                <w:sz w:val="18"/>
                <w:szCs w:val="18"/>
              </w:rPr>
              <w:t>0.29</w:t>
            </w:r>
          </w:p>
        </w:tc>
        <w:tc>
          <w:tcPr>
            <w:tcW w:w="323" w:type="pct"/>
            <w:shd w:val="clear" w:color="auto" w:fill="auto"/>
            <w:noWrap w:val="0"/>
            <w:vAlign w:val="center"/>
          </w:tcPr>
          <w:p>
            <w:pPr>
              <w:jc w:val="center"/>
              <w:rPr>
                <w:rFonts w:ascii="宋体" w:hAnsi="宋体" w:cs="宋体"/>
                <w:sz w:val="18"/>
                <w:szCs w:val="18"/>
              </w:rPr>
            </w:pPr>
            <w:r>
              <w:rPr>
                <w:rFonts w:hint="eastAsia"/>
                <w:sz w:val="18"/>
                <w:szCs w:val="18"/>
              </w:rPr>
              <w:t>0.04</w:t>
            </w:r>
          </w:p>
        </w:tc>
        <w:tc>
          <w:tcPr>
            <w:tcW w:w="323" w:type="pct"/>
            <w:shd w:val="clear" w:color="auto" w:fill="auto"/>
            <w:noWrap w:val="0"/>
            <w:vAlign w:val="center"/>
          </w:tcPr>
          <w:p>
            <w:pPr>
              <w:jc w:val="center"/>
              <w:rPr>
                <w:rFonts w:ascii="宋体" w:hAnsi="宋体" w:cs="宋体"/>
                <w:sz w:val="18"/>
                <w:szCs w:val="18"/>
              </w:rPr>
            </w:pPr>
            <w:r>
              <w:rPr>
                <w:rFonts w:hint="eastAsia"/>
                <w:sz w:val="18"/>
                <w:szCs w:val="18"/>
              </w:rPr>
              <w:t>0.92</w:t>
            </w:r>
          </w:p>
        </w:tc>
        <w:tc>
          <w:tcPr>
            <w:tcW w:w="323" w:type="pct"/>
            <w:shd w:val="clear" w:color="auto" w:fill="auto"/>
            <w:noWrap w:val="0"/>
            <w:vAlign w:val="center"/>
          </w:tcPr>
          <w:p>
            <w:pPr>
              <w:jc w:val="center"/>
              <w:rPr>
                <w:rFonts w:ascii="宋体" w:hAnsi="宋体" w:cs="宋体"/>
                <w:sz w:val="18"/>
                <w:szCs w:val="18"/>
              </w:rPr>
            </w:pPr>
            <w:r>
              <w:rPr>
                <w:rFonts w:hint="eastAsia"/>
                <w:sz w:val="18"/>
                <w:szCs w:val="18"/>
              </w:rPr>
              <w:t>0.04</w:t>
            </w:r>
          </w:p>
        </w:tc>
        <w:tc>
          <w:tcPr>
            <w:tcW w:w="323" w:type="pct"/>
            <w:shd w:val="clear" w:color="auto" w:fill="auto"/>
            <w:noWrap w:val="0"/>
            <w:vAlign w:val="center"/>
          </w:tcPr>
          <w:p>
            <w:pPr>
              <w:jc w:val="center"/>
              <w:rPr>
                <w:rFonts w:ascii="宋体" w:hAnsi="宋体" w:cs="宋体"/>
                <w:sz w:val="18"/>
                <w:szCs w:val="18"/>
              </w:rPr>
            </w:pPr>
            <w:r>
              <w:rPr>
                <w:rFonts w:hint="eastAsia"/>
                <w:sz w:val="18"/>
                <w:szCs w:val="18"/>
              </w:rPr>
              <w:t>0.69</w:t>
            </w:r>
          </w:p>
        </w:tc>
        <w:tc>
          <w:tcPr>
            <w:tcW w:w="490" w:type="pct"/>
            <w:shd w:val="clear" w:color="auto" w:fill="auto"/>
            <w:noWrap w:val="0"/>
            <w:vAlign w:val="center"/>
          </w:tcPr>
          <w:p>
            <w:pPr>
              <w:jc w:val="center"/>
              <w:rPr>
                <w:rFonts w:ascii="宋体" w:hAnsi="宋体" w:cs="宋体"/>
                <w:sz w:val="18"/>
                <w:szCs w:val="18"/>
              </w:rPr>
            </w:pPr>
            <w:r>
              <w:rPr>
                <w:rFonts w:hint="eastAsia"/>
                <w:sz w:val="18"/>
                <w:szCs w:val="18"/>
              </w:rPr>
              <w:t>121</w:t>
            </w:r>
          </w:p>
        </w:tc>
        <w:tc>
          <w:tcPr>
            <w:tcW w:w="443" w:type="pct"/>
            <w:shd w:val="clear" w:color="auto" w:fill="auto"/>
            <w:noWrap w:val="0"/>
            <w:vAlign w:val="center"/>
          </w:tcPr>
          <w:p>
            <w:pPr>
              <w:jc w:val="center"/>
              <w:rPr>
                <w:rFonts w:hint="eastAsia"/>
                <w:sz w:val="18"/>
              </w:rPr>
            </w:pPr>
            <w:r>
              <w:rPr>
                <w:rFonts w:hint="eastAsia"/>
                <w:sz w:val="18"/>
              </w:rPr>
              <w:t>14420.19</w:t>
            </w:r>
          </w:p>
        </w:tc>
        <w:tc>
          <w:tcPr>
            <w:tcW w:w="359" w:type="pct"/>
            <w:shd w:val="clear" w:color="auto" w:fill="auto"/>
            <w:noWrap w:val="0"/>
            <w:vAlign w:val="center"/>
          </w:tcPr>
          <w:p>
            <w:pPr>
              <w:jc w:val="center"/>
              <w:rPr>
                <w:rFonts w:hint="eastAsia"/>
                <w:sz w:val="18"/>
              </w:rPr>
            </w:pPr>
            <w:r>
              <w:rPr>
                <w:rFonts w:hint="eastAsia"/>
                <w:sz w:val="18"/>
              </w:rPr>
              <w:t>100</w:t>
            </w:r>
          </w:p>
        </w:tc>
      </w:tr>
    </w:tbl>
    <w:p>
      <w:pPr>
        <w:widowControl/>
        <w:adjustRightInd/>
        <w:snapToGrid/>
        <w:spacing w:line="500" w:lineRule="exact"/>
        <w:ind w:firstLine="292" w:firstLineChars="100"/>
        <w:jc w:val="left"/>
        <w:rPr>
          <w:spacing w:val="6"/>
          <w:kern w:val="0"/>
          <w:szCs w:val="28"/>
        </w:rPr>
      </w:pPr>
      <w:r>
        <w:rPr>
          <w:spacing w:val="6"/>
          <w:kern w:val="0"/>
          <w:szCs w:val="28"/>
        </w:rPr>
        <w:t>（2）主要河道水质</w:t>
      </w:r>
    </w:p>
    <w:p>
      <w:pPr>
        <w:widowControl/>
        <w:adjustRightInd/>
        <w:snapToGrid/>
        <w:spacing w:line="500" w:lineRule="exact"/>
        <w:ind w:firstLine="438" w:firstLineChars="150"/>
        <w:jc w:val="left"/>
        <w:rPr>
          <w:rFonts w:hint="eastAsia"/>
          <w:spacing w:val="6"/>
          <w:kern w:val="0"/>
          <w:szCs w:val="28"/>
        </w:rPr>
      </w:pPr>
      <w:r>
        <w:rPr>
          <w:rFonts w:hint="eastAsia"/>
          <w:spacing w:val="6"/>
          <w:kern w:val="0"/>
          <w:szCs w:val="28"/>
        </w:rPr>
        <w:t>2010年昆山市7条主要河道，其中1条河道水质在Ⅰ～Ⅲ类之间，占总数的14.3%，5条河道水质在Ⅳ～Ⅴ类之间，占总数的71.4%，1条河道水质劣于Ⅴ类，占总数的14.3%，总体以Ⅳ～Ⅴ类水质为主。与2009年相比，Ⅰ～Ⅲ类、Ⅳ～Ⅴ类和劣Ⅴ类河道比例均保持不变，水质状况维持轻度污染，水质总体无明显变化。</w:t>
      </w:r>
    </w:p>
    <w:p>
      <w:pPr>
        <w:widowControl/>
        <w:adjustRightInd/>
        <w:snapToGrid/>
        <w:spacing w:line="500" w:lineRule="exact"/>
        <w:ind w:firstLine="438" w:firstLineChars="150"/>
        <w:jc w:val="left"/>
        <w:rPr>
          <w:rFonts w:hint="eastAsia"/>
          <w:spacing w:val="6"/>
          <w:kern w:val="0"/>
          <w:szCs w:val="28"/>
        </w:rPr>
      </w:pPr>
      <w:r>
        <w:rPr>
          <w:rFonts w:hint="eastAsia"/>
          <w:spacing w:val="6"/>
          <w:kern w:val="0"/>
          <w:szCs w:val="28"/>
        </w:rPr>
        <w:t>2010年主要河道仍以有机污染为主，主要污染物以分担率的大小排序依次为氨氮、生化需氧量和高锰酸盐指数，这三项主要污染物的累计污染分担率达61.83%，其中氨氮超标较严重（以大部分水域功能要求的Ⅳ类水标准进行评价）。与去年相比，氨氮污染有所减轻。综合污染指数由高到低（水质由差到好）排列依次为吴淞江、杨林塘、娄江河、戚浦塘、张家港、急水港、庙泾河，其中庙泾河、张家港、急水港和娄江河水质符合相应水域功能要求；吴淞江水质较差，为劣Ⅴ类水。</w:t>
      </w:r>
    </w:p>
    <w:p>
      <w:pPr>
        <w:widowControl/>
        <w:adjustRightInd/>
        <w:snapToGrid/>
        <w:spacing w:line="500" w:lineRule="exact"/>
        <w:ind w:firstLine="438" w:firstLineChars="150"/>
        <w:jc w:val="left"/>
        <w:rPr>
          <w:rFonts w:hint="eastAsia"/>
          <w:spacing w:val="6"/>
          <w:kern w:val="0"/>
          <w:szCs w:val="28"/>
        </w:rPr>
      </w:pPr>
      <w:r>
        <w:rPr>
          <w:rFonts w:hint="eastAsia"/>
          <w:spacing w:val="6"/>
          <w:kern w:val="0"/>
          <w:szCs w:val="28"/>
        </w:rPr>
        <w:t>吴淞江江里庄、吴淞江石浦、千灯浦千灯浦口、朱厍港朱厍港口、急水港急水港大桥5个断面，为重点流域水质监测断面。监测频数为每月1次，全年共12次。</w:t>
      </w:r>
    </w:p>
    <w:p>
      <w:pPr>
        <w:widowControl/>
        <w:adjustRightInd/>
        <w:snapToGrid/>
        <w:spacing w:line="500" w:lineRule="exact"/>
        <w:ind w:firstLine="438" w:firstLineChars="150"/>
        <w:jc w:val="left"/>
        <w:rPr>
          <w:spacing w:val="6"/>
          <w:kern w:val="0"/>
          <w:szCs w:val="28"/>
        </w:rPr>
      </w:pPr>
      <w:r>
        <w:rPr>
          <w:rFonts w:hint="eastAsia"/>
          <w:spacing w:val="6"/>
          <w:kern w:val="0"/>
          <w:szCs w:val="28"/>
        </w:rPr>
        <w:t>2010年重点流域水质除朱厍港朱厍港口和吴淞江江里庄达到水域功能要求的Ⅳ类水外，其余断面均为劣Ⅴ类水，主要超标项目为氨氮、总氮和总磷。与去年相比，重点流域水质无明显变化。各断面按综合污染指数由大到小排列依次为吴淞江石浦、千灯浦千灯浦口、急水港急水港大桥、吴淞江江里庄和朱厍港朱厍港口。</w:t>
      </w:r>
    </w:p>
    <w:p>
      <w:pPr>
        <w:widowControl/>
        <w:adjustRightInd/>
        <w:snapToGrid/>
        <w:spacing w:line="500" w:lineRule="exact"/>
        <w:ind w:firstLine="584" w:firstLineChars="200"/>
        <w:jc w:val="left"/>
        <w:rPr>
          <w:spacing w:val="6"/>
          <w:kern w:val="0"/>
          <w:szCs w:val="28"/>
        </w:rPr>
      </w:pPr>
      <w:r>
        <w:rPr>
          <w:spacing w:val="6"/>
          <w:kern w:val="0"/>
          <w:szCs w:val="28"/>
        </w:rPr>
        <w:t>（3）湖泊水质</w:t>
      </w:r>
    </w:p>
    <w:p>
      <w:pPr>
        <w:widowControl/>
        <w:adjustRightInd/>
        <w:snapToGrid/>
        <w:spacing w:line="500" w:lineRule="exact"/>
        <w:ind w:firstLine="584" w:firstLineChars="200"/>
        <w:jc w:val="left"/>
        <w:rPr>
          <w:spacing w:val="6"/>
          <w:kern w:val="0"/>
          <w:szCs w:val="28"/>
        </w:rPr>
      </w:pPr>
      <w:r>
        <w:rPr>
          <w:spacing w:val="6"/>
          <w:kern w:val="0"/>
          <w:szCs w:val="28"/>
        </w:rPr>
        <w:t>2010</w:t>
      </w:r>
      <w:r>
        <w:rPr>
          <w:rFonts w:hint="eastAsia"/>
          <w:spacing w:val="6"/>
          <w:kern w:val="0"/>
          <w:szCs w:val="28"/>
        </w:rPr>
        <w:t>年昆山市湖泊水质除总磷、总氮、氨氮和生化需氧量外，其余指标基本符合水域功能要求的Ⅲ类水标准。主要污染物以分担率的大小排序依次为总磷、总氮和高锰酸盐指数，累计污染分担率达60.4%，湖泊富营养化问题依然比较突出。综合污染指数由高到低（水质由差到好）排列依次为淀山湖、阳澄东湖、傀儡湖，淀山湖水质较差为劣Ⅴ类水。控制生活、农业、养殖等面源污染，抑制湖泊水质富营养化仍为我市水环境保护的主要任务。</w:t>
      </w:r>
    </w:p>
    <w:p>
      <w:pPr>
        <w:pStyle w:val="5"/>
        <w:ind w:left="0"/>
        <w:rPr>
          <w:rFonts w:eastAsia="仿宋_GB2312"/>
        </w:rPr>
      </w:pPr>
      <w:bookmarkStart w:id="29" w:name="_Toc265336530"/>
      <w:r>
        <w:rPr>
          <w:rFonts w:eastAsia="仿宋_GB2312"/>
        </w:rPr>
        <w:t>2.3.1.2大气环境质量现状</w:t>
      </w:r>
      <w:bookmarkEnd w:id="29"/>
    </w:p>
    <w:p>
      <w:pPr>
        <w:widowControl/>
        <w:adjustRightInd/>
        <w:snapToGrid/>
        <w:spacing w:line="500" w:lineRule="exact"/>
        <w:ind w:firstLine="584" w:firstLineChars="200"/>
        <w:jc w:val="left"/>
        <w:rPr>
          <w:spacing w:val="6"/>
          <w:kern w:val="0"/>
          <w:szCs w:val="28"/>
        </w:rPr>
      </w:pPr>
      <w:r>
        <w:rPr>
          <w:spacing w:val="6"/>
          <w:kern w:val="0"/>
          <w:szCs w:val="28"/>
        </w:rPr>
        <w:t>根据20</w:t>
      </w:r>
      <w:r>
        <w:rPr>
          <w:rFonts w:hint="eastAsia"/>
          <w:spacing w:val="6"/>
          <w:kern w:val="0"/>
          <w:szCs w:val="28"/>
        </w:rPr>
        <w:t>10</w:t>
      </w:r>
      <w:r>
        <w:rPr>
          <w:spacing w:val="6"/>
          <w:kern w:val="0"/>
          <w:szCs w:val="28"/>
        </w:rPr>
        <w:t>年《昆山市环境质量报告书》，昆山市城区空气质量较好。市区二氧化硫、二氧化氮和可吸入颗粒物年均浓度均符合国家环境空气质量二级标准的要求。二氧化硫、二氧化氮和可吸入颗粒物日平均浓度年达标率分别为99.86%、99.</w:t>
      </w:r>
      <w:r>
        <w:rPr>
          <w:rFonts w:hint="eastAsia"/>
          <w:spacing w:val="6"/>
          <w:kern w:val="0"/>
          <w:szCs w:val="28"/>
        </w:rPr>
        <w:t>45</w:t>
      </w:r>
      <w:r>
        <w:rPr>
          <w:spacing w:val="6"/>
          <w:kern w:val="0"/>
          <w:szCs w:val="28"/>
        </w:rPr>
        <w:t>%和9</w:t>
      </w:r>
      <w:r>
        <w:rPr>
          <w:rFonts w:hint="eastAsia"/>
          <w:spacing w:val="6"/>
          <w:kern w:val="0"/>
          <w:szCs w:val="28"/>
        </w:rPr>
        <w:t>5.17</w:t>
      </w:r>
      <w:r>
        <w:rPr>
          <w:spacing w:val="6"/>
          <w:kern w:val="0"/>
          <w:szCs w:val="28"/>
        </w:rPr>
        <w:t>%。</w:t>
      </w:r>
    </w:p>
    <w:p>
      <w:pPr>
        <w:widowControl/>
        <w:adjustRightInd/>
        <w:snapToGrid/>
        <w:spacing w:line="500" w:lineRule="exact"/>
        <w:ind w:firstLine="584" w:firstLineChars="200"/>
        <w:jc w:val="left"/>
        <w:rPr>
          <w:spacing w:val="6"/>
          <w:kern w:val="0"/>
          <w:szCs w:val="28"/>
        </w:rPr>
      </w:pPr>
      <w:r>
        <w:rPr>
          <w:spacing w:val="6"/>
          <w:kern w:val="0"/>
          <w:szCs w:val="28"/>
        </w:rPr>
        <w:t>根据2001-20</w:t>
      </w:r>
      <w:r>
        <w:rPr>
          <w:rFonts w:hint="eastAsia"/>
          <w:spacing w:val="6"/>
          <w:kern w:val="0"/>
          <w:szCs w:val="28"/>
        </w:rPr>
        <w:t>10</w:t>
      </w:r>
      <w:r>
        <w:rPr>
          <w:spacing w:val="6"/>
          <w:kern w:val="0"/>
          <w:szCs w:val="28"/>
        </w:rPr>
        <w:t>年的监测数据，昆山市的大气环境质量相对稳定，年均浓度均能满足国家环境空气质量二级标准要求，整体空气质量良好。二氧化硫和可吸入颗粒物浓度在2001-2006年间浓度呈上升趋势，2006年后浓度有所下降；二氧化氮浓度在2001-20</w:t>
      </w:r>
      <w:r>
        <w:rPr>
          <w:rFonts w:hint="eastAsia"/>
          <w:spacing w:val="6"/>
          <w:kern w:val="0"/>
          <w:szCs w:val="28"/>
        </w:rPr>
        <w:t>10</w:t>
      </w:r>
      <w:r>
        <w:rPr>
          <w:spacing w:val="6"/>
          <w:kern w:val="0"/>
          <w:szCs w:val="28"/>
        </w:rPr>
        <w:t>年间整体表现出上升趋势（图2.3-1）。</w:t>
      </w:r>
    </w:p>
    <w:p>
      <w:pPr>
        <w:widowControl/>
        <w:adjustRightInd/>
        <w:snapToGrid/>
        <w:spacing w:before="120" w:beforeLines="50"/>
        <w:jc w:val="center"/>
      </w:pPr>
      <w:r>
        <w:drawing>
          <wp:inline distT="0" distB="0" distL="114300" distR="114300">
            <wp:extent cx="4638675" cy="2686050"/>
            <wp:effectExtent l="0" t="0" r="0" b="0"/>
            <wp:docPr id="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
                    <pic:cNvPicPr>
                      <a:picLocks noChangeAspect="1"/>
                    </pic:cNvPicPr>
                  </pic:nvPicPr>
                  <pic:blipFill>
                    <a:blip r:embed="rId11"/>
                    <a:stretch>
                      <a:fillRect/>
                    </a:stretch>
                  </pic:blipFill>
                  <pic:spPr>
                    <a:xfrm>
                      <a:off x="0" y="0"/>
                      <a:ext cx="4638675" cy="2686050"/>
                    </a:xfrm>
                    <a:prstGeom prst="rect">
                      <a:avLst/>
                    </a:prstGeom>
                    <a:noFill/>
                    <a:ln>
                      <a:noFill/>
                    </a:ln>
                  </pic:spPr>
                </pic:pic>
              </a:graphicData>
            </a:graphic>
          </wp:inline>
        </w:drawing>
      </w:r>
    </w:p>
    <w:p>
      <w:pPr>
        <w:widowControl/>
        <w:adjustRightInd/>
        <w:snapToGrid/>
        <w:spacing w:line="500" w:lineRule="exact"/>
        <w:jc w:val="center"/>
        <w:rPr>
          <w:b/>
          <w:spacing w:val="6"/>
          <w:kern w:val="0"/>
          <w:szCs w:val="28"/>
        </w:rPr>
      </w:pPr>
      <w:r>
        <w:rPr>
          <w:b/>
          <w:spacing w:val="6"/>
          <w:kern w:val="0"/>
          <w:szCs w:val="28"/>
        </w:rPr>
        <w:t>图2.3-1  昆山市2001-20</w:t>
      </w:r>
      <w:r>
        <w:rPr>
          <w:rFonts w:hint="eastAsia"/>
          <w:b/>
          <w:spacing w:val="6"/>
          <w:kern w:val="0"/>
          <w:szCs w:val="28"/>
        </w:rPr>
        <w:t>10</w:t>
      </w:r>
      <w:r>
        <w:rPr>
          <w:b/>
          <w:spacing w:val="6"/>
          <w:kern w:val="0"/>
          <w:szCs w:val="28"/>
        </w:rPr>
        <w:t>年主要大气污染物浓度变化</w:t>
      </w:r>
    </w:p>
    <w:p>
      <w:pPr>
        <w:widowControl/>
        <w:adjustRightInd/>
        <w:snapToGrid/>
        <w:spacing w:line="500" w:lineRule="exact"/>
        <w:ind w:firstLine="584" w:firstLineChars="200"/>
        <w:jc w:val="left"/>
        <w:rPr>
          <w:spacing w:val="6"/>
          <w:kern w:val="0"/>
          <w:szCs w:val="28"/>
        </w:rPr>
      </w:pPr>
      <w:r>
        <w:rPr>
          <w:spacing w:val="6"/>
          <w:kern w:val="0"/>
          <w:szCs w:val="28"/>
        </w:rPr>
        <w:t>从空气污染指数来看，2001-20</w:t>
      </w:r>
      <w:r>
        <w:rPr>
          <w:rFonts w:hint="eastAsia"/>
          <w:spacing w:val="6"/>
          <w:kern w:val="0"/>
          <w:szCs w:val="28"/>
        </w:rPr>
        <w:t>10</w:t>
      </w:r>
      <w:r>
        <w:rPr>
          <w:spacing w:val="6"/>
          <w:kern w:val="0"/>
          <w:szCs w:val="28"/>
        </w:rPr>
        <w:t>年昆山市空气质量污染指数呈增大趋势，表明昆山市的空气质量整体上呈恶化趋势（图2.3-2）。在主要的大气污染物中，可吸入颗粒物的污染负荷比最大；其次为二氧化硫；二氧化氮的污染负荷比最小。</w:t>
      </w:r>
    </w:p>
    <w:p>
      <w:pPr>
        <w:widowControl/>
        <w:adjustRightInd/>
        <w:snapToGrid/>
        <w:spacing w:before="120" w:beforeLines="50"/>
        <w:jc w:val="center"/>
      </w:pPr>
      <w:r>
        <w:drawing>
          <wp:inline distT="0" distB="0" distL="114300" distR="114300">
            <wp:extent cx="4638675" cy="2686050"/>
            <wp:effectExtent l="0" t="0" r="0" b="0"/>
            <wp:docPr id="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
                    <pic:cNvPicPr>
                      <a:picLocks noChangeAspect="1"/>
                    </pic:cNvPicPr>
                  </pic:nvPicPr>
                  <pic:blipFill>
                    <a:blip r:embed="rId12"/>
                    <a:stretch>
                      <a:fillRect/>
                    </a:stretch>
                  </pic:blipFill>
                  <pic:spPr>
                    <a:xfrm>
                      <a:off x="0" y="0"/>
                      <a:ext cx="4638675" cy="2686050"/>
                    </a:xfrm>
                    <a:prstGeom prst="rect">
                      <a:avLst/>
                    </a:prstGeom>
                    <a:noFill/>
                    <a:ln>
                      <a:noFill/>
                    </a:ln>
                  </pic:spPr>
                </pic:pic>
              </a:graphicData>
            </a:graphic>
          </wp:inline>
        </w:drawing>
      </w:r>
    </w:p>
    <w:p>
      <w:pPr>
        <w:widowControl/>
        <w:adjustRightInd/>
        <w:snapToGrid/>
        <w:spacing w:line="500" w:lineRule="exact"/>
        <w:jc w:val="center"/>
        <w:rPr>
          <w:b/>
          <w:kern w:val="0"/>
          <w:szCs w:val="28"/>
          <w:lang/>
        </w:rPr>
      </w:pPr>
      <w:r>
        <w:rPr>
          <w:b/>
          <w:kern w:val="0"/>
          <w:szCs w:val="28"/>
          <w:lang/>
        </w:rPr>
        <w:t>图2.3-2  昆山市2001-20</w:t>
      </w:r>
      <w:r>
        <w:rPr>
          <w:rFonts w:hint="eastAsia"/>
          <w:b/>
          <w:kern w:val="0"/>
          <w:szCs w:val="28"/>
          <w:lang/>
        </w:rPr>
        <w:t>10</w:t>
      </w:r>
      <w:r>
        <w:rPr>
          <w:b/>
          <w:kern w:val="0"/>
          <w:szCs w:val="28"/>
          <w:lang/>
        </w:rPr>
        <w:t>年空气综合污染指数变化</w:t>
      </w:r>
    </w:p>
    <w:p>
      <w:pPr>
        <w:widowControl/>
        <w:adjustRightInd/>
        <w:snapToGrid/>
        <w:spacing w:before="120" w:beforeLines="50"/>
        <w:jc w:val="center"/>
        <w:rPr>
          <w:rFonts w:eastAsia="宋体"/>
          <w:b/>
          <w:kern w:val="0"/>
          <w:sz w:val="24"/>
          <w:lang/>
        </w:rPr>
      </w:pPr>
      <w:r>
        <w:drawing>
          <wp:inline distT="0" distB="0" distL="114300" distR="114300">
            <wp:extent cx="5081270" cy="2153920"/>
            <wp:effectExtent l="0" t="0" r="11430" b="5080"/>
            <wp:docPr id="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
                    <pic:cNvPicPr>
                      <a:picLocks noChangeAspect="1"/>
                    </pic:cNvPicPr>
                  </pic:nvPicPr>
                  <pic:blipFill>
                    <a:blip r:embed="rId13"/>
                    <a:srcRect l="8560" t="8377" r="10648" b="5759"/>
                    <a:stretch>
                      <a:fillRect/>
                    </a:stretch>
                  </pic:blipFill>
                  <pic:spPr>
                    <a:xfrm>
                      <a:off x="0" y="0"/>
                      <a:ext cx="5081270" cy="2153920"/>
                    </a:xfrm>
                    <a:prstGeom prst="rect">
                      <a:avLst/>
                    </a:prstGeom>
                    <a:noFill/>
                    <a:ln>
                      <a:noFill/>
                    </a:ln>
                  </pic:spPr>
                </pic:pic>
              </a:graphicData>
            </a:graphic>
          </wp:inline>
        </w:drawing>
      </w:r>
    </w:p>
    <w:p>
      <w:pPr>
        <w:widowControl/>
        <w:adjustRightInd/>
        <w:snapToGrid/>
        <w:spacing w:line="500" w:lineRule="exact"/>
        <w:jc w:val="center"/>
        <w:rPr>
          <w:b/>
          <w:kern w:val="0"/>
          <w:szCs w:val="28"/>
          <w:lang/>
        </w:rPr>
      </w:pPr>
      <w:r>
        <w:rPr>
          <w:b/>
          <w:kern w:val="0"/>
          <w:szCs w:val="28"/>
          <w:lang/>
        </w:rPr>
        <w:t>图2.3-3  昆山市20</w:t>
      </w:r>
      <w:r>
        <w:rPr>
          <w:rFonts w:hint="eastAsia"/>
          <w:b/>
          <w:kern w:val="0"/>
          <w:szCs w:val="28"/>
          <w:lang/>
        </w:rPr>
        <w:t>10</w:t>
      </w:r>
      <w:r>
        <w:rPr>
          <w:b/>
          <w:kern w:val="0"/>
          <w:szCs w:val="28"/>
          <w:lang/>
        </w:rPr>
        <w:t>年主要大气污染物污染负荷比</w:t>
      </w:r>
    </w:p>
    <w:p>
      <w:pPr>
        <w:pStyle w:val="5"/>
        <w:ind w:left="0"/>
        <w:rPr>
          <w:rFonts w:hint="eastAsia" w:eastAsia="仿宋_GB2312"/>
        </w:rPr>
      </w:pPr>
      <w:bookmarkStart w:id="30" w:name="_Toc265336526"/>
      <w:r>
        <w:rPr>
          <w:rFonts w:eastAsia="仿宋_GB2312"/>
        </w:rPr>
        <w:t>2.3.1.</w:t>
      </w:r>
      <w:r>
        <w:rPr>
          <w:rFonts w:hint="eastAsia" w:eastAsia="仿宋_GB2312"/>
        </w:rPr>
        <w:t>3噪声</w:t>
      </w:r>
      <w:r>
        <w:rPr>
          <w:rFonts w:eastAsia="仿宋_GB2312"/>
        </w:rPr>
        <w:t>环境质量现状</w:t>
      </w:r>
    </w:p>
    <w:p>
      <w:pPr>
        <w:widowControl/>
        <w:adjustRightInd/>
        <w:snapToGrid/>
        <w:spacing w:line="500" w:lineRule="exact"/>
        <w:ind w:firstLine="584" w:firstLineChars="200"/>
        <w:jc w:val="left"/>
        <w:rPr>
          <w:rFonts w:hint="eastAsia"/>
          <w:spacing w:val="6"/>
          <w:kern w:val="0"/>
          <w:szCs w:val="28"/>
        </w:rPr>
      </w:pPr>
      <w:r>
        <w:rPr>
          <w:rFonts w:hint="eastAsia"/>
          <w:spacing w:val="6"/>
          <w:kern w:val="0"/>
          <w:szCs w:val="28"/>
        </w:rPr>
        <w:t>2010年城区区域环境噪声等效声级平均值为55.5</w:t>
      </w:r>
      <w:r>
        <w:rPr>
          <w:spacing w:val="6"/>
          <w:kern w:val="0"/>
          <w:szCs w:val="28"/>
        </w:rPr>
        <w:t>dB(A)</w:t>
      </w:r>
      <w:r>
        <w:rPr>
          <w:rFonts w:hint="eastAsia"/>
          <w:spacing w:val="6"/>
          <w:kern w:val="0"/>
          <w:szCs w:val="28"/>
        </w:rPr>
        <w:t>，低于60.0</w:t>
      </w:r>
      <w:r>
        <w:rPr>
          <w:spacing w:val="6"/>
          <w:kern w:val="0"/>
          <w:szCs w:val="28"/>
        </w:rPr>
        <w:t>dB(A)</w:t>
      </w:r>
      <w:r>
        <w:rPr>
          <w:rFonts w:hint="eastAsia"/>
          <w:spacing w:val="6"/>
          <w:kern w:val="0"/>
          <w:szCs w:val="28"/>
        </w:rPr>
        <w:t>，高于55.0</w:t>
      </w:r>
      <w:r>
        <w:rPr>
          <w:spacing w:val="6"/>
          <w:kern w:val="0"/>
          <w:szCs w:val="28"/>
        </w:rPr>
        <w:t>dB(A)</w:t>
      </w:r>
      <w:r>
        <w:rPr>
          <w:rFonts w:hint="eastAsia"/>
          <w:spacing w:val="6"/>
          <w:kern w:val="0"/>
          <w:szCs w:val="28"/>
        </w:rPr>
        <w:t>，评价等级为“轻度污染”；与2009年相比，等效声级平均值下降了0.2</w:t>
      </w:r>
      <w:r>
        <w:rPr>
          <w:spacing w:val="6"/>
          <w:kern w:val="0"/>
          <w:szCs w:val="28"/>
        </w:rPr>
        <w:t>dB(A)</w:t>
      </w:r>
      <w:r>
        <w:rPr>
          <w:rFonts w:hint="eastAsia"/>
          <w:spacing w:val="6"/>
          <w:kern w:val="0"/>
          <w:szCs w:val="28"/>
        </w:rPr>
        <w:t>。2010年城区区域环境噪声等效声级不超过55.0</w:t>
      </w:r>
      <w:r>
        <w:rPr>
          <w:spacing w:val="6"/>
          <w:kern w:val="0"/>
          <w:szCs w:val="28"/>
        </w:rPr>
        <w:t>dB(A)</w:t>
      </w:r>
      <w:r>
        <w:rPr>
          <w:rFonts w:hint="eastAsia"/>
          <w:spacing w:val="6"/>
          <w:kern w:val="0"/>
          <w:szCs w:val="28"/>
        </w:rPr>
        <w:t>的网格数为67个，占总网格数的百分比为42.4</w:t>
      </w:r>
      <w:r>
        <w:rPr>
          <w:spacing w:val="6"/>
          <w:kern w:val="0"/>
          <w:szCs w:val="28"/>
        </w:rPr>
        <w:t>%</w:t>
      </w:r>
      <w:r>
        <w:rPr>
          <w:rFonts w:hint="eastAsia"/>
          <w:spacing w:val="6"/>
          <w:kern w:val="0"/>
          <w:szCs w:val="28"/>
        </w:rPr>
        <w:t>，比2009年上升了8.2个百分点；等效声级为55.1-6</w:t>
      </w:r>
      <w:r>
        <w:rPr>
          <w:spacing w:val="6"/>
          <w:kern w:val="0"/>
          <w:szCs w:val="28"/>
        </w:rPr>
        <w:t>0</w:t>
      </w:r>
      <w:r>
        <w:rPr>
          <w:rFonts w:hint="eastAsia"/>
          <w:spacing w:val="6"/>
          <w:kern w:val="0"/>
          <w:szCs w:val="28"/>
        </w:rPr>
        <w:t>.0</w:t>
      </w:r>
      <w:r>
        <w:rPr>
          <w:spacing w:val="6"/>
          <w:kern w:val="0"/>
          <w:szCs w:val="28"/>
        </w:rPr>
        <w:t>dB(A)</w:t>
      </w:r>
      <w:r>
        <w:rPr>
          <w:rFonts w:hint="eastAsia"/>
          <w:spacing w:val="6"/>
          <w:kern w:val="0"/>
          <w:szCs w:val="28"/>
        </w:rPr>
        <w:t>的网格数为88个，占总网格数的55.7</w:t>
      </w:r>
      <w:r>
        <w:rPr>
          <w:spacing w:val="6"/>
          <w:kern w:val="0"/>
          <w:szCs w:val="28"/>
        </w:rPr>
        <w:t>%</w:t>
      </w:r>
      <w:r>
        <w:rPr>
          <w:rFonts w:hint="eastAsia"/>
          <w:spacing w:val="6"/>
          <w:kern w:val="0"/>
          <w:szCs w:val="28"/>
        </w:rPr>
        <w:t>，比2009年下降了8.2个百分点；等效声级为6</w:t>
      </w:r>
      <w:r>
        <w:rPr>
          <w:spacing w:val="6"/>
          <w:kern w:val="0"/>
          <w:szCs w:val="28"/>
        </w:rPr>
        <w:t>0</w:t>
      </w:r>
      <w:r>
        <w:rPr>
          <w:rFonts w:hint="eastAsia"/>
          <w:spacing w:val="6"/>
          <w:kern w:val="0"/>
          <w:szCs w:val="28"/>
        </w:rPr>
        <w:t>.0</w:t>
      </w:r>
      <w:r>
        <w:rPr>
          <w:spacing w:val="6"/>
          <w:kern w:val="0"/>
          <w:szCs w:val="28"/>
        </w:rPr>
        <w:t>dB(A)</w:t>
      </w:r>
      <w:r>
        <w:rPr>
          <w:rFonts w:hint="eastAsia"/>
          <w:spacing w:val="6"/>
          <w:kern w:val="0"/>
          <w:szCs w:val="28"/>
        </w:rPr>
        <w:t>以上的网格数为3个，占总网格数的比例为1.9个百分点，与2009年持平。</w:t>
      </w:r>
    </w:p>
    <w:p>
      <w:pPr>
        <w:widowControl/>
        <w:adjustRightInd/>
        <w:snapToGrid/>
        <w:spacing w:line="500" w:lineRule="exact"/>
        <w:ind w:firstLine="584" w:firstLineChars="200"/>
        <w:jc w:val="left"/>
        <w:rPr>
          <w:rFonts w:hint="eastAsia"/>
          <w:spacing w:val="6"/>
          <w:kern w:val="0"/>
          <w:szCs w:val="28"/>
        </w:rPr>
      </w:pPr>
      <w:r>
        <w:rPr>
          <w:rFonts w:hint="eastAsia"/>
          <w:spacing w:val="6"/>
          <w:kern w:val="0"/>
          <w:szCs w:val="28"/>
        </w:rPr>
        <w:t>2010年市区交通干线噪声等效声级平均值为66.6</w:t>
      </w:r>
      <w:r>
        <w:rPr>
          <w:spacing w:val="6"/>
          <w:kern w:val="0"/>
          <w:szCs w:val="28"/>
        </w:rPr>
        <w:t>dB(A)</w:t>
      </w:r>
      <w:r>
        <w:rPr>
          <w:rFonts w:hint="eastAsia"/>
          <w:spacing w:val="6"/>
          <w:kern w:val="0"/>
          <w:szCs w:val="28"/>
        </w:rPr>
        <w:t>，低于68.0</w:t>
      </w:r>
      <w:r>
        <w:rPr>
          <w:spacing w:val="6"/>
          <w:kern w:val="0"/>
          <w:szCs w:val="28"/>
        </w:rPr>
        <w:t>dB(A)</w:t>
      </w:r>
      <w:r>
        <w:rPr>
          <w:rFonts w:hint="eastAsia"/>
          <w:spacing w:val="6"/>
          <w:kern w:val="0"/>
          <w:szCs w:val="28"/>
        </w:rPr>
        <w:t>，评价等级为“好”；与2009年相比，等效声级平均值下降了0.3</w:t>
      </w:r>
      <w:r>
        <w:rPr>
          <w:spacing w:val="6"/>
          <w:kern w:val="0"/>
          <w:szCs w:val="28"/>
        </w:rPr>
        <w:t>dB(A)</w:t>
      </w:r>
      <w:r>
        <w:rPr>
          <w:rFonts w:hint="eastAsia"/>
          <w:spacing w:val="6"/>
          <w:kern w:val="0"/>
          <w:szCs w:val="28"/>
        </w:rPr>
        <w:t>。</w:t>
      </w:r>
    </w:p>
    <w:p>
      <w:pPr>
        <w:pStyle w:val="4"/>
        <w:rPr>
          <w:rFonts w:ascii="Times New Roman" w:hAnsi="Times New Roman"/>
        </w:rPr>
      </w:pPr>
      <w:r>
        <w:rPr>
          <w:rFonts w:ascii="Times New Roman" w:hAnsi="Times New Roman"/>
        </w:rPr>
        <w:t>2.3.2</w:t>
      </w:r>
      <w:bookmarkEnd w:id="30"/>
      <w:r>
        <w:rPr>
          <w:rFonts w:ascii="Times New Roman" w:hAnsi="Times New Roman"/>
        </w:rPr>
        <w:t>主要污染物排放现状</w:t>
      </w:r>
    </w:p>
    <w:p>
      <w:pPr>
        <w:pStyle w:val="5"/>
        <w:ind w:left="0"/>
        <w:rPr>
          <w:rFonts w:eastAsia="仿宋_GB2312"/>
        </w:rPr>
      </w:pPr>
      <w:r>
        <w:rPr>
          <w:rFonts w:eastAsia="仿宋_GB2312"/>
        </w:rPr>
        <w:t>2.3.2.1</w:t>
      </w:r>
      <w:r>
        <w:rPr>
          <w:rFonts w:hint="eastAsia" w:eastAsia="仿宋_GB2312"/>
        </w:rPr>
        <w:t>工业</w:t>
      </w:r>
      <w:r>
        <w:rPr>
          <w:rFonts w:eastAsia="仿宋_GB2312"/>
        </w:rPr>
        <w:t>污染物排放现状</w:t>
      </w:r>
    </w:p>
    <w:p>
      <w:pPr>
        <w:widowControl/>
        <w:adjustRightInd/>
        <w:snapToGrid/>
        <w:spacing w:line="500" w:lineRule="exact"/>
        <w:ind w:firstLine="584" w:firstLineChars="200"/>
        <w:jc w:val="left"/>
        <w:rPr>
          <w:spacing w:val="6"/>
          <w:kern w:val="0"/>
          <w:szCs w:val="28"/>
        </w:rPr>
      </w:pPr>
      <w:r>
        <w:rPr>
          <w:rFonts w:hint="eastAsia"/>
          <w:spacing w:val="6"/>
          <w:kern w:val="0"/>
          <w:szCs w:val="28"/>
        </w:rPr>
        <w:t>（1）</w:t>
      </w:r>
      <w:r>
        <w:rPr>
          <w:spacing w:val="6"/>
          <w:kern w:val="0"/>
          <w:szCs w:val="28"/>
        </w:rPr>
        <w:t>水污染物排放现状</w:t>
      </w:r>
    </w:p>
    <w:p>
      <w:pPr>
        <w:widowControl/>
        <w:adjustRightInd/>
        <w:snapToGrid/>
        <w:spacing w:line="500" w:lineRule="exact"/>
        <w:ind w:firstLine="584" w:firstLineChars="200"/>
        <w:jc w:val="left"/>
        <w:rPr>
          <w:spacing w:val="6"/>
          <w:kern w:val="0"/>
          <w:szCs w:val="28"/>
        </w:rPr>
      </w:pPr>
      <w:r>
        <w:rPr>
          <w:spacing w:val="6"/>
          <w:kern w:val="0"/>
          <w:szCs w:val="28"/>
        </w:rPr>
        <w:fldChar w:fldCharType="begin"/>
      </w:r>
      <w:r>
        <w:rPr>
          <w:spacing w:val="6"/>
          <w:kern w:val="0"/>
          <w:szCs w:val="28"/>
        </w:rPr>
        <w:instrText xml:space="preserve"> </w:instrText>
      </w:r>
      <w:r>
        <w:rPr>
          <w:rFonts w:hint="eastAsia"/>
          <w:spacing w:val="6"/>
          <w:kern w:val="0"/>
          <w:szCs w:val="28"/>
        </w:rPr>
        <w:instrText xml:space="preserve">= 1 \* GB3</w:instrText>
      </w:r>
      <w:r>
        <w:rPr>
          <w:spacing w:val="6"/>
          <w:kern w:val="0"/>
          <w:szCs w:val="28"/>
        </w:rPr>
        <w:instrText xml:space="preserve"> </w:instrText>
      </w:r>
      <w:r>
        <w:rPr>
          <w:spacing w:val="6"/>
          <w:kern w:val="0"/>
          <w:szCs w:val="28"/>
        </w:rPr>
        <w:fldChar w:fldCharType="separate"/>
      </w:r>
      <w:r>
        <w:rPr>
          <w:rFonts w:hint="eastAsia"/>
          <w:spacing w:val="6"/>
          <w:kern w:val="0"/>
          <w:szCs w:val="28"/>
          <w:lang/>
        </w:rPr>
        <w:t>①</w:t>
      </w:r>
      <w:r>
        <w:rPr>
          <w:spacing w:val="6"/>
          <w:kern w:val="0"/>
          <w:szCs w:val="28"/>
        </w:rPr>
        <w:fldChar w:fldCharType="end"/>
      </w:r>
      <w:r>
        <w:rPr>
          <w:spacing w:val="6"/>
          <w:kern w:val="0"/>
          <w:szCs w:val="28"/>
        </w:rPr>
        <w:t>废水排放量</w:t>
      </w:r>
    </w:p>
    <w:p>
      <w:pPr>
        <w:widowControl/>
        <w:adjustRightInd/>
        <w:snapToGrid/>
        <w:spacing w:line="500" w:lineRule="exact"/>
        <w:ind w:firstLine="584" w:firstLineChars="200"/>
        <w:jc w:val="left"/>
        <w:rPr>
          <w:spacing w:val="6"/>
          <w:kern w:val="0"/>
          <w:szCs w:val="28"/>
        </w:rPr>
      </w:pPr>
      <w:r>
        <w:rPr>
          <w:spacing w:val="6"/>
          <w:kern w:val="0"/>
          <w:szCs w:val="28"/>
        </w:rPr>
        <w:t>昆山市工业废水排放量在2001-2005年呈现迅速上升的趋势，工业废水排放量在2005年最大，为9901.5万吨，随后工业废水排放量呈下降趋势，2009年排放量为6952.21万吨，按目前发展趋势，昆山市的工业废水排放量将持续缓慢下降（图2.3-4）。</w:t>
      </w:r>
    </w:p>
    <w:p>
      <w:pPr>
        <w:adjustRightInd/>
        <w:snapToGrid/>
        <w:spacing w:after="120" w:afterLines="50" w:line="240" w:lineRule="auto"/>
        <w:jc w:val="center"/>
        <w:rPr>
          <w:szCs w:val="28"/>
        </w:rPr>
      </w:pPr>
      <w:r>
        <w:drawing>
          <wp:inline distT="0" distB="0" distL="114300" distR="114300">
            <wp:extent cx="4183380" cy="2268855"/>
            <wp:effectExtent l="0" t="0" r="0" b="4445"/>
            <wp:docPr id="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
                    <pic:cNvPicPr>
                      <a:picLocks noChangeAspect="1"/>
                    </pic:cNvPicPr>
                  </pic:nvPicPr>
                  <pic:blipFill>
                    <a:blip r:embed="rId14"/>
                    <a:stretch>
                      <a:fillRect/>
                    </a:stretch>
                  </pic:blipFill>
                  <pic:spPr>
                    <a:xfrm>
                      <a:off x="0" y="0"/>
                      <a:ext cx="4183380" cy="2268855"/>
                    </a:xfrm>
                    <a:prstGeom prst="rect">
                      <a:avLst/>
                    </a:prstGeom>
                    <a:noFill/>
                    <a:ln>
                      <a:noFill/>
                    </a:ln>
                  </pic:spPr>
                </pic:pic>
              </a:graphicData>
            </a:graphic>
          </wp:inline>
        </w:drawing>
      </w:r>
    </w:p>
    <w:p>
      <w:pPr>
        <w:widowControl/>
        <w:adjustRightInd/>
        <w:snapToGrid/>
        <w:spacing w:line="500" w:lineRule="exact"/>
        <w:jc w:val="center"/>
        <w:rPr>
          <w:b/>
          <w:spacing w:val="6"/>
          <w:kern w:val="0"/>
          <w:szCs w:val="28"/>
        </w:rPr>
      </w:pPr>
      <w:r>
        <w:rPr>
          <w:b/>
          <w:spacing w:val="6"/>
          <w:kern w:val="0"/>
          <w:szCs w:val="28"/>
        </w:rPr>
        <w:t>图2.3-4  工业废水排放量趋势分析</w:t>
      </w:r>
    </w:p>
    <w:p>
      <w:pPr>
        <w:widowControl/>
        <w:adjustRightInd/>
        <w:snapToGrid/>
        <w:spacing w:line="500" w:lineRule="exact"/>
        <w:ind w:firstLine="584" w:firstLineChars="200"/>
        <w:jc w:val="left"/>
        <w:rPr>
          <w:spacing w:val="6"/>
          <w:kern w:val="0"/>
          <w:szCs w:val="28"/>
        </w:rPr>
      </w:pPr>
      <w:r>
        <w:rPr>
          <w:spacing w:val="6"/>
          <w:kern w:val="0"/>
          <w:szCs w:val="28"/>
        </w:rPr>
        <w:fldChar w:fldCharType="begin"/>
      </w:r>
      <w:r>
        <w:rPr>
          <w:spacing w:val="6"/>
          <w:kern w:val="0"/>
          <w:szCs w:val="28"/>
        </w:rPr>
        <w:instrText xml:space="preserve"> </w:instrText>
      </w:r>
      <w:r>
        <w:rPr>
          <w:rFonts w:hint="eastAsia"/>
          <w:spacing w:val="6"/>
          <w:kern w:val="0"/>
          <w:szCs w:val="28"/>
        </w:rPr>
        <w:instrText xml:space="preserve">= 2 \* GB3</w:instrText>
      </w:r>
      <w:r>
        <w:rPr>
          <w:spacing w:val="6"/>
          <w:kern w:val="0"/>
          <w:szCs w:val="28"/>
        </w:rPr>
        <w:instrText xml:space="preserve"> </w:instrText>
      </w:r>
      <w:r>
        <w:rPr>
          <w:spacing w:val="6"/>
          <w:kern w:val="0"/>
          <w:szCs w:val="28"/>
        </w:rPr>
        <w:fldChar w:fldCharType="separate"/>
      </w:r>
      <w:r>
        <w:rPr>
          <w:rFonts w:hint="eastAsia"/>
          <w:spacing w:val="6"/>
          <w:kern w:val="0"/>
          <w:szCs w:val="28"/>
          <w:lang/>
        </w:rPr>
        <w:t>②</w:t>
      </w:r>
      <w:r>
        <w:rPr>
          <w:spacing w:val="6"/>
          <w:kern w:val="0"/>
          <w:szCs w:val="28"/>
        </w:rPr>
        <w:fldChar w:fldCharType="end"/>
      </w:r>
      <w:r>
        <w:rPr>
          <w:spacing w:val="6"/>
          <w:kern w:val="0"/>
          <w:szCs w:val="28"/>
        </w:rPr>
        <w:t>工业COD排放量</w:t>
      </w:r>
    </w:p>
    <w:p>
      <w:pPr>
        <w:widowControl/>
        <w:adjustRightInd/>
        <w:snapToGrid/>
        <w:spacing w:line="500" w:lineRule="exact"/>
        <w:ind w:firstLine="584" w:firstLineChars="200"/>
        <w:jc w:val="left"/>
        <w:rPr>
          <w:spacing w:val="6"/>
          <w:kern w:val="0"/>
          <w:szCs w:val="28"/>
        </w:rPr>
      </w:pPr>
      <w:r>
        <w:rPr>
          <w:spacing w:val="6"/>
          <w:kern w:val="0"/>
          <w:szCs w:val="28"/>
        </w:rPr>
        <w:t>工业COD排放量与工业废水的趋势基本相似，工业COD排放量最高点出现在2005年处，为9996.94吨/年，随后工业COD的排放量逐年降低，2009年工业COD的排放量为5436.7吨/年。随着污染减排措施的进一步实施，预计工业COD排放将继续降低（图2.3-5）。</w:t>
      </w:r>
    </w:p>
    <w:p>
      <w:pPr>
        <w:adjustRightInd/>
        <w:snapToGrid/>
        <w:spacing w:after="50"/>
        <w:jc w:val="center"/>
        <w:rPr>
          <w:rFonts w:eastAsia="宋体"/>
          <w:kern w:val="2"/>
          <w:sz w:val="21"/>
          <w:szCs w:val="28"/>
        </w:rPr>
      </w:pPr>
      <w:r>
        <w:drawing>
          <wp:inline distT="0" distB="0" distL="114300" distR="114300">
            <wp:extent cx="4169410" cy="2176145"/>
            <wp:effectExtent l="0" t="0" r="0" b="8255"/>
            <wp:docPr id="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
                    <pic:cNvPicPr>
                      <a:picLocks noChangeAspect="1"/>
                    </pic:cNvPicPr>
                  </pic:nvPicPr>
                  <pic:blipFill>
                    <a:blip r:embed="rId15"/>
                    <a:stretch>
                      <a:fillRect/>
                    </a:stretch>
                  </pic:blipFill>
                  <pic:spPr>
                    <a:xfrm>
                      <a:off x="0" y="0"/>
                      <a:ext cx="4169410" cy="2176145"/>
                    </a:xfrm>
                    <a:prstGeom prst="rect">
                      <a:avLst/>
                    </a:prstGeom>
                    <a:noFill/>
                    <a:ln>
                      <a:noFill/>
                    </a:ln>
                  </pic:spPr>
                </pic:pic>
              </a:graphicData>
            </a:graphic>
          </wp:inline>
        </w:drawing>
      </w:r>
    </w:p>
    <w:p>
      <w:pPr>
        <w:widowControl/>
        <w:adjustRightInd/>
        <w:snapToGrid/>
        <w:spacing w:line="500" w:lineRule="exact"/>
        <w:jc w:val="center"/>
        <w:rPr>
          <w:b/>
          <w:spacing w:val="6"/>
          <w:kern w:val="0"/>
          <w:szCs w:val="28"/>
        </w:rPr>
      </w:pPr>
      <w:r>
        <w:rPr>
          <w:b/>
          <w:spacing w:val="6"/>
          <w:kern w:val="0"/>
          <w:szCs w:val="28"/>
        </w:rPr>
        <w:t>图2.3-5  工业COD排放量趋势分析</w:t>
      </w:r>
    </w:p>
    <w:p>
      <w:pPr>
        <w:widowControl/>
        <w:adjustRightInd/>
        <w:snapToGrid/>
        <w:spacing w:line="500" w:lineRule="exact"/>
        <w:ind w:firstLine="584" w:firstLineChars="200"/>
        <w:jc w:val="left"/>
        <w:rPr>
          <w:spacing w:val="6"/>
          <w:kern w:val="0"/>
          <w:szCs w:val="28"/>
        </w:rPr>
      </w:pPr>
      <w:r>
        <w:rPr>
          <w:spacing w:val="6"/>
          <w:kern w:val="0"/>
          <w:szCs w:val="28"/>
        </w:rPr>
        <w:fldChar w:fldCharType="begin"/>
      </w:r>
      <w:r>
        <w:rPr>
          <w:spacing w:val="6"/>
          <w:kern w:val="0"/>
          <w:szCs w:val="28"/>
        </w:rPr>
        <w:instrText xml:space="preserve"> </w:instrText>
      </w:r>
      <w:r>
        <w:rPr>
          <w:rFonts w:hint="eastAsia"/>
          <w:spacing w:val="6"/>
          <w:kern w:val="0"/>
          <w:szCs w:val="28"/>
        </w:rPr>
        <w:instrText xml:space="preserve">= 3 \* GB3</w:instrText>
      </w:r>
      <w:r>
        <w:rPr>
          <w:spacing w:val="6"/>
          <w:kern w:val="0"/>
          <w:szCs w:val="28"/>
        </w:rPr>
        <w:instrText xml:space="preserve"> </w:instrText>
      </w:r>
      <w:r>
        <w:rPr>
          <w:spacing w:val="6"/>
          <w:kern w:val="0"/>
          <w:szCs w:val="28"/>
        </w:rPr>
        <w:fldChar w:fldCharType="separate"/>
      </w:r>
      <w:r>
        <w:rPr>
          <w:rFonts w:hint="eastAsia"/>
          <w:spacing w:val="6"/>
          <w:kern w:val="0"/>
          <w:szCs w:val="28"/>
          <w:lang/>
        </w:rPr>
        <w:t>③</w:t>
      </w:r>
      <w:r>
        <w:rPr>
          <w:spacing w:val="6"/>
          <w:kern w:val="0"/>
          <w:szCs w:val="28"/>
        </w:rPr>
        <w:fldChar w:fldCharType="end"/>
      </w:r>
      <w:r>
        <w:rPr>
          <w:spacing w:val="6"/>
          <w:kern w:val="0"/>
          <w:szCs w:val="28"/>
        </w:rPr>
        <w:t>工业氨氮排放量</w:t>
      </w:r>
    </w:p>
    <w:p>
      <w:pPr>
        <w:widowControl/>
        <w:adjustRightInd/>
        <w:snapToGrid/>
        <w:spacing w:line="500" w:lineRule="exact"/>
        <w:ind w:firstLine="584" w:firstLineChars="200"/>
        <w:jc w:val="left"/>
        <w:rPr>
          <w:rFonts w:hint="eastAsia"/>
          <w:spacing w:val="6"/>
          <w:kern w:val="0"/>
          <w:szCs w:val="28"/>
        </w:rPr>
      </w:pPr>
      <w:r>
        <w:rPr>
          <w:spacing w:val="6"/>
          <w:kern w:val="0"/>
          <w:szCs w:val="28"/>
        </w:rPr>
        <w:t>氨氮排放量在2001-2003年的排放量呈下降趋势，2003-2005年表现出迅速增加的趋势，2005年的排放量最大，为1076.49吨/年，在2005年后排放量逐年下降，2009年的排放量为552.39吨/年（图2.3-6）。按照目前发展趋势，工业氨氮的排放量可能还会有所降低。</w:t>
      </w:r>
    </w:p>
    <w:p>
      <w:pPr>
        <w:widowControl/>
        <w:adjustRightInd/>
        <w:snapToGrid/>
        <w:jc w:val="center"/>
        <w:rPr>
          <w:rFonts w:eastAsia="宋体"/>
          <w:kern w:val="0"/>
          <w:sz w:val="24"/>
        </w:rPr>
      </w:pPr>
      <w:r>
        <w:drawing>
          <wp:inline distT="0" distB="0" distL="114300" distR="114300">
            <wp:extent cx="4162425" cy="2061845"/>
            <wp:effectExtent l="0" t="0" r="0" b="8255"/>
            <wp:docPr id="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
                    <pic:cNvPicPr>
                      <a:picLocks noChangeAspect="1"/>
                    </pic:cNvPicPr>
                  </pic:nvPicPr>
                  <pic:blipFill>
                    <a:blip r:embed="rId16"/>
                    <a:stretch>
                      <a:fillRect/>
                    </a:stretch>
                  </pic:blipFill>
                  <pic:spPr>
                    <a:xfrm>
                      <a:off x="0" y="0"/>
                      <a:ext cx="4162425" cy="2061845"/>
                    </a:xfrm>
                    <a:prstGeom prst="rect">
                      <a:avLst/>
                    </a:prstGeom>
                    <a:noFill/>
                    <a:ln>
                      <a:noFill/>
                    </a:ln>
                  </pic:spPr>
                </pic:pic>
              </a:graphicData>
            </a:graphic>
          </wp:inline>
        </w:drawing>
      </w:r>
    </w:p>
    <w:p>
      <w:pPr>
        <w:widowControl/>
        <w:adjustRightInd/>
        <w:snapToGrid/>
        <w:spacing w:line="500" w:lineRule="exact"/>
        <w:jc w:val="center"/>
        <w:rPr>
          <w:b/>
          <w:spacing w:val="6"/>
          <w:kern w:val="0"/>
          <w:szCs w:val="28"/>
        </w:rPr>
      </w:pPr>
      <w:r>
        <w:rPr>
          <w:b/>
          <w:spacing w:val="6"/>
          <w:kern w:val="0"/>
          <w:szCs w:val="28"/>
        </w:rPr>
        <w:t>图2.3-6  工业氨氮排放量趋势分析</w:t>
      </w:r>
    </w:p>
    <w:p>
      <w:pPr>
        <w:widowControl/>
        <w:adjustRightInd/>
        <w:snapToGrid/>
        <w:spacing w:line="500" w:lineRule="exact"/>
        <w:ind w:firstLine="584" w:firstLineChars="200"/>
        <w:jc w:val="left"/>
        <w:rPr>
          <w:rFonts w:hint="eastAsia"/>
          <w:spacing w:val="6"/>
          <w:kern w:val="0"/>
          <w:szCs w:val="28"/>
        </w:rPr>
      </w:pPr>
      <w:r>
        <w:rPr>
          <w:spacing w:val="6"/>
          <w:kern w:val="0"/>
          <w:szCs w:val="28"/>
        </w:rPr>
        <w:fldChar w:fldCharType="begin"/>
      </w:r>
      <w:r>
        <w:rPr>
          <w:spacing w:val="6"/>
          <w:kern w:val="0"/>
          <w:szCs w:val="28"/>
        </w:rPr>
        <w:instrText xml:space="preserve"> </w:instrText>
      </w:r>
      <w:r>
        <w:rPr>
          <w:rFonts w:hint="eastAsia"/>
          <w:spacing w:val="6"/>
          <w:kern w:val="0"/>
          <w:szCs w:val="28"/>
        </w:rPr>
        <w:instrText xml:space="preserve">= 4 \* GB3</w:instrText>
      </w:r>
      <w:r>
        <w:rPr>
          <w:spacing w:val="6"/>
          <w:kern w:val="0"/>
          <w:szCs w:val="28"/>
        </w:rPr>
        <w:instrText xml:space="preserve"> </w:instrText>
      </w:r>
      <w:r>
        <w:rPr>
          <w:spacing w:val="6"/>
          <w:kern w:val="0"/>
          <w:szCs w:val="28"/>
        </w:rPr>
        <w:fldChar w:fldCharType="separate"/>
      </w:r>
      <w:r>
        <w:rPr>
          <w:rFonts w:hint="eastAsia"/>
          <w:spacing w:val="6"/>
          <w:kern w:val="0"/>
          <w:szCs w:val="28"/>
          <w:lang/>
        </w:rPr>
        <w:t>④</w:t>
      </w:r>
      <w:r>
        <w:rPr>
          <w:spacing w:val="6"/>
          <w:kern w:val="0"/>
          <w:szCs w:val="28"/>
        </w:rPr>
        <w:fldChar w:fldCharType="end"/>
      </w:r>
      <w:r>
        <w:rPr>
          <w:rFonts w:hint="eastAsia"/>
          <w:spacing w:val="6"/>
          <w:kern w:val="0"/>
          <w:szCs w:val="28"/>
        </w:rPr>
        <w:t>小结</w:t>
      </w:r>
    </w:p>
    <w:p>
      <w:pPr>
        <w:widowControl/>
        <w:adjustRightInd/>
        <w:snapToGrid/>
        <w:spacing w:line="500" w:lineRule="exact"/>
        <w:ind w:firstLine="584" w:firstLineChars="200"/>
        <w:jc w:val="left"/>
        <w:rPr>
          <w:spacing w:val="6"/>
          <w:kern w:val="0"/>
          <w:szCs w:val="28"/>
        </w:rPr>
      </w:pPr>
      <w:r>
        <w:rPr>
          <w:spacing w:val="6"/>
          <w:kern w:val="0"/>
          <w:szCs w:val="28"/>
        </w:rPr>
        <w:t>综上分析结果，“十一五”期间昆山市工业废水、工业COD和工业氨氮排放量出现了拐点，说明昆山市污染的控制是卓有成效的，但不排除污染物排放量的上下波动，甚至排放量可能还会有所增加。因此，在大力发展节水型工业的同时，还应继续加强水污染控制，优化调整工业产业结构，开发引进新技术，提高工业用水的重复利用率，减少污染物排放量。</w:t>
      </w:r>
    </w:p>
    <w:p>
      <w:pPr>
        <w:widowControl/>
        <w:adjustRightInd/>
        <w:snapToGrid/>
        <w:spacing w:line="500" w:lineRule="exact"/>
        <w:ind w:firstLine="584" w:firstLineChars="200"/>
        <w:jc w:val="left"/>
        <w:rPr>
          <w:spacing w:val="6"/>
          <w:kern w:val="0"/>
          <w:szCs w:val="28"/>
        </w:rPr>
      </w:pPr>
      <w:bookmarkStart w:id="31" w:name="_Toc265336531"/>
      <w:r>
        <w:rPr>
          <w:rFonts w:hint="eastAsia"/>
          <w:spacing w:val="6"/>
          <w:kern w:val="0"/>
          <w:szCs w:val="28"/>
        </w:rPr>
        <w:t>（2）</w:t>
      </w:r>
      <w:r>
        <w:rPr>
          <w:spacing w:val="6"/>
          <w:kern w:val="0"/>
          <w:szCs w:val="28"/>
        </w:rPr>
        <w:t>大气污染</w:t>
      </w:r>
      <w:bookmarkEnd w:id="31"/>
      <w:r>
        <w:rPr>
          <w:spacing w:val="6"/>
          <w:kern w:val="0"/>
          <w:szCs w:val="28"/>
        </w:rPr>
        <w:t>排放现状</w:t>
      </w:r>
    </w:p>
    <w:p>
      <w:pPr>
        <w:widowControl/>
        <w:adjustRightInd/>
        <w:snapToGrid/>
        <w:spacing w:line="500" w:lineRule="exact"/>
        <w:ind w:firstLine="584" w:firstLineChars="200"/>
        <w:jc w:val="left"/>
        <w:rPr>
          <w:spacing w:val="6"/>
          <w:kern w:val="0"/>
          <w:szCs w:val="28"/>
        </w:rPr>
      </w:pPr>
      <w:r>
        <w:rPr>
          <w:spacing w:val="6"/>
          <w:kern w:val="0"/>
          <w:szCs w:val="28"/>
        </w:rPr>
        <w:fldChar w:fldCharType="begin"/>
      </w:r>
      <w:r>
        <w:rPr>
          <w:spacing w:val="6"/>
          <w:kern w:val="0"/>
          <w:szCs w:val="28"/>
        </w:rPr>
        <w:instrText xml:space="preserve"> </w:instrText>
      </w:r>
      <w:r>
        <w:rPr>
          <w:rFonts w:hint="eastAsia"/>
          <w:spacing w:val="6"/>
          <w:kern w:val="0"/>
          <w:szCs w:val="28"/>
        </w:rPr>
        <w:instrText xml:space="preserve">= 1 \* GB3</w:instrText>
      </w:r>
      <w:r>
        <w:rPr>
          <w:spacing w:val="6"/>
          <w:kern w:val="0"/>
          <w:szCs w:val="28"/>
        </w:rPr>
        <w:instrText xml:space="preserve"> </w:instrText>
      </w:r>
      <w:r>
        <w:rPr>
          <w:spacing w:val="6"/>
          <w:kern w:val="0"/>
          <w:szCs w:val="28"/>
        </w:rPr>
        <w:fldChar w:fldCharType="separate"/>
      </w:r>
      <w:r>
        <w:rPr>
          <w:rFonts w:hint="eastAsia"/>
          <w:spacing w:val="6"/>
          <w:kern w:val="0"/>
          <w:szCs w:val="28"/>
          <w:lang/>
        </w:rPr>
        <w:t>①</w:t>
      </w:r>
      <w:r>
        <w:rPr>
          <w:spacing w:val="6"/>
          <w:kern w:val="0"/>
          <w:szCs w:val="28"/>
        </w:rPr>
        <w:fldChar w:fldCharType="end"/>
      </w:r>
      <w:r>
        <w:rPr>
          <w:spacing w:val="6"/>
          <w:kern w:val="0"/>
          <w:szCs w:val="28"/>
        </w:rPr>
        <w:t>工业废气</w:t>
      </w:r>
      <w:r>
        <w:rPr>
          <w:rFonts w:hint="eastAsia"/>
          <w:spacing w:val="6"/>
          <w:kern w:val="0"/>
          <w:szCs w:val="28"/>
        </w:rPr>
        <w:t>排放量</w:t>
      </w:r>
    </w:p>
    <w:p>
      <w:pPr>
        <w:widowControl/>
        <w:adjustRightInd/>
        <w:snapToGrid/>
        <w:spacing w:line="500" w:lineRule="exact"/>
        <w:ind w:firstLine="584" w:firstLineChars="200"/>
        <w:jc w:val="left"/>
        <w:rPr>
          <w:spacing w:val="6"/>
          <w:kern w:val="0"/>
          <w:szCs w:val="28"/>
        </w:rPr>
      </w:pPr>
      <w:r>
        <w:rPr>
          <w:spacing w:val="6"/>
          <w:kern w:val="0"/>
          <w:szCs w:val="28"/>
        </w:rPr>
        <w:t>2000-20</w:t>
      </w:r>
      <w:r>
        <w:rPr>
          <w:rFonts w:hint="eastAsia"/>
          <w:spacing w:val="6"/>
          <w:kern w:val="0"/>
          <w:szCs w:val="28"/>
        </w:rPr>
        <w:t>10</w:t>
      </w:r>
      <w:r>
        <w:rPr>
          <w:spacing w:val="6"/>
          <w:kern w:val="0"/>
          <w:szCs w:val="28"/>
        </w:rPr>
        <w:t>年工业废气排放量与人均GDP呈上升趋势（图2.3-7），2000-2004年变化较为平缓，2003-2004年出现了下降的趋势，2005年后废气排放量迅速增加，20</w:t>
      </w:r>
      <w:r>
        <w:rPr>
          <w:rFonts w:hint="eastAsia"/>
          <w:spacing w:val="6"/>
          <w:kern w:val="0"/>
          <w:szCs w:val="28"/>
        </w:rPr>
        <w:t>10</w:t>
      </w:r>
      <w:r>
        <w:rPr>
          <w:spacing w:val="6"/>
          <w:kern w:val="0"/>
          <w:szCs w:val="28"/>
        </w:rPr>
        <w:t>年废气排放量为</w:t>
      </w:r>
      <w:r>
        <w:rPr>
          <w:rFonts w:hint="eastAsia"/>
          <w:spacing w:val="6"/>
          <w:kern w:val="0"/>
          <w:szCs w:val="28"/>
        </w:rPr>
        <w:t>873</w:t>
      </w:r>
      <w:r>
        <w:rPr>
          <w:spacing w:val="6"/>
          <w:kern w:val="0"/>
          <w:szCs w:val="28"/>
        </w:rPr>
        <w:t>亿标立方米。</w:t>
      </w:r>
    </w:p>
    <w:p>
      <w:pPr>
        <w:adjustRightInd/>
        <w:snapToGrid/>
        <w:spacing w:after="50"/>
        <w:jc w:val="center"/>
        <w:rPr>
          <w:rFonts w:eastAsia="宋体"/>
          <w:kern w:val="2"/>
          <w:sz w:val="21"/>
        </w:rPr>
      </w:pPr>
      <w:r>
        <w:drawing>
          <wp:inline distT="0" distB="0" distL="114300" distR="114300">
            <wp:extent cx="4169410" cy="2348230"/>
            <wp:effectExtent l="0" t="0" r="0" b="1270"/>
            <wp:docPr id="7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
                    <pic:cNvPicPr>
                      <a:picLocks noChangeAspect="1"/>
                    </pic:cNvPicPr>
                  </pic:nvPicPr>
                  <pic:blipFill>
                    <a:blip r:embed="rId17"/>
                    <a:stretch>
                      <a:fillRect/>
                    </a:stretch>
                  </pic:blipFill>
                  <pic:spPr>
                    <a:xfrm>
                      <a:off x="0" y="0"/>
                      <a:ext cx="4169410" cy="2348230"/>
                    </a:xfrm>
                    <a:prstGeom prst="rect">
                      <a:avLst/>
                    </a:prstGeom>
                    <a:noFill/>
                    <a:ln>
                      <a:noFill/>
                    </a:ln>
                  </pic:spPr>
                </pic:pic>
              </a:graphicData>
            </a:graphic>
          </wp:inline>
        </w:drawing>
      </w:r>
    </w:p>
    <w:p>
      <w:pPr>
        <w:widowControl/>
        <w:adjustRightInd/>
        <w:snapToGrid/>
        <w:spacing w:line="500" w:lineRule="exact"/>
        <w:jc w:val="center"/>
        <w:rPr>
          <w:b/>
          <w:kern w:val="0"/>
          <w:szCs w:val="28"/>
          <w:lang/>
        </w:rPr>
      </w:pPr>
      <w:r>
        <w:rPr>
          <w:b/>
          <w:kern w:val="0"/>
          <w:szCs w:val="28"/>
          <w:lang/>
        </w:rPr>
        <w:t>图2.3-7  工业废气排放量分析</w:t>
      </w:r>
    </w:p>
    <w:p>
      <w:pPr>
        <w:widowControl/>
        <w:adjustRightInd/>
        <w:snapToGrid/>
        <w:spacing w:line="500" w:lineRule="exact"/>
        <w:ind w:firstLine="584" w:firstLineChars="200"/>
        <w:jc w:val="left"/>
        <w:rPr>
          <w:spacing w:val="6"/>
          <w:kern w:val="0"/>
          <w:szCs w:val="28"/>
        </w:rPr>
      </w:pPr>
      <w:r>
        <w:rPr>
          <w:spacing w:val="6"/>
          <w:kern w:val="0"/>
          <w:szCs w:val="28"/>
        </w:rPr>
        <w:t>根据拟合方程，依照目前的趋势，昆山市工业废气排放量仍然存在增加的趋势，近期将很难出现转折点，昆山市工业废气的排放情况很难在短时间内得到明显改善。</w:t>
      </w:r>
    </w:p>
    <w:p>
      <w:pPr>
        <w:widowControl/>
        <w:adjustRightInd/>
        <w:snapToGrid/>
        <w:spacing w:line="500" w:lineRule="exact"/>
        <w:ind w:firstLine="584" w:firstLineChars="200"/>
        <w:jc w:val="left"/>
        <w:rPr>
          <w:spacing w:val="6"/>
          <w:kern w:val="0"/>
          <w:szCs w:val="28"/>
        </w:rPr>
      </w:pPr>
      <w:r>
        <w:rPr>
          <w:spacing w:val="6"/>
          <w:kern w:val="0"/>
          <w:szCs w:val="28"/>
        </w:rPr>
        <w:fldChar w:fldCharType="begin"/>
      </w:r>
      <w:r>
        <w:rPr>
          <w:spacing w:val="6"/>
          <w:kern w:val="0"/>
          <w:szCs w:val="28"/>
        </w:rPr>
        <w:instrText xml:space="preserve"> </w:instrText>
      </w:r>
      <w:r>
        <w:rPr>
          <w:rFonts w:hint="eastAsia"/>
          <w:spacing w:val="6"/>
          <w:kern w:val="0"/>
          <w:szCs w:val="28"/>
        </w:rPr>
        <w:instrText xml:space="preserve">= 2 \* GB3</w:instrText>
      </w:r>
      <w:r>
        <w:rPr>
          <w:spacing w:val="6"/>
          <w:kern w:val="0"/>
          <w:szCs w:val="28"/>
        </w:rPr>
        <w:instrText xml:space="preserve"> </w:instrText>
      </w:r>
      <w:r>
        <w:rPr>
          <w:spacing w:val="6"/>
          <w:kern w:val="0"/>
          <w:szCs w:val="28"/>
        </w:rPr>
        <w:fldChar w:fldCharType="separate"/>
      </w:r>
      <w:r>
        <w:rPr>
          <w:rFonts w:hint="eastAsia"/>
          <w:spacing w:val="6"/>
          <w:kern w:val="0"/>
          <w:szCs w:val="28"/>
          <w:lang/>
        </w:rPr>
        <w:t>②</w:t>
      </w:r>
      <w:r>
        <w:rPr>
          <w:spacing w:val="6"/>
          <w:kern w:val="0"/>
          <w:szCs w:val="28"/>
        </w:rPr>
        <w:fldChar w:fldCharType="end"/>
      </w:r>
      <w:r>
        <w:rPr>
          <w:spacing w:val="6"/>
          <w:kern w:val="0"/>
          <w:szCs w:val="28"/>
        </w:rPr>
        <w:t>工业SO</w:t>
      </w:r>
      <w:r>
        <w:rPr>
          <w:spacing w:val="6"/>
          <w:kern w:val="0"/>
          <w:szCs w:val="28"/>
          <w:vertAlign w:val="subscript"/>
        </w:rPr>
        <w:t>2</w:t>
      </w:r>
      <w:r>
        <w:rPr>
          <w:spacing w:val="6"/>
          <w:kern w:val="0"/>
          <w:szCs w:val="28"/>
        </w:rPr>
        <w:t>排放量</w:t>
      </w:r>
    </w:p>
    <w:p>
      <w:pPr>
        <w:widowControl/>
        <w:adjustRightInd/>
        <w:snapToGrid/>
        <w:spacing w:line="500" w:lineRule="exact"/>
        <w:ind w:firstLine="584" w:firstLineChars="200"/>
        <w:jc w:val="left"/>
        <w:rPr>
          <w:spacing w:val="6"/>
          <w:kern w:val="0"/>
          <w:szCs w:val="28"/>
        </w:rPr>
      </w:pPr>
      <w:r>
        <w:rPr>
          <w:spacing w:val="6"/>
          <w:kern w:val="0"/>
          <w:szCs w:val="28"/>
        </w:rPr>
        <w:t>工业SO</w:t>
      </w:r>
      <w:r>
        <w:rPr>
          <w:spacing w:val="6"/>
          <w:kern w:val="0"/>
          <w:szCs w:val="28"/>
          <w:vertAlign w:val="subscript"/>
        </w:rPr>
        <w:t>2</w:t>
      </w:r>
      <w:r>
        <w:rPr>
          <w:spacing w:val="6"/>
          <w:kern w:val="0"/>
          <w:szCs w:val="28"/>
        </w:rPr>
        <w:t>的排放量最高出现在2005年，达13914.79吨。2005年之后工业SO</w:t>
      </w:r>
      <w:r>
        <w:rPr>
          <w:spacing w:val="6"/>
          <w:kern w:val="0"/>
          <w:szCs w:val="28"/>
          <w:vertAlign w:val="subscript"/>
        </w:rPr>
        <w:t>2</w:t>
      </w:r>
      <w:r>
        <w:rPr>
          <w:spacing w:val="6"/>
          <w:kern w:val="0"/>
          <w:szCs w:val="28"/>
        </w:rPr>
        <w:t>排放量下降，2009年SO</w:t>
      </w:r>
      <w:r>
        <w:rPr>
          <w:spacing w:val="6"/>
          <w:kern w:val="0"/>
          <w:szCs w:val="28"/>
          <w:vertAlign w:val="subscript"/>
        </w:rPr>
        <w:t>2</w:t>
      </w:r>
      <w:r>
        <w:rPr>
          <w:spacing w:val="6"/>
          <w:kern w:val="0"/>
          <w:szCs w:val="28"/>
        </w:rPr>
        <w:t>的排放量为9679.34吨。按目前趋势发展，随着人均GDP增长，工业SO</w:t>
      </w:r>
      <w:r>
        <w:rPr>
          <w:spacing w:val="6"/>
          <w:kern w:val="0"/>
          <w:szCs w:val="28"/>
          <w:vertAlign w:val="subscript"/>
        </w:rPr>
        <w:t>2</w:t>
      </w:r>
      <w:r>
        <w:rPr>
          <w:spacing w:val="6"/>
          <w:kern w:val="0"/>
          <w:szCs w:val="28"/>
        </w:rPr>
        <w:t>的排放量仍将继续减少。</w:t>
      </w:r>
    </w:p>
    <w:p>
      <w:pPr>
        <w:adjustRightInd/>
        <w:snapToGrid/>
        <w:spacing w:after="50"/>
        <w:jc w:val="center"/>
        <w:rPr>
          <w:rFonts w:eastAsia="宋体"/>
          <w:kern w:val="2"/>
          <w:sz w:val="21"/>
          <w:szCs w:val="28"/>
        </w:rPr>
      </w:pPr>
      <w:r>
        <w:drawing>
          <wp:inline distT="0" distB="0" distL="114300" distR="114300">
            <wp:extent cx="4169410" cy="2176145"/>
            <wp:effectExtent l="0" t="0" r="0" b="8255"/>
            <wp:docPr id="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8"/>
                    <pic:cNvPicPr>
                      <a:picLocks noChangeAspect="1"/>
                    </pic:cNvPicPr>
                  </pic:nvPicPr>
                  <pic:blipFill>
                    <a:blip r:embed="rId18"/>
                    <a:stretch>
                      <a:fillRect/>
                    </a:stretch>
                  </pic:blipFill>
                  <pic:spPr>
                    <a:xfrm>
                      <a:off x="0" y="0"/>
                      <a:ext cx="4169410" cy="2176145"/>
                    </a:xfrm>
                    <a:prstGeom prst="rect">
                      <a:avLst/>
                    </a:prstGeom>
                    <a:noFill/>
                    <a:ln>
                      <a:noFill/>
                    </a:ln>
                  </pic:spPr>
                </pic:pic>
              </a:graphicData>
            </a:graphic>
          </wp:inline>
        </w:drawing>
      </w:r>
    </w:p>
    <w:p>
      <w:pPr>
        <w:widowControl/>
        <w:adjustRightInd/>
        <w:snapToGrid/>
        <w:spacing w:line="500" w:lineRule="exact"/>
        <w:jc w:val="center"/>
        <w:rPr>
          <w:b/>
          <w:kern w:val="0"/>
          <w:szCs w:val="28"/>
          <w:lang/>
        </w:rPr>
      </w:pPr>
      <w:r>
        <w:rPr>
          <w:b/>
          <w:kern w:val="0"/>
          <w:szCs w:val="28"/>
          <w:lang/>
        </w:rPr>
        <w:t>图2.3-8  工业SO</w:t>
      </w:r>
      <w:r>
        <w:rPr>
          <w:b/>
          <w:kern w:val="0"/>
          <w:szCs w:val="28"/>
          <w:vertAlign w:val="subscript"/>
          <w:lang/>
        </w:rPr>
        <w:t>2</w:t>
      </w:r>
      <w:r>
        <w:rPr>
          <w:b/>
          <w:kern w:val="0"/>
          <w:szCs w:val="28"/>
          <w:lang/>
        </w:rPr>
        <w:t>排放量</w:t>
      </w:r>
      <w:bookmarkStart w:id="32" w:name="OLE_LINK13"/>
      <w:bookmarkStart w:id="33" w:name="OLE_LINK12"/>
      <w:r>
        <w:rPr>
          <w:b/>
          <w:kern w:val="0"/>
          <w:szCs w:val="28"/>
          <w:lang/>
        </w:rPr>
        <w:t>分析</w:t>
      </w:r>
      <w:bookmarkEnd w:id="32"/>
      <w:bookmarkEnd w:id="33"/>
    </w:p>
    <w:p>
      <w:pPr>
        <w:widowControl/>
        <w:adjustRightInd/>
        <w:snapToGrid/>
        <w:spacing w:line="500" w:lineRule="exact"/>
        <w:ind w:firstLine="584" w:firstLineChars="200"/>
        <w:jc w:val="left"/>
        <w:rPr>
          <w:spacing w:val="6"/>
          <w:kern w:val="0"/>
          <w:szCs w:val="28"/>
        </w:rPr>
      </w:pPr>
      <w:r>
        <w:rPr>
          <w:spacing w:val="6"/>
          <w:kern w:val="0"/>
          <w:szCs w:val="28"/>
        </w:rPr>
        <w:fldChar w:fldCharType="begin"/>
      </w:r>
      <w:r>
        <w:rPr>
          <w:spacing w:val="6"/>
          <w:kern w:val="0"/>
          <w:szCs w:val="28"/>
        </w:rPr>
        <w:instrText xml:space="preserve"> </w:instrText>
      </w:r>
      <w:r>
        <w:rPr>
          <w:rFonts w:hint="eastAsia"/>
          <w:spacing w:val="6"/>
          <w:kern w:val="0"/>
          <w:szCs w:val="28"/>
        </w:rPr>
        <w:instrText xml:space="preserve">= 3 \* GB3</w:instrText>
      </w:r>
      <w:r>
        <w:rPr>
          <w:spacing w:val="6"/>
          <w:kern w:val="0"/>
          <w:szCs w:val="28"/>
        </w:rPr>
        <w:instrText xml:space="preserve"> </w:instrText>
      </w:r>
      <w:r>
        <w:rPr>
          <w:spacing w:val="6"/>
          <w:kern w:val="0"/>
          <w:szCs w:val="28"/>
        </w:rPr>
        <w:fldChar w:fldCharType="separate"/>
      </w:r>
      <w:r>
        <w:rPr>
          <w:rFonts w:hint="eastAsia"/>
          <w:spacing w:val="6"/>
          <w:kern w:val="0"/>
          <w:szCs w:val="28"/>
          <w:lang/>
        </w:rPr>
        <w:t>③</w:t>
      </w:r>
      <w:r>
        <w:rPr>
          <w:spacing w:val="6"/>
          <w:kern w:val="0"/>
          <w:szCs w:val="28"/>
        </w:rPr>
        <w:fldChar w:fldCharType="end"/>
      </w:r>
      <w:r>
        <w:rPr>
          <w:spacing w:val="6"/>
          <w:kern w:val="0"/>
          <w:szCs w:val="28"/>
        </w:rPr>
        <w:t>工业烟尘排放量</w:t>
      </w:r>
    </w:p>
    <w:p>
      <w:pPr>
        <w:widowControl/>
        <w:adjustRightInd/>
        <w:snapToGrid/>
        <w:jc w:val="center"/>
        <w:rPr>
          <w:rFonts w:hint="eastAsia" w:eastAsia="宋体"/>
          <w:kern w:val="0"/>
          <w:sz w:val="24"/>
        </w:rPr>
      </w:pPr>
      <w:r>
        <w:drawing>
          <wp:inline distT="0" distB="0" distL="114300" distR="114300">
            <wp:extent cx="4392295" cy="2286000"/>
            <wp:effectExtent l="0" t="0" r="0" b="0"/>
            <wp:docPr id="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9"/>
                    <pic:cNvPicPr>
                      <a:picLocks noChangeAspect="1"/>
                    </pic:cNvPicPr>
                  </pic:nvPicPr>
                  <pic:blipFill>
                    <a:blip r:embed="rId19"/>
                    <a:stretch>
                      <a:fillRect/>
                    </a:stretch>
                  </pic:blipFill>
                  <pic:spPr>
                    <a:xfrm>
                      <a:off x="0" y="0"/>
                      <a:ext cx="4392295" cy="2286000"/>
                    </a:xfrm>
                    <a:prstGeom prst="rect">
                      <a:avLst/>
                    </a:prstGeom>
                    <a:noFill/>
                    <a:ln>
                      <a:noFill/>
                    </a:ln>
                  </pic:spPr>
                </pic:pic>
              </a:graphicData>
            </a:graphic>
          </wp:inline>
        </w:drawing>
      </w:r>
    </w:p>
    <w:p>
      <w:pPr>
        <w:widowControl/>
        <w:adjustRightInd/>
        <w:snapToGrid/>
        <w:jc w:val="center"/>
        <w:rPr>
          <w:b/>
          <w:kern w:val="0"/>
          <w:szCs w:val="28"/>
          <w:lang/>
        </w:rPr>
      </w:pPr>
      <w:r>
        <w:rPr>
          <w:b/>
          <w:kern w:val="0"/>
          <w:szCs w:val="28"/>
          <w:lang/>
        </w:rPr>
        <w:t>图2.3-9  工业烟尘排放量分析</w:t>
      </w:r>
    </w:p>
    <w:p>
      <w:pPr>
        <w:widowControl/>
        <w:adjustRightInd/>
        <w:snapToGrid/>
        <w:spacing w:line="500" w:lineRule="exact"/>
        <w:ind w:firstLine="584" w:firstLineChars="200"/>
        <w:jc w:val="left"/>
        <w:rPr>
          <w:rFonts w:hint="eastAsia"/>
          <w:spacing w:val="6"/>
          <w:kern w:val="0"/>
          <w:szCs w:val="28"/>
        </w:rPr>
      </w:pPr>
      <w:r>
        <w:rPr>
          <w:spacing w:val="6"/>
          <w:kern w:val="0"/>
          <w:szCs w:val="28"/>
        </w:rPr>
        <w:t>2000-2002年，烟尘排放量下降迅速，2002年（人均GDP52078元）烟尘的排放量仅为1800.75吨。随后烟尘排放量迅速增加，2005年达到最大值，为2628.49吨，2006年后烟尘的排放量基本保持稳定，2009年的排放量为1802.17吨。按照目前趋势发展，烟尘排放量的变化趋于平缓。</w:t>
      </w:r>
    </w:p>
    <w:p>
      <w:pPr>
        <w:widowControl/>
        <w:adjustRightInd/>
        <w:snapToGrid/>
        <w:spacing w:line="500" w:lineRule="exact"/>
        <w:ind w:firstLine="584" w:firstLineChars="200"/>
        <w:jc w:val="left"/>
        <w:rPr>
          <w:spacing w:val="6"/>
          <w:kern w:val="0"/>
          <w:szCs w:val="28"/>
        </w:rPr>
      </w:pPr>
      <w:r>
        <w:rPr>
          <w:spacing w:val="6"/>
          <w:kern w:val="0"/>
          <w:szCs w:val="28"/>
        </w:rPr>
        <w:fldChar w:fldCharType="begin"/>
      </w:r>
      <w:r>
        <w:rPr>
          <w:spacing w:val="6"/>
          <w:kern w:val="0"/>
          <w:szCs w:val="28"/>
        </w:rPr>
        <w:instrText xml:space="preserve"> </w:instrText>
      </w:r>
      <w:r>
        <w:rPr>
          <w:rFonts w:hint="eastAsia"/>
          <w:spacing w:val="6"/>
          <w:kern w:val="0"/>
          <w:szCs w:val="28"/>
        </w:rPr>
        <w:instrText xml:space="preserve">= 4 \* GB3</w:instrText>
      </w:r>
      <w:r>
        <w:rPr>
          <w:spacing w:val="6"/>
          <w:kern w:val="0"/>
          <w:szCs w:val="28"/>
        </w:rPr>
        <w:instrText xml:space="preserve"> </w:instrText>
      </w:r>
      <w:r>
        <w:rPr>
          <w:spacing w:val="6"/>
          <w:kern w:val="0"/>
          <w:szCs w:val="28"/>
        </w:rPr>
        <w:fldChar w:fldCharType="separate"/>
      </w:r>
      <w:r>
        <w:rPr>
          <w:rFonts w:hint="eastAsia"/>
          <w:spacing w:val="6"/>
          <w:kern w:val="0"/>
          <w:szCs w:val="28"/>
          <w:lang/>
        </w:rPr>
        <w:t>④</w:t>
      </w:r>
      <w:r>
        <w:rPr>
          <w:spacing w:val="6"/>
          <w:kern w:val="0"/>
          <w:szCs w:val="28"/>
        </w:rPr>
        <w:fldChar w:fldCharType="end"/>
      </w:r>
      <w:r>
        <w:rPr>
          <w:spacing w:val="6"/>
          <w:kern w:val="0"/>
          <w:szCs w:val="28"/>
        </w:rPr>
        <w:t>工业粉尘排放量</w:t>
      </w:r>
    </w:p>
    <w:p>
      <w:pPr>
        <w:widowControl/>
        <w:adjustRightInd/>
        <w:snapToGrid/>
        <w:spacing w:line="500" w:lineRule="exact"/>
        <w:ind w:firstLine="584" w:firstLineChars="200"/>
        <w:jc w:val="left"/>
        <w:rPr>
          <w:spacing w:val="6"/>
          <w:kern w:val="0"/>
          <w:szCs w:val="28"/>
        </w:rPr>
      </w:pPr>
      <w:r>
        <w:rPr>
          <w:spacing w:val="6"/>
          <w:kern w:val="0"/>
          <w:szCs w:val="28"/>
        </w:rPr>
        <w:t>工业粉尘排放量与人均GDP拟合曲线呈倒U型（图2.3-10），排放量最高点出现在2005年，排放量为1894.1吨，2005年以来，粉尘的排放量下降，2009年粉尘的排放量为1121.1吨。按照目前趋势发展，粉尘排放量将保持平缓或缓慢降低。</w:t>
      </w:r>
    </w:p>
    <w:p>
      <w:pPr>
        <w:adjustRightInd/>
        <w:snapToGrid/>
        <w:spacing w:after="50"/>
        <w:jc w:val="center"/>
        <w:rPr>
          <w:rFonts w:eastAsia="宋体"/>
          <w:kern w:val="2"/>
          <w:sz w:val="21"/>
        </w:rPr>
      </w:pPr>
      <w:r>
        <w:drawing>
          <wp:inline distT="0" distB="0" distL="114300" distR="114300">
            <wp:extent cx="4483100" cy="2333625"/>
            <wp:effectExtent l="0" t="0" r="0" b="3175"/>
            <wp:docPr id="7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0"/>
                    <pic:cNvPicPr>
                      <a:picLocks noChangeAspect="1"/>
                    </pic:cNvPicPr>
                  </pic:nvPicPr>
                  <pic:blipFill>
                    <a:blip r:embed="rId20"/>
                    <a:stretch>
                      <a:fillRect/>
                    </a:stretch>
                  </pic:blipFill>
                  <pic:spPr>
                    <a:xfrm>
                      <a:off x="0" y="0"/>
                      <a:ext cx="4483100" cy="2333625"/>
                    </a:xfrm>
                    <a:prstGeom prst="rect">
                      <a:avLst/>
                    </a:prstGeom>
                    <a:noFill/>
                    <a:ln>
                      <a:noFill/>
                    </a:ln>
                  </pic:spPr>
                </pic:pic>
              </a:graphicData>
            </a:graphic>
          </wp:inline>
        </w:drawing>
      </w:r>
    </w:p>
    <w:p>
      <w:pPr>
        <w:widowControl/>
        <w:adjustRightInd/>
        <w:snapToGrid/>
        <w:spacing w:line="500" w:lineRule="exact"/>
        <w:jc w:val="center"/>
        <w:rPr>
          <w:rFonts w:hint="eastAsia"/>
          <w:b/>
          <w:kern w:val="0"/>
          <w:szCs w:val="28"/>
          <w:lang/>
        </w:rPr>
      </w:pPr>
      <w:r>
        <w:rPr>
          <w:b/>
          <w:kern w:val="0"/>
          <w:szCs w:val="28"/>
          <w:lang/>
        </w:rPr>
        <w:t>图2.3-10  工业粉尘排放量分析</w:t>
      </w:r>
    </w:p>
    <w:p>
      <w:pPr>
        <w:widowControl/>
        <w:adjustRightInd/>
        <w:snapToGrid/>
        <w:spacing w:line="500" w:lineRule="exact"/>
        <w:ind w:firstLine="584" w:firstLineChars="200"/>
        <w:jc w:val="left"/>
        <w:rPr>
          <w:spacing w:val="6"/>
          <w:kern w:val="0"/>
          <w:szCs w:val="28"/>
        </w:rPr>
      </w:pPr>
      <w:r>
        <w:rPr>
          <w:rFonts w:hint="eastAsia"/>
          <w:spacing w:val="6"/>
          <w:kern w:val="0"/>
          <w:szCs w:val="28"/>
        </w:rPr>
        <w:t>（3）</w:t>
      </w:r>
      <w:r>
        <w:rPr>
          <w:spacing w:val="6"/>
          <w:kern w:val="0"/>
          <w:szCs w:val="28"/>
        </w:rPr>
        <w:t>固体废弃物排放现状</w:t>
      </w:r>
    </w:p>
    <w:p>
      <w:pPr>
        <w:spacing w:line="500" w:lineRule="exact"/>
        <w:ind w:firstLine="584" w:firstLineChars="200"/>
        <w:rPr>
          <w:rFonts w:hint="eastAsia"/>
          <w:spacing w:val="6"/>
          <w:szCs w:val="28"/>
        </w:rPr>
      </w:pPr>
      <w:r>
        <w:rPr>
          <w:spacing w:val="6"/>
          <w:szCs w:val="28"/>
        </w:rPr>
        <w:t>2009年昆山工业固体废物产生量为64.52万吨，综合利用量为56.07万吨，占86.9%，工业固废处置量为8.46万吨，工业固废弃物处理处置率为100%。危险废物产生量为79695.7吨，处置率为100%。可见，昆山市在工业固体废物处理处置和资源化利用方面取得了较好的成绩。</w:t>
      </w:r>
    </w:p>
    <w:p>
      <w:pPr>
        <w:pStyle w:val="5"/>
        <w:ind w:left="0"/>
        <w:rPr>
          <w:rFonts w:eastAsia="仿宋_GB2312"/>
        </w:rPr>
      </w:pPr>
      <w:r>
        <w:rPr>
          <w:rFonts w:hint="eastAsia" w:eastAsia="仿宋_GB2312"/>
        </w:rPr>
        <w:t>2.3.2.2生活污染源</w:t>
      </w:r>
    </w:p>
    <w:p>
      <w:pPr>
        <w:spacing w:line="500" w:lineRule="exact"/>
        <w:ind w:firstLine="584" w:firstLineChars="200"/>
        <w:rPr>
          <w:rFonts w:hint="eastAsia"/>
          <w:spacing w:val="6"/>
          <w:szCs w:val="28"/>
        </w:rPr>
      </w:pPr>
      <w:r>
        <w:rPr>
          <w:rFonts w:hint="eastAsia"/>
          <w:spacing w:val="6"/>
          <w:szCs w:val="28"/>
        </w:rPr>
        <w:t>2010年昆山市城镇常住人口92.91万人，生活污水排放量6375.48万吨，COD、氨氮、总氮、总磷排放量分别为499.53吨/年、935.98吨/年、1434.95吨/年、101.55吨/年。</w:t>
      </w:r>
    </w:p>
    <w:p>
      <w:pPr>
        <w:spacing w:line="500" w:lineRule="exact"/>
        <w:ind w:firstLine="584" w:firstLineChars="200"/>
        <w:rPr>
          <w:rFonts w:hint="eastAsia"/>
          <w:spacing w:val="6"/>
          <w:szCs w:val="28"/>
        </w:rPr>
      </w:pPr>
      <w:r>
        <w:rPr>
          <w:spacing w:val="6"/>
          <w:szCs w:val="28"/>
        </w:rPr>
        <w:t>20</w:t>
      </w:r>
      <w:r>
        <w:rPr>
          <w:rFonts w:hint="eastAsia"/>
          <w:spacing w:val="6"/>
          <w:szCs w:val="28"/>
        </w:rPr>
        <w:t>10</w:t>
      </w:r>
      <w:r>
        <w:rPr>
          <w:spacing w:val="6"/>
          <w:szCs w:val="28"/>
        </w:rPr>
        <w:t>年产生城市生活垃圾</w:t>
      </w:r>
      <w:r>
        <w:rPr>
          <w:spacing w:val="6"/>
          <w:kern w:val="0"/>
          <w:szCs w:val="28"/>
        </w:rPr>
        <w:t>35.49</w:t>
      </w:r>
      <w:r>
        <w:rPr>
          <w:spacing w:val="6"/>
          <w:szCs w:val="28"/>
        </w:rPr>
        <w:t>万吨，以焚烧发电为主。但目前生活垃圾分类工作仍处在初始起步阶段，资源化利用程度不够。</w:t>
      </w:r>
    </w:p>
    <w:p>
      <w:pPr>
        <w:pStyle w:val="5"/>
        <w:ind w:left="0"/>
        <w:rPr>
          <w:rFonts w:hint="eastAsia" w:eastAsia="仿宋_GB2312"/>
        </w:rPr>
      </w:pPr>
      <w:r>
        <w:rPr>
          <w:rFonts w:hint="eastAsia" w:eastAsia="仿宋_GB2312"/>
        </w:rPr>
        <w:t>2.3.2.3农业污染源</w:t>
      </w:r>
    </w:p>
    <w:p>
      <w:pPr>
        <w:spacing w:line="500" w:lineRule="exact"/>
        <w:ind w:firstLine="584" w:firstLineChars="200"/>
        <w:rPr>
          <w:rFonts w:hint="eastAsia"/>
          <w:spacing w:val="6"/>
          <w:szCs w:val="28"/>
        </w:rPr>
      </w:pPr>
      <w:r>
        <w:rPr>
          <w:rFonts w:hint="eastAsia"/>
          <w:spacing w:val="6"/>
          <w:szCs w:val="28"/>
        </w:rPr>
        <w:t>根据2010年污染源普查统计结果，昆山市农业排放COD、氨氮、总氮、总磷分别为2807吨/年、211.5吨/年、1027.4吨/年、126.2吨/年。</w:t>
      </w:r>
    </w:p>
    <w:p>
      <w:pPr>
        <w:spacing w:line="500" w:lineRule="exact"/>
        <w:jc w:val="center"/>
        <w:rPr>
          <w:rFonts w:hint="eastAsia"/>
          <w:spacing w:val="6"/>
          <w:szCs w:val="28"/>
        </w:rPr>
      </w:pPr>
      <w:bookmarkStart w:id="34" w:name="OLE_LINK6"/>
      <w:r>
        <w:rPr>
          <w:spacing w:val="6"/>
          <w:szCs w:val="28"/>
        </w:rPr>
        <w:t>表</w:t>
      </w:r>
      <w:r>
        <w:rPr>
          <w:rFonts w:hint="eastAsia"/>
          <w:spacing w:val="6"/>
          <w:szCs w:val="28"/>
        </w:rPr>
        <w:t>2</w:t>
      </w:r>
      <w:r>
        <w:rPr>
          <w:spacing w:val="6"/>
          <w:szCs w:val="28"/>
        </w:rPr>
        <w:t>.3-</w:t>
      </w:r>
      <w:r>
        <w:rPr>
          <w:rFonts w:hint="eastAsia"/>
          <w:spacing w:val="6"/>
          <w:szCs w:val="28"/>
        </w:rPr>
        <w:t>2</w:t>
      </w:r>
      <w:r>
        <w:rPr>
          <w:spacing w:val="6"/>
          <w:szCs w:val="28"/>
        </w:rPr>
        <w:t xml:space="preserve">  </w:t>
      </w:r>
      <w:r>
        <w:rPr>
          <w:rFonts w:hint="eastAsia"/>
          <w:spacing w:val="6"/>
          <w:szCs w:val="28"/>
        </w:rPr>
        <w:t>2010</w:t>
      </w:r>
      <w:r>
        <w:rPr>
          <w:spacing w:val="6"/>
          <w:szCs w:val="28"/>
        </w:rPr>
        <w:t>年</w:t>
      </w:r>
      <w:r>
        <w:rPr>
          <w:rFonts w:hint="eastAsia"/>
          <w:spacing w:val="6"/>
          <w:szCs w:val="28"/>
        </w:rPr>
        <w:t>昆山市农业污染源排放量（吨/年）</w:t>
      </w:r>
    </w:p>
    <w:tbl>
      <w:tblPr>
        <w:tblStyle w:val="33"/>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0" w:type="dxa"/>
          <w:bottom w:w="0" w:type="dxa"/>
          <w:right w:w="0" w:type="dxa"/>
        </w:tblCellMar>
      </w:tblPr>
      <w:tblGrid>
        <w:gridCol w:w="2826"/>
        <w:gridCol w:w="1251"/>
        <w:gridCol w:w="1251"/>
        <w:gridCol w:w="1412"/>
        <w:gridCol w:w="159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jc w:val="center"/>
        </w:trPr>
        <w:tc>
          <w:tcPr>
            <w:tcW w:w="1695"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类型</w:t>
            </w:r>
          </w:p>
        </w:tc>
        <w:tc>
          <w:tcPr>
            <w:tcW w:w="750"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rFonts w:hint="eastAsia"/>
                <w:sz w:val="21"/>
                <w:szCs w:val="21"/>
              </w:rPr>
              <w:t>COD排放量</w:t>
            </w:r>
          </w:p>
        </w:tc>
        <w:tc>
          <w:tcPr>
            <w:tcW w:w="750"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rFonts w:hint="eastAsia"/>
                <w:sz w:val="21"/>
                <w:szCs w:val="21"/>
              </w:rPr>
              <w:t>氨氮排放量</w:t>
            </w:r>
          </w:p>
        </w:tc>
        <w:tc>
          <w:tcPr>
            <w:tcW w:w="847"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rFonts w:hint="eastAsia"/>
                <w:sz w:val="21"/>
                <w:szCs w:val="21"/>
              </w:rPr>
              <w:t>总氮排放量</w:t>
            </w:r>
          </w:p>
        </w:tc>
        <w:tc>
          <w:tcPr>
            <w:tcW w:w="958"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rFonts w:hint="eastAsia"/>
                <w:sz w:val="21"/>
                <w:szCs w:val="21"/>
              </w:rPr>
              <w:t>总磷排放量</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jc w:val="center"/>
        </w:trPr>
        <w:tc>
          <w:tcPr>
            <w:tcW w:w="1695"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rFonts w:hint="eastAsia"/>
                <w:sz w:val="21"/>
                <w:szCs w:val="21"/>
              </w:rPr>
              <w:t>种植业</w:t>
            </w:r>
          </w:p>
        </w:tc>
        <w:tc>
          <w:tcPr>
            <w:tcW w:w="750"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w:t>
            </w:r>
          </w:p>
        </w:tc>
        <w:tc>
          <w:tcPr>
            <w:tcW w:w="750"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69.7</w:t>
            </w:r>
          </w:p>
        </w:tc>
        <w:tc>
          <w:tcPr>
            <w:tcW w:w="847"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368.5</w:t>
            </w:r>
          </w:p>
        </w:tc>
        <w:tc>
          <w:tcPr>
            <w:tcW w:w="958"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25.2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jc w:val="center"/>
        </w:trPr>
        <w:tc>
          <w:tcPr>
            <w:tcW w:w="1695"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rFonts w:hint="eastAsia"/>
                <w:sz w:val="21"/>
                <w:szCs w:val="21"/>
              </w:rPr>
              <w:t>畜禽养殖</w:t>
            </w:r>
          </w:p>
        </w:tc>
        <w:tc>
          <w:tcPr>
            <w:tcW w:w="750"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1233.3</w:t>
            </w:r>
          </w:p>
        </w:tc>
        <w:tc>
          <w:tcPr>
            <w:tcW w:w="750"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96.5</w:t>
            </w:r>
          </w:p>
        </w:tc>
        <w:tc>
          <w:tcPr>
            <w:tcW w:w="847"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407.3</w:t>
            </w:r>
          </w:p>
        </w:tc>
        <w:tc>
          <w:tcPr>
            <w:tcW w:w="958"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59.4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jc w:val="center"/>
        </w:trPr>
        <w:tc>
          <w:tcPr>
            <w:tcW w:w="1695"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rFonts w:hint="eastAsia"/>
                <w:sz w:val="21"/>
                <w:szCs w:val="21"/>
              </w:rPr>
              <w:t>水产养殖</w:t>
            </w:r>
          </w:p>
        </w:tc>
        <w:tc>
          <w:tcPr>
            <w:tcW w:w="750"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1573.6</w:t>
            </w:r>
          </w:p>
        </w:tc>
        <w:tc>
          <w:tcPr>
            <w:tcW w:w="750"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45.3</w:t>
            </w:r>
          </w:p>
        </w:tc>
        <w:tc>
          <w:tcPr>
            <w:tcW w:w="847"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251.6</w:t>
            </w:r>
          </w:p>
        </w:tc>
        <w:tc>
          <w:tcPr>
            <w:tcW w:w="958"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41.6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jc w:val="center"/>
        </w:trPr>
        <w:tc>
          <w:tcPr>
            <w:tcW w:w="1695"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合计</w:t>
            </w:r>
          </w:p>
        </w:tc>
        <w:tc>
          <w:tcPr>
            <w:tcW w:w="750"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2807</w:t>
            </w:r>
          </w:p>
        </w:tc>
        <w:tc>
          <w:tcPr>
            <w:tcW w:w="750"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211.5</w:t>
            </w:r>
          </w:p>
        </w:tc>
        <w:tc>
          <w:tcPr>
            <w:tcW w:w="847"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1027.4</w:t>
            </w:r>
          </w:p>
        </w:tc>
        <w:tc>
          <w:tcPr>
            <w:tcW w:w="958"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126.2</w:t>
            </w:r>
          </w:p>
        </w:tc>
      </w:tr>
      <w:bookmarkEnd w:id="34"/>
    </w:tbl>
    <w:p>
      <w:pPr>
        <w:pStyle w:val="5"/>
        <w:ind w:left="0"/>
        <w:rPr>
          <w:rFonts w:eastAsia="仿宋_GB2312"/>
        </w:rPr>
      </w:pPr>
      <w:r>
        <w:rPr>
          <w:rFonts w:hint="eastAsia" w:eastAsia="仿宋_GB2312"/>
        </w:rPr>
        <w:t>2.3.2.4流动污染源</w:t>
      </w:r>
    </w:p>
    <w:p>
      <w:pPr>
        <w:spacing w:line="500" w:lineRule="exact"/>
        <w:ind w:firstLine="560" w:firstLineChars="200"/>
        <w:rPr>
          <w:rFonts w:hint="eastAsia"/>
        </w:rPr>
      </w:pPr>
      <w:r>
        <w:t>20</w:t>
      </w:r>
      <w:r>
        <w:rPr>
          <w:rFonts w:hint="eastAsia"/>
        </w:rPr>
        <w:t>10</w:t>
      </w:r>
      <w:r>
        <w:t>年</w:t>
      </w:r>
      <w:bookmarkStart w:id="35" w:name="OLE_LINK1"/>
      <w:bookmarkStart w:id="36" w:name="OLE_LINK7"/>
      <w:r>
        <w:t>昆山市机动车保有量</w:t>
      </w:r>
      <w:bookmarkEnd w:id="35"/>
      <w:bookmarkEnd w:id="36"/>
      <w:r>
        <w:t>为261729辆，比2005年增加</w:t>
      </w:r>
      <w:r>
        <w:rPr>
          <w:rFonts w:hint="eastAsia"/>
        </w:rPr>
        <w:t>110339</w:t>
      </w:r>
      <w:r>
        <w:t>辆。汽车的增长速度比较快，2005年为59061辆，20</w:t>
      </w:r>
      <w:r>
        <w:rPr>
          <w:rFonts w:hint="eastAsia"/>
        </w:rPr>
        <w:t>10</w:t>
      </w:r>
      <w:r>
        <w:t>年增加到了181205辆，增加了</w:t>
      </w:r>
      <w:r>
        <w:rPr>
          <w:rFonts w:hint="eastAsia"/>
        </w:rPr>
        <w:t>207</w:t>
      </w:r>
      <w:r>
        <w:t>%。</w:t>
      </w:r>
    </w:p>
    <w:p>
      <w:pPr>
        <w:spacing w:line="500" w:lineRule="exact"/>
        <w:ind w:firstLine="560" w:firstLineChars="200"/>
        <w:rPr>
          <w:rFonts w:hint="eastAsia"/>
        </w:rPr>
      </w:pPr>
      <w:r>
        <w:rPr>
          <w:rFonts w:hint="eastAsia"/>
        </w:rPr>
        <w:t>具体见表2.3-3。</w:t>
      </w:r>
    </w:p>
    <w:p>
      <w:pPr>
        <w:spacing w:line="500" w:lineRule="exact"/>
        <w:ind w:firstLine="560" w:firstLineChars="200"/>
        <w:jc w:val="center"/>
      </w:pPr>
      <w:r>
        <w:t>表</w:t>
      </w:r>
      <w:r>
        <w:rPr>
          <w:rFonts w:hint="eastAsia"/>
        </w:rPr>
        <w:t>2</w:t>
      </w:r>
      <w:r>
        <w:t>.3-</w:t>
      </w:r>
      <w:r>
        <w:rPr>
          <w:rFonts w:hint="eastAsia"/>
        </w:rPr>
        <w:t>3</w:t>
      </w:r>
      <w:r>
        <w:t xml:space="preserve">  2005-2009年机动车保有量（单位：辆）</w:t>
      </w:r>
    </w:p>
    <w:tbl>
      <w:tblPr>
        <w:tblStyle w:val="33"/>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0" w:type="dxa"/>
          <w:bottom w:w="0" w:type="dxa"/>
          <w:right w:w="0" w:type="dxa"/>
        </w:tblCellMar>
      </w:tblPr>
      <w:tblGrid>
        <w:gridCol w:w="2826"/>
        <w:gridCol w:w="1251"/>
        <w:gridCol w:w="1251"/>
        <w:gridCol w:w="1412"/>
        <w:gridCol w:w="159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jc w:val="center"/>
        </w:trPr>
        <w:tc>
          <w:tcPr>
            <w:tcW w:w="1695" w:type="pct"/>
            <w:shd w:val="clear" w:color="auto" w:fill="auto"/>
            <w:noWrap w:val="0"/>
            <w:tcMar>
              <w:top w:w="13" w:type="dxa"/>
              <w:left w:w="13" w:type="dxa"/>
              <w:bottom w:w="0" w:type="dxa"/>
              <w:right w:w="13" w:type="dxa"/>
            </w:tcMar>
            <w:vAlign w:val="center"/>
          </w:tcPr>
          <w:p>
            <w:pPr>
              <w:spacing w:line="240" w:lineRule="auto"/>
              <w:jc w:val="center"/>
              <w:rPr>
                <w:sz w:val="21"/>
                <w:szCs w:val="21"/>
              </w:rPr>
            </w:pPr>
            <w:bookmarkStart w:id="37" w:name="OLE_LINK19"/>
            <w:r>
              <w:rPr>
                <w:sz w:val="21"/>
                <w:szCs w:val="21"/>
              </w:rPr>
              <w:t>年份</w:t>
            </w:r>
          </w:p>
        </w:tc>
        <w:tc>
          <w:tcPr>
            <w:tcW w:w="750"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机动车</w:t>
            </w:r>
          </w:p>
        </w:tc>
        <w:tc>
          <w:tcPr>
            <w:tcW w:w="750"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汽车</w:t>
            </w:r>
          </w:p>
        </w:tc>
        <w:tc>
          <w:tcPr>
            <w:tcW w:w="847"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摩托车</w:t>
            </w:r>
          </w:p>
        </w:tc>
        <w:tc>
          <w:tcPr>
            <w:tcW w:w="958"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其他机动车</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jc w:val="center"/>
        </w:trPr>
        <w:tc>
          <w:tcPr>
            <w:tcW w:w="1695"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2005</w:t>
            </w:r>
          </w:p>
        </w:tc>
        <w:tc>
          <w:tcPr>
            <w:tcW w:w="750"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151390</w:t>
            </w:r>
          </w:p>
        </w:tc>
        <w:tc>
          <w:tcPr>
            <w:tcW w:w="750"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59061</w:t>
            </w:r>
          </w:p>
        </w:tc>
        <w:tc>
          <w:tcPr>
            <w:tcW w:w="847"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91993</w:t>
            </w:r>
          </w:p>
        </w:tc>
        <w:tc>
          <w:tcPr>
            <w:tcW w:w="958"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474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jc w:val="center"/>
        </w:trPr>
        <w:tc>
          <w:tcPr>
            <w:tcW w:w="1695"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2006</w:t>
            </w:r>
          </w:p>
        </w:tc>
        <w:tc>
          <w:tcPr>
            <w:tcW w:w="750"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167091</w:t>
            </w:r>
          </w:p>
        </w:tc>
        <w:tc>
          <w:tcPr>
            <w:tcW w:w="750"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74856</w:t>
            </w:r>
          </w:p>
        </w:tc>
        <w:tc>
          <w:tcPr>
            <w:tcW w:w="847"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90459</w:t>
            </w:r>
          </w:p>
        </w:tc>
        <w:tc>
          <w:tcPr>
            <w:tcW w:w="958"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1776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jc w:val="center"/>
        </w:trPr>
        <w:tc>
          <w:tcPr>
            <w:tcW w:w="1695"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2007</w:t>
            </w:r>
          </w:p>
        </w:tc>
        <w:tc>
          <w:tcPr>
            <w:tcW w:w="750"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187429</w:t>
            </w:r>
          </w:p>
        </w:tc>
        <w:tc>
          <w:tcPr>
            <w:tcW w:w="750"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95286</w:t>
            </w:r>
          </w:p>
        </w:tc>
        <w:tc>
          <w:tcPr>
            <w:tcW w:w="847"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89209</w:t>
            </w:r>
          </w:p>
        </w:tc>
        <w:tc>
          <w:tcPr>
            <w:tcW w:w="958"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2934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jc w:val="center"/>
        </w:trPr>
        <w:tc>
          <w:tcPr>
            <w:tcW w:w="1695"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2008</w:t>
            </w:r>
          </w:p>
        </w:tc>
        <w:tc>
          <w:tcPr>
            <w:tcW w:w="750"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204105</w:t>
            </w:r>
          </w:p>
        </w:tc>
        <w:tc>
          <w:tcPr>
            <w:tcW w:w="750"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113618</w:t>
            </w:r>
          </w:p>
        </w:tc>
        <w:tc>
          <w:tcPr>
            <w:tcW w:w="847"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88422</w:t>
            </w:r>
          </w:p>
        </w:tc>
        <w:tc>
          <w:tcPr>
            <w:tcW w:w="958"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2065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jc w:val="center"/>
        </w:trPr>
        <w:tc>
          <w:tcPr>
            <w:tcW w:w="1695"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2009</w:t>
            </w:r>
          </w:p>
        </w:tc>
        <w:tc>
          <w:tcPr>
            <w:tcW w:w="750"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226905</w:t>
            </w:r>
          </w:p>
        </w:tc>
        <w:tc>
          <w:tcPr>
            <w:tcW w:w="750"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144369</w:t>
            </w:r>
          </w:p>
        </w:tc>
        <w:tc>
          <w:tcPr>
            <w:tcW w:w="847"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80530</w:t>
            </w:r>
          </w:p>
        </w:tc>
        <w:tc>
          <w:tcPr>
            <w:tcW w:w="958"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2006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jc w:val="center"/>
        </w:trPr>
        <w:tc>
          <w:tcPr>
            <w:tcW w:w="1695"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2010</w:t>
            </w:r>
          </w:p>
        </w:tc>
        <w:tc>
          <w:tcPr>
            <w:tcW w:w="750"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261729</w:t>
            </w:r>
          </w:p>
        </w:tc>
        <w:tc>
          <w:tcPr>
            <w:tcW w:w="750"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181205</w:t>
            </w:r>
          </w:p>
        </w:tc>
        <w:tc>
          <w:tcPr>
            <w:tcW w:w="847"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9259</w:t>
            </w:r>
          </w:p>
        </w:tc>
        <w:tc>
          <w:tcPr>
            <w:tcW w:w="958"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2246</w:t>
            </w:r>
          </w:p>
        </w:tc>
      </w:tr>
      <w:bookmarkEnd w:id="37"/>
    </w:tbl>
    <w:p>
      <w:pPr>
        <w:pStyle w:val="5"/>
        <w:ind w:left="0"/>
        <w:rPr>
          <w:rFonts w:eastAsia="仿宋_GB2312"/>
        </w:rPr>
      </w:pPr>
      <w:r>
        <w:rPr>
          <w:rFonts w:hint="eastAsia" w:eastAsia="仿宋_GB2312"/>
        </w:rPr>
        <w:t>2.3.2.5总结</w:t>
      </w:r>
    </w:p>
    <w:p>
      <w:pPr>
        <w:spacing w:line="500" w:lineRule="exact"/>
        <w:ind w:firstLine="560" w:firstLineChars="200"/>
        <w:rPr>
          <w:rFonts w:hint="eastAsia"/>
        </w:rPr>
      </w:pPr>
      <w:r>
        <w:rPr>
          <w:rFonts w:hint="eastAsia"/>
        </w:rPr>
        <w:t>根据上述分析，昆山市2010年排放污染物汇总见表2.3-4、2.3-5。</w:t>
      </w:r>
    </w:p>
    <w:p>
      <w:pPr>
        <w:spacing w:line="500" w:lineRule="exact"/>
        <w:jc w:val="center"/>
        <w:rPr>
          <w:rFonts w:hint="eastAsia"/>
          <w:spacing w:val="6"/>
          <w:szCs w:val="28"/>
        </w:rPr>
      </w:pPr>
      <w:r>
        <w:rPr>
          <w:spacing w:val="6"/>
          <w:szCs w:val="28"/>
        </w:rPr>
        <w:t>表</w:t>
      </w:r>
      <w:r>
        <w:rPr>
          <w:rFonts w:hint="eastAsia"/>
          <w:spacing w:val="6"/>
          <w:szCs w:val="28"/>
        </w:rPr>
        <w:t>2</w:t>
      </w:r>
      <w:r>
        <w:rPr>
          <w:spacing w:val="6"/>
          <w:szCs w:val="28"/>
        </w:rPr>
        <w:t>.3-</w:t>
      </w:r>
      <w:r>
        <w:rPr>
          <w:rFonts w:hint="eastAsia"/>
          <w:spacing w:val="6"/>
          <w:szCs w:val="28"/>
        </w:rPr>
        <w:t>4</w:t>
      </w:r>
      <w:r>
        <w:rPr>
          <w:spacing w:val="6"/>
          <w:szCs w:val="28"/>
        </w:rPr>
        <w:t xml:space="preserve">  </w:t>
      </w:r>
      <w:r>
        <w:rPr>
          <w:rFonts w:hint="eastAsia"/>
          <w:spacing w:val="6"/>
          <w:szCs w:val="28"/>
        </w:rPr>
        <w:t>2010</w:t>
      </w:r>
      <w:r>
        <w:rPr>
          <w:spacing w:val="6"/>
          <w:szCs w:val="28"/>
        </w:rPr>
        <w:t>年</w:t>
      </w:r>
      <w:r>
        <w:rPr>
          <w:rFonts w:hint="eastAsia"/>
          <w:spacing w:val="6"/>
          <w:szCs w:val="28"/>
        </w:rPr>
        <w:t>昆山市水污染物排放量（吨/年）</w:t>
      </w:r>
    </w:p>
    <w:tbl>
      <w:tblPr>
        <w:tblStyle w:val="33"/>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0" w:type="dxa"/>
          <w:bottom w:w="0" w:type="dxa"/>
          <w:right w:w="0" w:type="dxa"/>
        </w:tblCellMar>
      </w:tblPr>
      <w:tblGrid>
        <w:gridCol w:w="1202"/>
        <w:gridCol w:w="978"/>
        <w:gridCol w:w="1217"/>
        <w:gridCol w:w="1287"/>
        <w:gridCol w:w="1217"/>
        <w:gridCol w:w="1217"/>
        <w:gridCol w:w="121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jc w:val="center"/>
        </w:trPr>
        <w:tc>
          <w:tcPr>
            <w:tcW w:w="1308" w:type="pct"/>
            <w:gridSpan w:val="2"/>
            <w:shd w:val="clear" w:color="auto" w:fill="auto"/>
            <w:noWrap w:val="0"/>
            <w:vAlign w:val="center"/>
          </w:tcPr>
          <w:p>
            <w:pPr>
              <w:spacing w:line="240" w:lineRule="auto"/>
              <w:jc w:val="center"/>
              <w:rPr>
                <w:rFonts w:hint="eastAsia"/>
                <w:sz w:val="21"/>
                <w:szCs w:val="21"/>
              </w:rPr>
            </w:pPr>
            <w:r>
              <w:rPr>
                <w:rFonts w:hint="eastAsia"/>
                <w:sz w:val="21"/>
                <w:szCs w:val="21"/>
              </w:rPr>
              <w:t>类型</w:t>
            </w:r>
          </w:p>
        </w:tc>
        <w:tc>
          <w:tcPr>
            <w:tcW w:w="730" w:type="pct"/>
            <w:tcBorders>
              <w:right w:val="single" w:color="auto" w:sz="4" w:space="0"/>
            </w:tcBorders>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废水排放量</w:t>
            </w:r>
          </w:p>
        </w:tc>
        <w:tc>
          <w:tcPr>
            <w:tcW w:w="772" w:type="pct"/>
            <w:tcBorders>
              <w:left w:val="single" w:color="auto" w:sz="4" w:space="0"/>
            </w:tcBorders>
            <w:shd w:val="clear" w:color="auto" w:fill="auto"/>
            <w:noWrap w:val="0"/>
            <w:vAlign w:val="center"/>
          </w:tcPr>
          <w:p>
            <w:pPr>
              <w:spacing w:line="240" w:lineRule="auto"/>
              <w:jc w:val="center"/>
              <w:rPr>
                <w:sz w:val="21"/>
                <w:szCs w:val="21"/>
              </w:rPr>
            </w:pPr>
            <w:r>
              <w:rPr>
                <w:rFonts w:hint="eastAsia"/>
                <w:sz w:val="21"/>
                <w:szCs w:val="21"/>
              </w:rPr>
              <w:t>COD排放量</w:t>
            </w:r>
          </w:p>
        </w:tc>
        <w:tc>
          <w:tcPr>
            <w:tcW w:w="730"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rFonts w:hint="eastAsia"/>
                <w:sz w:val="21"/>
                <w:szCs w:val="21"/>
              </w:rPr>
              <w:t>氨氮排放量</w:t>
            </w:r>
          </w:p>
        </w:tc>
        <w:tc>
          <w:tcPr>
            <w:tcW w:w="730"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rFonts w:hint="eastAsia"/>
                <w:sz w:val="21"/>
                <w:szCs w:val="21"/>
              </w:rPr>
              <w:t>总氮排放量</w:t>
            </w:r>
          </w:p>
        </w:tc>
        <w:tc>
          <w:tcPr>
            <w:tcW w:w="729"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rFonts w:hint="eastAsia"/>
                <w:sz w:val="21"/>
                <w:szCs w:val="21"/>
              </w:rPr>
              <w:t>总磷排放量</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jc w:val="center"/>
        </w:trPr>
        <w:tc>
          <w:tcPr>
            <w:tcW w:w="1308" w:type="pct"/>
            <w:gridSpan w:val="2"/>
            <w:shd w:val="clear" w:color="auto" w:fill="auto"/>
            <w:noWrap w:val="0"/>
            <w:vAlign w:val="center"/>
          </w:tcPr>
          <w:p>
            <w:pPr>
              <w:spacing w:line="240" w:lineRule="auto"/>
              <w:jc w:val="center"/>
              <w:rPr>
                <w:rFonts w:hint="eastAsia"/>
                <w:sz w:val="21"/>
                <w:szCs w:val="21"/>
              </w:rPr>
            </w:pPr>
            <w:r>
              <w:rPr>
                <w:rFonts w:hint="eastAsia"/>
                <w:sz w:val="21"/>
                <w:szCs w:val="21"/>
              </w:rPr>
              <w:t>工业污染源</w:t>
            </w:r>
          </w:p>
        </w:tc>
        <w:tc>
          <w:tcPr>
            <w:tcW w:w="730" w:type="pct"/>
            <w:tcBorders>
              <w:right w:val="single" w:color="auto" w:sz="4" w:space="0"/>
            </w:tcBorders>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sz w:val="21"/>
                <w:szCs w:val="21"/>
              </w:rPr>
              <w:t>7044.89</w:t>
            </w:r>
            <w:r>
              <w:rPr>
                <w:rFonts w:hint="eastAsia"/>
                <w:sz w:val="21"/>
                <w:szCs w:val="21"/>
              </w:rPr>
              <w:t>万</w:t>
            </w:r>
          </w:p>
        </w:tc>
        <w:tc>
          <w:tcPr>
            <w:tcW w:w="772" w:type="pct"/>
            <w:tcBorders>
              <w:left w:val="single" w:color="auto" w:sz="4" w:space="0"/>
            </w:tcBorders>
            <w:shd w:val="clear" w:color="auto" w:fill="auto"/>
            <w:noWrap w:val="0"/>
            <w:vAlign w:val="center"/>
          </w:tcPr>
          <w:p>
            <w:pPr>
              <w:spacing w:line="240" w:lineRule="auto"/>
              <w:jc w:val="center"/>
              <w:rPr>
                <w:rFonts w:hint="eastAsia"/>
                <w:sz w:val="21"/>
                <w:szCs w:val="21"/>
              </w:rPr>
            </w:pPr>
            <w:r>
              <w:rPr>
                <w:sz w:val="21"/>
                <w:szCs w:val="21"/>
              </w:rPr>
              <w:t>6533.89</w:t>
            </w:r>
          </w:p>
        </w:tc>
        <w:tc>
          <w:tcPr>
            <w:tcW w:w="730"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sz w:val="21"/>
                <w:szCs w:val="21"/>
              </w:rPr>
              <w:t>576.53</w:t>
            </w:r>
          </w:p>
        </w:tc>
        <w:tc>
          <w:tcPr>
            <w:tcW w:w="730"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w:t>
            </w:r>
          </w:p>
        </w:tc>
        <w:tc>
          <w:tcPr>
            <w:tcW w:w="729"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jc w:val="center"/>
        </w:trPr>
        <w:tc>
          <w:tcPr>
            <w:tcW w:w="721" w:type="pct"/>
            <w:vMerge w:val="restart"/>
            <w:shd w:val="clear" w:color="auto" w:fill="auto"/>
            <w:noWrap w:val="0"/>
            <w:vAlign w:val="center"/>
          </w:tcPr>
          <w:p>
            <w:pPr>
              <w:spacing w:line="240" w:lineRule="auto"/>
              <w:jc w:val="center"/>
              <w:rPr>
                <w:rFonts w:hint="eastAsia"/>
                <w:sz w:val="21"/>
                <w:szCs w:val="21"/>
              </w:rPr>
            </w:pPr>
            <w:r>
              <w:rPr>
                <w:rFonts w:hint="eastAsia"/>
                <w:sz w:val="21"/>
                <w:szCs w:val="21"/>
              </w:rPr>
              <w:t>农业污染源</w:t>
            </w:r>
          </w:p>
        </w:tc>
        <w:tc>
          <w:tcPr>
            <w:tcW w:w="587"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rFonts w:hint="eastAsia"/>
                <w:sz w:val="21"/>
                <w:szCs w:val="21"/>
              </w:rPr>
              <w:t>种植业</w:t>
            </w:r>
          </w:p>
        </w:tc>
        <w:tc>
          <w:tcPr>
            <w:tcW w:w="730" w:type="pct"/>
            <w:tcBorders>
              <w:right w:val="single" w:color="auto" w:sz="4" w:space="0"/>
            </w:tcBorders>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w:t>
            </w:r>
          </w:p>
        </w:tc>
        <w:tc>
          <w:tcPr>
            <w:tcW w:w="772" w:type="pct"/>
            <w:tcBorders>
              <w:left w:val="single" w:color="auto" w:sz="4" w:space="0"/>
            </w:tcBorders>
            <w:shd w:val="clear" w:color="auto" w:fill="auto"/>
            <w:noWrap w:val="0"/>
            <w:vAlign w:val="center"/>
          </w:tcPr>
          <w:p>
            <w:pPr>
              <w:jc w:val="center"/>
              <w:rPr>
                <w:rFonts w:hint="eastAsia"/>
                <w:sz w:val="21"/>
                <w:szCs w:val="21"/>
              </w:rPr>
            </w:pPr>
            <w:r>
              <w:rPr>
                <w:rFonts w:hint="eastAsia"/>
                <w:sz w:val="21"/>
                <w:szCs w:val="21"/>
              </w:rPr>
              <w:t>/</w:t>
            </w:r>
          </w:p>
        </w:tc>
        <w:tc>
          <w:tcPr>
            <w:tcW w:w="730"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69.7</w:t>
            </w:r>
          </w:p>
        </w:tc>
        <w:tc>
          <w:tcPr>
            <w:tcW w:w="730"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368.5</w:t>
            </w:r>
          </w:p>
        </w:tc>
        <w:tc>
          <w:tcPr>
            <w:tcW w:w="729"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25.2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jc w:val="center"/>
        </w:trPr>
        <w:tc>
          <w:tcPr>
            <w:tcW w:w="721" w:type="pct"/>
            <w:vMerge w:val="continue"/>
            <w:shd w:val="clear" w:color="auto" w:fill="auto"/>
            <w:noWrap w:val="0"/>
            <w:vAlign w:val="center"/>
          </w:tcPr>
          <w:p>
            <w:pPr>
              <w:spacing w:line="240" w:lineRule="auto"/>
              <w:jc w:val="center"/>
              <w:rPr>
                <w:rFonts w:hint="eastAsia"/>
                <w:sz w:val="21"/>
                <w:szCs w:val="21"/>
              </w:rPr>
            </w:pPr>
          </w:p>
        </w:tc>
        <w:tc>
          <w:tcPr>
            <w:tcW w:w="587"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rFonts w:hint="eastAsia"/>
                <w:sz w:val="21"/>
                <w:szCs w:val="21"/>
              </w:rPr>
              <w:t>畜禽养殖</w:t>
            </w:r>
          </w:p>
        </w:tc>
        <w:tc>
          <w:tcPr>
            <w:tcW w:w="730" w:type="pct"/>
            <w:tcBorders>
              <w:right w:val="single" w:color="auto" w:sz="4" w:space="0"/>
            </w:tcBorders>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w:t>
            </w:r>
          </w:p>
        </w:tc>
        <w:tc>
          <w:tcPr>
            <w:tcW w:w="772" w:type="pct"/>
            <w:tcBorders>
              <w:left w:val="single" w:color="auto" w:sz="4" w:space="0"/>
            </w:tcBorders>
            <w:shd w:val="clear" w:color="auto" w:fill="auto"/>
            <w:noWrap w:val="0"/>
            <w:vAlign w:val="center"/>
          </w:tcPr>
          <w:p>
            <w:pPr>
              <w:spacing w:line="240" w:lineRule="auto"/>
              <w:jc w:val="center"/>
              <w:rPr>
                <w:rFonts w:hint="eastAsia"/>
                <w:sz w:val="21"/>
                <w:szCs w:val="21"/>
              </w:rPr>
            </w:pPr>
            <w:r>
              <w:rPr>
                <w:rFonts w:hint="eastAsia"/>
                <w:sz w:val="21"/>
                <w:szCs w:val="21"/>
              </w:rPr>
              <w:t>1233.3</w:t>
            </w:r>
          </w:p>
        </w:tc>
        <w:tc>
          <w:tcPr>
            <w:tcW w:w="730"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96.5</w:t>
            </w:r>
          </w:p>
        </w:tc>
        <w:tc>
          <w:tcPr>
            <w:tcW w:w="730"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407.3</w:t>
            </w:r>
          </w:p>
        </w:tc>
        <w:tc>
          <w:tcPr>
            <w:tcW w:w="729"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59.4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jc w:val="center"/>
        </w:trPr>
        <w:tc>
          <w:tcPr>
            <w:tcW w:w="721" w:type="pct"/>
            <w:vMerge w:val="continue"/>
            <w:shd w:val="clear" w:color="auto" w:fill="auto"/>
            <w:noWrap w:val="0"/>
            <w:vAlign w:val="center"/>
          </w:tcPr>
          <w:p>
            <w:pPr>
              <w:spacing w:line="240" w:lineRule="auto"/>
              <w:jc w:val="center"/>
              <w:rPr>
                <w:rFonts w:hint="eastAsia"/>
                <w:sz w:val="21"/>
                <w:szCs w:val="21"/>
              </w:rPr>
            </w:pPr>
          </w:p>
        </w:tc>
        <w:tc>
          <w:tcPr>
            <w:tcW w:w="587"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rFonts w:hint="eastAsia"/>
                <w:sz w:val="21"/>
                <w:szCs w:val="21"/>
              </w:rPr>
              <w:t>水产养殖</w:t>
            </w:r>
          </w:p>
        </w:tc>
        <w:tc>
          <w:tcPr>
            <w:tcW w:w="730" w:type="pct"/>
            <w:tcBorders>
              <w:right w:val="single" w:color="auto" w:sz="4" w:space="0"/>
            </w:tcBorders>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w:t>
            </w:r>
          </w:p>
        </w:tc>
        <w:tc>
          <w:tcPr>
            <w:tcW w:w="772" w:type="pct"/>
            <w:tcBorders>
              <w:left w:val="single" w:color="auto" w:sz="4" w:space="0"/>
            </w:tcBorders>
            <w:shd w:val="clear" w:color="auto" w:fill="auto"/>
            <w:noWrap w:val="0"/>
            <w:vAlign w:val="center"/>
          </w:tcPr>
          <w:p>
            <w:pPr>
              <w:spacing w:line="240" w:lineRule="auto"/>
              <w:jc w:val="center"/>
              <w:rPr>
                <w:rFonts w:hint="eastAsia"/>
                <w:sz w:val="21"/>
                <w:szCs w:val="21"/>
              </w:rPr>
            </w:pPr>
            <w:r>
              <w:rPr>
                <w:rFonts w:hint="eastAsia"/>
                <w:sz w:val="21"/>
                <w:szCs w:val="21"/>
              </w:rPr>
              <w:t>1573.6</w:t>
            </w:r>
          </w:p>
        </w:tc>
        <w:tc>
          <w:tcPr>
            <w:tcW w:w="730"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45.3</w:t>
            </w:r>
          </w:p>
        </w:tc>
        <w:tc>
          <w:tcPr>
            <w:tcW w:w="730"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251.6</w:t>
            </w:r>
          </w:p>
        </w:tc>
        <w:tc>
          <w:tcPr>
            <w:tcW w:w="729"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41.6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jc w:val="center"/>
        </w:trPr>
        <w:tc>
          <w:tcPr>
            <w:tcW w:w="721" w:type="pct"/>
            <w:vMerge w:val="continue"/>
            <w:shd w:val="clear" w:color="auto" w:fill="auto"/>
            <w:noWrap w:val="0"/>
            <w:vAlign w:val="center"/>
          </w:tcPr>
          <w:p>
            <w:pPr>
              <w:spacing w:line="240" w:lineRule="auto"/>
              <w:jc w:val="center"/>
              <w:rPr>
                <w:rFonts w:hint="eastAsia"/>
                <w:sz w:val="21"/>
                <w:szCs w:val="21"/>
              </w:rPr>
            </w:pPr>
          </w:p>
        </w:tc>
        <w:tc>
          <w:tcPr>
            <w:tcW w:w="587"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小计</w:t>
            </w:r>
          </w:p>
        </w:tc>
        <w:tc>
          <w:tcPr>
            <w:tcW w:w="730" w:type="pct"/>
            <w:tcBorders>
              <w:right w:val="single" w:color="auto" w:sz="4" w:space="0"/>
            </w:tcBorders>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w:t>
            </w:r>
          </w:p>
        </w:tc>
        <w:tc>
          <w:tcPr>
            <w:tcW w:w="772" w:type="pct"/>
            <w:tcBorders>
              <w:left w:val="single" w:color="auto" w:sz="4" w:space="0"/>
            </w:tcBorders>
            <w:shd w:val="clear" w:color="auto" w:fill="auto"/>
            <w:noWrap w:val="0"/>
            <w:vAlign w:val="center"/>
          </w:tcPr>
          <w:p>
            <w:pPr>
              <w:spacing w:line="240" w:lineRule="auto"/>
              <w:jc w:val="center"/>
              <w:rPr>
                <w:rFonts w:hint="eastAsia"/>
                <w:sz w:val="21"/>
                <w:szCs w:val="21"/>
              </w:rPr>
            </w:pPr>
            <w:r>
              <w:rPr>
                <w:rFonts w:hint="eastAsia"/>
                <w:sz w:val="21"/>
                <w:szCs w:val="21"/>
              </w:rPr>
              <w:t>2807</w:t>
            </w:r>
          </w:p>
        </w:tc>
        <w:tc>
          <w:tcPr>
            <w:tcW w:w="730"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211.5</w:t>
            </w:r>
          </w:p>
        </w:tc>
        <w:tc>
          <w:tcPr>
            <w:tcW w:w="730"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1027.4</w:t>
            </w:r>
          </w:p>
        </w:tc>
        <w:tc>
          <w:tcPr>
            <w:tcW w:w="729"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126.2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jc w:val="center"/>
        </w:trPr>
        <w:tc>
          <w:tcPr>
            <w:tcW w:w="1308" w:type="pct"/>
            <w:gridSpan w:val="2"/>
            <w:shd w:val="clear" w:color="auto" w:fill="auto"/>
            <w:noWrap w:val="0"/>
            <w:vAlign w:val="center"/>
          </w:tcPr>
          <w:p>
            <w:pPr>
              <w:spacing w:line="240" w:lineRule="auto"/>
              <w:jc w:val="center"/>
              <w:rPr>
                <w:rFonts w:hint="eastAsia"/>
                <w:sz w:val="21"/>
                <w:szCs w:val="21"/>
              </w:rPr>
            </w:pPr>
            <w:r>
              <w:rPr>
                <w:rFonts w:hint="eastAsia"/>
                <w:sz w:val="21"/>
                <w:szCs w:val="21"/>
              </w:rPr>
              <w:t>生活污染源</w:t>
            </w:r>
          </w:p>
        </w:tc>
        <w:tc>
          <w:tcPr>
            <w:tcW w:w="730" w:type="pct"/>
            <w:tcBorders>
              <w:right w:val="single" w:color="auto" w:sz="4" w:space="0"/>
            </w:tcBorders>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6375.48万</w:t>
            </w:r>
          </w:p>
        </w:tc>
        <w:tc>
          <w:tcPr>
            <w:tcW w:w="772" w:type="pct"/>
            <w:tcBorders>
              <w:left w:val="single" w:color="auto" w:sz="4" w:space="0"/>
            </w:tcBorders>
            <w:shd w:val="clear" w:color="auto" w:fill="auto"/>
            <w:noWrap w:val="0"/>
            <w:vAlign w:val="center"/>
          </w:tcPr>
          <w:p>
            <w:pPr>
              <w:spacing w:line="240" w:lineRule="auto"/>
              <w:jc w:val="center"/>
              <w:rPr>
                <w:rFonts w:hint="eastAsia"/>
                <w:sz w:val="21"/>
                <w:szCs w:val="21"/>
              </w:rPr>
            </w:pPr>
            <w:r>
              <w:rPr>
                <w:rFonts w:hint="eastAsia"/>
                <w:sz w:val="21"/>
                <w:szCs w:val="21"/>
              </w:rPr>
              <w:t>499.53</w:t>
            </w:r>
          </w:p>
        </w:tc>
        <w:tc>
          <w:tcPr>
            <w:tcW w:w="730"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935.98</w:t>
            </w:r>
          </w:p>
        </w:tc>
        <w:tc>
          <w:tcPr>
            <w:tcW w:w="730"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1434.95</w:t>
            </w:r>
          </w:p>
        </w:tc>
        <w:tc>
          <w:tcPr>
            <w:tcW w:w="729"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101.55</w:t>
            </w:r>
          </w:p>
        </w:tc>
      </w:tr>
    </w:tbl>
    <w:p>
      <w:pPr>
        <w:spacing w:line="500" w:lineRule="exact"/>
        <w:jc w:val="center"/>
        <w:rPr>
          <w:rFonts w:hint="eastAsia"/>
          <w:spacing w:val="6"/>
          <w:szCs w:val="28"/>
        </w:rPr>
      </w:pPr>
      <w:r>
        <w:rPr>
          <w:spacing w:val="6"/>
          <w:szCs w:val="28"/>
        </w:rPr>
        <w:t>表</w:t>
      </w:r>
      <w:r>
        <w:rPr>
          <w:rFonts w:hint="eastAsia"/>
          <w:spacing w:val="6"/>
          <w:szCs w:val="28"/>
        </w:rPr>
        <w:t>2</w:t>
      </w:r>
      <w:r>
        <w:rPr>
          <w:spacing w:val="6"/>
          <w:szCs w:val="28"/>
        </w:rPr>
        <w:t>.3-</w:t>
      </w:r>
      <w:r>
        <w:rPr>
          <w:rFonts w:hint="eastAsia"/>
          <w:spacing w:val="6"/>
          <w:szCs w:val="28"/>
        </w:rPr>
        <w:t>5</w:t>
      </w:r>
      <w:r>
        <w:rPr>
          <w:spacing w:val="6"/>
          <w:szCs w:val="28"/>
        </w:rPr>
        <w:t xml:space="preserve">  </w:t>
      </w:r>
      <w:r>
        <w:rPr>
          <w:rFonts w:hint="eastAsia"/>
          <w:spacing w:val="6"/>
          <w:szCs w:val="28"/>
        </w:rPr>
        <w:t>2010</w:t>
      </w:r>
      <w:r>
        <w:rPr>
          <w:spacing w:val="6"/>
          <w:szCs w:val="28"/>
        </w:rPr>
        <w:t>年</w:t>
      </w:r>
      <w:r>
        <w:rPr>
          <w:rFonts w:hint="eastAsia"/>
          <w:spacing w:val="6"/>
          <w:szCs w:val="28"/>
        </w:rPr>
        <w:t>昆山市大气污染物排放量</w:t>
      </w:r>
    </w:p>
    <w:tbl>
      <w:tblPr>
        <w:tblStyle w:val="33"/>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0" w:type="dxa"/>
          <w:bottom w:w="0" w:type="dxa"/>
          <w:right w:w="0" w:type="dxa"/>
        </w:tblCellMar>
      </w:tblPr>
      <w:tblGrid>
        <w:gridCol w:w="1560"/>
        <w:gridCol w:w="2062"/>
        <w:gridCol w:w="1633"/>
        <w:gridCol w:w="1540"/>
        <w:gridCol w:w="153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jc w:val="center"/>
        </w:trPr>
        <w:tc>
          <w:tcPr>
            <w:tcW w:w="936" w:type="pct"/>
            <w:shd w:val="clear" w:color="auto" w:fill="auto"/>
            <w:noWrap w:val="0"/>
            <w:vAlign w:val="center"/>
          </w:tcPr>
          <w:p>
            <w:pPr>
              <w:spacing w:line="240" w:lineRule="auto"/>
              <w:jc w:val="center"/>
              <w:rPr>
                <w:rFonts w:hint="eastAsia"/>
                <w:sz w:val="21"/>
                <w:szCs w:val="21"/>
              </w:rPr>
            </w:pPr>
            <w:r>
              <w:rPr>
                <w:rFonts w:hint="eastAsia"/>
                <w:sz w:val="21"/>
                <w:szCs w:val="21"/>
              </w:rPr>
              <w:t>类型</w:t>
            </w:r>
          </w:p>
        </w:tc>
        <w:tc>
          <w:tcPr>
            <w:tcW w:w="1237" w:type="pct"/>
            <w:tcBorders>
              <w:right w:val="single" w:color="auto" w:sz="4" w:space="0"/>
            </w:tcBorders>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废气排放量</w:t>
            </w:r>
          </w:p>
        </w:tc>
        <w:tc>
          <w:tcPr>
            <w:tcW w:w="980" w:type="pct"/>
            <w:tcBorders>
              <w:left w:val="single" w:color="auto" w:sz="4" w:space="0"/>
            </w:tcBorders>
            <w:shd w:val="clear" w:color="auto" w:fill="auto"/>
            <w:noWrap w:val="0"/>
            <w:vAlign w:val="center"/>
          </w:tcPr>
          <w:p>
            <w:pPr>
              <w:spacing w:line="240" w:lineRule="auto"/>
              <w:jc w:val="center"/>
              <w:rPr>
                <w:sz w:val="21"/>
                <w:szCs w:val="21"/>
              </w:rPr>
            </w:pPr>
            <w:r>
              <w:rPr>
                <w:sz w:val="21"/>
                <w:szCs w:val="21"/>
              </w:rPr>
              <w:t>SO</w:t>
            </w:r>
            <w:r>
              <w:rPr>
                <w:sz w:val="21"/>
                <w:szCs w:val="21"/>
                <w:vertAlign w:val="subscript"/>
              </w:rPr>
              <w:t>2</w:t>
            </w:r>
            <w:r>
              <w:rPr>
                <w:sz w:val="21"/>
                <w:szCs w:val="21"/>
              </w:rPr>
              <w:t>排放量</w:t>
            </w:r>
          </w:p>
        </w:tc>
        <w:tc>
          <w:tcPr>
            <w:tcW w:w="924" w:type="pct"/>
            <w:shd w:val="clear" w:color="auto" w:fill="auto"/>
            <w:noWrap w:val="0"/>
            <w:vAlign w:val="top"/>
          </w:tcPr>
          <w:p>
            <w:pPr>
              <w:spacing w:line="240" w:lineRule="auto"/>
              <w:jc w:val="center"/>
              <w:rPr>
                <w:sz w:val="21"/>
                <w:szCs w:val="21"/>
              </w:rPr>
            </w:pPr>
            <w:r>
              <w:rPr>
                <w:sz w:val="21"/>
                <w:szCs w:val="21"/>
              </w:rPr>
              <w:t>NO</w:t>
            </w:r>
            <w:r>
              <w:rPr>
                <w:sz w:val="21"/>
                <w:szCs w:val="21"/>
                <w:vertAlign w:val="subscript"/>
              </w:rPr>
              <w:t>x</w:t>
            </w:r>
            <w:r>
              <w:rPr>
                <w:sz w:val="21"/>
                <w:szCs w:val="21"/>
              </w:rPr>
              <w:t>年排放量</w:t>
            </w:r>
          </w:p>
        </w:tc>
        <w:tc>
          <w:tcPr>
            <w:tcW w:w="923" w:type="pct"/>
            <w:shd w:val="clear" w:color="auto" w:fill="auto"/>
            <w:noWrap w:val="0"/>
            <w:tcMar>
              <w:top w:w="13" w:type="dxa"/>
              <w:left w:w="13" w:type="dxa"/>
              <w:bottom w:w="0" w:type="dxa"/>
              <w:right w:w="13" w:type="dxa"/>
            </w:tcMar>
            <w:vAlign w:val="center"/>
          </w:tcPr>
          <w:p>
            <w:pPr>
              <w:spacing w:line="240" w:lineRule="auto"/>
              <w:jc w:val="center"/>
              <w:rPr>
                <w:sz w:val="21"/>
                <w:szCs w:val="21"/>
              </w:rPr>
            </w:pPr>
            <w:r>
              <w:rPr>
                <w:sz w:val="21"/>
                <w:szCs w:val="21"/>
              </w:rPr>
              <w:t>粉尘</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wBefore w:w="0" w:type="dxa"/>
          <w:wAfter w:w="0" w:type="dxa"/>
          <w:jc w:val="center"/>
        </w:trPr>
        <w:tc>
          <w:tcPr>
            <w:tcW w:w="936" w:type="pct"/>
            <w:shd w:val="clear" w:color="auto" w:fill="auto"/>
            <w:noWrap w:val="0"/>
            <w:vAlign w:val="center"/>
          </w:tcPr>
          <w:p>
            <w:pPr>
              <w:spacing w:line="240" w:lineRule="auto"/>
              <w:jc w:val="center"/>
              <w:rPr>
                <w:rFonts w:hint="eastAsia"/>
                <w:sz w:val="21"/>
                <w:szCs w:val="21"/>
              </w:rPr>
            </w:pPr>
            <w:r>
              <w:rPr>
                <w:rFonts w:hint="eastAsia"/>
                <w:sz w:val="21"/>
                <w:szCs w:val="21"/>
              </w:rPr>
              <w:t>工业污染源</w:t>
            </w:r>
          </w:p>
        </w:tc>
        <w:tc>
          <w:tcPr>
            <w:tcW w:w="1237" w:type="pct"/>
            <w:tcBorders>
              <w:right w:val="single" w:color="auto" w:sz="4" w:space="0"/>
            </w:tcBorders>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sz w:val="21"/>
                <w:szCs w:val="21"/>
              </w:rPr>
              <w:t>873</w:t>
            </w:r>
            <w:r>
              <w:rPr>
                <w:rFonts w:hint="eastAsia"/>
                <w:sz w:val="21"/>
                <w:szCs w:val="21"/>
              </w:rPr>
              <w:t>亿标立方米</w:t>
            </w:r>
          </w:p>
        </w:tc>
        <w:tc>
          <w:tcPr>
            <w:tcW w:w="980" w:type="pct"/>
            <w:tcBorders>
              <w:left w:val="single" w:color="auto" w:sz="4" w:space="0"/>
            </w:tcBorders>
            <w:shd w:val="clear" w:color="auto" w:fill="auto"/>
            <w:noWrap w:val="0"/>
            <w:vAlign w:val="center"/>
          </w:tcPr>
          <w:p>
            <w:pPr>
              <w:spacing w:line="240" w:lineRule="auto"/>
              <w:jc w:val="center"/>
              <w:rPr>
                <w:rFonts w:hint="eastAsia"/>
                <w:sz w:val="21"/>
                <w:szCs w:val="21"/>
              </w:rPr>
            </w:pPr>
            <w:r>
              <w:rPr>
                <w:sz w:val="21"/>
                <w:szCs w:val="21"/>
              </w:rPr>
              <w:t>1.1993</w:t>
            </w:r>
            <w:r>
              <w:rPr>
                <w:rFonts w:hint="eastAsia"/>
                <w:sz w:val="21"/>
                <w:szCs w:val="21"/>
              </w:rPr>
              <w:t>万吨</w:t>
            </w:r>
          </w:p>
        </w:tc>
        <w:tc>
          <w:tcPr>
            <w:tcW w:w="924" w:type="pct"/>
            <w:shd w:val="clear" w:color="auto" w:fill="auto"/>
            <w:noWrap w:val="0"/>
            <w:vAlign w:val="top"/>
          </w:tcPr>
          <w:p>
            <w:pPr>
              <w:spacing w:line="240" w:lineRule="auto"/>
              <w:jc w:val="center"/>
              <w:rPr>
                <w:rFonts w:hint="eastAsia"/>
                <w:sz w:val="21"/>
                <w:szCs w:val="21"/>
              </w:rPr>
            </w:pPr>
            <w:r>
              <w:rPr>
                <w:sz w:val="21"/>
                <w:szCs w:val="21"/>
              </w:rPr>
              <w:t>1.1534</w:t>
            </w:r>
            <w:r>
              <w:rPr>
                <w:rFonts w:hint="eastAsia"/>
                <w:sz w:val="21"/>
                <w:szCs w:val="21"/>
              </w:rPr>
              <w:t>万吨</w:t>
            </w:r>
          </w:p>
        </w:tc>
        <w:tc>
          <w:tcPr>
            <w:tcW w:w="923" w:type="pct"/>
            <w:shd w:val="clear" w:color="auto" w:fill="auto"/>
            <w:noWrap w:val="0"/>
            <w:tcMar>
              <w:top w:w="13" w:type="dxa"/>
              <w:left w:w="13" w:type="dxa"/>
              <w:bottom w:w="0" w:type="dxa"/>
              <w:right w:w="13" w:type="dxa"/>
            </w:tcMar>
            <w:vAlign w:val="center"/>
          </w:tcPr>
          <w:p>
            <w:pPr>
              <w:spacing w:line="240" w:lineRule="auto"/>
              <w:jc w:val="center"/>
              <w:rPr>
                <w:rFonts w:hint="eastAsia"/>
                <w:sz w:val="21"/>
                <w:szCs w:val="21"/>
              </w:rPr>
            </w:pPr>
            <w:r>
              <w:rPr>
                <w:rFonts w:hint="eastAsia"/>
                <w:sz w:val="21"/>
                <w:szCs w:val="21"/>
              </w:rPr>
              <w:t>0.1137</w:t>
            </w:r>
            <w:r>
              <w:rPr>
                <w:sz w:val="21"/>
                <w:szCs w:val="21"/>
              </w:rPr>
              <w:t>万吨</w:t>
            </w:r>
          </w:p>
        </w:tc>
      </w:tr>
    </w:tbl>
    <w:p>
      <w:pPr>
        <w:pStyle w:val="3"/>
      </w:pPr>
      <w:bookmarkStart w:id="38" w:name="_Toc304379398"/>
      <w:r>
        <w:t>2.4存在的主要问题</w:t>
      </w:r>
      <w:bookmarkEnd w:id="38"/>
    </w:p>
    <w:p>
      <w:pPr>
        <w:spacing w:line="500" w:lineRule="exact"/>
        <w:ind w:firstLine="560" w:firstLineChars="200"/>
      </w:pPr>
      <w:r>
        <w:t>虽然环境形势总体呈现“总体保持稳定，局部有所改善”，但是部分要素、部分区域污染仍较严重。流经城区的河流水质普遍劣于国家地表水V类标准；灰霾和酸雨现象较为突出，灰霾天数和酸雨频率居高不下；机动车数量高速增长，机动车排污控制压力巨大；电子废物等污染问题日益突出；高速的城市发展建设对生态环境带来很大的压力，生态用地受到侵占，关键性生态廊道不能连通，生态安全体系存在隐患。</w:t>
      </w:r>
    </w:p>
    <w:p>
      <w:pPr>
        <w:spacing w:line="500" w:lineRule="exact"/>
        <w:ind w:firstLine="560" w:firstLineChars="200"/>
      </w:pPr>
      <w:r>
        <w:t>环境保护工作存在薄弱环节：</w:t>
      </w:r>
    </w:p>
    <w:p>
      <w:pPr>
        <w:spacing w:line="500" w:lineRule="exact"/>
        <w:ind w:firstLine="560" w:firstLineChars="200"/>
      </w:pPr>
      <w:r>
        <w:t>一是城市高速发展与资源承载、环境容量支撑的矛盾仍很尖锐，高速的经济增长、快速的城市化进程，打破了昆山城市与自然之间的平衡，削弱了区域生态系统对城市活动的支持能力，同时粗放的经济增长方式也对昆山资源环境构成了极大的压力，威胁着发展的可持续性；</w:t>
      </w:r>
    </w:p>
    <w:p>
      <w:pPr>
        <w:spacing w:line="500" w:lineRule="exact"/>
        <w:ind w:firstLine="560" w:firstLineChars="200"/>
      </w:pPr>
      <w:r>
        <w:t>二是环保投入仍不能适应经济社会发展要求以及污染治理的需要，部分地区，特别是农村地区，污水、垃圾处理等基础性的污染治理设施进度滞后，河道淤积、水流不畅，水污染问题有上升的趋势；</w:t>
      </w:r>
    </w:p>
    <w:p>
      <w:pPr>
        <w:spacing w:line="500" w:lineRule="exact"/>
        <w:ind w:firstLine="560" w:firstLineChars="200"/>
      </w:pPr>
      <w:r>
        <w:t>三是在加强传统型、常规型、单一介质型、一次污染治理的同时，对区域型、复合型、多个介质共生转换型、二次污染等重视不够，对持久性有机污染物（POP</w:t>
      </w:r>
      <w:r>
        <w:rPr>
          <w:vertAlign w:val="subscript"/>
        </w:rPr>
        <w:t>S</w:t>
      </w:r>
      <w:r>
        <w:t>）、新型有毒有害物质、灰霾、电子废物、土壤污染等缺乏有效应对；</w:t>
      </w:r>
    </w:p>
    <w:p>
      <w:pPr>
        <w:spacing w:line="500" w:lineRule="exact"/>
        <w:ind w:firstLine="560" w:firstLineChars="200"/>
        <w:rPr>
          <w:spacing w:val="6"/>
          <w:kern w:val="0"/>
          <w:szCs w:val="28"/>
        </w:rPr>
      </w:pPr>
      <w:r>
        <w:t>四是环保科技和环保产业发展不能满足环保工作的需要。</w:t>
      </w:r>
    </w:p>
    <w:p>
      <w:pPr>
        <w:widowControl/>
        <w:adjustRightInd/>
        <w:snapToGrid/>
        <w:spacing w:line="500" w:lineRule="exact"/>
        <w:ind w:firstLine="584" w:firstLineChars="200"/>
        <w:jc w:val="left"/>
        <w:rPr>
          <w:spacing w:val="6"/>
          <w:kern w:val="0"/>
          <w:szCs w:val="28"/>
        </w:rPr>
      </w:pPr>
    </w:p>
    <w:p>
      <w:pPr>
        <w:pStyle w:val="2"/>
        <w:jc w:val="both"/>
        <w:rPr>
          <w:rFonts w:ascii="Times New Roman" w:hAnsi="Times New Roman"/>
        </w:rPr>
      </w:pPr>
      <w:bookmarkStart w:id="39" w:name="_Toc263071862"/>
      <w:bookmarkStart w:id="40" w:name="_Toc265336507"/>
      <w:bookmarkStart w:id="41" w:name="_Toc304379399"/>
      <w:r>
        <w:rPr>
          <w:rFonts w:ascii="Times New Roman" w:hAnsi="Times New Roman"/>
        </w:rPr>
        <w:t>3 “十二五”环境保护工作</w:t>
      </w:r>
      <w:bookmarkEnd w:id="39"/>
      <w:bookmarkEnd w:id="40"/>
      <w:bookmarkStart w:id="42" w:name="_Toc270934282"/>
      <w:bookmarkStart w:id="43" w:name="_Toc270337015"/>
      <w:r>
        <w:rPr>
          <w:rFonts w:ascii="Times New Roman" w:hAnsi="Times New Roman"/>
        </w:rPr>
        <w:t>发展形势</w:t>
      </w:r>
      <w:bookmarkEnd w:id="41"/>
      <w:bookmarkEnd w:id="42"/>
      <w:bookmarkEnd w:id="43"/>
    </w:p>
    <w:p>
      <w:pPr>
        <w:pStyle w:val="3"/>
      </w:pPr>
      <w:bookmarkStart w:id="44" w:name="_Toc304379400"/>
      <w:r>
        <w:t>3.1“十二五”发展面临的外部环境</w:t>
      </w:r>
      <w:bookmarkEnd w:id="44"/>
    </w:p>
    <w:p>
      <w:pPr>
        <w:spacing w:line="500" w:lineRule="exact"/>
        <w:ind w:firstLine="560" w:firstLineChars="200"/>
      </w:pPr>
      <w:r>
        <w:t>党的十六大指出，二十一世纪头二十年，对我国来说，是一个必须紧紧抓住并且可以大有作为的重要战略机遇期，是实现现代化建设第三步战略目标必经的承上启下的发展阶段，也是完善社会主义市场经济体制和扩大对外开放的关键阶段。</w:t>
      </w:r>
    </w:p>
    <w:p>
      <w:pPr>
        <w:spacing w:line="500" w:lineRule="exact"/>
        <w:ind w:firstLine="560" w:firstLineChars="200"/>
      </w:pPr>
      <w:r>
        <w:t>党的十七大提出了建设生态文明的目标要求，到2020年基本形成节约能源资源和保护生态环境的产业结构、增长方式、消费模式。循环经济形成较大规模，可再生能源比重显著上升。主要污染物排放得到有效控制，生态环境质量明显改善。生态文明观念在全社会牢固树立。国家发展观念和战略的重大转型，为中国以人本、全面、协调和可持续为标志，奋力走向科学发展，凸现绿色与和谐。</w:t>
      </w:r>
    </w:p>
    <w:p>
      <w:pPr>
        <w:spacing w:line="500" w:lineRule="exact"/>
        <w:ind w:firstLine="560" w:firstLineChars="200"/>
      </w:pPr>
      <w:r>
        <w:t xml:space="preserve"> “十二五”时期，是昆山市率先基本实现现代的关键时期，工业化进入转型发展阶段，国际化进入战略提升期，城市化进入全面提升期，社会发展进入转型期。这一时期，昆山面临的发展环境仍是机遇大于挑战。世界新科技革命和产业革命正在孕育新的重大突破，新兴产业迅速兴起。国际产业继续向中国转移，并呈现出从制造向研发中心、区域销售中心等上下游转移的趋势。海峡两岸关系进入和平发展时期，两岸产业合作的机遇增多。国家工业化城镇化步伐加快，加快培育战略性新兴产业。长三角经济一体化进程加快，特别是上海“两个中心”的建设，为昆山加快发展提供了前所未有的机遇。同时，世界经济将处于缓慢复苏阶段，保持快速增长的难度加大。国内以资源换发展的模式面临挑战，产业转型升级压力加大。社会矛盾问题日趋突出，统筹协调发展的要求更加凸显。</w:t>
      </w:r>
    </w:p>
    <w:p>
      <w:pPr>
        <w:pStyle w:val="3"/>
      </w:pPr>
      <w:bookmarkStart w:id="45" w:name="_Toc304379401"/>
      <w:r>
        <w:t>3.2“十二五”发展面临的有利条件</w:t>
      </w:r>
      <w:bookmarkEnd w:id="45"/>
    </w:p>
    <w:p>
      <w:pPr>
        <w:spacing w:line="500" w:lineRule="exact"/>
        <w:ind w:firstLine="560" w:firstLineChars="200"/>
      </w:pPr>
      <w:r>
        <w:t>“十二五”及未来一段时期，昆山市环境保护与建设面临前所未有的机遇。</w:t>
      </w:r>
    </w:p>
    <w:p>
      <w:pPr>
        <w:spacing w:line="500" w:lineRule="exact"/>
        <w:ind w:firstLine="560" w:firstLineChars="200"/>
      </w:pPr>
      <w:r>
        <w:t>《昆山市国民经济和社会发展第十二个五年规划纲要》提出了“未来五年突出推进结构转型、加强自主创新、推进城市发展、保障和改善民生、生态文明建设、体制机制创新”的发展原则，清晰地表明昆山转变发展方式、优化发展环境、改善社会民生的发展思路，使人居环境与经济发展、民生保障有机结合、融合共赢。</w:t>
      </w:r>
    </w:p>
    <w:p>
      <w:pPr>
        <w:spacing w:line="500" w:lineRule="exact"/>
        <w:ind w:firstLine="560" w:firstLineChars="200"/>
      </w:pPr>
      <w:r>
        <w:t>2009年6月，昆山被国家环保部列入全国第二批生态文明建设试点城市，明确提出昆山要坚持经济发展与资源环境相协调，进一步加强环境保护，积极发展循环经济，建设低碳城市，缓解资源短缺与经济发展的矛盾，提高环境承载力，构筑与生态系统相容、利于永续发展的产业空间格局，在全国发挥典型示范作用。以此为契机，全新启动了昆山环境保护工作，市委市政府确定了“坚持工业化、城市化联动发展，大力实施创新驱动发展、可持续发展、和谐发展”的新思路，实现了由环境保护向生态文明建设的内涵深化、外延拓展、工作边际延伸的新转型。</w:t>
      </w:r>
    </w:p>
    <w:p>
      <w:pPr>
        <w:pStyle w:val="3"/>
      </w:pPr>
      <w:bookmarkStart w:id="46" w:name="_Toc304379402"/>
      <w:r>
        <w:t>3.3“十二五”面临的主要挑战和问题</w:t>
      </w:r>
      <w:bookmarkEnd w:id="46"/>
    </w:p>
    <w:p>
      <w:pPr>
        <w:spacing w:line="500" w:lineRule="exact"/>
        <w:ind w:firstLine="560" w:firstLineChars="200"/>
      </w:pPr>
      <w:r>
        <w:t xml:space="preserve"> “十二五”期间，</w:t>
      </w:r>
      <w:r>
        <w:rPr>
          <w:rFonts w:hint="eastAsia"/>
        </w:rPr>
        <w:t>昆山</w:t>
      </w:r>
      <w:r>
        <w:t>市经济社会仍将持续快速发展，深度城市化、城市均衡化进程加快，市民群众对人居环境的要求越来越高，环境诉求不断增加，环境问题解决难度进一步加大，人居环境工作将面临更为严峻的挑战。</w:t>
      </w:r>
    </w:p>
    <w:p>
      <w:pPr>
        <w:spacing w:line="500" w:lineRule="exact"/>
        <w:ind w:firstLine="560" w:firstLineChars="200"/>
      </w:pPr>
      <w:r>
        <w:t>一是经济社会发展对环境的压力进一步加大。“十二五”时期，2015年全市地区生产总值超过4000亿元，但是，复杂的、严峻的国际国内经济形势增加了昆山市实现发展目标的难度和不确定性，经济结构调整和经济增长方式的转变进入艰难时期和攻坚阶段，不可能一蹴而就，对资源和环境带来极大的挑战。</w:t>
      </w:r>
    </w:p>
    <w:p>
      <w:pPr>
        <w:spacing w:line="500" w:lineRule="exact"/>
        <w:ind w:firstLine="560" w:firstLineChars="200"/>
      </w:pPr>
      <w:r>
        <w:t>二是资源环境持续承载的难度进一步加大。土地保有量不足、水资源短缺、环境容量小等制约了环境质量的改善。先期外延型、粗放式的土地开发使得后续的土地资源难以为继，对生态环境的破坏和影响加大。环境容量小且超负荷利用，需要通过结构调整和污染治理腾出发展容量，向环境更新要空间、要资源。</w:t>
      </w:r>
    </w:p>
    <w:p>
      <w:pPr>
        <w:spacing w:line="500" w:lineRule="exact"/>
        <w:ind w:firstLine="560" w:firstLineChars="200"/>
      </w:pPr>
      <w:r>
        <w:t>三是防范风险、解决新环境问题难度进一步加大。旧工业区、乡镇改造等重点城市更新区域土壤污染修复迫在眉睫，重金属、持久性有机污染物等长期积累的环境问题开始暴露，未来随着消费转型，建筑废弃材料、废旧电器、报废汽车和轮胎等回收与安全处置将成为未来一段时期内重要的环境问题。</w:t>
      </w:r>
    </w:p>
    <w:p>
      <w:pPr>
        <w:spacing w:line="500" w:lineRule="exact"/>
        <w:ind w:firstLine="560" w:firstLineChars="200"/>
      </w:pPr>
      <w:r>
        <w:t>四是污染物减排压力进一步加大。在经济总量继续大幅增长，资源能源消耗同步增长的情况下，主要污染物排放总量要“十一五”基础上持续削减，污染减排任务相当艰巨，尤其对于二氧化硫等减排潜力非常小的污染物。</w:t>
      </w:r>
    </w:p>
    <w:p>
      <w:pPr>
        <w:spacing w:line="500" w:lineRule="exact"/>
        <w:ind w:firstLine="560" w:firstLineChars="200"/>
      </w:pPr>
      <w:r>
        <w:t>五是改善环境质量的压力进一步加大。现代化国际化城市要求达到国际先进水平的环境质量；民生幸福城市要求不断改善环境，满足人民群众日益提高的对优良环境质量的要求；经济社会发展需要优良环境作支撑、作保障</w:t>
      </w:r>
      <w:r>
        <w:rPr>
          <w:rFonts w:hint="eastAsia"/>
        </w:rPr>
        <w:t>，</w:t>
      </w:r>
      <w:r>
        <w:t>对照当前的环境现状，环境保护工作任重道远。</w:t>
      </w:r>
    </w:p>
    <w:bookmarkEnd w:id="3"/>
    <w:p>
      <w:pPr>
        <w:pStyle w:val="2"/>
        <w:jc w:val="both"/>
        <w:rPr>
          <w:rFonts w:ascii="Times New Roman" w:hAnsi="Times New Roman"/>
        </w:rPr>
      </w:pPr>
      <w:bookmarkStart w:id="47" w:name="_Toc263071867"/>
      <w:bookmarkStart w:id="48" w:name="_Toc265336512"/>
      <w:bookmarkStart w:id="49" w:name="_Toc304379403"/>
      <w:r>
        <w:rPr>
          <w:rFonts w:ascii="Times New Roman" w:hAnsi="Times New Roman"/>
        </w:rPr>
        <w:t>4 规划</w:t>
      </w:r>
      <w:bookmarkEnd w:id="47"/>
      <w:bookmarkEnd w:id="48"/>
      <w:r>
        <w:rPr>
          <w:rFonts w:ascii="Times New Roman" w:hAnsi="Times New Roman"/>
        </w:rPr>
        <w:t>目标与指标</w:t>
      </w:r>
      <w:bookmarkEnd w:id="49"/>
    </w:p>
    <w:p>
      <w:pPr>
        <w:pStyle w:val="3"/>
      </w:pPr>
      <w:bookmarkStart w:id="50" w:name="_Toc263071868"/>
      <w:bookmarkStart w:id="51" w:name="_Toc304379404"/>
      <w:bookmarkStart w:id="52" w:name="_Toc265336513"/>
      <w:r>
        <w:t>4.1指导思想</w:t>
      </w:r>
      <w:bookmarkEnd w:id="50"/>
      <w:bookmarkEnd w:id="51"/>
      <w:bookmarkEnd w:id="52"/>
    </w:p>
    <w:p>
      <w:pPr>
        <w:spacing w:line="500" w:lineRule="exact"/>
        <w:ind w:firstLine="560" w:firstLineChars="200"/>
      </w:pPr>
      <w:r>
        <w:t>以邓小平理论、“三个代表”重要思想和科学发展观为指导，深入贯彻落实环保优先方针，围绕昆山特色的生态文明建设为主题，以率先实现现代化为先导，以“人与自然和谐、人与社会和谐、人与人和谐”为核心内涵，以削减主要污染物排放总量为主线，以解决危害群众健康的突出问题为重点，坚持污染防治与生态建设并重，体制机制创新与能力建设并重，改善环境质量与防范环境风险并重，大力推进环境保护历史性转变，大力建设资源节约型、环境友好型社会。</w:t>
      </w:r>
    </w:p>
    <w:p>
      <w:pPr>
        <w:pStyle w:val="3"/>
      </w:pPr>
      <w:bookmarkStart w:id="53" w:name="_Toc304379405"/>
      <w:bookmarkStart w:id="54" w:name="_Toc265336514"/>
      <w:bookmarkStart w:id="55" w:name="_Toc263071869"/>
      <w:r>
        <w:t>4.2规划理念</w:t>
      </w:r>
      <w:bookmarkEnd w:id="53"/>
    </w:p>
    <w:p>
      <w:pPr>
        <w:spacing w:line="500" w:lineRule="exact"/>
        <w:ind w:firstLine="560" w:firstLineChars="200"/>
      </w:pPr>
      <w:r>
        <w:t>1</w:t>
      </w:r>
      <w:r>
        <w:rPr>
          <w:rFonts w:hint="eastAsia"/>
        </w:rPr>
        <w:t>、</w:t>
      </w:r>
      <w:r>
        <w:t>绿色增长理念。绿色增长为环境与发展找到了平衡点和“双赢”途径。加大绿色投资，打造绿色产业，发展低碳经济和循环经济，既形成了新的经济增长点，又能够提升发展的质量和效益；既减轻了发展的资源环境代价，又提供了从源头解决环境问题的根本手段。</w:t>
      </w:r>
    </w:p>
    <w:p>
      <w:pPr>
        <w:spacing w:line="500" w:lineRule="exact"/>
        <w:ind w:firstLine="560" w:firstLineChars="200"/>
      </w:pPr>
      <w:r>
        <w:t>2</w:t>
      </w:r>
      <w:r>
        <w:rPr>
          <w:rFonts w:hint="eastAsia"/>
        </w:rPr>
        <w:t>、</w:t>
      </w:r>
      <w:r>
        <w:t>生态优先理念。生态系统不仅为人类生存提供可以直接利用的资源，同时提供多种重要的生态服务功能，维持人类赖以生存的环境。生态安全是城市安全的前提，生态可持续是城市可持续的保障。必须牢固确立生态的基础作用和优先地位，坚持走生态化的发展道路。</w:t>
      </w:r>
    </w:p>
    <w:p>
      <w:pPr>
        <w:spacing w:line="500" w:lineRule="exact"/>
        <w:ind w:firstLine="560" w:firstLineChars="200"/>
      </w:pPr>
      <w:r>
        <w:rPr>
          <w:rFonts w:hint="eastAsia"/>
        </w:rPr>
        <w:t>3</w:t>
      </w:r>
      <w:r>
        <w:t>、城市宜居理念。宜居程度是城市综合竞争力和民生幸福感的重要指标，建设宜居城市是顺应城市化发展规律的必然要求。“宜居”理念需贯穿城市经济社会发展和人居环境建设的全部过程和环节，通过宜居城市创建，打造可居、安居、康居、乐居的城市环境。</w:t>
      </w:r>
    </w:p>
    <w:p>
      <w:pPr>
        <w:spacing w:line="500" w:lineRule="exact"/>
        <w:ind w:firstLine="560" w:firstLineChars="200"/>
      </w:pPr>
      <w:r>
        <w:rPr>
          <w:rFonts w:hint="eastAsia"/>
        </w:rPr>
        <w:t>4</w:t>
      </w:r>
      <w:r>
        <w:t>、环境建设理念。实现环境建设在城市建设中的内在化，通过环境建设解决城市建设中产生的环境问题，保持城市建设与环境建设的同步性。以环境建设统筹水、气、声、固体废物、生态等要素的保护，依靠污染治理工程建设和生态系统修复重建提升人居环境质量。</w:t>
      </w:r>
    </w:p>
    <w:p>
      <w:pPr>
        <w:spacing w:line="500" w:lineRule="exact"/>
        <w:ind w:firstLine="560" w:firstLineChars="200"/>
      </w:pPr>
      <w:r>
        <w:rPr>
          <w:rFonts w:hint="eastAsia"/>
        </w:rPr>
        <w:t>5</w:t>
      </w:r>
      <w:r>
        <w:t>、区域联动理念。环境问题是区域性的问题，仅靠一个城市的努力不可能取得预期成效。必须按照一体化的要求，加强区域合作和交流，完善区域合作平台与机制，实现“资源共享、设施共用、联防联治、互惠互利”，才能有效解决跨界污染问题和建设区域生态格局，才能共同打造长三角优质生活圈。</w:t>
      </w:r>
    </w:p>
    <w:bookmarkEnd w:id="54"/>
    <w:bookmarkEnd w:id="55"/>
    <w:p>
      <w:pPr>
        <w:pStyle w:val="3"/>
      </w:pPr>
      <w:bookmarkStart w:id="56" w:name="_Toc263071870"/>
      <w:bookmarkStart w:id="57" w:name="_Toc265336515"/>
      <w:bookmarkStart w:id="58" w:name="_Toc304379406"/>
      <w:r>
        <w:t>4.3总体目标</w:t>
      </w:r>
      <w:bookmarkEnd w:id="56"/>
      <w:bookmarkEnd w:id="57"/>
      <w:bookmarkEnd w:id="58"/>
    </w:p>
    <w:p>
      <w:pPr>
        <w:spacing w:line="500" w:lineRule="exact"/>
        <w:ind w:firstLine="560" w:firstLineChars="200"/>
      </w:pPr>
      <w:r>
        <w:t>根据全省和苏州市环境保护和环境建设的总体目标，结合昆山市国民经济和社会发展“十二五”规划纲要，环境保护“十二五”规划的总体目标确定如下：</w:t>
      </w:r>
    </w:p>
    <w:p>
      <w:pPr>
        <w:spacing w:line="500" w:lineRule="exact"/>
        <w:ind w:firstLine="560" w:firstLineChars="200"/>
      </w:pPr>
      <w:r>
        <w:t>以人与自然和谐共处为目标，以可持续发展为主线，以循环经济、清洁生产建设为驱动，在更高的战略层次上部署全市生态文明建设，优化生态经济系统结构与功能，构建产业生态化和生态产业化的布局，促进资源高效利用、污染物排放有效控制、循环经济形成较大规模、可再生能源比重显著上升、生态环境质量大幅度提高，实现昆山城镇现代化、产业生态化和生态产业化。</w:t>
      </w:r>
    </w:p>
    <w:p>
      <w:pPr>
        <w:numPr>
          <w:ilvl w:val="0"/>
          <w:numId w:val="4"/>
        </w:numPr>
        <w:spacing w:line="500" w:lineRule="exact"/>
      </w:pPr>
      <w:r>
        <w:t>2015年目标：</w:t>
      </w:r>
    </w:p>
    <w:p>
      <w:pPr>
        <w:spacing w:line="500" w:lineRule="exact"/>
        <w:ind w:firstLine="560" w:firstLineChars="200"/>
      </w:pPr>
      <w:r>
        <w:t>昆山市区环境质量综合指数达到9</w:t>
      </w:r>
      <w:r>
        <w:rPr>
          <w:rFonts w:hint="eastAsia"/>
        </w:rPr>
        <w:t>2</w:t>
      </w:r>
      <w:r>
        <w:t>以上，转变发展方式取得重大进展，节能减排目标基本实现，工业污染得到有效控制，环境基础设施能力大幅提升，环境质量明显改善，城市环境空气质量基本满足要求，农村环境质量全面提高，环境法制建设进一步完善，环保监管能力建设进一步加强，防范环境风险能力进一步提高，到2015年实现生态文明城市建设目标，基本形成以高新技术</w:t>
      </w:r>
      <w:r>
        <w:rPr>
          <w:rFonts w:hint="eastAsia"/>
        </w:rPr>
        <w:t>和新兴产业</w:t>
      </w:r>
      <w:r>
        <w:t>为支撑、以生态产业为主体的高效生态经济体系，基本实现人口、资源、环境与经济社会协调发展。</w:t>
      </w:r>
    </w:p>
    <w:p>
      <w:pPr>
        <w:numPr>
          <w:ilvl w:val="0"/>
          <w:numId w:val="4"/>
        </w:numPr>
        <w:spacing w:line="500" w:lineRule="exact"/>
      </w:pPr>
      <w:r>
        <w:t>2020年远景目标：</w:t>
      </w:r>
    </w:p>
    <w:p>
      <w:pPr>
        <w:spacing w:line="500" w:lineRule="exact"/>
        <w:ind w:firstLine="560" w:firstLineChars="200"/>
      </w:pPr>
      <w:r>
        <w:t>节能减排目标全面实现，环境污染得到根本控制，生态环境良好并不断趋向更高水平的平衡，自然资源得到有效保护和合理利用，稳定可靠的生态安全保障体系基本形成。不断巩固生态文明市建设成果，构建健康、持续、高效的生态经济社会体系，实现昆山经济、社会和生态环境全面协调发展，并使昆山生态文明建设长期在全国保持领先水平。</w:t>
      </w:r>
    </w:p>
    <w:p>
      <w:pPr>
        <w:pStyle w:val="3"/>
      </w:pPr>
      <w:bookmarkStart w:id="59" w:name="_Toc265336516"/>
      <w:bookmarkStart w:id="60" w:name="_Toc304379407"/>
      <w:bookmarkStart w:id="61" w:name="_Toc263071871"/>
      <w:r>
        <w:t>4.4主要指标</w:t>
      </w:r>
      <w:bookmarkEnd w:id="59"/>
      <w:bookmarkEnd w:id="60"/>
      <w:bookmarkEnd w:id="61"/>
    </w:p>
    <w:p>
      <w:pPr>
        <w:spacing w:line="500" w:lineRule="exact"/>
        <w:ind w:firstLine="560" w:firstLineChars="200"/>
      </w:pPr>
      <w:r>
        <w:t>“十二五”环保指标体系主要基于“十一五”规划已有指标体系，参考国家和江苏省环境保护“十二五”规划思路、江苏省生态省建设监测指标要求，并结合昆山市生态文明建设相关指标，从而形成“十二五”环保目标指标体系。</w:t>
      </w:r>
    </w:p>
    <w:p>
      <w:pPr>
        <w:spacing w:line="500" w:lineRule="exact"/>
        <w:ind w:firstLine="560" w:firstLineChars="200"/>
      </w:pPr>
      <w:r>
        <w:t>昆山市环境保护“十二五”规划主要指标见表4.4-1。</w:t>
      </w:r>
    </w:p>
    <w:p>
      <w:pPr>
        <w:jc w:val="center"/>
        <w:rPr>
          <w:b/>
        </w:rPr>
        <w:sectPr>
          <w:headerReference r:id="rId7" w:type="default"/>
          <w:footerReference r:id="rId8" w:type="default"/>
          <w:endnotePr>
            <w:numFmt w:val="decimal"/>
          </w:endnotePr>
          <w:pgSz w:w="11906" w:h="16838"/>
          <w:pgMar w:top="1440" w:right="1797" w:bottom="1440" w:left="1797" w:header="851" w:footer="992" w:gutter="0"/>
          <w:pgNumType w:start="1"/>
          <w:cols w:space="425" w:num="1"/>
          <w:docGrid w:linePitch="312" w:charSpace="0"/>
        </w:sectPr>
      </w:pPr>
    </w:p>
    <w:p>
      <w:pPr>
        <w:jc w:val="center"/>
        <w:rPr>
          <w:b/>
        </w:rPr>
      </w:pPr>
      <w:r>
        <w:rPr>
          <w:b/>
        </w:rPr>
        <w:t>表4.4-1  昆山市环境保护“十二五”规划指标体系</w:t>
      </w:r>
    </w:p>
    <w:tbl>
      <w:tblPr>
        <w:tblStyle w:val="33"/>
        <w:tblW w:w="1004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059"/>
        <w:gridCol w:w="2162"/>
        <w:gridCol w:w="1668"/>
        <w:gridCol w:w="2092"/>
        <w:gridCol w:w="1445"/>
        <w:gridCol w:w="1620"/>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trHeight w:val="815" w:hRule="atLeast"/>
          <w:tblHeader/>
          <w:jc w:val="center"/>
        </w:trPr>
        <w:tc>
          <w:tcPr>
            <w:tcW w:w="1060" w:type="dxa"/>
            <w:noWrap w:val="0"/>
            <w:vAlign w:val="center"/>
          </w:tcPr>
          <w:p>
            <w:pPr>
              <w:spacing w:line="400" w:lineRule="exact"/>
              <w:ind w:left="140" w:leftChars="50" w:right="140" w:rightChars="50"/>
              <w:jc w:val="center"/>
              <w:rPr>
                <w:b/>
                <w:iCs/>
                <w:caps/>
                <w:sz w:val="24"/>
              </w:rPr>
            </w:pPr>
            <w:r>
              <w:rPr>
                <w:b/>
                <w:iCs/>
                <w:caps/>
                <w:sz w:val="24"/>
              </w:rPr>
              <w:t>类别</w:t>
            </w:r>
          </w:p>
        </w:tc>
        <w:tc>
          <w:tcPr>
            <w:tcW w:w="3830" w:type="dxa"/>
            <w:gridSpan w:val="2"/>
            <w:noWrap w:val="0"/>
            <w:vAlign w:val="center"/>
          </w:tcPr>
          <w:p>
            <w:pPr>
              <w:spacing w:line="400" w:lineRule="exact"/>
              <w:jc w:val="center"/>
              <w:rPr>
                <w:b/>
                <w:iCs/>
                <w:caps/>
                <w:sz w:val="24"/>
              </w:rPr>
            </w:pPr>
            <w:r>
              <w:rPr>
                <w:b/>
                <w:iCs/>
                <w:caps/>
                <w:sz w:val="24"/>
              </w:rPr>
              <w:t>指标名称</w:t>
            </w:r>
          </w:p>
        </w:tc>
        <w:tc>
          <w:tcPr>
            <w:tcW w:w="2092" w:type="dxa"/>
            <w:noWrap w:val="0"/>
            <w:vAlign w:val="center"/>
          </w:tcPr>
          <w:p>
            <w:pPr>
              <w:spacing w:line="400" w:lineRule="exact"/>
              <w:jc w:val="center"/>
              <w:rPr>
                <w:b/>
                <w:iCs/>
                <w:caps/>
                <w:sz w:val="24"/>
              </w:rPr>
            </w:pPr>
            <w:r>
              <w:rPr>
                <w:b/>
                <w:iCs/>
                <w:caps/>
                <w:sz w:val="24"/>
              </w:rPr>
              <w:t>单位</w:t>
            </w:r>
          </w:p>
        </w:tc>
        <w:tc>
          <w:tcPr>
            <w:tcW w:w="0" w:type="auto"/>
            <w:noWrap w:val="0"/>
            <w:vAlign w:val="center"/>
          </w:tcPr>
          <w:p>
            <w:pPr>
              <w:spacing w:line="400" w:lineRule="exact"/>
              <w:jc w:val="center"/>
              <w:rPr>
                <w:b/>
                <w:iCs/>
                <w:caps/>
                <w:sz w:val="24"/>
              </w:rPr>
            </w:pPr>
            <w:r>
              <w:rPr>
                <w:b/>
                <w:iCs/>
                <w:caps/>
                <w:sz w:val="24"/>
              </w:rPr>
              <w:t>现状值</w:t>
            </w:r>
          </w:p>
          <w:p>
            <w:pPr>
              <w:spacing w:line="400" w:lineRule="exact"/>
              <w:jc w:val="center"/>
              <w:rPr>
                <w:b/>
                <w:iCs/>
                <w:caps/>
                <w:sz w:val="24"/>
              </w:rPr>
            </w:pPr>
            <w:r>
              <w:rPr>
                <w:b/>
                <w:iCs/>
                <w:caps/>
                <w:sz w:val="24"/>
              </w:rPr>
              <w:t>20</w:t>
            </w:r>
            <w:r>
              <w:rPr>
                <w:rFonts w:hint="eastAsia"/>
                <w:b/>
                <w:iCs/>
                <w:caps/>
                <w:sz w:val="24"/>
              </w:rPr>
              <w:t>10</w:t>
            </w:r>
            <w:r>
              <w:rPr>
                <w:b/>
                <w:iCs/>
                <w:caps/>
                <w:sz w:val="24"/>
              </w:rPr>
              <w:t>年</w:t>
            </w:r>
          </w:p>
        </w:tc>
        <w:tc>
          <w:tcPr>
            <w:tcW w:w="1620" w:type="dxa"/>
            <w:noWrap w:val="0"/>
            <w:vAlign w:val="center"/>
          </w:tcPr>
          <w:p>
            <w:pPr>
              <w:spacing w:line="400" w:lineRule="exact"/>
              <w:jc w:val="center"/>
              <w:rPr>
                <w:b/>
                <w:iCs/>
                <w:caps/>
                <w:sz w:val="24"/>
              </w:rPr>
            </w:pPr>
            <w:r>
              <w:rPr>
                <w:b/>
                <w:iCs/>
                <w:caps/>
                <w:sz w:val="24"/>
              </w:rPr>
              <w:t>规划指标值</w:t>
            </w:r>
          </w:p>
          <w:p>
            <w:pPr>
              <w:spacing w:line="400" w:lineRule="exact"/>
              <w:jc w:val="center"/>
              <w:rPr>
                <w:b/>
                <w:iCs/>
                <w:caps/>
                <w:sz w:val="24"/>
              </w:rPr>
            </w:pPr>
            <w:r>
              <w:rPr>
                <w:b/>
                <w:sz w:val="24"/>
              </w:rPr>
              <w:t>2015年</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restart"/>
            <w:noWrap w:val="0"/>
            <w:vAlign w:val="center"/>
          </w:tcPr>
          <w:p>
            <w:pPr>
              <w:spacing w:line="400" w:lineRule="exact"/>
              <w:ind w:left="140" w:leftChars="50" w:right="140" w:rightChars="50"/>
              <w:jc w:val="center"/>
              <w:rPr>
                <w:b/>
                <w:sz w:val="24"/>
              </w:rPr>
            </w:pPr>
            <w:r>
              <w:rPr>
                <w:b/>
                <w:sz w:val="24"/>
              </w:rPr>
              <w:t>环境</w:t>
            </w:r>
          </w:p>
          <w:p>
            <w:pPr>
              <w:spacing w:line="400" w:lineRule="exact"/>
              <w:ind w:left="140" w:leftChars="50" w:right="140" w:rightChars="50"/>
              <w:jc w:val="center"/>
              <w:rPr>
                <w:b/>
                <w:sz w:val="24"/>
              </w:rPr>
            </w:pPr>
            <w:r>
              <w:rPr>
                <w:b/>
                <w:sz w:val="24"/>
              </w:rPr>
              <w:t>质量</w:t>
            </w:r>
          </w:p>
        </w:tc>
        <w:tc>
          <w:tcPr>
            <w:tcW w:w="8987" w:type="dxa"/>
            <w:gridSpan w:val="5"/>
            <w:noWrap w:val="0"/>
            <w:vAlign w:val="center"/>
          </w:tcPr>
          <w:p>
            <w:pPr>
              <w:spacing w:line="400" w:lineRule="exact"/>
              <w:rPr>
                <w:b/>
                <w:sz w:val="24"/>
              </w:rPr>
            </w:pPr>
            <w:r>
              <w:rPr>
                <w:b/>
                <w:sz w:val="24"/>
              </w:rPr>
              <w:t>一、水环境质量</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1、城市集中式饮用水源地水质达标率</w:t>
            </w:r>
          </w:p>
        </w:tc>
        <w:tc>
          <w:tcPr>
            <w:tcW w:w="2092" w:type="dxa"/>
            <w:noWrap w:val="0"/>
            <w:vAlign w:val="center"/>
          </w:tcPr>
          <w:p>
            <w:pPr>
              <w:spacing w:line="400" w:lineRule="exact"/>
              <w:jc w:val="center"/>
              <w:rPr>
                <w:sz w:val="24"/>
              </w:rPr>
            </w:pPr>
            <w:r>
              <w:rPr>
                <w:sz w:val="24"/>
              </w:rPr>
              <w:t>%</w:t>
            </w:r>
          </w:p>
        </w:tc>
        <w:tc>
          <w:tcPr>
            <w:tcW w:w="0" w:type="auto"/>
            <w:noWrap w:val="0"/>
            <w:vAlign w:val="center"/>
          </w:tcPr>
          <w:p>
            <w:pPr>
              <w:spacing w:line="400" w:lineRule="exact"/>
              <w:jc w:val="center"/>
              <w:rPr>
                <w:sz w:val="24"/>
              </w:rPr>
            </w:pPr>
            <w:r>
              <w:rPr>
                <w:sz w:val="24"/>
              </w:rPr>
              <w:t>100</w:t>
            </w:r>
          </w:p>
        </w:tc>
        <w:tc>
          <w:tcPr>
            <w:tcW w:w="1620" w:type="dxa"/>
            <w:noWrap w:val="0"/>
            <w:vAlign w:val="center"/>
          </w:tcPr>
          <w:p>
            <w:pPr>
              <w:spacing w:line="400" w:lineRule="exact"/>
              <w:jc w:val="center"/>
              <w:rPr>
                <w:sz w:val="24"/>
              </w:rPr>
            </w:pPr>
            <w:r>
              <w:rPr>
                <w:sz w:val="24"/>
              </w:rPr>
              <w:t>100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2、城市地表水功能区水质达标率</w:t>
            </w:r>
          </w:p>
        </w:tc>
        <w:tc>
          <w:tcPr>
            <w:tcW w:w="2092" w:type="dxa"/>
            <w:noWrap w:val="0"/>
            <w:vAlign w:val="center"/>
          </w:tcPr>
          <w:p>
            <w:pPr>
              <w:spacing w:line="400" w:lineRule="exact"/>
              <w:jc w:val="center"/>
              <w:rPr>
                <w:sz w:val="24"/>
              </w:rPr>
            </w:pPr>
            <w:r>
              <w:rPr>
                <w:sz w:val="24"/>
              </w:rPr>
              <w:t>%</w:t>
            </w:r>
          </w:p>
        </w:tc>
        <w:tc>
          <w:tcPr>
            <w:tcW w:w="0" w:type="auto"/>
            <w:noWrap w:val="0"/>
            <w:vAlign w:val="center"/>
          </w:tcPr>
          <w:p>
            <w:pPr>
              <w:spacing w:line="400" w:lineRule="exact"/>
              <w:jc w:val="center"/>
              <w:rPr>
                <w:sz w:val="24"/>
              </w:rPr>
            </w:pPr>
            <w:r>
              <w:rPr>
                <w:rFonts w:hint="eastAsia"/>
                <w:spacing w:val="-9"/>
                <w:sz w:val="24"/>
              </w:rPr>
              <w:t>8</w:t>
            </w:r>
            <w:r>
              <w:rPr>
                <w:spacing w:val="-9"/>
                <w:sz w:val="24"/>
              </w:rPr>
              <w:t>0</w:t>
            </w:r>
          </w:p>
        </w:tc>
        <w:tc>
          <w:tcPr>
            <w:tcW w:w="1620" w:type="dxa"/>
            <w:noWrap w:val="0"/>
            <w:vAlign w:val="center"/>
          </w:tcPr>
          <w:p>
            <w:pPr>
              <w:spacing w:line="400" w:lineRule="exact"/>
              <w:jc w:val="center"/>
              <w:rPr>
                <w:sz w:val="24"/>
              </w:rPr>
            </w:pPr>
            <w:r>
              <w:rPr>
                <w:sz w:val="24"/>
              </w:rPr>
              <w:t>100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8987" w:type="dxa"/>
            <w:gridSpan w:val="5"/>
            <w:noWrap w:val="0"/>
            <w:vAlign w:val="center"/>
          </w:tcPr>
          <w:p>
            <w:pPr>
              <w:spacing w:line="400" w:lineRule="exact"/>
              <w:rPr>
                <w:sz w:val="24"/>
              </w:rPr>
            </w:pPr>
            <w:r>
              <w:rPr>
                <w:b/>
                <w:sz w:val="24"/>
              </w:rPr>
              <w:t>二、大气环境质量</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3、城市全年空气环境质量达二级标准的天数</w:t>
            </w:r>
          </w:p>
        </w:tc>
        <w:tc>
          <w:tcPr>
            <w:tcW w:w="2092" w:type="dxa"/>
            <w:noWrap w:val="0"/>
            <w:vAlign w:val="center"/>
          </w:tcPr>
          <w:p>
            <w:pPr>
              <w:spacing w:line="400" w:lineRule="exact"/>
              <w:jc w:val="center"/>
              <w:rPr>
                <w:sz w:val="24"/>
              </w:rPr>
            </w:pPr>
            <w:r>
              <w:rPr>
                <w:sz w:val="24"/>
              </w:rPr>
              <w:t>天</w:t>
            </w:r>
          </w:p>
        </w:tc>
        <w:tc>
          <w:tcPr>
            <w:tcW w:w="0" w:type="auto"/>
            <w:noWrap w:val="0"/>
            <w:vAlign w:val="center"/>
          </w:tcPr>
          <w:p>
            <w:pPr>
              <w:spacing w:line="400" w:lineRule="exact"/>
              <w:jc w:val="center"/>
              <w:rPr>
                <w:sz w:val="24"/>
              </w:rPr>
            </w:pPr>
            <w:r>
              <w:rPr>
                <w:sz w:val="24"/>
              </w:rPr>
              <w:t>358</w:t>
            </w:r>
          </w:p>
        </w:tc>
        <w:tc>
          <w:tcPr>
            <w:tcW w:w="1620" w:type="dxa"/>
            <w:noWrap w:val="0"/>
            <w:vAlign w:val="center"/>
          </w:tcPr>
          <w:p>
            <w:pPr>
              <w:spacing w:line="400" w:lineRule="exact"/>
              <w:jc w:val="center"/>
              <w:rPr>
                <w:sz w:val="24"/>
              </w:rPr>
            </w:pPr>
            <w:r>
              <w:rPr>
                <w:sz w:val="24"/>
              </w:rPr>
              <w:t>≥350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4、降水PH值均值</w:t>
            </w:r>
          </w:p>
        </w:tc>
        <w:tc>
          <w:tcPr>
            <w:tcW w:w="2092" w:type="dxa"/>
            <w:noWrap w:val="0"/>
            <w:vAlign w:val="center"/>
          </w:tcPr>
          <w:p>
            <w:pPr>
              <w:spacing w:line="400" w:lineRule="exact"/>
              <w:jc w:val="center"/>
              <w:rPr>
                <w:sz w:val="24"/>
              </w:rPr>
            </w:pPr>
            <w:r>
              <w:rPr>
                <w:sz w:val="24"/>
              </w:rPr>
              <w:t>PH</w:t>
            </w:r>
          </w:p>
        </w:tc>
        <w:tc>
          <w:tcPr>
            <w:tcW w:w="0" w:type="auto"/>
            <w:noWrap w:val="0"/>
            <w:vAlign w:val="center"/>
          </w:tcPr>
          <w:p>
            <w:pPr>
              <w:spacing w:line="400" w:lineRule="exact"/>
              <w:jc w:val="center"/>
              <w:rPr>
                <w:rFonts w:hint="eastAsia"/>
                <w:sz w:val="24"/>
              </w:rPr>
            </w:pPr>
            <w:r>
              <w:rPr>
                <w:sz w:val="24"/>
              </w:rPr>
              <w:t>5.</w:t>
            </w:r>
            <w:r>
              <w:rPr>
                <w:rFonts w:hint="eastAsia"/>
                <w:sz w:val="24"/>
              </w:rPr>
              <w:t>12</w:t>
            </w:r>
          </w:p>
        </w:tc>
        <w:tc>
          <w:tcPr>
            <w:tcW w:w="1620" w:type="dxa"/>
            <w:noWrap w:val="0"/>
            <w:vAlign w:val="center"/>
          </w:tcPr>
          <w:p>
            <w:pPr>
              <w:spacing w:line="400" w:lineRule="exact"/>
              <w:jc w:val="center"/>
              <w:rPr>
                <w:sz w:val="24"/>
              </w:rPr>
            </w:pPr>
            <w:r>
              <w:rPr>
                <w:sz w:val="24"/>
                <w:lang w:val="en-GB"/>
              </w:rPr>
              <w:t>≥</w:t>
            </w:r>
            <w:r>
              <w:rPr>
                <w:sz w:val="24"/>
              </w:rPr>
              <w:t>5.4</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5、酸雨频率</w:t>
            </w:r>
          </w:p>
        </w:tc>
        <w:tc>
          <w:tcPr>
            <w:tcW w:w="2092" w:type="dxa"/>
            <w:noWrap w:val="0"/>
            <w:vAlign w:val="center"/>
          </w:tcPr>
          <w:p>
            <w:pPr>
              <w:spacing w:line="400" w:lineRule="exact"/>
              <w:jc w:val="center"/>
              <w:rPr>
                <w:sz w:val="24"/>
              </w:rPr>
            </w:pPr>
            <w:r>
              <w:rPr>
                <w:sz w:val="24"/>
              </w:rPr>
              <w:t>%</w:t>
            </w:r>
          </w:p>
        </w:tc>
        <w:tc>
          <w:tcPr>
            <w:tcW w:w="0" w:type="auto"/>
            <w:noWrap w:val="0"/>
            <w:vAlign w:val="center"/>
          </w:tcPr>
          <w:p>
            <w:pPr>
              <w:spacing w:line="400" w:lineRule="exact"/>
              <w:jc w:val="center"/>
              <w:rPr>
                <w:rFonts w:hint="eastAsia"/>
                <w:sz w:val="24"/>
              </w:rPr>
            </w:pPr>
            <w:r>
              <w:rPr>
                <w:rFonts w:hint="eastAsia"/>
                <w:sz w:val="24"/>
              </w:rPr>
              <w:t>45.6</w:t>
            </w:r>
          </w:p>
        </w:tc>
        <w:tc>
          <w:tcPr>
            <w:tcW w:w="1620" w:type="dxa"/>
            <w:noWrap w:val="0"/>
            <w:vAlign w:val="center"/>
          </w:tcPr>
          <w:p>
            <w:pPr>
              <w:spacing w:line="400" w:lineRule="exact"/>
              <w:jc w:val="center"/>
              <w:rPr>
                <w:sz w:val="24"/>
              </w:rPr>
            </w:pPr>
            <w:r>
              <w:rPr>
                <w:sz w:val="24"/>
              </w:rPr>
              <w:t>＜25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8987" w:type="dxa"/>
            <w:gridSpan w:val="5"/>
            <w:noWrap w:val="0"/>
            <w:vAlign w:val="center"/>
          </w:tcPr>
          <w:p>
            <w:pPr>
              <w:spacing w:line="400" w:lineRule="exact"/>
              <w:rPr>
                <w:sz w:val="24"/>
              </w:rPr>
            </w:pPr>
            <w:r>
              <w:rPr>
                <w:b/>
                <w:sz w:val="24"/>
              </w:rPr>
              <w:t>三、声环境</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6、城市环境噪声达标区覆盖率</w:t>
            </w:r>
          </w:p>
        </w:tc>
        <w:tc>
          <w:tcPr>
            <w:tcW w:w="2092" w:type="dxa"/>
            <w:noWrap w:val="0"/>
            <w:vAlign w:val="center"/>
          </w:tcPr>
          <w:p>
            <w:pPr>
              <w:spacing w:line="400" w:lineRule="exact"/>
              <w:jc w:val="center"/>
              <w:rPr>
                <w:sz w:val="24"/>
              </w:rPr>
            </w:pPr>
            <w:r>
              <w:rPr>
                <w:sz w:val="24"/>
              </w:rPr>
              <w:t>％</w:t>
            </w:r>
          </w:p>
        </w:tc>
        <w:tc>
          <w:tcPr>
            <w:tcW w:w="0" w:type="auto"/>
            <w:noWrap w:val="0"/>
            <w:vAlign w:val="center"/>
          </w:tcPr>
          <w:p>
            <w:pPr>
              <w:spacing w:line="400" w:lineRule="exact"/>
              <w:jc w:val="center"/>
              <w:rPr>
                <w:sz w:val="24"/>
              </w:rPr>
            </w:pPr>
            <w:r>
              <w:rPr>
                <w:sz w:val="24"/>
              </w:rPr>
              <w:t>100</w:t>
            </w:r>
          </w:p>
        </w:tc>
        <w:tc>
          <w:tcPr>
            <w:tcW w:w="1620" w:type="dxa"/>
            <w:noWrap w:val="0"/>
            <w:vAlign w:val="center"/>
          </w:tcPr>
          <w:p>
            <w:pPr>
              <w:spacing w:line="400" w:lineRule="exact"/>
              <w:jc w:val="center"/>
              <w:rPr>
                <w:sz w:val="24"/>
              </w:rPr>
            </w:pPr>
            <w:r>
              <w:rPr>
                <w:sz w:val="24"/>
              </w:rPr>
              <w:t>100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8987" w:type="dxa"/>
            <w:gridSpan w:val="5"/>
            <w:noWrap w:val="0"/>
            <w:vAlign w:val="center"/>
          </w:tcPr>
          <w:p>
            <w:pPr>
              <w:spacing w:line="400" w:lineRule="exact"/>
              <w:rPr>
                <w:sz w:val="24"/>
              </w:rPr>
            </w:pPr>
            <w:r>
              <w:rPr>
                <w:b/>
                <w:sz w:val="24"/>
              </w:rPr>
              <w:t>四、辐射环境</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7、环境放射性及核设施周围辐射水平</w:t>
            </w:r>
          </w:p>
        </w:tc>
        <w:tc>
          <w:tcPr>
            <w:tcW w:w="2092" w:type="dxa"/>
            <w:noWrap w:val="0"/>
            <w:vAlign w:val="center"/>
          </w:tcPr>
          <w:p>
            <w:pPr>
              <w:spacing w:line="400" w:lineRule="exact"/>
              <w:jc w:val="center"/>
              <w:rPr>
                <w:sz w:val="24"/>
              </w:rPr>
            </w:pPr>
            <w:r>
              <w:rPr>
                <w:sz w:val="24"/>
              </w:rPr>
              <w:t>－</w:t>
            </w:r>
          </w:p>
        </w:tc>
        <w:tc>
          <w:tcPr>
            <w:tcW w:w="0" w:type="auto"/>
            <w:noWrap w:val="0"/>
            <w:vAlign w:val="center"/>
          </w:tcPr>
          <w:p>
            <w:pPr>
              <w:spacing w:line="400" w:lineRule="exact"/>
              <w:jc w:val="center"/>
              <w:rPr>
                <w:sz w:val="24"/>
              </w:rPr>
            </w:pPr>
            <w:r>
              <w:rPr>
                <w:sz w:val="24"/>
              </w:rPr>
              <w:t>天然本底涨落</w:t>
            </w:r>
          </w:p>
          <w:p>
            <w:pPr>
              <w:spacing w:line="400" w:lineRule="exact"/>
              <w:jc w:val="center"/>
              <w:rPr>
                <w:sz w:val="24"/>
              </w:rPr>
            </w:pPr>
            <w:r>
              <w:rPr>
                <w:sz w:val="24"/>
              </w:rPr>
              <w:t>范围之内</w:t>
            </w:r>
          </w:p>
        </w:tc>
        <w:tc>
          <w:tcPr>
            <w:tcW w:w="1620" w:type="dxa"/>
            <w:noWrap w:val="0"/>
            <w:vAlign w:val="center"/>
          </w:tcPr>
          <w:p>
            <w:pPr>
              <w:spacing w:line="400" w:lineRule="exact"/>
              <w:jc w:val="center"/>
              <w:rPr>
                <w:sz w:val="24"/>
              </w:rPr>
            </w:pPr>
            <w:r>
              <w:rPr>
                <w:sz w:val="24"/>
              </w:rPr>
              <w:t>天然本底涨落</w:t>
            </w:r>
          </w:p>
          <w:p>
            <w:pPr>
              <w:spacing w:line="400" w:lineRule="exact"/>
              <w:jc w:val="center"/>
              <w:rPr>
                <w:sz w:val="24"/>
              </w:rPr>
            </w:pPr>
            <w:r>
              <w:rPr>
                <w:sz w:val="24"/>
              </w:rPr>
              <w:t>范围之内</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restart"/>
            <w:noWrap w:val="0"/>
            <w:vAlign w:val="center"/>
          </w:tcPr>
          <w:p>
            <w:pPr>
              <w:spacing w:line="400" w:lineRule="exact"/>
              <w:ind w:left="140" w:leftChars="50" w:right="140" w:rightChars="50"/>
              <w:jc w:val="center"/>
              <w:rPr>
                <w:b/>
                <w:sz w:val="24"/>
              </w:rPr>
            </w:pPr>
            <w:r>
              <w:rPr>
                <w:b/>
                <w:sz w:val="24"/>
              </w:rPr>
              <w:t>污染</w:t>
            </w:r>
          </w:p>
          <w:p>
            <w:pPr>
              <w:spacing w:line="400" w:lineRule="exact"/>
              <w:ind w:left="140" w:leftChars="50" w:right="140" w:rightChars="50"/>
              <w:jc w:val="center"/>
              <w:rPr>
                <w:b/>
                <w:sz w:val="24"/>
              </w:rPr>
            </w:pPr>
            <w:r>
              <w:rPr>
                <w:b/>
                <w:sz w:val="24"/>
              </w:rPr>
              <w:t>防治</w:t>
            </w:r>
          </w:p>
        </w:tc>
        <w:tc>
          <w:tcPr>
            <w:tcW w:w="8987" w:type="dxa"/>
            <w:gridSpan w:val="5"/>
            <w:noWrap w:val="0"/>
            <w:vAlign w:val="center"/>
          </w:tcPr>
          <w:p>
            <w:pPr>
              <w:spacing w:line="400" w:lineRule="exact"/>
              <w:rPr>
                <w:b/>
                <w:sz w:val="24"/>
              </w:rPr>
            </w:pPr>
            <w:r>
              <w:rPr>
                <w:b/>
                <w:sz w:val="24"/>
              </w:rPr>
              <w:t>一、总量控制</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8、COD年排放量</w:t>
            </w:r>
          </w:p>
        </w:tc>
        <w:tc>
          <w:tcPr>
            <w:tcW w:w="2092" w:type="dxa"/>
            <w:noWrap w:val="0"/>
            <w:vAlign w:val="center"/>
          </w:tcPr>
          <w:p>
            <w:pPr>
              <w:spacing w:line="400" w:lineRule="exact"/>
              <w:jc w:val="center"/>
              <w:rPr>
                <w:sz w:val="24"/>
              </w:rPr>
            </w:pPr>
            <w:r>
              <w:rPr>
                <w:sz w:val="24"/>
              </w:rPr>
              <w:t>万吨</w:t>
            </w:r>
          </w:p>
        </w:tc>
        <w:tc>
          <w:tcPr>
            <w:tcW w:w="0" w:type="auto"/>
            <w:noWrap w:val="0"/>
            <w:vAlign w:val="center"/>
          </w:tcPr>
          <w:p>
            <w:pPr>
              <w:spacing w:line="0" w:lineRule="atLeast"/>
              <w:jc w:val="center"/>
              <w:rPr>
                <w:rFonts w:hint="eastAsia"/>
                <w:sz w:val="24"/>
              </w:rPr>
            </w:pPr>
            <w:r>
              <w:rPr>
                <w:rFonts w:hint="eastAsia"/>
                <w:sz w:val="24"/>
              </w:rPr>
              <w:t>1.19</w:t>
            </w:r>
          </w:p>
        </w:tc>
        <w:tc>
          <w:tcPr>
            <w:tcW w:w="1620" w:type="dxa"/>
            <w:vMerge w:val="restart"/>
            <w:noWrap w:val="0"/>
            <w:vAlign w:val="center"/>
          </w:tcPr>
          <w:p>
            <w:pPr>
              <w:spacing w:line="400" w:lineRule="exact"/>
              <w:jc w:val="center"/>
              <w:rPr>
                <w:sz w:val="24"/>
              </w:rPr>
            </w:pPr>
            <w:r>
              <w:rPr>
                <w:sz w:val="24"/>
              </w:rPr>
              <w:t>不超过国家</w:t>
            </w:r>
          </w:p>
          <w:p>
            <w:pPr>
              <w:spacing w:line="400" w:lineRule="exact"/>
              <w:jc w:val="center"/>
              <w:rPr>
                <w:sz w:val="24"/>
              </w:rPr>
            </w:pPr>
            <w:r>
              <w:rPr>
                <w:sz w:val="24"/>
              </w:rPr>
              <w:t>总量控制指标</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9、NH</w:t>
            </w:r>
            <w:r>
              <w:rPr>
                <w:sz w:val="24"/>
                <w:vertAlign w:val="subscript"/>
              </w:rPr>
              <w:t>3</w:t>
            </w:r>
            <w:r>
              <w:rPr>
                <w:sz w:val="24"/>
              </w:rPr>
              <w:t>-N年排放量</w:t>
            </w:r>
          </w:p>
        </w:tc>
        <w:tc>
          <w:tcPr>
            <w:tcW w:w="2092" w:type="dxa"/>
            <w:noWrap w:val="0"/>
            <w:vAlign w:val="center"/>
          </w:tcPr>
          <w:p>
            <w:pPr>
              <w:spacing w:line="400" w:lineRule="exact"/>
              <w:jc w:val="center"/>
              <w:rPr>
                <w:sz w:val="24"/>
              </w:rPr>
            </w:pPr>
            <w:r>
              <w:rPr>
                <w:sz w:val="24"/>
              </w:rPr>
              <w:t>万吨</w:t>
            </w:r>
          </w:p>
        </w:tc>
        <w:tc>
          <w:tcPr>
            <w:tcW w:w="0" w:type="auto"/>
            <w:noWrap w:val="0"/>
            <w:vAlign w:val="center"/>
          </w:tcPr>
          <w:p>
            <w:pPr>
              <w:spacing w:line="0" w:lineRule="atLeast"/>
              <w:jc w:val="center"/>
              <w:rPr>
                <w:rFonts w:hint="eastAsia"/>
                <w:sz w:val="24"/>
              </w:rPr>
            </w:pPr>
            <w:r>
              <w:rPr>
                <w:rFonts w:hint="eastAsia"/>
                <w:sz w:val="24"/>
              </w:rPr>
              <w:t>0.0576</w:t>
            </w:r>
          </w:p>
        </w:tc>
        <w:tc>
          <w:tcPr>
            <w:tcW w:w="1620" w:type="dxa"/>
            <w:vMerge w:val="continue"/>
            <w:noWrap w:val="0"/>
            <w:vAlign w:val="center"/>
          </w:tcPr>
          <w:p>
            <w:pPr>
              <w:spacing w:line="400" w:lineRule="exact"/>
              <w:jc w:val="center"/>
              <w:rPr>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10、TP年排放量</w:t>
            </w:r>
          </w:p>
        </w:tc>
        <w:tc>
          <w:tcPr>
            <w:tcW w:w="2092" w:type="dxa"/>
            <w:noWrap w:val="0"/>
            <w:vAlign w:val="center"/>
          </w:tcPr>
          <w:p>
            <w:pPr>
              <w:spacing w:line="400" w:lineRule="exact"/>
              <w:jc w:val="center"/>
              <w:rPr>
                <w:sz w:val="24"/>
              </w:rPr>
            </w:pPr>
            <w:r>
              <w:rPr>
                <w:sz w:val="24"/>
              </w:rPr>
              <w:t>吨</w:t>
            </w:r>
          </w:p>
        </w:tc>
        <w:tc>
          <w:tcPr>
            <w:tcW w:w="0" w:type="auto"/>
            <w:noWrap w:val="0"/>
            <w:vAlign w:val="center"/>
          </w:tcPr>
          <w:p>
            <w:pPr>
              <w:spacing w:line="400" w:lineRule="exact"/>
              <w:jc w:val="center"/>
              <w:rPr>
                <w:sz w:val="24"/>
              </w:rPr>
            </w:pPr>
            <w:r>
              <w:rPr>
                <w:sz w:val="24"/>
              </w:rPr>
              <w:t>/</w:t>
            </w:r>
          </w:p>
        </w:tc>
        <w:tc>
          <w:tcPr>
            <w:tcW w:w="1620" w:type="dxa"/>
            <w:vMerge w:val="continue"/>
            <w:noWrap w:val="0"/>
            <w:vAlign w:val="center"/>
          </w:tcPr>
          <w:p>
            <w:pPr>
              <w:spacing w:line="400" w:lineRule="exact"/>
              <w:jc w:val="center"/>
              <w:rPr>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11、SO</w:t>
            </w:r>
            <w:r>
              <w:rPr>
                <w:sz w:val="24"/>
                <w:vertAlign w:val="subscript"/>
              </w:rPr>
              <w:t>2</w:t>
            </w:r>
            <w:r>
              <w:rPr>
                <w:sz w:val="24"/>
              </w:rPr>
              <w:t>年排放量</w:t>
            </w:r>
          </w:p>
        </w:tc>
        <w:tc>
          <w:tcPr>
            <w:tcW w:w="2092" w:type="dxa"/>
            <w:noWrap w:val="0"/>
            <w:vAlign w:val="center"/>
          </w:tcPr>
          <w:p>
            <w:pPr>
              <w:spacing w:line="400" w:lineRule="exact"/>
              <w:jc w:val="center"/>
              <w:rPr>
                <w:sz w:val="24"/>
              </w:rPr>
            </w:pPr>
            <w:r>
              <w:rPr>
                <w:sz w:val="24"/>
              </w:rPr>
              <w:t>万吨</w:t>
            </w:r>
          </w:p>
        </w:tc>
        <w:tc>
          <w:tcPr>
            <w:tcW w:w="0" w:type="auto"/>
            <w:noWrap w:val="0"/>
            <w:vAlign w:val="center"/>
          </w:tcPr>
          <w:p>
            <w:pPr>
              <w:spacing w:line="0" w:lineRule="atLeast"/>
              <w:jc w:val="center"/>
              <w:rPr>
                <w:rFonts w:hint="eastAsia"/>
                <w:sz w:val="24"/>
              </w:rPr>
            </w:pPr>
            <w:bookmarkStart w:id="62" w:name="OLE_LINK2"/>
            <w:r>
              <w:rPr>
                <w:rFonts w:hint="eastAsia"/>
                <w:sz w:val="24"/>
              </w:rPr>
              <w:t>1.1993</w:t>
            </w:r>
            <w:bookmarkEnd w:id="62"/>
          </w:p>
        </w:tc>
        <w:tc>
          <w:tcPr>
            <w:tcW w:w="1620" w:type="dxa"/>
            <w:vMerge w:val="continue"/>
            <w:noWrap w:val="0"/>
            <w:vAlign w:val="center"/>
          </w:tcPr>
          <w:p>
            <w:pPr>
              <w:spacing w:line="400" w:lineRule="exact"/>
              <w:jc w:val="center"/>
              <w:rPr>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12、NO</w:t>
            </w:r>
            <w:r>
              <w:rPr>
                <w:sz w:val="24"/>
                <w:vertAlign w:val="subscript"/>
              </w:rPr>
              <w:t>x</w:t>
            </w:r>
            <w:r>
              <w:rPr>
                <w:sz w:val="24"/>
              </w:rPr>
              <w:t>年排放量</w:t>
            </w:r>
          </w:p>
        </w:tc>
        <w:tc>
          <w:tcPr>
            <w:tcW w:w="2092" w:type="dxa"/>
            <w:noWrap w:val="0"/>
            <w:vAlign w:val="center"/>
          </w:tcPr>
          <w:p>
            <w:pPr>
              <w:spacing w:line="400" w:lineRule="exact"/>
              <w:jc w:val="center"/>
              <w:rPr>
                <w:sz w:val="24"/>
              </w:rPr>
            </w:pPr>
            <w:r>
              <w:rPr>
                <w:sz w:val="24"/>
              </w:rPr>
              <w:t>万吨</w:t>
            </w:r>
          </w:p>
        </w:tc>
        <w:tc>
          <w:tcPr>
            <w:tcW w:w="0" w:type="auto"/>
            <w:noWrap w:val="0"/>
            <w:vAlign w:val="center"/>
          </w:tcPr>
          <w:p>
            <w:pPr>
              <w:spacing w:line="0" w:lineRule="atLeast"/>
              <w:jc w:val="center"/>
              <w:rPr>
                <w:rFonts w:hint="eastAsia"/>
                <w:sz w:val="24"/>
              </w:rPr>
            </w:pPr>
            <w:r>
              <w:rPr>
                <w:rFonts w:hint="eastAsia"/>
                <w:sz w:val="24"/>
              </w:rPr>
              <w:t>1.1534</w:t>
            </w:r>
          </w:p>
        </w:tc>
        <w:tc>
          <w:tcPr>
            <w:tcW w:w="1620" w:type="dxa"/>
            <w:vMerge w:val="continue"/>
            <w:noWrap w:val="0"/>
            <w:vAlign w:val="center"/>
          </w:tcPr>
          <w:p>
            <w:pPr>
              <w:spacing w:line="400" w:lineRule="exact"/>
              <w:jc w:val="center"/>
              <w:rPr>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13、粉尘年排放量</w:t>
            </w:r>
          </w:p>
        </w:tc>
        <w:tc>
          <w:tcPr>
            <w:tcW w:w="2092" w:type="dxa"/>
            <w:noWrap w:val="0"/>
            <w:vAlign w:val="center"/>
          </w:tcPr>
          <w:p>
            <w:pPr>
              <w:spacing w:line="400" w:lineRule="exact"/>
              <w:jc w:val="center"/>
              <w:rPr>
                <w:sz w:val="24"/>
              </w:rPr>
            </w:pPr>
            <w:r>
              <w:rPr>
                <w:sz w:val="24"/>
              </w:rPr>
              <w:t>万吨</w:t>
            </w:r>
          </w:p>
        </w:tc>
        <w:tc>
          <w:tcPr>
            <w:tcW w:w="0" w:type="auto"/>
            <w:noWrap w:val="0"/>
            <w:vAlign w:val="center"/>
          </w:tcPr>
          <w:p>
            <w:pPr>
              <w:spacing w:line="0" w:lineRule="atLeast"/>
              <w:jc w:val="center"/>
              <w:rPr>
                <w:rFonts w:hint="eastAsia"/>
                <w:sz w:val="24"/>
              </w:rPr>
            </w:pPr>
            <w:r>
              <w:rPr>
                <w:rFonts w:hint="eastAsia"/>
                <w:sz w:val="24"/>
              </w:rPr>
              <w:t>0.1137</w:t>
            </w:r>
          </w:p>
        </w:tc>
        <w:tc>
          <w:tcPr>
            <w:tcW w:w="1620" w:type="dxa"/>
            <w:vMerge w:val="continue"/>
            <w:noWrap w:val="0"/>
            <w:vAlign w:val="center"/>
          </w:tcPr>
          <w:p>
            <w:pPr>
              <w:spacing w:line="400" w:lineRule="exact"/>
              <w:jc w:val="center"/>
              <w:rPr>
                <w:sz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8987" w:type="dxa"/>
            <w:gridSpan w:val="5"/>
            <w:noWrap w:val="0"/>
            <w:vAlign w:val="center"/>
          </w:tcPr>
          <w:p>
            <w:pPr>
              <w:spacing w:line="400" w:lineRule="exact"/>
              <w:rPr>
                <w:b/>
                <w:sz w:val="24"/>
              </w:rPr>
            </w:pPr>
            <w:r>
              <w:rPr>
                <w:b/>
                <w:sz w:val="24"/>
              </w:rPr>
              <w:t>二、环境污染治理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14、危险及医疗废物安全处置率</w:t>
            </w:r>
          </w:p>
        </w:tc>
        <w:tc>
          <w:tcPr>
            <w:tcW w:w="2092" w:type="dxa"/>
            <w:noWrap w:val="0"/>
            <w:vAlign w:val="center"/>
          </w:tcPr>
          <w:p>
            <w:pPr>
              <w:spacing w:line="400" w:lineRule="exact"/>
              <w:jc w:val="center"/>
              <w:rPr>
                <w:sz w:val="24"/>
              </w:rPr>
            </w:pPr>
            <w:r>
              <w:rPr>
                <w:sz w:val="24"/>
              </w:rPr>
              <w:t>%</w:t>
            </w:r>
          </w:p>
        </w:tc>
        <w:tc>
          <w:tcPr>
            <w:tcW w:w="0" w:type="auto"/>
            <w:noWrap w:val="0"/>
            <w:vAlign w:val="center"/>
          </w:tcPr>
          <w:p>
            <w:pPr>
              <w:spacing w:line="400" w:lineRule="exact"/>
              <w:jc w:val="center"/>
              <w:rPr>
                <w:sz w:val="24"/>
              </w:rPr>
            </w:pPr>
            <w:r>
              <w:rPr>
                <w:sz w:val="24"/>
              </w:rPr>
              <w:t>100</w:t>
            </w:r>
          </w:p>
        </w:tc>
        <w:tc>
          <w:tcPr>
            <w:tcW w:w="1620" w:type="dxa"/>
            <w:noWrap w:val="0"/>
            <w:vAlign w:val="center"/>
          </w:tcPr>
          <w:p>
            <w:pPr>
              <w:spacing w:line="400" w:lineRule="exact"/>
              <w:jc w:val="center"/>
              <w:rPr>
                <w:sz w:val="24"/>
              </w:rPr>
            </w:pPr>
            <w:r>
              <w:rPr>
                <w:sz w:val="24"/>
              </w:rPr>
              <w:t>100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15、放射性废物安全处置率</w:t>
            </w:r>
          </w:p>
        </w:tc>
        <w:tc>
          <w:tcPr>
            <w:tcW w:w="2092" w:type="dxa"/>
            <w:noWrap w:val="0"/>
            <w:vAlign w:val="center"/>
          </w:tcPr>
          <w:p>
            <w:pPr>
              <w:spacing w:line="400" w:lineRule="exact"/>
              <w:jc w:val="center"/>
              <w:rPr>
                <w:sz w:val="24"/>
              </w:rPr>
            </w:pPr>
            <w:r>
              <w:rPr>
                <w:sz w:val="24"/>
              </w:rPr>
              <w:t>%</w:t>
            </w:r>
          </w:p>
        </w:tc>
        <w:tc>
          <w:tcPr>
            <w:tcW w:w="0" w:type="auto"/>
            <w:noWrap w:val="0"/>
            <w:vAlign w:val="center"/>
          </w:tcPr>
          <w:p>
            <w:pPr>
              <w:spacing w:line="400" w:lineRule="exact"/>
              <w:jc w:val="center"/>
              <w:rPr>
                <w:sz w:val="24"/>
              </w:rPr>
            </w:pPr>
            <w:r>
              <w:rPr>
                <w:sz w:val="24"/>
              </w:rPr>
              <w:t>100</w:t>
            </w:r>
          </w:p>
        </w:tc>
        <w:tc>
          <w:tcPr>
            <w:tcW w:w="1620" w:type="dxa"/>
            <w:noWrap w:val="0"/>
            <w:vAlign w:val="center"/>
          </w:tcPr>
          <w:p>
            <w:pPr>
              <w:spacing w:line="400" w:lineRule="exact"/>
              <w:jc w:val="center"/>
              <w:rPr>
                <w:sz w:val="24"/>
              </w:rPr>
            </w:pPr>
            <w:r>
              <w:rPr>
                <w:sz w:val="24"/>
              </w:rPr>
              <w:t>100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2162" w:type="dxa"/>
            <w:vMerge w:val="restart"/>
            <w:noWrap w:val="0"/>
            <w:vAlign w:val="center"/>
          </w:tcPr>
          <w:p>
            <w:pPr>
              <w:spacing w:line="400" w:lineRule="exact"/>
              <w:jc w:val="center"/>
              <w:rPr>
                <w:sz w:val="24"/>
              </w:rPr>
            </w:pPr>
            <w:r>
              <w:rPr>
                <w:sz w:val="24"/>
              </w:rPr>
              <w:t>16、生活污水集中处理率</w:t>
            </w:r>
          </w:p>
        </w:tc>
        <w:tc>
          <w:tcPr>
            <w:tcW w:w="1668" w:type="dxa"/>
            <w:noWrap w:val="0"/>
            <w:vAlign w:val="center"/>
          </w:tcPr>
          <w:p>
            <w:pPr>
              <w:spacing w:line="400" w:lineRule="exact"/>
              <w:jc w:val="center"/>
              <w:rPr>
                <w:sz w:val="24"/>
              </w:rPr>
            </w:pPr>
            <w:r>
              <w:rPr>
                <w:sz w:val="24"/>
              </w:rPr>
              <w:t>城区</w:t>
            </w:r>
          </w:p>
        </w:tc>
        <w:tc>
          <w:tcPr>
            <w:tcW w:w="2092" w:type="dxa"/>
            <w:noWrap w:val="0"/>
            <w:vAlign w:val="center"/>
          </w:tcPr>
          <w:p>
            <w:pPr>
              <w:spacing w:line="400" w:lineRule="exact"/>
              <w:jc w:val="center"/>
              <w:rPr>
                <w:sz w:val="24"/>
              </w:rPr>
            </w:pPr>
            <w:r>
              <w:rPr>
                <w:sz w:val="24"/>
              </w:rPr>
              <w:t>%</w:t>
            </w:r>
          </w:p>
        </w:tc>
        <w:tc>
          <w:tcPr>
            <w:tcW w:w="0" w:type="auto"/>
            <w:noWrap w:val="0"/>
            <w:vAlign w:val="center"/>
          </w:tcPr>
          <w:p>
            <w:pPr>
              <w:spacing w:line="400" w:lineRule="exact"/>
              <w:jc w:val="center"/>
              <w:rPr>
                <w:rFonts w:hint="eastAsia"/>
                <w:sz w:val="24"/>
              </w:rPr>
            </w:pPr>
            <w:r>
              <w:rPr>
                <w:sz w:val="24"/>
              </w:rPr>
              <w:t>95</w:t>
            </w:r>
            <w:r>
              <w:rPr>
                <w:rFonts w:hint="eastAsia"/>
                <w:sz w:val="24"/>
              </w:rPr>
              <w:t>.2</w:t>
            </w:r>
          </w:p>
        </w:tc>
        <w:tc>
          <w:tcPr>
            <w:tcW w:w="1620" w:type="dxa"/>
            <w:noWrap w:val="0"/>
            <w:vAlign w:val="center"/>
          </w:tcPr>
          <w:p>
            <w:pPr>
              <w:spacing w:line="400" w:lineRule="exact"/>
              <w:jc w:val="center"/>
              <w:rPr>
                <w:sz w:val="24"/>
              </w:rPr>
            </w:pPr>
            <w:r>
              <w:rPr>
                <w:sz w:val="24"/>
              </w:rPr>
              <w:t>98</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2162" w:type="dxa"/>
            <w:vMerge w:val="continue"/>
            <w:noWrap w:val="0"/>
            <w:vAlign w:val="center"/>
          </w:tcPr>
          <w:p>
            <w:pPr>
              <w:spacing w:line="400" w:lineRule="exact"/>
              <w:jc w:val="center"/>
              <w:rPr>
                <w:sz w:val="24"/>
              </w:rPr>
            </w:pPr>
          </w:p>
        </w:tc>
        <w:tc>
          <w:tcPr>
            <w:tcW w:w="1668" w:type="dxa"/>
            <w:noWrap w:val="0"/>
            <w:vAlign w:val="center"/>
          </w:tcPr>
          <w:p>
            <w:pPr>
              <w:spacing w:line="400" w:lineRule="exact"/>
              <w:jc w:val="center"/>
              <w:rPr>
                <w:sz w:val="24"/>
              </w:rPr>
            </w:pPr>
            <w:r>
              <w:rPr>
                <w:sz w:val="24"/>
              </w:rPr>
              <w:t>乡镇</w:t>
            </w:r>
          </w:p>
        </w:tc>
        <w:tc>
          <w:tcPr>
            <w:tcW w:w="2092" w:type="dxa"/>
            <w:noWrap w:val="0"/>
            <w:vAlign w:val="center"/>
          </w:tcPr>
          <w:p>
            <w:pPr>
              <w:spacing w:line="400" w:lineRule="exact"/>
              <w:jc w:val="center"/>
              <w:rPr>
                <w:sz w:val="24"/>
              </w:rPr>
            </w:pPr>
            <w:r>
              <w:rPr>
                <w:sz w:val="24"/>
              </w:rPr>
              <w:t>%</w:t>
            </w:r>
          </w:p>
        </w:tc>
        <w:tc>
          <w:tcPr>
            <w:tcW w:w="0" w:type="auto"/>
            <w:noWrap w:val="0"/>
            <w:vAlign w:val="center"/>
          </w:tcPr>
          <w:p>
            <w:pPr>
              <w:spacing w:line="400" w:lineRule="exact"/>
              <w:jc w:val="center"/>
              <w:rPr>
                <w:sz w:val="24"/>
              </w:rPr>
            </w:pPr>
            <w:r>
              <w:rPr>
                <w:sz w:val="24"/>
              </w:rPr>
              <w:t>85</w:t>
            </w:r>
          </w:p>
        </w:tc>
        <w:tc>
          <w:tcPr>
            <w:tcW w:w="1620" w:type="dxa"/>
            <w:noWrap w:val="0"/>
            <w:vAlign w:val="center"/>
          </w:tcPr>
          <w:p>
            <w:pPr>
              <w:spacing w:line="400" w:lineRule="exact"/>
              <w:jc w:val="center"/>
              <w:rPr>
                <w:sz w:val="24"/>
              </w:rPr>
            </w:pPr>
            <w:r>
              <w:rPr>
                <w:sz w:val="24"/>
              </w:rPr>
              <w:t>90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2162" w:type="dxa"/>
            <w:vMerge w:val="restart"/>
            <w:noWrap w:val="0"/>
            <w:vAlign w:val="center"/>
          </w:tcPr>
          <w:p>
            <w:pPr>
              <w:spacing w:line="400" w:lineRule="exact"/>
              <w:jc w:val="center"/>
              <w:rPr>
                <w:sz w:val="24"/>
              </w:rPr>
            </w:pPr>
            <w:r>
              <w:rPr>
                <w:sz w:val="24"/>
              </w:rPr>
              <w:t>17、生活垃圾无害化处置率</w:t>
            </w:r>
          </w:p>
        </w:tc>
        <w:tc>
          <w:tcPr>
            <w:tcW w:w="1668" w:type="dxa"/>
            <w:noWrap w:val="0"/>
            <w:vAlign w:val="center"/>
          </w:tcPr>
          <w:p>
            <w:pPr>
              <w:spacing w:line="400" w:lineRule="exact"/>
              <w:jc w:val="center"/>
              <w:rPr>
                <w:sz w:val="24"/>
              </w:rPr>
            </w:pPr>
            <w:r>
              <w:rPr>
                <w:sz w:val="24"/>
              </w:rPr>
              <w:t>城区</w:t>
            </w:r>
          </w:p>
        </w:tc>
        <w:tc>
          <w:tcPr>
            <w:tcW w:w="2092" w:type="dxa"/>
            <w:noWrap w:val="0"/>
            <w:vAlign w:val="center"/>
          </w:tcPr>
          <w:p>
            <w:pPr>
              <w:spacing w:line="400" w:lineRule="exact"/>
              <w:jc w:val="center"/>
              <w:rPr>
                <w:sz w:val="24"/>
              </w:rPr>
            </w:pPr>
            <w:r>
              <w:rPr>
                <w:sz w:val="24"/>
              </w:rPr>
              <w:t>%</w:t>
            </w:r>
          </w:p>
        </w:tc>
        <w:tc>
          <w:tcPr>
            <w:tcW w:w="0" w:type="auto"/>
            <w:noWrap w:val="0"/>
            <w:vAlign w:val="center"/>
          </w:tcPr>
          <w:p>
            <w:pPr>
              <w:spacing w:line="400" w:lineRule="exact"/>
              <w:jc w:val="center"/>
              <w:rPr>
                <w:sz w:val="24"/>
              </w:rPr>
            </w:pPr>
            <w:r>
              <w:rPr>
                <w:sz w:val="24"/>
              </w:rPr>
              <w:t>100</w:t>
            </w:r>
          </w:p>
        </w:tc>
        <w:tc>
          <w:tcPr>
            <w:tcW w:w="1620" w:type="dxa"/>
            <w:noWrap w:val="0"/>
            <w:vAlign w:val="center"/>
          </w:tcPr>
          <w:p>
            <w:pPr>
              <w:spacing w:line="400" w:lineRule="exact"/>
              <w:jc w:val="center"/>
              <w:rPr>
                <w:sz w:val="24"/>
              </w:rPr>
            </w:pPr>
            <w:r>
              <w:rPr>
                <w:sz w:val="24"/>
              </w:rPr>
              <w:t>100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2162" w:type="dxa"/>
            <w:vMerge w:val="continue"/>
            <w:noWrap w:val="0"/>
            <w:vAlign w:val="center"/>
          </w:tcPr>
          <w:p>
            <w:pPr>
              <w:spacing w:line="400" w:lineRule="exact"/>
              <w:rPr>
                <w:sz w:val="24"/>
              </w:rPr>
            </w:pPr>
          </w:p>
        </w:tc>
        <w:tc>
          <w:tcPr>
            <w:tcW w:w="1668" w:type="dxa"/>
            <w:noWrap w:val="0"/>
            <w:vAlign w:val="center"/>
          </w:tcPr>
          <w:p>
            <w:pPr>
              <w:spacing w:line="400" w:lineRule="exact"/>
              <w:jc w:val="center"/>
              <w:rPr>
                <w:sz w:val="24"/>
              </w:rPr>
            </w:pPr>
            <w:r>
              <w:rPr>
                <w:sz w:val="24"/>
              </w:rPr>
              <w:t>乡镇</w:t>
            </w:r>
          </w:p>
        </w:tc>
        <w:tc>
          <w:tcPr>
            <w:tcW w:w="2092" w:type="dxa"/>
            <w:noWrap w:val="0"/>
            <w:vAlign w:val="center"/>
          </w:tcPr>
          <w:p>
            <w:pPr>
              <w:spacing w:line="400" w:lineRule="exact"/>
              <w:jc w:val="center"/>
              <w:rPr>
                <w:sz w:val="24"/>
              </w:rPr>
            </w:pPr>
            <w:r>
              <w:rPr>
                <w:sz w:val="24"/>
              </w:rPr>
              <w:t>%</w:t>
            </w:r>
          </w:p>
        </w:tc>
        <w:tc>
          <w:tcPr>
            <w:tcW w:w="0" w:type="auto"/>
            <w:noWrap w:val="0"/>
            <w:vAlign w:val="center"/>
          </w:tcPr>
          <w:p>
            <w:pPr>
              <w:spacing w:line="400" w:lineRule="exact"/>
              <w:jc w:val="center"/>
              <w:rPr>
                <w:sz w:val="24"/>
              </w:rPr>
            </w:pPr>
            <w:r>
              <w:rPr>
                <w:sz w:val="24"/>
              </w:rPr>
              <w:t>100</w:t>
            </w:r>
          </w:p>
        </w:tc>
        <w:tc>
          <w:tcPr>
            <w:tcW w:w="1620" w:type="dxa"/>
            <w:noWrap w:val="0"/>
            <w:vAlign w:val="center"/>
          </w:tcPr>
          <w:p>
            <w:pPr>
              <w:spacing w:line="400" w:lineRule="exact"/>
              <w:jc w:val="center"/>
              <w:rPr>
                <w:sz w:val="24"/>
              </w:rPr>
            </w:pPr>
            <w:r>
              <w:rPr>
                <w:sz w:val="24"/>
              </w:rPr>
              <w:t>100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18、城市机动车尾气排放达标率</w:t>
            </w:r>
          </w:p>
        </w:tc>
        <w:tc>
          <w:tcPr>
            <w:tcW w:w="2092" w:type="dxa"/>
            <w:noWrap w:val="0"/>
            <w:vAlign w:val="center"/>
          </w:tcPr>
          <w:p>
            <w:pPr>
              <w:spacing w:line="400" w:lineRule="exact"/>
              <w:jc w:val="center"/>
              <w:rPr>
                <w:sz w:val="24"/>
              </w:rPr>
            </w:pPr>
            <w:r>
              <w:rPr>
                <w:sz w:val="24"/>
              </w:rPr>
              <w:t>%</w:t>
            </w:r>
          </w:p>
        </w:tc>
        <w:tc>
          <w:tcPr>
            <w:tcW w:w="0" w:type="auto"/>
            <w:noWrap w:val="0"/>
            <w:vAlign w:val="center"/>
          </w:tcPr>
          <w:p>
            <w:pPr>
              <w:spacing w:line="400" w:lineRule="exact"/>
              <w:jc w:val="center"/>
              <w:rPr>
                <w:rFonts w:hint="eastAsia"/>
                <w:sz w:val="24"/>
              </w:rPr>
            </w:pPr>
            <w:r>
              <w:rPr>
                <w:rFonts w:hint="eastAsia"/>
                <w:sz w:val="24"/>
              </w:rPr>
              <w:t>90</w:t>
            </w:r>
          </w:p>
        </w:tc>
        <w:tc>
          <w:tcPr>
            <w:tcW w:w="1620" w:type="dxa"/>
            <w:noWrap w:val="0"/>
            <w:vAlign w:val="center"/>
          </w:tcPr>
          <w:p>
            <w:pPr>
              <w:spacing w:line="400" w:lineRule="exact"/>
              <w:jc w:val="center"/>
              <w:rPr>
                <w:rFonts w:hint="eastAsia"/>
                <w:sz w:val="24"/>
              </w:rPr>
            </w:pPr>
            <w:r>
              <w:rPr>
                <w:sz w:val="24"/>
              </w:rPr>
              <w:t>9</w:t>
            </w:r>
            <w:r>
              <w:rPr>
                <w:rFonts w:hint="eastAsia"/>
                <w:sz w:val="24"/>
              </w:rPr>
              <w:t>4</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19、重点污染源工业废水排放达标率</w:t>
            </w:r>
          </w:p>
        </w:tc>
        <w:tc>
          <w:tcPr>
            <w:tcW w:w="2092" w:type="dxa"/>
            <w:noWrap w:val="0"/>
            <w:vAlign w:val="center"/>
          </w:tcPr>
          <w:p>
            <w:pPr>
              <w:spacing w:line="400" w:lineRule="exact"/>
              <w:jc w:val="center"/>
              <w:rPr>
                <w:sz w:val="24"/>
              </w:rPr>
            </w:pPr>
            <w:r>
              <w:rPr>
                <w:sz w:val="24"/>
              </w:rPr>
              <w:t>%</w:t>
            </w:r>
          </w:p>
        </w:tc>
        <w:tc>
          <w:tcPr>
            <w:tcW w:w="0" w:type="auto"/>
            <w:noWrap w:val="0"/>
            <w:vAlign w:val="center"/>
          </w:tcPr>
          <w:p>
            <w:pPr>
              <w:spacing w:line="400" w:lineRule="exact"/>
              <w:jc w:val="center"/>
              <w:rPr>
                <w:sz w:val="24"/>
              </w:rPr>
            </w:pPr>
            <w:r>
              <w:rPr>
                <w:sz w:val="24"/>
              </w:rPr>
              <w:t>100</w:t>
            </w:r>
          </w:p>
        </w:tc>
        <w:tc>
          <w:tcPr>
            <w:tcW w:w="1620" w:type="dxa"/>
            <w:noWrap w:val="0"/>
            <w:vAlign w:val="center"/>
          </w:tcPr>
          <w:p>
            <w:pPr>
              <w:spacing w:line="400" w:lineRule="exact"/>
              <w:jc w:val="center"/>
              <w:rPr>
                <w:sz w:val="24"/>
              </w:rPr>
            </w:pPr>
            <w:r>
              <w:rPr>
                <w:sz w:val="24"/>
              </w:rPr>
              <w:t>100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20、重点污染源工业废气排放达标率</w:t>
            </w:r>
          </w:p>
        </w:tc>
        <w:tc>
          <w:tcPr>
            <w:tcW w:w="2092" w:type="dxa"/>
            <w:noWrap w:val="0"/>
            <w:vAlign w:val="center"/>
          </w:tcPr>
          <w:p>
            <w:pPr>
              <w:spacing w:line="400" w:lineRule="exact"/>
              <w:jc w:val="center"/>
              <w:rPr>
                <w:sz w:val="24"/>
              </w:rPr>
            </w:pPr>
            <w:r>
              <w:rPr>
                <w:sz w:val="24"/>
              </w:rPr>
              <w:t>%</w:t>
            </w:r>
          </w:p>
        </w:tc>
        <w:tc>
          <w:tcPr>
            <w:tcW w:w="0" w:type="auto"/>
            <w:noWrap w:val="0"/>
            <w:vAlign w:val="center"/>
          </w:tcPr>
          <w:p>
            <w:pPr>
              <w:spacing w:line="400" w:lineRule="exact"/>
              <w:jc w:val="center"/>
              <w:rPr>
                <w:sz w:val="24"/>
              </w:rPr>
            </w:pPr>
            <w:r>
              <w:rPr>
                <w:sz w:val="24"/>
              </w:rPr>
              <w:t>100</w:t>
            </w:r>
          </w:p>
        </w:tc>
        <w:tc>
          <w:tcPr>
            <w:tcW w:w="1620" w:type="dxa"/>
            <w:noWrap w:val="0"/>
            <w:vAlign w:val="center"/>
          </w:tcPr>
          <w:p>
            <w:pPr>
              <w:spacing w:line="400" w:lineRule="exact"/>
              <w:jc w:val="center"/>
              <w:rPr>
                <w:sz w:val="24"/>
              </w:rPr>
            </w:pPr>
            <w:r>
              <w:rPr>
                <w:sz w:val="24"/>
              </w:rPr>
              <w:t>100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21、规模化养殖场和集中式养殖区污水排放达标率</w:t>
            </w:r>
          </w:p>
        </w:tc>
        <w:tc>
          <w:tcPr>
            <w:tcW w:w="2092" w:type="dxa"/>
            <w:noWrap w:val="0"/>
            <w:vAlign w:val="center"/>
          </w:tcPr>
          <w:p>
            <w:pPr>
              <w:spacing w:line="400" w:lineRule="exact"/>
              <w:jc w:val="center"/>
              <w:rPr>
                <w:sz w:val="24"/>
              </w:rPr>
            </w:pPr>
            <w:r>
              <w:rPr>
                <w:sz w:val="24"/>
              </w:rPr>
              <w:t>%</w:t>
            </w:r>
          </w:p>
        </w:tc>
        <w:tc>
          <w:tcPr>
            <w:tcW w:w="0" w:type="auto"/>
            <w:noWrap w:val="0"/>
            <w:vAlign w:val="center"/>
          </w:tcPr>
          <w:p>
            <w:pPr>
              <w:spacing w:line="400" w:lineRule="exact"/>
              <w:jc w:val="center"/>
              <w:rPr>
                <w:sz w:val="24"/>
              </w:rPr>
            </w:pPr>
            <w:r>
              <w:rPr>
                <w:sz w:val="24"/>
              </w:rPr>
              <w:t>85</w:t>
            </w:r>
          </w:p>
        </w:tc>
        <w:tc>
          <w:tcPr>
            <w:tcW w:w="1620" w:type="dxa"/>
            <w:noWrap w:val="0"/>
            <w:vAlign w:val="center"/>
          </w:tcPr>
          <w:p>
            <w:pPr>
              <w:spacing w:line="400" w:lineRule="exact"/>
              <w:jc w:val="center"/>
              <w:rPr>
                <w:sz w:val="24"/>
              </w:rPr>
            </w:pPr>
            <w:r>
              <w:rPr>
                <w:sz w:val="24"/>
              </w:rPr>
              <w:t>95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22、规模化养殖场和集中式养殖区畜禽粪便综合利用率</w:t>
            </w:r>
          </w:p>
        </w:tc>
        <w:tc>
          <w:tcPr>
            <w:tcW w:w="2092" w:type="dxa"/>
            <w:noWrap w:val="0"/>
            <w:vAlign w:val="center"/>
          </w:tcPr>
          <w:p>
            <w:pPr>
              <w:spacing w:line="400" w:lineRule="exact"/>
              <w:jc w:val="center"/>
              <w:rPr>
                <w:sz w:val="24"/>
              </w:rPr>
            </w:pPr>
            <w:r>
              <w:rPr>
                <w:sz w:val="24"/>
              </w:rPr>
              <w:t>%</w:t>
            </w:r>
          </w:p>
        </w:tc>
        <w:tc>
          <w:tcPr>
            <w:tcW w:w="0" w:type="auto"/>
            <w:noWrap w:val="0"/>
            <w:vAlign w:val="center"/>
          </w:tcPr>
          <w:p>
            <w:pPr>
              <w:spacing w:line="400" w:lineRule="exact"/>
              <w:jc w:val="center"/>
              <w:rPr>
                <w:sz w:val="24"/>
              </w:rPr>
            </w:pPr>
            <w:r>
              <w:rPr>
                <w:sz w:val="24"/>
              </w:rPr>
              <w:t>88</w:t>
            </w:r>
          </w:p>
        </w:tc>
        <w:tc>
          <w:tcPr>
            <w:tcW w:w="1620" w:type="dxa"/>
            <w:noWrap w:val="0"/>
            <w:vAlign w:val="center"/>
          </w:tcPr>
          <w:p>
            <w:pPr>
              <w:spacing w:line="400" w:lineRule="exact"/>
              <w:jc w:val="center"/>
              <w:rPr>
                <w:sz w:val="24"/>
              </w:rPr>
            </w:pPr>
            <w:r>
              <w:rPr>
                <w:sz w:val="24"/>
              </w:rPr>
              <w:t>98</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8987" w:type="dxa"/>
            <w:gridSpan w:val="5"/>
            <w:noWrap w:val="0"/>
            <w:vAlign w:val="center"/>
          </w:tcPr>
          <w:p>
            <w:pPr>
              <w:spacing w:line="400" w:lineRule="exact"/>
              <w:rPr>
                <w:b/>
                <w:sz w:val="24"/>
              </w:rPr>
            </w:pPr>
            <w:r>
              <w:rPr>
                <w:b/>
                <w:sz w:val="24"/>
              </w:rPr>
              <w:t>三、环境经济指标</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23、单位GDP能耗</w:t>
            </w:r>
          </w:p>
        </w:tc>
        <w:tc>
          <w:tcPr>
            <w:tcW w:w="2092" w:type="dxa"/>
            <w:noWrap w:val="0"/>
            <w:vAlign w:val="center"/>
          </w:tcPr>
          <w:p>
            <w:pPr>
              <w:spacing w:line="400" w:lineRule="exact"/>
              <w:jc w:val="center"/>
              <w:rPr>
                <w:sz w:val="24"/>
              </w:rPr>
            </w:pPr>
            <w:r>
              <w:rPr>
                <w:sz w:val="24"/>
              </w:rPr>
              <w:t>吨标煤/万元</w:t>
            </w:r>
          </w:p>
        </w:tc>
        <w:tc>
          <w:tcPr>
            <w:tcW w:w="0" w:type="auto"/>
            <w:noWrap w:val="0"/>
            <w:vAlign w:val="center"/>
          </w:tcPr>
          <w:p>
            <w:pPr>
              <w:spacing w:line="400" w:lineRule="exact"/>
              <w:jc w:val="center"/>
              <w:rPr>
                <w:rFonts w:hint="eastAsia"/>
                <w:sz w:val="24"/>
              </w:rPr>
            </w:pPr>
            <w:r>
              <w:rPr>
                <w:sz w:val="24"/>
              </w:rPr>
              <w:t>0.5</w:t>
            </w:r>
            <w:r>
              <w:rPr>
                <w:rFonts w:hint="eastAsia"/>
                <w:sz w:val="24"/>
              </w:rPr>
              <w:t>6</w:t>
            </w:r>
          </w:p>
        </w:tc>
        <w:tc>
          <w:tcPr>
            <w:tcW w:w="1620" w:type="dxa"/>
            <w:noWrap w:val="0"/>
            <w:vAlign w:val="center"/>
          </w:tcPr>
          <w:p>
            <w:pPr>
              <w:spacing w:line="400" w:lineRule="exact"/>
              <w:jc w:val="center"/>
              <w:rPr>
                <w:rFonts w:hint="eastAsia"/>
                <w:sz w:val="24"/>
              </w:rPr>
            </w:pPr>
            <w:r>
              <w:rPr>
                <w:sz w:val="24"/>
              </w:rPr>
              <w:t>0.</w:t>
            </w:r>
            <w:r>
              <w:rPr>
                <w:rFonts w:hint="eastAsia"/>
                <w:sz w:val="24"/>
              </w:rPr>
              <w:t>50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24、单位GDP水耗</w:t>
            </w:r>
          </w:p>
        </w:tc>
        <w:tc>
          <w:tcPr>
            <w:tcW w:w="2092" w:type="dxa"/>
            <w:noWrap w:val="0"/>
            <w:vAlign w:val="center"/>
          </w:tcPr>
          <w:p>
            <w:pPr>
              <w:spacing w:line="400" w:lineRule="exact"/>
              <w:jc w:val="center"/>
              <w:rPr>
                <w:sz w:val="24"/>
              </w:rPr>
            </w:pPr>
            <w:r>
              <w:rPr>
                <w:sz w:val="24"/>
              </w:rPr>
              <w:t>立方米/万元</w:t>
            </w:r>
          </w:p>
        </w:tc>
        <w:tc>
          <w:tcPr>
            <w:tcW w:w="0" w:type="auto"/>
            <w:noWrap w:val="0"/>
            <w:vAlign w:val="center"/>
          </w:tcPr>
          <w:p>
            <w:pPr>
              <w:spacing w:line="400" w:lineRule="exact"/>
              <w:jc w:val="center"/>
              <w:rPr>
                <w:rFonts w:hint="eastAsia"/>
                <w:sz w:val="24"/>
              </w:rPr>
            </w:pPr>
            <w:r>
              <w:rPr>
                <w:rFonts w:hint="eastAsia"/>
                <w:sz w:val="24"/>
              </w:rPr>
              <w:t>23.12</w:t>
            </w:r>
          </w:p>
        </w:tc>
        <w:tc>
          <w:tcPr>
            <w:tcW w:w="1620" w:type="dxa"/>
            <w:noWrap w:val="0"/>
            <w:vAlign w:val="center"/>
          </w:tcPr>
          <w:p>
            <w:pPr>
              <w:spacing w:line="400" w:lineRule="exact"/>
              <w:jc w:val="center"/>
              <w:rPr>
                <w:rFonts w:hint="eastAsia"/>
                <w:sz w:val="24"/>
              </w:rPr>
            </w:pPr>
            <w:r>
              <w:rPr>
                <w:sz w:val="24"/>
              </w:rPr>
              <w:t>1</w:t>
            </w:r>
            <w:r>
              <w:rPr>
                <w:rFonts w:hint="eastAsia"/>
                <w:sz w:val="24"/>
              </w:rPr>
              <w:t>4</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25、单位GDP碳排放强度</w:t>
            </w:r>
          </w:p>
        </w:tc>
        <w:tc>
          <w:tcPr>
            <w:tcW w:w="2092" w:type="dxa"/>
            <w:noWrap w:val="0"/>
            <w:vAlign w:val="center"/>
          </w:tcPr>
          <w:p>
            <w:pPr>
              <w:spacing w:line="400" w:lineRule="exact"/>
              <w:jc w:val="center"/>
              <w:rPr>
                <w:sz w:val="24"/>
              </w:rPr>
            </w:pPr>
            <w:r>
              <w:rPr>
                <w:sz w:val="24"/>
              </w:rPr>
              <w:t>吨/万美元</w:t>
            </w:r>
          </w:p>
        </w:tc>
        <w:tc>
          <w:tcPr>
            <w:tcW w:w="0" w:type="auto"/>
            <w:noWrap w:val="0"/>
            <w:vAlign w:val="center"/>
          </w:tcPr>
          <w:p>
            <w:pPr>
              <w:spacing w:line="400" w:lineRule="exact"/>
              <w:jc w:val="center"/>
              <w:rPr>
                <w:sz w:val="24"/>
              </w:rPr>
            </w:pPr>
            <w:r>
              <w:rPr>
                <w:sz w:val="24"/>
              </w:rPr>
              <w:t>3.31</w:t>
            </w:r>
          </w:p>
        </w:tc>
        <w:tc>
          <w:tcPr>
            <w:tcW w:w="1620" w:type="dxa"/>
            <w:noWrap w:val="0"/>
            <w:vAlign w:val="center"/>
          </w:tcPr>
          <w:p>
            <w:pPr>
              <w:spacing w:line="400" w:lineRule="exact"/>
              <w:jc w:val="center"/>
              <w:rPr>
                <w:sz w:val="24"/>
              </w:rPr>
            </w:pPr>
            <w:r>
              <w:rPr>
                <w:sz w:val="24"/>
              </w:rPr>
              <w:t>2.3</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26、工业用水重复利用率</w:t>
            </w:r>
          </w:p>
        </w:tc>
        <w:tc>
          <w:tcPr>
            <w:tcW w:w="2092" w:type="dxa"/>
            <w:noWrap w:val="0"/>
            <w:vAlign w:val="center"/>
          </w:tcPr>
          <w:p>
            <w:pPr>
              <w:spacing w:line="400" w:lineRule="exact"/>
              <w:jc w:val="center"/>
              <w:rPr>
                <w:sz w:val="24"/>
              </w:rPr>
            </w:pPr>
            <w:r>
              <w:rPr>
                <w:sz w:val="24"/>
              </w:rPr>
              <w:t>%</w:t>
            </w:r>
          </w:p>
        </w:tc>
        <w:tc>
          <w:tcPr>
            <w:tcW w:w="0" w:type="auto"/>
            <w:noWrap w:val="0"/>
            <w:vAlign w:val="center"/>
          </w:tcPr>
          <w:p>
            <w:pPr>
              <w:spacing w:line="400" w:lineRule="exact"/>
              <w:jc w:val="center"/>
              <w:rPr>
                <w:sz w:val="24"/>
              </w:rPr>
            </w:pPr>
            <w:r>
              <w:rPr>
                <w:sz w:val="24"/>
              </w:rPr>
              <w:t>83.7</w:t>
            </w:r>
          </w:p>
        </w:tc>
        <w:tc>
          <w:tcPr>
            <w:tcW w:w="1620" w:type="dxa"/>
            <w:noWrap w:val="0"/>
            <w:vAlign w:val="center"/>
          </w:tcPr>
          <w:p>
            <w:pPr>
              <w:spacing w:line="400" w:lineRule="exact"/>
              <w:jc w:val="center"/>
              <w:rPr>
                <w:sz w:val="24"/>
              </w:rPr>
            </w:pPr>
            <w:r>
              <w:rPr>
                <w:sz w:val="24"/>
              </w:rPr>
              <w:t>85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27、工业固废综合利用率</w:t>
            </w:r>
          </w:p>
        </w:tc>
        <w:tc>
          <w:tcPr>
            <w:tcW w:w="2092" w:type="dxa"/>
            <w:noWrap w:val="0"/>
            <w:vAlign w:val="center"/>
          </w:tcPr>
          <w:p>
            <w:pPr>
              <w:spacing w:line="400" w:lineRule="exact"/>
              <w:jc w:val="center"/>
              <w:rPr>
                <w:sz w:val="24"/>
              </w:rPr>
            </w:pPr>
            <w:r>
              <w:rPr>
                <w:sz w:val="24"/>
              </w:rPr>
              <w:t>%</w:t>
            </w:r>
          </w:p>
        </w:tc>
        <w:tc>
          <w:tcPr>
            <w:tcW w:w="0" w:type="auto"/>
            <w:noWrap w:val="0"/>
            <w:vAlign w:val="center"/>
          </w:tcPr>
          <w:p>
            <w:pPr>
              <w:spacing w:line="400" w:lineRule="exact"/>
              <w:jc w:val="center"/>
              <w:rPr>
                <w:sz w:val="24"/>
              </w:rPr>
            </w:pPr>
            <w:r>
              <w:rPr>
                <w:sz w:val="24"/>
              </w:rPr>
              <w:t>85.2</w:t>
            </w:r>
          </w:p>
        </w:tc>
        <w:tc>
          <w:tcPr>
            <w:tcW w:w="1620" w:type="dxa"/>
            <w:noWrap w:val="0"/>
            <w:vAlign w:val="center"/>
          </w:tcPr>
          <w:p>
            <w:pPr>
              <w:spacing w:line="400" w:lineRule="exact"/>
              <w:jc w:val="center"/>
              <w:rPr>
                <w:sz w:val="24"/>
              </w:rPr>
            </w:pPr>
            <w:r>
              <w:rPr>
                <w:sz w:val="24"/>
              </w:rPr>
              <w:t>90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28、建筑废弃物综合利用率</w:t>
            </w:r>
          </w:p>
        </w:tc>
        <w:tc>
          <w:tcPr>
            <w:tcW w:w="2092" w:type="dxa"/>
            <w:noWrap w:val="0"/>
            <w:vAlign w:val="center"/>
          </w:tcPr>
          <w:p>
            <w:pPr>
              <w:spacing w:line="400" w:lineRule="exact"/>
              <w:jc w:val="center"/>
              <w:rPr>
                <w:sz w:val="24"/>
              </w:rPr>
            </w:pPr>
            <w:r>
              <w:rPr>
                <w:sz w:val="24"/>
              </w:rPr>
              <w:t>%</w:t>
            </w:r>
          </w:p>
        </w:tc>
        <w:tc>
          <w:tcPr>
            <w:tcW w:w="0" w:type="auto"/>
            <w:noWrap w:val="0"/>
            <w:vAlign w:val="center"/>
          </w:tcPr>
          <w:p>
            <w:pPr>
              <w:spacing w:line="400" w:lineRule="exact"/>
              <w:jc w:val="center"/>
              <w:rPr>
                <w:sz w:val="24"/>
              </w:rPr>
            </w:pPr>
            <w:r>
              <w:rPr>
                <w:sz w:val="24"/>
              </w:rPr>
              <w:t>&lt;15</w:t>
            </w:r>
          </w:p>
        </w:tc>
        <w:tc>
          <w:tcPr>
            <w:tcW w:w="1620" w:type="dxa"/>
            <w:noWrap w:val="0"/>
            <w:vAlign w:val="center"/>
          </w:tcPr>
          <w:p>
            <w:pPr>
              <w:spacing w:line="400" w:lineRule="exact"/>
              <w:jc w:val="center"/>
              <w:rPr>
                <w:sz w:val="24"/>
              </w:rPr>
            </w:pPr>
            <w:r>
              <w:rPr>
                <w:sz w:val="24"/>
              </w:rPr>
              <w:t>30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29、环保投资占GDP比重</w:t>
            </w:r>
          </w:p>
        </w:tc>
        <w:tc>
          <w:tcPr>
            <w:tcW w:w="2092" w:type="dxa"/>
            <w:noWrap w:val="0"/>
            <w:vAlign w:val="center"/>
          </w:tcPr>
          <w:p>
            <w:pPr>
              <w:spacing w:line="400" w:lineRule="exact"/>
              <w:jc w:val="center"/>
              <w:rPr>
                <w:sz w:val="24"/>
              </w:rPr>
            </w:pPr>
            <w:r>
              <w:rPr>
                <w:sz w:val="24"/>
              </w:rPr>
              <w:t>%</w:t>
            </w:r>
          </w:p>
        </w:tc>
        <w:tc>
          <w:tcPr>
            <w:tcW w:w="0" w:type="auto"/>
            <w:noWrap w:val="0"/>
            <w:vAlign w:val="center"/>
          </w:tcPr>
          <w:p>
            <w:pPr>
              <w:spacing w:line="400" w:lineRule="exact"/>
              <w:jc w:val="center"/>
              <w:rPr>
                <w:rFonts w:hint="eastAsia"/>
                <w:sz w:val="24"/>
              </w:rPr>
            </w:pPr>
            <w:r>
              <w:rPr>
                <w:sz w:val="24"/>
              </w:rPr>
              <w:t>3.</w:t>
            </w:r>
            <w:r>
              <w:rPr>
                <w:rFonts w:hint="eastAsia"/>
                <w:sz w:val="24"/>
              </w:rPr>
              <w:t>5</w:t>
            </w:r>
          </w:p>
        </w:tc>
        <w:tc>
          <w:tcPr>
            <w:tcW w:w="1620" w:type="dxa"/>
            <w:noWrap w:val="0"/>
            <w:vAlign w:val="center"/>
          </w:tcPr>
          <w:p>
            <w:pPr>
              <w:spacing w:line="400" w:lineRule="exact"/>
              <w:jc w:val="center"/>
              <w:rPr>
                <w:sz w:val="24"/>
              </w:rPr>
            </w:pPr>
            <w:r>
              <w:rPr>
                <w:sz w:val="24"/>
              </w:rPr>
              <w:t>4.0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restart"/>
            <w:noWrap w:val="0"/>
            <w:vAlign w:val="center"/>
          </w:tcPr>
          <w:p>
            <w:pPr>
              <w:spacing w:line="400" w:lineRule="exact"/>
              <w:ind w:left="140" w:leftChars="50" w:right="140" w:rightChars="50"/>
              <w:jc w:val="center"/>
              <w:rPr>
                <w:b/>
                <w:sz w:val="24"/>
              </w:rPr>
            </w:pPr>
            <w:r>
              <w:rPr>
                <w:b/>
                <w:sz w:val="24"/>
              </w:rPr>
              <w:t>生态</w:t>
            </w:r>
          </w:p>
          <w:p>
            <w:pPr>
              <w:spacing w:line="400" w:lineRule="exact"/>
              <w:ind w:left="140" w:leftChars="50" w:right="140" w:rightChars="50"/>
              <w:jc w:val="center"/>
              <w:rPr>
                <w:b/>
                <w:sz w:val="24"/>
              </w:rPr>
            </w:pPr>
            <w:r>
              <w:rPr>
                <w:b/>
                <w:sz w:val="24"/>
              </w:rPr>
              <w:t>建设</w:t>
            </w:r>
          </w:p>
        </w:tc>
        <w:tc>
          <w:tcPr>
            <w:tcW w:w="3830" w:type="dxa"/>
            <w:gridSpan w:val="2"/>
            <w:noWrap w:val="0"/>
            <w:vAlign w:val="center"/>
          </w:tcPr>
          <w:p>
            <w:pPr>
              <w:spacing w:line="400" w:lineRule="exact"/>
              <w:rPr>
                <w:sz w:val="24"/>
              </w:rPr>
            </w:pPr>
            <w:r>
              <w:rPr>
                <w:sz w:val="24"/>
              </w:rPr>
              <w:t>30、建成区绿化覆盖率</w:t>
            </w:r>
          </w:p>
        </w:tc>
        <w:tc>
          <w:tcPr>
            <w:tcW w:w="2092" w:type="dxa"/>
            <w:noWrap w:val="0"/>
            <w:vAlign w:val="center"/>
          </w:tcPr>
          <w:p>
            <w:pPr>
              <w:spacing w:line="400" w:lineRule="exact"/>
              <w:jc w:val="center"/>
              <w:rPr>
                <w:sz w:val="24"/>
              </w:rPr>
            </w:pPr>
            <w:r>
              <w:rPr>
                <w:sz w:val="24"/>
              </w:rPr>
              <w:t>%</w:t>
            </w:r>
          </w:p>
        </w:tc>
        <w:tc>
          <w:tcPr>
            <w:tcW w:w="0" w:type="auto"/>
            <w:noWrap w:val="0"/>
            <w:vAlign w:val="center"/>
          </w:tcPr>
          <w:p>
            <w:pPr>
              <w:spacing w:line="400" w:lineRule="exact"/>
              <w:jc w:val="center"/>
              <w:rPr>
                <w:rFonts w:hint="eastAsia"/>
                <w:sz w:val="24"/>
              </w:rPr>
            </w:pPr>
            <w:r>
              <w:rPr>
                <w:rFonts w:hint="eastAsia"/>
                <w:sz w:val="24"/>
              </w:rPr>
              <w:t>45.5</w:t>
            </w:r>
          </w:p>
        </w:tc>
        <w:tc>
          <w:tcPr>
            <w:tcW w:w="1620" w:type="dxa"/>
            <w:noWrap w:val="0"/>
            <w:vAlign w:val="center"/>
          </w:tcPr>
          <w:p>
            <w:pPr>
              <w:spacing w:line="400" w:lineRule="exact"/>
              <w:jc w:val="center"/>
              <w:rPr>
                <w:sz w:val="24"/>
              </w:rPr>
            </w:pPr>
            <w:r>
              <w:rPr>
                <w:sz w:val="24"/>
              </w:rPr>
              <w:t>50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31、森林</w:t>
            </w:r>
            <w:r>
              <w:rPr>
                <w:rFonts w:hint="eastAsia"/>
                <w:sz w:val="24"/>
              </w:rPr>
              <w:t>绿化</w:t>
            </w:r>
            <w:r>
              <w:rPr>
                <w:sz w:val="24"/>
              </w:rPr>
              <w:t>覆盖率</w:t>
            </w:r>
          </w:p>
        </w:tc>
        <w:tc>
          <w:tcPr>
            <w:tcW w:w="2092" w:type="dxa"/>
            <w:noWrap w:val="0"/>
            <w:vAlign w:val="center"/>
          </w:tcPr>
          <w:p>
            <w:pPr>
              <w:spacing w:line="400" w:lineRule="exact"/>
              <w:jc w:val="center"/>
              <w:rPr>
                <w:sz w:val="24"/>
              </w:rPr>
            </w:pPr>
            <w:r>
              <w:rPr>
                <w:sz w:val="24"/>
              </w:rPr>
              <w:t>%</w:t>
            </w:r>
          </w:p>
        </w:tc>
        <w:tc>
          <w:tcPr>
            <w:tcW w:w="0" w:type="auto"/>
            <w:noWrap w:val="0"/>
            <w:vAlign w:val="center"/>
          </w:tcPr>
          <w:p>
            <w:pPr>
              <w:spacing w:line="400" w:lineRule="exact"/>
              <w:jc w:val="center"/>
              <w:rPr>
                <w:rFonts w:hint="eastAsia"/>
                <w:sz w:val="24"/>
              </w:rPr>
            </w:pPr>
            <w:r>
              <w:rPr>
                <w:rFonts w:hint="eastAsia"/>
                <w:sz w:val="24"/>
              </w:rPr>
              <w:t>25.03</w:t>
            </w:r>
          </w:p>
        </w:tc>
        <w:tc>
          <w:tcPr>
            <w:tcW w:w="1620" w:type="dxa"/>
            <w:noWrap w:val="0"/>
            <w:vAlign w:val="center"/>
          </w:tcPr>
          <w:p>
            <w:pPr>
              <w:spacing w:line="400" w:lineRule="exact"/>
              <w:jc w:val="center"/>
              <w:rPr>
                <w:sz w:val="24"/>
              </w:rPr>
            </w:pPr>
            <w:r>
              <w:rPr>
                <w:sz w:val="24"/>
              </w:rPr>
              <w:t>25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restart"/>
            <w:noWrap w:val="0"/>
            <w:vAlign w:val="center"/>
          </w:tcPr>
          <w:p>
            <w:pPr>
              <w:spacing w:line="400" w:lineRule="exact"/>
              <w:ind w:left="140" w:leftChars="50" w:right="140" w:rightChars="50"/>
              <w:jc w:val="center"/>
              <w:rPr>
                <w:b/>
                <w:sz w:val="24"/>
              </w:rPr>
            </w:pPr>
            <w:r>
              <w:rPr>
                <w:b/>
                <w:sz w:val="24"/>
              </w:rPr>
              <w:t>环境</w:t>
            </w:r>
          </w:p>
          <w:p>
            <w:pPr>
              <w:spacing w:line="400" w:lineRule="exact"/>
              <w:ind w:left="140" w:leftChars="50" w:right="140" w:rightChars="50"/>
              <w:jc w:val="center"/>
              <w:rPr>
                <w:b/>
                <w:sz w:val="24"/>
              </w:rPr>
            </w:pPr>
            <w:r>
              <w:rPr>
                <w:b/>
                <w:sz w:val="24"/>
              </w:rPr>
              <w:t>管理</w:t>
            </w:r>
          </w:p>
        </w:tc>
        <w:tc>
          <w:tcPr>
            <w:tcW w:w="3830" w:type="dxa"/>
            <w:gridSpan w:val="2"/>
            <w:noWrap w:val="0"/>
            <w:vAlign w:val="center"/>
          </w:tcPr>
          <w:p>
            <w:pPr>
              <w:spacing w:line="400" w:lineRule="exact"/>
              <w:rPr>
                <w:sz w:val="24"/>
              </w:rPr>
            </w:pPr>
            <w:r>
              <w:rPr>
                <w:sz w:val="24"/>
              </w:rPr>
              <w:t>32、达到生态文明建设标准</w:t>
            </w:r>
          </w:p>
        </w:tc>
        <w:tc>
          <w:tcPr>
            <w:tcW w:w="2092" w:type="dxa"/>
            <w:noWrap w:val="0"/>
            <w:vAlign w:val="center"/>
          </w:tcPr>
          <w:p>
            <w:pPr>
              <w:spacing w:line="400" w:lineRule="exact"/>
              <w:jc w:val="center"/>
              <w:rPr>
                <w:sz w:val="24"/>
              </w:rPr>
            </w:pPr>
          </w:p>
        </w:tc>
        <w:tc>
          <w:tcPr>
            <w:tcW w:w="0" w:type="auto"/>
            <w:noWrap w:val="0"/>
            <w:vAlign w:val="center"/>
          </w:tcPr>
          <w:p>
            <w:pPr>
              <w:spacing w:line="400" w:lineRule="exact"/>
              <w:jc w:val="center"/>
              <w:rPr>
                <w:sz w:val="24"/>
              </w:rPr>
            </w:pPr>
            <w:r>
              <w:rPr>
                <w:sz w:val="24"/>
              </w:rPr>
              <w:t>/</w:t>
            </w:r>
          </w:p>
        </w:tc>
        <w:tc>
          <w:tcPr>
            <w:tcW w:w="1620" w:type="dxa"/>
            <w:noWrap w:val="0"/>
            <w:vAlign w:val="center"/>
          </w:tcPr>
          <w:p>
            <w:pPr>
              <w:spacing w:line="400" w:lineRule="exact"/>
              <w:jc w:val="center"/>
              <w:rPr>
                <w:sz w:val="24"/>
              </w:rPr>
            </w:pPr>
            <w:r>
              <w:rPr>
                <w:sz w:val="24"/>
              </w:rPr>
              <w:t>达到</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wBefore w:w="0" w:type="dxa"/>
          <w:wAfter w:w="0" w:type="dxa"/>
          <w:cantSplit/>
          <w:jc w:val="center"/>
        </w:trPr>
        <w:tc>
          <w:tcPr>
            <w:tcW w:w="1060" w:type="dxa"/>
            <w:vMerge w:val="continue"/>
            <w:noWrap w:val="0"/>
            <w:vAlign w:val="center"/>
          </w:tcPr>
          <w:p>
            <w:pPr>
              <w:spacing w:line="400" w:lineRule="exact"/>
              <w:ind w:left="140" w:leftChars="50" w:right="140" w:rightChars="50"/>
              <w:jc w:val="center"/>
              <w:rPr>
                <w:b/>
                <w:sz w:val="24"/>
              </w:rPr>
            </w:pPr>
          </w:p>
        </w:tc>
        <w:tc>
          <w:tcPr>
            <w:tcW w:w="3830" w:type="dxa"/>
            <w:gridSpan w:val="2"/>
            <w:noWrap w:val="0"/>
            <w:vAlign w:val="center"/>
          </w:tcPr>
          <w:p>
            <w:pPr>
              <w:spacing w:line="400" w:lineRule="exact"/>
              <w:rPr>
                <w:sz w:val="24"/>
              </w:rPr>
            </w:pPr>
            <w:r>
              <w:rPr>
                <w:sz w:val="24"/>
              </w:rPr>
              <w:t>33、重点污染源自动在线监控率</w:t>
            </w:r>
          </w:p>
        </w:tc>
        <w:tc>
          <w:tcPr>
            <w:tcW w:w="2092" w:type="dxa"/>
            <w:noWrap w:val="0"/>
            <w:vAlign w:val="center"/>
          </w:tcPr>
          <w:p>
            <w:pPr>
              <w:spacing w:line="400" w:lineRule="exact"/>
              <w:jc w:val="center"/>
              <w:rPr>
                <w:sz w:val="24"/>
              </w:rPr>
            </w:pPr>
            <w:r>
              <w:rPr>
                <w:sz w:val="24"/>
              </w:rPr>
              <w:t>%</w:t>
            </w:r>
          </w:p>
        </w:tc>
        <w:tc>
          <w:tcPr>
            <w:tcW w:w="0" w:type="auto"/>
            <w:noWrap w:val="0"/>
            <w:vAlign w:val="center"/>
          </w:tcPr>
          <w:p>
            <w:pPr>
              <w:spacing w:line="400" w:lineRule="exact"/>
              <w:jc w:val="center"/>
              <w:rPr>
                <w:sz w:val="24"/>
              </w:rPr>
            </w:pPr>
            <w:r>
              <w:rPr>
                <w:sz w:val="24"/>
              </w:rPr>
              <w:t>100</w:t>
            </w:r>
          </w:p>
        </w:tc>
        <w:tc>
          <w:tcPr>
            <w:tcW w:w="1620" w:type="dxa"/>
            <w:noWrap w:val="0"/>
            <w:vAlign w:val="center"/>
          </w:tcPr>
          <w:p>
            <w:pPr>
              <w:spacing w:line="400" w:lineRule="exact"/>
              <w:jc w:val="center"/>
              <w:rPr>
                <w:sz w:val="24"/>
              </w:rPr>
            </w:pPr>
            <w:r>
              <w:rPr>
                <w:sz w:val="24"/>
              </w:rPr>
              <w:t>100</w:t>
            </w:r>
          </w:p>
        </w:tc>
      </w:tr>
    </w:tbl>
    <w:p>
      <w:pPr>
        <w:pStyle w:val="3"/>
        <w:sectPr>
          <w:endnotePr>
            <w:numFmt w:val="decimal"/>
          </w:endnotePr>
          <w:pgSz w:w="11906" w:h="16838"/>
          <w:pgMar w:top="1440" w:right="1797" w:bottom="1440" w:left="1797" w:header="851" w:footer="992" w:gutter="0"/>
          <w:cols w:space="425" w:num="1"/>
          <w:docGrid w:linePitch="312" w:charSpace="0"/>
        </w:sectPr>
      </w:pPr>
      <w:bookmarkStart w:id="63" w:name="_Toc265336517"/>
      <w:bookmarkStart w:id="64" w:name="_Toc263071872"/>
    </w:p>
    <w:bookmarkEnd w:id="4"/>
    <w:bookmarkEnd w:id="63"/>
    <w:bookmarkEnd w:id="64"/>
    <w:p>
      <w:pPr>
        <w:pStyle w:val="2"/>
        <w:jc w:val="both"/>
        <w:rPr>
          <w:rFonts w:ascii="Times New Roman" w:hAnsi="Times New Roman"/>
        </w:rPr>
      </w:pPr>
      <w:bookmarkStart w:id="65" w:name="_Toc304379408"/>
      <w:bookmarkStart w:id="66" w:name="_Toc263071875"/>
      <w:bookmarkStart w:id="67" w:name="_Toc265336523"/>
      <w:r>
        <w:rPr>
          <w:rFonts w:ascii="Times New Roman" w:hAnsi="Times New Roman"/>
        </w:rPr>
        <w:t>5 “十二五”环境保护规划重点领域</w:t>
      </w:r>
      <w:bookmarkEnd w:id="65"/>
      <w:bookmarkEnd w:id="66"/>
      <w:bookmarkEnd w:id="67"/>
    </w:p>
    <w:p>
      <w:pPr>
        <w:pStyle w:val="3"/>
        <w:spacing w:line="500" w:lineRule="exact"/>
      </w:pPr>
      <w:bookmarkStart w:id="68" w:name="_Toc304379409"/>
      <w:bookmarkStart w:id="69" w:name="_Toc264901475"/>
      <w:bookmarkStart w:id="70" w:name="_Toc271464942"/>
      <w:r>
        <w:t>5.1主要污染物排放总量控制</w:t>
      </w:r>
      <w:bookmarkEnd w:id="68"/>
    </w:p>
    <w:p>
      <w:pPr>
        <w:pStyle w:val="4"/>
        <w:rPr>
          <w:rFonts w:ascii="Times New Roman" w:hAnsi="Times New Roman"/>
        </w:rPr>
      </w:pPr>
      <w:r>
        <w:rPr>
          <w:rFonts w:ascii="Times New Roman" w:hAnsi="Times New Roman"/>
        </w:rPr>
        <w:t>5.1.1水污染物总量减排</w:t>
      </w:r>
      <w:bookmarkEnd w:id="69"/>
      <w:bookmarkEnd w:id="70"/>
    </w:p>
    <w:p>
      <w:pPr>
        <w:spacing w:line="500" w:lineRule="exact"/>
        <w:ind w:firstLine="560" w:firstLineChars="200"/>
      </w:pPr>
      <w:bookmarkStart w:id="71" w:name="_Toc271464943"/>
      <w:bookmarkStart w:id="72" w:name="_Toc264901476"/>
      <w:bookmarkStart w:id="73" w:name="_Toc271464945"/>
      <w:bookmarkStart w:id="74" w:name="_Toc264901478"/>
      <w:bookmarkStart w:id="75" w:name="_Toc264901589"/>
      <w:r>
        <w:t>“十二五”期间，昆山COD及氨氮减排主要考虑工业污染治理、城镇生活污水治理及农业污染源治理减排三个方面。</w:t>
      </w:r>
    </w:p>
    <w:p>
      <w:pPr>
        <w:spacing w:line="500" w:lineRule="exact"/>
        <w:ind w:firstLine="560" w:firstLineChars="200"/>
      </w:pPr>
      <w:r>
        <w:t>(1)工业污染治理</w:t>
      </w:r>
      <w:bookmarkEnd w:id="71"/>
      <w:bookmarkEnd w:id="72"/>
    </w:p>
    <w:p>
      <w:pPr>
        <w:spacing w:line="500" w:lineRule="exact"/>
        <w:ind w:firstLine="560" w:firstLineChars="200"/>
      </w:pPr>
      <w:bookmarkStart w:id="76" w:name="_Toc264901588"/>
      <w:bookmarkStart w:id="77" w:name="_Toc271464944"/>
      <w:bookmarkStart w:id="78" w:name="_Toc264901477"/>
      <w:r>
        <w:t>针对线路板和建材行业，实施污水排放提标改造</w:t>
      </w:r>
      <w:bookmarkEnd w:id="76"/>
      <w:bookmarkEnd w:id="77"/>
      <w:bookmarkEnd w:id="78"/>
      <w:r>
        <w:t>及回用，具体见表5.1-1。</w:t>
      </w:r>
    </w:p>
    <w:p>
      <w:pPr>
        <w:spacing w:line="500" w:lineRule="exact"/>
        <w:jc w:val="center"/>
      </w:pPr>
      <w:r>
        <w:t>表5.1-1 “十二五”工业治理水污染物减排项目表</w:t>
      </w:r>
    </w:p>
    <w:tbl>
      <w:tblPr>
        <w:tblStyle w:val="33"/>
        <w:tblW w:w="5000"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0" w:type="dxa"/>
          <w:bottom w:w="0" w:type="dxa"/>
          <w:right w:w="0" w:type="dxa"/>
        </w:tblCellMar>
      </w:tblPr>
      <w:tblGrid>
        <w:gridCol w:w="2627"/>
        <w:gridCol w:w="813"/>
        <w:gridCol w:w="1546"/>
        <w:gridCol w:w="2026"/>
        <w:gridCol w:w="614"/>
        <w:gridCol w:w="712"/>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tblHeader/>
          <w:jc w:val="center"/>
        </w:trPr>
        <w:tc>
          <w:tcPr>
            <w:tcW w:w="1575" w:type="pct"/>
            <w:vMerge w:val="restart"/>
            <w:shd w:val="clear" w:color="auto" w:fill="auto"/>
            <w:noWrap w:val="0"/>
            <w:tcMar>
              <w:top w:w="13" w:type="dxa"/>
              <w:left w:w="13" w:type="dxa"/>
              <w:bottom w:w="0" w:type="dxa"/>
              <w:right w:w="13" w:type="dxa"/>
            </w:tcMar>
            <w:vAlign w:val="center"/>
          </w:tcPr>
          <w:p>
            <w:pPr>
              <w:spacing w:line="0" w:lineRule="atLeast"/>
              <w:jc w:val="center"/>
              <w:rPr>
                <w:b/>
                <w:bCs/>
                <w:sz w:val="21"/>
                <w:szCs w:val="21"/>
              </w:rPr>
            </w:pPr>
            <w:r>
              <w:rPr>
                <w:b/>
                <w:bCs/>
                <w:sz w:val="21"/>
                <w:szCs w:val="21"/>
              </w:rPr>
              <w:t>企业名称</w:t>
            </w:r>
          </w:p>
        </w:tc>
        <w:tc>
          <w:tcPr>
            <w:tcW w:w="487" w:type="pct"/>
            <w:vMerge w:val="restart"/>
            <w:shd w:val="clear" w:color="auto" w:fill="auto"/>
            <w:noWrap w:val="0"/>
            <w:tcMar>
              <w:top w:w="13" w:type="dxa"/>
              <w:left w:w="13" w:type="dxa"/>
              <w:bottom w:w="0" w:type="dxa"/>
              <w:right w:w="13" w:type="dxa"/>
            </w:tcMar>
            <w:vAlign w:val="center"/>
          </w:tcPr>
          <w:p>
            <w:pPr>
              <w:spacing w:line="0" w:lineRule="atLeast"/>
              <w:jc w:val="center"/>
              <w:rPr>
                <w:b/>
                <w:bCs/>
                <w:sz w:val="21"/>
                <w:szCs w:val="21"/>
              </w:rPr>
            </w:pPr>
            <w:r>
              <w:rPr>
                <w:b/>
                <w:bCs/>
                <w:sz w:val="21"/>
                <w:szCs w:val="21"/>
              </w:rPr>
              <w:t>所属行业</w:t>
            </w:r>
          </w:p>
        </w:tc>
        <w:tc>
          <w:tcPr>
            <w:tcW w:w="927" w:type="pct"/>
            <w:vMerge w:val="restart"/>
            <w:shd w:val="clear" w:color="auto" w:fill="auto"/>
            <w:noWrap w:val="0"/>
            <w:tcMar>
              <w:top w:w="13" w:type="dxa"/>
              <w:left w:w="13" w:type="dxa"/>
              <w:bottom w:w="0" w:type="dxa"/>
              <w:right w:w="13" w:type="dxa"/>
            </w:tcMar>
            <w:vAlign w:val="center"/>
          </w:tcPr>
          <w:p>
            <w:pPr>
              <w:spacing w:line="0" w:lineRule="atLeast"/>
              <w:jc w:val="center"/>
              <w:rPr>
                <w:b/>
                <w:bCs/>
                <w:sz w:val="21"/>
                <w:szCs w:val="21"/>
              </w:rPr>
            </w:pPr>
            <w:r>
              <w:rPr>
                <w:b/>
                <w:bCs/>
                <w:sz w:val="21"/>
                <w:szCs w:val="21"/>
              </w:rPr>
              <w:t>设计处理规模</w:t>
            </w:r>
          </w:p>
          <w:p>
            <w:pPr>
              <w:spacing w:line="0" w:lineRule="atLeast"/>
              <w:jc w:val="center"/>
              <w:rPr>
                <w:b/>
                <w:bCs/>
                <w:sz w:val="21"/>
                <w:szCs w:val="21"/>
              </w:rPr>
            </w:pPr>
            <w:r>
              <w:rPr>
                <w:b/>
                <w:bCs/>
                <w:sz w:val="21"/>
                <w:szCs w:val="21"/>
              </w:rPr>
              <w:t>（万吨/日）</w:t>
            </w:r>
          </w:p>
        </w:tc>
        <w:tc>
          <w:tcPr>
            <w:tcW w:w="1215" w:type="pct"/>
            <w:vMerge w:val="restart"/>
            <w:shd w:val="clear" w:color="auto" w:fill="auto"/>
            <w:noWrap w:val="0"/>
            <w:tcMar>
              <w:top w:w="13" w:type="dxa"/>
              <w:left w:w="13" w:type="dxa"/>
              <w:bottom w:w="0" w:type="dxa"/>
              <w:right w:w="13" w:type="dxa"/>
            </w:tcMar>
            <w:vAlign w:val="center"/>
          </w:tcPr>
          <w:p>
            <w:pPr>
              <w:spacing w:line="0" w:lineRule="atLeast"/>
              <w:jc w:val="center"/>
              <w:rPr>
                <w:b/>
                <w:bCs/>
                <w:sz w:val="21"/>
                <w:szCs w:val="21"/>
              </w:rPr>
            </w:pPr>
            <w:r>
              <w:rPr>
                <w:b/>
                <w:bCs/>
                <w:sz w:val="21"/>
                <w:szCs w:val="21"/>
              </w:rPr>
              <w:t>预计2015年</w:t>
            </w:r>
          </w:p>
          <w:p>
            <w:pPr>
              <w:spacing w:line="0" w:lineRule="atLeast"/>
              <w:jc w:val="center"/>
              <w:rPr>
                <w:b/>
                <w:bCs/>
                <w:sz w:val="21"/>
                <w:szCs w:val="21"/>
              </w:rPr>
            </w:pPr>
            <w:r>
              <w:rPr>
                <w:b/>
                <w:bCs/>
                <w:sz w:val="21"/>
                <w:szCs w:val="21"/>
              </w:rPr>
              <w:t>实际处理水量</w:t>
            </w:r>
          </w:p>
          <w:p>
            <w:pPr>
              <w:spacing w:line="0" w:lineRule="atLeast"/>
              <w:jc w:val="center"/>
              <w:rPr>
                <w:b/>
                <w:bCs/>
                <w:sz w:val="21"/>
                <w:szCs w:val="21"/>
              </w:rPr>
            </w:pPr>
            <w:r>
              <w:rPr>
                <w:b/>
                <w:bCs/>
                <w:sz w:val="21"/>
                <w:szCs w:val="21"/>
              </w:rPr>
              <w:t>（万吨/日）</w:t>
            </w:r>
          </w:p>
        </w:tc>
        <w:tc>
          <w:tcPr>
            <w:tcW w:w="795" w:type="pct"/>
            <w:gridSpan w:val="2"/>
            <w:shd w:val="clear" w:color="auto" w:fill="auto"/>
            <w:noWrap w:val="0"/>
            <w:tcMar>
              <w:top w:w="13" w:type="dxa"/>
              <w:left w:w="13" w:type="dxa"/>
              <w:bottom w:w="0" w:type="dxa"/>
              <w:right w:w="13" w:type="dxa"/>
            </w:tcMar>
            <w:vAlign w:val="center"/>
          </w:tcPr>
          <w:p>
            <w:pPr>
              <w:spacing w:line="0" w:lineRule="atLeast"/>
              <w:jc w:val="center"/>
              <w:rPr>
                <w:b/>
                <w:bCs/>
                <w:sz w:val="21"/>
                <w:szCs w:val="21"/>
              </w:rPr>
            </w:pPr>
            <w:r>
              <w:rPr>
                <w:b/>
                <w:bCs/>
                <w:sz w:val="21"/>
                <w:szCs w:val="21"/>
              </w:rPr>
              <w:t>预计削减量</w:t>
            </w:r>
          </w:p>
          <w:p>
            <w:pPr>
              <w:spacing w:line="0" w:lineRule="atLeast"/>
              <w:jc w:val="center"/>
              <w:rPr>
                <w:b/>
                <w:bCs/>
                <w:sz w:val="21"/>
                <w:szCs w:val="21"/>
              </w:rPr>
            </w:pPr>
            <w:r>
              <w:rPr>
                <w:b/>
                <w:bCs/>
                <w:sz w:val="21"/>
                <w:szCs w:val="21"/>
              </w:rPr>
              <w:t>（吨/年）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jc w:val="center"/>
        </w:trPr>
        <w:tc>
          <w:tcPr>
            <w:tcW w:w="1575" w:type="pct"/>
            <w:vMerge w:val="continue"/>
            <w:shd w:val="clear" w:color="auto" w:fill="auto"/>
            <w:noWrap w:val="0"/>
            <w:vAlign w:val="center"/>
          </w:tcPr>
          <w:p>
            <w:pPr>
              <w:spacing w:line="0" w:lineRule="atLeast"/>
              <w:rPr>
                <w:b/>
                <w:bCs/>
                <w:sz w:val="21"/>
                <w:szCs w:val="21"/>
              </w:rPr>
            </w:pPr>
          </w:p>
        </w:tc>
        <w:tc>
          <w:tcPr>
            <w:tcW w:w="487" w:type="pct"/>
            <w:vMerge w:val="continue"/>
            <w:shd w:val="clear" w:color="auto" w:fill="auto"/>
            <w:noWrap w:val="0"/>
            <w:vAlign w:val="center"/>
          </w:tcPr>
          <w:p>
            <w:pPr>
              <w:spacing w:line="0" w:lineRule="atLeast"/>
              <w:rPr>
                <w:b/>
                <w:bCs/>
                <w:sz w:val="21"/>
                <w:szCs w:val="21"/>
              </w:rPr>
            </w:pPr>
          </w:p>
        </w:tc>
        <w:tc>
          <w:tcPr>
            <w:tcW w:w="927" w:type="pct"/>
            <w:vMerge w:val="continue"/>
            <w:shd w:val="clear" w:color="auto" w:fill="auto"/>
            <w:noWrap w:val="0"/>
            <w:vAlign w:val="center"/>
          </w:tcPr>
          <w:p>
            <w:pPr>
              <w:spacing w:line="0" w:lineRule="atLeast"/>
              <w:rPr>
                <w:b/>
                <w:bCs/>
                <w:sz w:val="21"/>
                <w:szCs w:val="21"/>
              </w:rPr>
            </w:pPr>
          </w:p>
        </w:tc>
        <w:tc>
          <w:tcPr>
            <w:tcW w:w="1215" w:type="pct"/>
            <w:vMerge w:val="continue"/>
            <w:shd w:val="clear" w:color="auto" w:fill="auto"/>
            <w:noWrap w:val="0"/>
            <w:vAlign w:val="center"/>
          </w:tcPr>
          <w:p>
            <w:pPr>
              <w:spacing w:line="0" w:lineRule="atLeast"/>
              <w:rPr>
                <w:b/>
                <w:bCs/>
                <w:sz w:val="21"/>
                <w:szCs w:val="21"/>
              </w:rPr>
            </w:pPr>
          </w:p>
        </w:tc>
        <w:tc>
          <w:tcPr>
            <w:tcW w:w="368" w:type="pct"/>
            <w:shd w:val="clear" w:color="auto" w:fill="auto"/>
            <w:noWrap w:val="0"/>
            <w:tcMar>
              <w:top w:w="13" w:type="dxa"/>
              <w:left w:w="13" w:type="dxa"/>
              <w:bottom w:w="0" w:type="dxa"/>
              <w:right w:w="13" w:type="dxa"/>
            </w:tcMar>
            <w:vAlign w:val="center"/>
          </w:tcPr>
          <w:p>
            <w:pPr>
              <w:spacing w:line="0" w:lineRule="atLeast"/>
              <w:jc w:val="center"/>
              <w:rPr>
                <w:b/>
                <w:bCs/>
                <w:sz w:val="21"/>
                <w:szCs w:val="21"/>
              </w:rPr>
            </w:pPr>
            <w:r>
              <w:rPr>
                <w:b/>
                <w:bCs/>
                <w:sz w:val="21"/>
                <w:szCs w:val="21"/>
              </w:rPr>
              <w:t>COD</w:t>
            </w:r>
          </w:p>
        </w:tc>
        <w:tc>
          <w:tcPr>
            <w:tcW w:w="427" w:type="pct"/>
            <w:shd w:val="clear" w:color="auto" w:fill="auto"/>
            <w:noWrap w:val="0"/>
            <w:tcMar>
              <w:top w:w="13" w:type="dxa"/>
              <w:left w:w="13" w:type="dxa"/>
              <w:bottom w:w="0" w:type="dxa"/>
              <w:right w:w="13" w:type="dxa"/>
            </w:tcMar>
            <w:vAlign w:val="center"/>
          </w:tcPr>
          <w:p>
            <w:pPr>
              <w:spacing w:line="0" w:lineRule="atLeast"/>
              <w:jc w:val="center"/>
              <w:rPr>
                <w:b/>
                <w:bCs/>
                <w:sz w:val="21"/>
                <w:szCs w:val="21"/>
              </w:rPr>
            </w:pPr>
            <w:r>
              <w:rPr>
                <w:b/>
                <w:bCs/>
                <w:sz w:val="21"/>
                <w:szCs w:val="21"/>
              </w:rPr>
              <w:t>氨氮</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jc w:val="center"/>
        </w:trPr>
        <w:tc>
          <w:tcPr>
            <w:tcW w:w="1575" w:type="pct"/>
            <w:shd w:val="clear" w:color="auto" w:fill="auto"/>
            <w:noWrap w:val="0"/>
            <w:tcMar>
              <w:top w:w="13" w:type="dxa"/>
              <w:left w:w="13" w:type="dxa"/>
              <w:bottom w:w="0" w:type="dxa"/>
              <w:right w:w="13" w:type="dxa"/>
            </w:tcMar>
            <w:vAlign w:val="center"/>
          </w:tcPr>
          <w:p>
            <w:pPr>
              <w:spacing w:line="0" w:lineRule="atLeast"/>
              <w:rPr>
                <w:sz w:val="21"/>
                <w:szCs w:val="21"/>
              </w:rPr>
            </w:pPr>
            <w:r>
              <w:rPr>
                <w:sz w:val="21"/>
                <w:szCs w:val="21"/>
              </w:rPr>
              <w:t>昆山大洋电路板有限公司</w:t>
            </w:r>
          </w:p>
        </w:tc>
        <w:tc>
          <w:tcPr>
            <w:tcW w:w="487"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线路板</w:t>
            </w:r>
          </w:p>
        </w:tc>
        <w:tc>
          <w:tcPr>
            <w:tcW w:w="927"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0.06（中水回用）</w:t>
            </w:r>
          </w:p>
        </w:tc>
        <w:tc>
          <w:tcPr>
            <w:tcW w:w="1215"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0.06（中水回用）</w:t>
            </w:r>
          </w:p>
        </w:tc>
        <w:tc>
          <w:tcPr>
            <w:tcW w:w="368"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3.6</w:t>
            </w:r>
          </w:p>
        </w:tc>
        <w:tc>
          <w:tcPr>
            <w:tcW w:w="427"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1.08</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jc w:val="center"/>
        </w:trPr>
        <w:tc>
          <w:tcPr>
            <w:tcW w:w="1575" w:type="pct"/>
            <w:shd w:val="clear" w:color="auto" w:fill="auto"/>
            <w:noWrap w:val="0"/>
            <w:tcMar>
              <w:top w:w="13" w:type="dxa"/>
              <w:left w:w="13" w:type="dxa"/>
              <w:bottom w:w="0" w:type="dxa"/>
              <w:right w:w="13" w:type="dxa"/>
            </w:tcMar>
            <w:vAlign w:val="center"/>
          </w:tcPr>
          <w:p>
            <w:pPr>
              <w:spacing w:line="0" w:lineRule="atLeast"/>
              <w:rPr>
                <w:sz w:val="21"/>
                <w:szCs w:val="21"/>
              </w:rPr>
            </w:pPr>
            <w:r>
              <w:rPr>
                <w:sz w:val="21"/>
                <w:szCs w:val="21"/>
              </w:rPr>
              <w:t>昆山多达高新塑料合金有限公司</w:t>
            </w:r>
          </w:p>
        </w:tc>
        <w:tc>
          <w:tcPr>
            <w:tcW w:w="487"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线路板</w:t>
            </w:r>
          </w:p>
        </w:tc>
        <w:tc>
          <w:tcPr>
            <w:tcW w:w="927"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0.04（中水回用）</w:t>
            </w:r>
          </w:p>
        </w:tc>
        <w:tc>
          <w:tcPr>
            <w:tcW w:w="1215"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0.04（中水回用）</w:t>
            </w:r>
          </w:p>
        </w:tc>
        <w:tc>
          <w:tcPr>
            <w:tcW w:w="368"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2.4</w:t>
            </w:r>
          </w:p>
        </w:tc>
        <w:tc>
          <w:tcPr>
            <w:tcW w:w="427"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0.72</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jc w:val="center"/>
        </w:trPr>
        <w:tc>
          <w:tcPr>
            <w:tcW w:w="1575" w:type="pct"/>
            <w:shd w:val="clear" w:color="auto" w:fill="auto"/>
            <w:noWrap w:val="0"/>
            <w:tcMar>
              <w:top w:w="13" w:type="dxa"/>
              <w:left w:w="13" w:type="dxa"/>
              <w:bottom w:w="0" w:type="dxa"/>
              <w:right w:w="13" w:type="dxa"/>
            </w:tcMar>
            <w:vAlign w:val="center"/>
          </w:tcPr>
          <w:p>
            <w:pPr>
              <w:spacing w:line="0" w:lineRule="atLeast"/>
              <w:rPr>
                <w:sz w:val="21"/>
                <w:szCs w:val="21"/>
              </w:rPr>
            </w:pPr>
            <w:r>
              <w:rPr>
                <w:sz w:val="21"/>
                <w:szCs w:val="21"/>
              </w:rPr>
              <w:t>昆山鼎鑫电子有限公司</w:t>
            </w:r>
          </w:p>
        </w:tc>
        <w:tc>
          <w:tcPr>
            <w:tcW w:w="487"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线路板</w:t>
            </w:r>
          </w:p>
        </w:tc>
        <w:tc>
          <w:tcPr>
            <w:tcW w:w="927"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0.2（中水回用）</w:t>
            </w:r>
          </w:p>
        </w:tc>
        <w:tc>
          <w:tcPr>
            <w:tcW w:w="1215"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0.2（中水回用）</w:t>
            </w:r>
          </w:p>
        </w:tc>
        <w:tc>
          <w:tcPr>
            <w:tcW w:w="368"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12</w:t>
            </w:r>
          </w:p>
        </w:tc>
        <w:tc>
          <w:tcPr>
            <w:tcW w:w="427"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3.6</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jc w:val="center"/>
        </w:trPr>
        <w:tc>
          <w:tcPr>
            <w:tcW w:w="1575" w:type="pct"/>
            <w:shd w:val="clear" w:color="auto" w:fill="auto"/>
            <w:noWrap w:val="0"/>
            <w:tcMar>
              <w:top w:w="13" w:type="dxa"/>
              <w:left w:w="13" w:type="dxa"/>
              <w:bottom w:w="0" w:type="dxa"/>
              <w:right w:w="13" w:type="dxa"/>
            </w:tcMar>
            <w:vAlign w:val="center"/>
          </w:tcPr>
          <w:p>
            <w:pPr>
              <w:spacing w:line="0" w:lineRule="atLeast"/>
              <w:rPr>
                <w:sz w:val="21"/>
                <w:szCs w:val="21"/>
              </w:rPr>
            </w:pPr>
            <w:r>
              <w:rPr>
                <w:sz w:val="21"/>
                <w:szCs w:val="21"/>
              </w:rPr>
              <w:t>台玻长江玻璃有限公司</w:t>
            </w:r>
          </w:p>
        </w:tc>
        <w:tc>
          <w:tcPr>
            <w:tcW w:w="487"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建材</w:t>
            </w:r>
          </w:p>
        </w:tc>
        <w:tc>
          <w:tcPr>
            <w:tcW w:w="927"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0.06（中水回用）</w:t>
            </w:r>
          </w:p>
        </w:tc>
        <w:tc>
          <w:tcPr>
            <w:tcW w:w="1215"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0.06（中水回用）</w:t>
            </w:r>
          </w:p>
        </w:tc>
        <w:tc>
          <w:tcPr>
            <w:tcW w:w="368"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3.6</w:t>
            </w:r>
          </w:p>
        </w:tc>
        <w:tc>
          <w:tcPr>
            <w:tcW w:w="427"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1.08</w:t>
            </w:r>
          </w:p>
        </w:tc>
      </w:tr>
      <w:bookmarkEnd w:id="73"/>
      <w:bookmarkEnd w:id="74"/>
      <w:bookmarkEnd w:id="75"/>
    </w:tbl>
    <w:p>
      <w:pPr>
        <w:spacing w:line="500" w:lineRule="exact"/>
        <w:ind w:firstLine="560" w:firstLineChars="200"/>
      </w:pPr>
      <w:r>
        <w:t xml:space="preserve"> “十二五”期间需进一步按照国家产业政策要求并根据江苏省产业结构优化调整需要关停和整改一批单位产值污染物排放量高、规模较小的项目，通过结构减排进一步深化落实减排任务。具体见表5.1-2。</w:t>
      </w:r>
    </w:p>
    <w:p>
      <w:pPr>
        <w:spacing w:line="500" w:lineRule="exact"/>
        <w:jc w:val="center"/>
      </w:pPr>
      <w:bookmarkStart w:id="79" w:name="_Toc265336528"/>
      <w:bookmarkStart w:id="80" w:name="_Toc103775119"/>
      <w:bookmarkStart w:id="81" w:name="_Toc99169089"/>
      <w:r>
        <w:t>表5.1-2  “十二五”工业结构调整水污染物减排项目表</w:t>
      </w:r>
    </w:p>
    <w:tbl>
      <w:tblPr>
        <w:tblStyle w:val="33"/>
        <w:tblW w:w="4969"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0" w:type="dxa"/>
          <w:bottom w:w="0" w:type="dxa"/>
          <w:right w:w="0" w:type="dxa"/>
        </w:tblCellMar>
      </w:tblPr>
      <w:tblGrid>
        <w:gridCol w:w="2488"/>
        <w:gridCol w:w="2898"/>
        <w:gridCol w:w="1299"/>
        <w:gridCol w:w="1601"/>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jc w:val="center"/>
        </w:trPr>
        <w:tc>
          <w:tcPr>
            <w:tcW w:w="1501" w:type="pct"/>
            <w:vMerge w:val="restart"/>
            <w:shd w:val="clear" w:color="auto" w:fill="auto"/>
            <w:noWrap w:val="0"/>
            <w:tcMar>
              <w:top w:w="13" w:type="dxa"/>
              <w:left w:w="13" w:type="dxa"/>
              <w:bottom w:w="0" w:type="dxa"/>
              <w:right w:w="13" w:type="dxa"/>
            </w:tcMar>
            <w:vAlign w:val="center"/>
          </w:tcPr>
          <w:p>
            <w:pPr>
              <w:spacing w:line="0" w:lineRule="atLeast"/>
              <w:jc w:val="center"/>
              <w:rPr>
                <w:sz w:val="21"/>
                <w:szCs w:val="21"/>
              </w:rPr>
            </w:pPr>
            <w:r>
              <w:rPr>
                <w:b/>
                <w:bCs/>
                <w:sz w:val="21"/>
                <w:szCs w:val="21"/>
              </w:rPr>
              <w:t>企业名称</w:t>
            </w:r>
          </w:p>
        </w:tc>
        <w:tc>
          <w:tcPr>
            <w:tcW w:w="1749" w:type="pct"/>
            <w:vMerge w:val="restart"/>
            <w:shd w:val="clear" w:color="auto" w:fill="auto"/>
            <w:noWrap w:val="0"/>
            <w:tcMar>
              <w:top w:w="13" w:type="dxa"/>
              <w:left w:w="13" w:type="dxa"/>
              <w:bottom w:w="0" w:type="dxa"/>
              <w:right w:w="13" w:type="dxa"/>
            </w:tcMar>
            <w:vAlign w:val="center"/>
          </w:tcPr>
          <w:p>
            <w:pPr>
              <w:spacing w:line="0" w:lineRule="atLeast"/>
              <w:jc w:val="center"/>
              <w:rPr>
                <w:sz w:val="21"/>
                <w:szCs w:val="21"/>
              </w:rPr>
            </w:pPr>
            <w:r>
              <w:rPr>
                <w:b/>
                <w:bCs/>
                <w:sz w:val="21"/>
                <w:szCs w:val="21"/>
              </w:rPr>
              <w:t>关闭原因</w:t>
            </w:r>
          </w:p>
        </w:tc>
        <w:tc>
          <w:tcPr>
            <w:tcW w:w="1750" w:type="pct"/>
            <w:gridSpan w:val="2"/>
            <w:shd w:val="clear" w:color="auto" w:fill="auto"/>
            <w:noWrap w:val="0"/>
            <w:tcMar>
              <w:top w:w="13" w:type="dxa"/>
              <w:left w:w="13" w:type="dxa"/>
              <w:bottom w:w="0" w:type="dxa"/>
              <w:right w:w="13" w:type="dxa"/>
            </w:tcMar>
            <w:vAlign w:val="center"/>
          </w:tcPr>
          <w:p>
            <w:pPr>
              <w:spacing w:line="0" w:lineRule="atLeast"/>
              <w:jc w:val="center"/>
              <w:rPr>
                <w:b/>
                <w:bCs/>
                <w:sz w:val="21"/>
                <w:szCs w:val="21"/>
              </w:rPr>
            </w:pPr>
            <w:r>
              <w:rPr>
                <w:b/>
                <w:bCs/>
                <w:sz w:val="21"/>
                <w:szCs w:val="21"/>
              </w:rPr>
              <w:t>关闭设施的污染物排放量（吨）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jc w:val="center"/>
        </w:trPr>
        <w:tc>
          <w:tcPr>
            <w:tcW w:w="1501" w:type="pct"/>
            <w:vMerge w:val="continue"/>
            <w:shd w:val="clear" w:color="auto" w:fill="auto"/>
            <w:noWrap w:val="0"/>
            <w:tcMar>
              <w:top w:w="13" w:type="dxa"/>
              <w:left w:w="13" w:type="dxa"/>
              <w:bottom w:w="0" w:type="dxa"/>
              <w:right w:w="13" w:type="dxa"/>
            </w:tcMar>
            <w:vAlign w:val="center"/>
          </w:tcPr>
          <w:p>
            <w:pPr>
              <w:spacing w:line="0" w:lineRule="atLeast"/>
              <w:jc w:val="center"/>
              <w:rPr>
                <w:sz w:val="21"/>
                <w:szCs w:val="21"/>
              </w:rPr>
            </w:pPr>
          </w:p>
        </w:tc>
        <w:tc>
          <w:tcPr>
            <w:tcW w:w="1749" w:type="pct"/>
            <w:vMerge w:val="continue"/>
            <w:shd w:val="clear" w:color="auto" w:fill="auto"/>
            <w:noWrap w:val="0"/>
            <w:tcMar>
              <w:top w:w="13" w:type="dxa"/>
              <w:left w:w="13" w:type="dxa"/>
              <w:bottom w:w="0" w:type="dxa"/>
              <w:right w:w="13" w:type="dxa"/>
            </w:tcMar>
            <w:vAlign w:val="center"/>
          </w:tcPr>
          <w:p>
            <w:pPr>
              <w:spacing w:line="0" w:lineRule="atLeast"/>
              <w:jc w:val="center"/>
              <w:rPr>
                <w:sz w:val="21"/>
                <w:szCs w:val="21"/>
              </w:rPr>
            </w:pPr>
          </w:p>
        </w:tc>
        <w:tc>
          <w:tcPr>
            <w:tcW w:w="784" w:type="pct"/>
            <w:shd w:val="clear" w:color="auto" w:fill="auto"/>
            <w:noWrap w:val="0"/>
            <w:tcMar>
              <w:top w:w="13" w:type="dxa"/>
              <w:left w:w="13" w:type="dxa"/>
              <w:bottom w:w="0" w:type="dxa"/>
              <w:right w:w="13" w:type="dxa"/>
            </w:tcMar>
            <w:vAlign w:val="center"/>
          </w:tcPr>
          <w:p>
            <w:pPr>
              <w:spacing w:line="0" w:lineRule="atLeast"/>
              <w:jc w:val="center"/>
              <w:rPr>
                <w:b/>
                <w:bCs/>
                <w:sz w:val="21"/>
                <w:szCs w:val="21"/>
              </w:rPr>
            </w:pPr>
            <w:r>
              <w:rPr>
                <w:b/>
                <w:bCs/>
                <w:sz w:val="21"/>
                <w:szCs w:val="21"/>
              </w:rPr>
              <w:t>COD</w:t>
            </w:r>
          </w:p>
        </w:tc>
        <w:tc>
          <w:tcPr>
            <w:tcW w:w="966" w:type="pct"/>
            <w:shd w:val="clear" w:color="auto" w:fill="auto"/>
            <w:noWrap w:val="0"/>
            <w:tcMar>
              <w:top w:w="13" w:type="dxa"/>
              <w:left w:w="13" w:type="dxa"/>
              <w:bottom w:w="0" w:type="dxa"/>
              <w:right w:w="13" w:type="dxa"/>
            </w:tcMar>
            <w:vAlign w:val="center"/>
          </w:tcPr>
          <w:p>
            <w:pPr>
              <w:spacing w:line="0" w:lineRule="atLeast"/>
              <w:jc w:val="center"/>
              <w:rPr>
                <w:b/>
                <w:bCs/>
                <w:sz w:val="21"/>
                <w:szCs w:val="21"/>
              </w:rPr>
            </w:pPr>
            <w:r>
              <w:rPr>
                <w:b/>
                <w:bCs/>
                <w:sz w:val="21"/>
                <w:szCs w:val="21"/>
              </w:rPr>
              <w:t>氨氮</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jc w:val="center"/>
        </w:trPr>
        <w:tc>
          <w:tcPr>
            <w:tcW w:w="1501"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江苏绿利来股份有限公司</w:t>
            </w:r>
          </w:p>
        </w:tc>
        <w:tc>
          <w:tcPr>
            <w:tcW w:w="1749"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淘汰落后产能</w:t>
            </w:r>
          </w:p>
        </w:tc>
        <w:tc>
          <w:tcPr>
            <w:tcW w:w="784"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698</w:t>
            </w:r>
          </w:p>
        </w:tc>
        <w:tc>
          <w:tcPr>
            <w:tcW w:w="966"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54</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jc w:val="center"/>
        </w:trPr>
        <w:tc>
          <w:tcPr>
            <w:tcW w:w="1501"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昆山瑞泽农药有限公司</w:t>
            </w:r>
          </w:p>
        </w:tc>
        <w:tc>
          <w:tcPr>
            <w:tcW w:w="1749"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淘汰落后产能</w:t>
            </w:r>
          </w:p>
          <w:p>
            <w:pPr>
              <w:spacing w:line="0" w:lineRule="atLeast"/>
              <w:jc w:val="center"/>
              <w:rPr>
                <w:sz w:val="21"/>
                <w:szCs w:val="21"/>
              </w:rPr>
            </w:pPr>
            <w:r>
              <w:rPr>
                <w:sz w:val="21"/>
                <w:szCs w:val="21"/>
              </w:rPr>
              <w:t>（关闭原药生产线）</w:t>
            </w:r>
          </w:p>
        </w:tc>
        <w:tc>
          <w:tcPr>
            <w:tcW w:w="784"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8</w:t>
            </w:r>
          </w:p>
        </w:tc>
        <w:tc>
          <w:tcPr>
            <w:tcW w:w="966" w:type="pct"/>
            <w:shd w:val="clear" w:color="auto" w:fill="auto"/>
            <w:noWrap w:val="0"/>
            <w:tcMar>
              <w:top w:w="13" w:type="dxa"/>
              <w:left w:w="13" w:type="dxa"/>
              <w:bottom w:w="0" w:type="dxa"/>
              <w:right w:w="13" w:type="dxa"/>
            </w:tcMar>
            <w:vAlign w:val="center"/>
          </w:tcPr>
          <w:p>
            <w:pPr>
              <w:spacing w:line="0" w:lineRule="atLeast"/>
              <w:jc w:val="center"/>
              <w:rPr>
                <w:sz w:val="21"/>
                <w:szCs w:val="21"/>
              </w:rPr>
            </w:pPr>
            <w:r>
              <w:rPr>
                <w:sz w:val="21"/>
                <w:szCs w:val="21"/>
              </w:rPr>
              <w:t>2</w:t>
            </w:r>
          </w:p>
        </w:tc>
      </w:tr>
    </w:tbl>
    <w:p>
      <w:pPr>
        <w:spacing w:line="500" w:lineRule="exact"/>
        <w:ind w:firstLine="560" w:firstLineChars="200"/>
      </w:pPr>
      <w:bookmarkStart w:id="82" w:name="_Toc264901480"/>
      <w:bookmarkStart w:id="83" w:name="_Toc271464947"/>
      <w:r>
        <w:t>(2)城镇生活污水治理</w:t>
      </w:r>
      <w:bookmarkEnd w:id="82"/>
      <w:bookmarkEnd w:id="83"/>
    </w:p>
    <w:p>
      <w:pPr>
        <w:spacing w:line="500" w:lineRule="exact"/>
        <w:ind w:firstLine="560" w:firstLineChars="200"/>
      </w:pPr>
      <w:r>
        <w:t>“十二五”期间将进一步通过新建、扩建及配套管网</w:t>
      </w:r>
      <w:r>
        <w:rPr>
          <w:rFonts w:hint="eastAsia"/>
        </w:rPr>
        <w:t>，</w:t>
      </w:r>
      <w:r>
        <w:rPr>
          <w:rFonts w:hint="eastAsia"/>
          <w:spacing w:val="6"/>
          <w:kern w:val="2"/>
          <w:szCs w:val="28"/>
        </w:rPr>
        <w:t>2015年污水处理</w:t>
      </w:r>
      <w:r>
        <w:rPr>
          <w:spacing w:val="6"/>
          <w:kern w:val="2"/>
          <w:szCs w:val="28"/>
        </w:rPr>
        <w:t>总规模77.4万m</w:t>
      </w:r>
      <w:r>
        <w:rPr>
          <w:spacing w:val="6"/>
          <w:kern w:val="2"/>
          <w:szCs w:val="28"/>
          <w:vertAlign w:val="superscript"/>
        </w:rPr>
        <w:t>3</w:t>
      </w:r>
      <w:r>
        <w:rPr>
          <w:spacing w:val="6"/>
          <w:kern w:val="2"/>
          <w:szCs w:val="28"/>
        </w:rPr>
        <w:t>/d</w:t>
      </w:r>
      <w:r>
        <w:rPr>
          <w:rFonts w:hint="eastAsia"/>
          <w:spacing w:val="6"/>
          <w:kern w:val="2"/>
          <w:szCs w:val="28"/>
        </w:rPr>
        <w:t>，同时</w:t>
      </w:r>
      <w:r>
        <w:t>提高污水处理厂中水回用率来深挖减排潜力，详见表5.1-3。</w:t>
      </w:r>
    </w:p>
    <w:p>
      <w:pPr>
        <w:spacing w:line="500" w:lineRule="exact"/>
        <w:jc w:val="center"/>
      </w:pPr>
      <w:r>
        <w:t>表5.1-</w:t>
      </w:r>
      <w:r>
        <w:rPr>
          <w:rFonts w:hint="eastAsia"/>
        </w:rPr>
        <w:t>3</w:t>
      </w:r>
      <w:r>
        <w:t xml:space="preserve"> 再生水设施建设项目表</w:t>
      </w:r>
    </w:p>
    <w:tbl>
      <w:tblPr>
        <w:tblStyle w:val="33"/>
        <w:tblW w:w="5000"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0" w:type="dxa"/>
          <w:bottom w:w="0" w:type="dxa"/>
          <w:right w:w="0" w:type="dxa"/>
        </w:tblCellMar>
      </w:tblPr>
      <w:tblGrid>
        <w:gridCol w:w="3390"/>
        <w:gridCol w:w="2067"/>
        <w:gridCol w:w="1449"/>
        <w:gridCol w:w="1434"/>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tblHeader/>
          <w:jc w:val="center"/>
        </w:trPr>
        <w:tc>
          <w:tcPr>
            <w:tcW w:w="2032" w:type="pct"/>
            <w:vMerge w:val="restart"/>
            <w:shd w:val="clear" w:color="auto" w:fill="auto"/>
            <w:noWrap w:val="0"/>
            <w:tcMar>
              <w:top w:w="14" w:type="dxa"/>
              <w:left w:w="14" w:type="dxa"/>
              <w:bottom w:w="0" w:type="dxa"/>
              <w:right w:w="14" w:type="dxa"/>
            </w:tcMar>
            <w:vAlign w:val="center"/>
          </w:tcPr>
          <w:p>
            <w:pPr>
              <w:spacing w:line="0" w:lineRule="atLeast"/>
              <w:jc w:val="center"/>
              <w:rPr>
                <w:b/>
                <w:bCs/>
                <w:sz w:val="21"/>
                <w:szCs w:val="21"/>
              </w:rPr>
            </w:pPr>
            <w:r>
              <w:rPr>
                <w:b/>
                <w:bCs/>
                <w:sz w:val="21"/>
                <w:szCs w:val="21"/>
              </w:rPr>
              <w:t>污水处理厂名称</w:t>
            </w:r>
          </w:p>
        </w:tc>
        <w:tc>
          <w:tcPr>
            <w:tcW w:w="1239" w:type="pct"/>
            <w:vMerge w:val="restart"/>
            <w:shd w:val="clear" w:color="auto" w:fill="auto"/>
            <w:noWrap w:val="0"/>
            <w:tcMar>
              <w:top w:w="14" w:type="dxa"/>
              <w:left w:w="14" w:type="dxa"/>
              <w:bottom w:w="0" w:type="dxa"/>
              <w:right w:w="14" w:type="dxa"/>
            </w:tcMar>
            <w:vAlign w:val="center"/>
          </w:tcPr>
          <w:p>
            <w:pPr>
              <w:spacing w:line="0" w:lineRule="atLeast"/>
              <w:jc w:val="center"/>
              <w:rPr>
                <w:b/>
                <w:bCs/>
                <w:sz w:val="21"/>
                <w:szCs w:val="21"/>
              </w:rPr>
            </w:pPr>
            <w:r>
              <w:rPr>
                <w:b/>
                <w:bCs/>
                <w:sz w:val="21"/>
                <w:szCs w:val="21"/>
              </w:rPr>
              <w:t>再生水处理能力</w:t>
            </w:r>
          </w:p>
          <w:p>
            <w:pPr>
              <w:spacing w:line="0" w:lineRule="atLeast"/>
              <w:jc w:val="center"/>
              <w:rPr>
                <w:b/>
                <w:bCs/>
                <w:sz w:val="21"/>
                <w:szCs w:val="21"/>
              </w:rPr>
            </w:pPr>
            <w:r>
              <w:rPr>
                <w:b/>
                <w:bCs/>
                <w:sz w:val="21"/>
                <w:szCs w:val="21"/>
              </w:rPr>
              <w:t>（万吨/日）</w:t>
            </w:r>
          </w:p>
        </w:tc>
        <w:tc>
          <w:tcPr>
            <w:tcW w:w="1730" w:type="pct"/>
            <w:gridSpan w:val="2"/>
            <w:shd w:val="clear" w:color="auto" w:fill="auto"/>
            <w:noWrap w:val="0"/>
            <w:tcMar>
              <w:top w:w="14" w:type="dxa"/>
              <w:left w:w="14" w:type="dxa"/>
              <w:bottom w:w="0" w:type="dxa"/>
              <w:right w:w="14" w:type="dxa"/>
            </w:tcMar>
            <w:vAlign w:val="center"/>
          </w:tcPr>
          <w:p>
            <w:pPr>
              <w:spacing w:line="0" w:lineRule="atLeast"/>
              <w:jc w:val="center"/>
              <w:rPr>
                <w:b/>
                <w:bCs/>
                <w:sz w:val="21"/>
                <w:szCs w:val="21"/>
              </w:rPr>
            </w:pPr>
            <w:r>
              <w:rPr>
                <w:b/>
                <w:bCs/>
                <w:sz w:val="21"/>
                <w:szCs w:val="21"/>
              </w:rPr>
              <w:t>预计削减量（吨/年）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tblHeader/>
          <w:jc w:val="center"/>
        </w:trPr>
        <w:tc>
          <w:tcPr>
            <w:tcW w:w="2032" w:type="pct"/>
            <w:vMerge w:val="continue"/>
            <w:shd w:val="clear" w:color="auto" w:fill="auto"/>
            <w:noWrap w:val="0"/>
            <w:tcMar>
              <w:top w:w="14" w:type="dxa"/>
              <w:left w:w="14" w:type="dxa"/>
              <w:bottom w:w="0" w:type="dxa"/>
              <w:right w:w="14" w:type="dxa"/>
            </w:tcMar>
            <w:vAlign w:val="center"/>
          </w:tcPr>
          <w:p>
            <w:pPr>
              <w:spacing w:line="0" w:lineRule="atLeast"/>
              <w:jc w:val="center"/>
              <w:rPr>
                <w:b/>
                <w:bCs/>
                <w:sz w:val="21"/>
                <w:szCs w:val="21"/>
              </w:rPr>
            </w:pPr>
          </w:p>
        </w:tc>
        <w:tc>
          <w:tcPr>
            <w:tcW w:w="1239" w:type="pct"/>
            <w:vMerge w:val="continue"/>
            <w:shd w:val="clear" w:color="auto" w:fill="auto"/>
            <w:noWrap w:val="0"/>
            <w:tcMar>
              <w:top w:w="14" w:type="dxa"/>
              <w:left w:w="14" w:type="dxa"/>
              <w:bottom w:w="0" w:type="dxa"/>
              <w:right w:w="14" w:type="dxa"/>
            </w:tcMar>
            <w:vAlign w:val="center"/>
          </w:tcPr>
          <w:p>
            <w:pPr>
              <w:spacing w:line="0" w:lineRule="atLeast"/>
              <w:jc w:val="center"/>
              <w:rPr>
                <w:b/>
                <w:bCs/>
                <w:sz w:val="21"/>
                <w:szCs w:val="21"/>
              </w:rPr>
            </w:pPr>
          </w:p>
        </w:tc>
        <w:tc>
          <w:tcPr>
            <w:tcW w:w="869" w:type="pct"/>
            <w:shd w:val="clear" w:color="auto" w:fill="auto"/>
            <w:noWrap w:val="0"/>
            <w:tcMar>
              <w:top w:w="14" w:type="dxa"/>
              <w:left w:w="14" w:type="dxa"/>
              <w:bottom w:w="0" w:type="dxa"/>
              <w:right w:w="14" w:type="dxa"/>
            </w:tcMar>
            <w:vAlign w:val="center"/>
          </w:tcPr>
          <w:p>
            <w:pPr>
              <w:spacing w:line="0" w:lineRule="atLeast"/>
              <w:jc w:val="center"/>
              <w:rPr>
                <w:b/>
                <w:bCs/>
                <w:sz w:val="21"/>
                <w:szCs w:val="21"/>
              </w:rPr>
            </w:pPr>
            <w:r>
              <w:rPr>
                <w:b/>
                <w:bCs/>
                <w:sz w:val="21"/>
                <w:szCs w:val="21"/>
              </w:rPr>
              <w:t>COD</w:t>
            </w:r>
          </w:p>
        </w:tc>
        <w:tc>
          <w:tcPr>
            <w:tcW w:w="861" w:type="pct"/>
            <w:shd w:val="clear" w:color="auto" w:fill="auto"/>
            <w:noWrap w:val="0"/>
            <w:tcMar>
              <w:top w:w="14" w:type="dxa"/>
              <w:left w:w="14" w:type="dxa"/>
              <w:bottom w:w="0" w:type="dxa"/>
              <w:right w:w="14" w:type="dxa"/>
            </w:tcMar>
            <w:vAlign w:val="center"/>
          </w:tcPr>
          <w:p>
            <w:pPr>
              <w:spacing w:line="0" w:lineRule="atLeast"/>
              <w:jc w:val="center"/>
              <w:rPr>
                <w:b/>
                <w:bCs/>
                <w:sz w:val="21"/>
                <w:szCs w:val="21"/>
              </w:rPr>
            </w:pPr>
            <w:r>
              <w:rPr>
                <w:b/>
                <w:bCs/>
                <w:sz w:val="21"/>
                <w:szCs w:val="21"/>
              </w:rPr>
              <w:t>氨氮</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jc w:val="center"/>
        </w:trPr>
        <w:tc>
          <w:tcPr>
            <w:tcW w:w="2032" w:type="pct"/>
            <w:shd w:val="clear" w:color="auto" w:fill="auto"/>
            <w:noWrap w:val="0"/>
            <w:tcMar>
              <w:top w:w="14" w:type="dxa"/>
              <w:left w:w="14" w:type="dxa"/>
              <w:bottom w:w="0" w:type="dxa"/>
              <w:right w:w="14" w:type="dxa"/>
            </w:tcMar>
            <w:vAlign w:val="center"/>
          </w:tcPr>
          <w:p>
            <w:pPr>
              <w:spacing w:line="0" w:lineRule="atLeast"/>
              <w:rPr>
                <w:sz w:val="21"/>
                <w:szCs w:val="21"/>
              </w:rPr>
            </w:pPr>
            <w:r>
              <w:rPr>
                <w:sz w:val="21"/>
                <w:szCs w:val="21"/>
              </w:rPr>
              <w:t>昆山市蓬朗片区污水处理厂</w:t>
            </w:r>
          </w:p>
        </w:tc>
        <w:tc>
          <w:tcPr>
            <w:tcW w:w="1239" w:type="pct"/>
            <w:shd w:val="clear" w:color="auto" w:fill="auto"/>
            <w:noWrap w:val="0"/>
            <w:tcMar>
              <w:top w:w="14" w:type="dxa"/>
              <w:left w:w="14" w:type="dxa"/>
              <w:bottom w:w="0" w:type="dxa"/>
              <w:right w:w="14" w:type="dxa"/>
            </w:tcMar>
            <w:vAlign w:val="center"/>
          </w:tcPr>
          <w:p>
            <w:pPr>
              <w:spacing w:line="0" w:lineRule="atLeast"/>
              <w:jc w:val="center"/>
              <w:rPr>
                <w:sz w:val="21"/>
                <w:szCs w:val="21"/>
              </w:rPr>
            </w:pPr>
            <w:r>
              <w:rPr>
                <w:rFonts w:hint="eastAsia"/>
                <w:sz w:val="21"/>
                <w:szCs w:val="21"/>
              </w:rPr>
              <w:t>2</w:t>
            </w:r>
            <w:r>
              <w:rPr>
                <w:sz w:val="21"/>
                <w:szCs w:val="21"/>
              </w:rPr>
              <w:t xml:space="preserve">.00 </w:t>
            </w:r>
          </w:p>
        </w:tc>
        <w:tc>
          <w:tcPr>
            <w:tcW w:w="869" w:type="pct"/>
            <w:shd w:val="clear" w:color="auto" w:fill="auto"/>
            <w:noWrap w:val="0"/>
            <w:tcMar>
              <w:top w:w="14" w:type="dxa"/>
              <w:left w:w="14" w:type="dxa"/>
              <w:bottom w:w="0" w:type="dxa"/>
              <w:right w:w="14" w:type="dxa"/>
            </w:tcMar>
            <w:vAlign w:val="center"/>
          </w:tcPr>
          <w:p>
            <w:pPr>
              <w:spacing w:line="0" w:lineRule="atLeast"/>
              <w:jc w:val="center"/>
              <w:rPr>
                <w:rFonts w:hint="eastAsia"/>
                <w:sz w:val="21"/>
                <w:szCs w:val="21"/>
              </w:rPr>
            </w:pPr>
            <w:r>
              <w:rPr>
                <w:rFonts w:hint="eastAsia"/>
                <w:sz w:val="21"/>
                <w:szCs w:val="21"/>
              </w:rPr>
              <w:t>365</w:t>
            </w:r>
          </w:p>
        </w:tc>
        <w:tc>
          <w:tcPr>
            <w:tcW w:w="861" w:type="pct"/>
            <w:shd w:val="clear" w:color="auto" w:fill="auto"/>
            <w:noWrap w:val="0"/>
            <w:tcMar>
              <w:top w:w="14" w:type="dxa"/>
              <w:left w:w="14" w:type="dxa"/>
              <w:bottom w:w="0" w:type="dxa"/>
              <w:right w:w="14" w:type="dxa"/>
            </w:tcMar>
            <w:vAlign w:val="center"/>
          </w:tcPr>
          <w:p>
            <w:pPr>
              <w:spacing w:line="0" w:lineRule="atLeast"/>
              <w:jc w:val="center"/>
              <w:rPr>
                <w:rFonts w:hint="eastAsia"/>
                <w:sz w:val="21"/>
                <w:szCs w:val="21"/>
              </w:rPr>
            </w:pPr>
            <w:r>
              <w:rPr>
                <w:rFonts w:hint="eastAsia"/>
                <w:sz w:val="21"/>
                <w:szCs w:val="21"/>
              </w:rPr>
              <w:t>43.8</w:t>
            </w:r>
          </w:p>
        </w:tc>
      </w:tr>
    </w:tbl>
    <w:p>
      <w:pPr>
        <w:spacing w:line="500" w:lineRule="exact"/>
        <w:ind w:firstLine="560" w:firstLineChars="200"/>
      </w:pPr>
      <w:bookmarkStart w:id="84" w:name="_Toc271464948"/>
      <w:bookmarkStart w:id="85" w:name="_Toc264901481"/>
      <w:r>
        <w:t>(3)农业污染源治理</w:t>
      </w:r>
      <w:bookmarkEnd w:id="84"/>
      <w:bookmarkEnd w:id="85"/>
    </w:p>
    <w:p>
      <w:pPr>
        <w:spacing w:line="500" w:lineRule="exact"/>
        <w:ind w:firstLine="560" w:firstLineChars="200"/>
      </w:pPr>
      <w:r>
        <w:t xml:space="preserve"> “十二五”期间畜禽养殖业是农业源污染减排的主攻方向。“十二五”期间将以规模化畜禽养殖场和养殖小区为主要切入点，将农业污染源纳入污染物总量减排体系。</w:t>
      </w:r>
    </w:p>
    <w:p>
      <w:pPr>
        <w:spacing w:line="500" w:lineRule="exact"/>
        <w:ind w:firstLine="560" w:firstLineChars="200"/>
        <w:rPr>
          <w:szCs w:val="28"/>
        </w:rPr>
      </w:pPr>
      <w:r>
        <w:rPr>
          <w:szCs w:val="28"/>
        </w:rPr>
        <w:t>对于有相应消纳土地的养殖场，坚持种养结合的原则，畜禽废渣和污水经无害化处理达到回用标准后，尽量充分还田，实现资源化利用。</w:t>
      </w:r>
    </w:p>
    <w:p>
      <w:pPr>
        <w:spacing w:line="500" w:lineRule="exact"/>
        <w:ind w:firstLine="560" w:firstLineChars="200"/>
        <w:rPr>
          <w:szCs w:val="28"/>
        </w:rPr>
      </w:pPr>
      <w:r>
        <w:rPr>
          <w:szCs w:val="28"/>
        </w:rPr>
        <w:t>对于无相应消纳土地的养殖场，应建立集中处理畜禽粪便的有机肥厂或处理（处置）机制，可综合利用污水生产沼气，制造有机肥料，再生饲料或其它类型资源回收等，但要避免二次污染，并应符合《畜禽养殖业污染物排放标准》的规定；同时，结合昆山市生态示范区建设及无公害农产品、绿色食品和有机食品的发展，积极促进畜禽废渣及污水的综合利用，不断提高科技水平。</w:t>
      </w:r>
    </w:p>
    <w:p>
      <w:pPr>
        <w:spacing w:line="500" w:lineRule="exact"/>
        <w:ind w:firstLine="560" w:firstLineChars="200"/>
        <w:rPr>
          <w:szCs w:val="28"/>
        </w:rPr>
      </w:pPr>
      <w:r>
        <w:rPr>
          <w:szCs w:val="28"/>
        </w:rPr>
        <w:t>对于未达到规模化的畜禽养殖（散养、放养和小规模养殖）户，提倡农牧结合、种养平衡一体化，鼓励农村沼气池建设，做到沼气回收能源、沼渣和沼液还田利用，尽量消除畜禽养殖废弃物产生的环境污染，无任何治污设施或治理无望的应予以取缔。</w:t>
      </w:r>
    </w:p>
    <w:p>
      <w:pPr>
        <w:spacing w:line="500" w:lineRule="exact"/>
        <w:jc w:val="center"/>
      </w:pPr>
      <w:r>
        <w:t>表5.1-</w:t>
      </w:r>
      <w:r>
        <w:rPr>
          <w:rFonts w:hint="eastAsia"/>
        </w:rPr>
        <w:t>4</w:t>
      </w:r>
      <w:r>
        <w:t xml:space="preserve">  “十二五”规模化畜禽养殖场和养殖小区工程治理项目表</w:t>
      </w:r>
    </w:p>
    <w:tbl>
      <w:tblPr>
        <w:tblStyle w:val="34"/>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601"/>
        <w:gridCol w:w="2110"/>
        <w:gridCol w:w="56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Pr>
        <w:tc>
          <w:tcPr>
            <w:tcW w:w="361" w:type="pct"/>
            <w:noWrap w:val="0"/>
            <w:vAlign w:val="center"/>
          </w:tcPr>
          <w:p>
            <w:pPr>
              <w:adjustRightInd/>
              <w:snapToGrid/>
              <w:spacing w:line="240" w:lineRule="auto"/>
              <w:jc w:val="center"/>
              <w:rPr>
                <w:b/>
                <w:kern w:val="2"/>
                <w:sz w:val="21"/>
                <w:szCs w:val="21"/>
              </w:rPr>
            </w:pPr>
            <w:r>
              <w:rPr>
                <w:b/>
                <w:kern w:val="2"/>
                <w:sz w:val="21"/>
                <w:szCs w:val="21"/>
              </w:rPr>
              <w:t>序号</w:t>
            </w:r>
          </w:p>
        </w:tc>
        <w:tc>
          <w:tcPr>
            <w:tcW w:w="1268" w:type="pct"/>
            <w:noWrap w:val="0"/>
            <w:vAlign w:val="center"/>
          </w:tcPr>
          <w:p>
            <w:pPr>
              <w:adjustRightInd/>
              <w:snapToGrid/>
              <w:spacing w:line="240" w:lineRule="auto"/>
              <w:jc w:val="center"/>
              <w:rPr>
                <w:b/>
                <w:kern w:val="2"/>
                <w:sz w:val="21"/>
                <w:szCs w:val="21"/>
              </w:rPr>
            </w:pPr>
            <w:r>
              <w:rPr>
                <w:b/>
                <w:kern w:val="2"/>
                <w:sz w:val="21"/>
                <w:szCs w:val="21"/>
              </w:rPr>
              <w:t>名称</w:t>
            </w:r>
          </w:p>
        </w:tc>
        <w:tc>
          <w:tcPr>
            <w:tcW w:w="3371" w:type="pct"/>
            <w:noWrap w:val="0"/>
            <w:vAlign w:val="center"/>
          </w:tcPr>
          <w:p>
            <w:pPr>
              <w:adjustRightInd/>
              <w:snapToGrid/>
              <w:spacing w:line="240" w:lineRule="auto"/>
              <w:jc w:val="center"/>
              <w:rPr>
                <w:b/>
                <w:kern w:val="2"/>
                <w:sz w:val="21"/>
                <w:szCs w:val="21"/>
              </w:rPr>
            </w:pPr>
            <w:r>
              <w:rPr>
                <w:b/>
                <w:kern w:val="2"/>
                <w:sz w:val="21"/>
                <w:szCs w:val="21"/>
              </w:rPr>
              <w:t>建设内容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Pr>
        <w:tc>
          <w:tcPr>
            <w:tcW w:w="361" w:type="pct"/>
            <w:noWrap w:val="0"/>
            <w:vAlign w:val="center"/>
          </w:tcPr>
          <w:p>
            <w:pPr>
              <w:adjustRightInd/>
              <w:snapToGrid/>
              <w:spacing w:line="240" w:lineRule="auto"/>
              <w:jc w:val="center"/>
              <w:rPr>
                <w:kern w:val="2"/>
                <w:sz w:val="21"/>
                <w:szCs w:val="21"/>
              </w:rPr>
            </w:pPr>
            <w:r>
              <w:rPr>
                <w:kern w:val="2"/>
                <w:sz w:val="21"/>
                <w:szCs w:val="21"/>
              </w:rPr>
              <w:t>1</w:t>
            </w:r>
          </w:p>
        </w:tc>
        <w:tc>
          <w:tcPr>
            <w:tcW w:w="1268" w:type="pct"/>
            <w:noWrap w:val="0"/>
            <w:vAlign w:val="center"/>
          </w:tcPr>
          <w:p>
            <w:pPr>
              <w:adjustRightInd/>
              <w:snapToGrid/>
              <w:spacing w:line="240" w:lineRule="auto"/>
              <w:jc w:val="center"/>
              <w:rPr>
                <w:kern w:val="2"/>
                <w:sz w:val="21"/>
                <w:szCs w:val="21"/>
              </w:rPr>
            </w:pPr>
            <w:r>
              <w:rPr>
                <w:kern w:val="2"/>
                <w:sz w:val="21"/>
                <w:szCs w:val="21"/>
              </w:rPr>
              <w:t>建设和完善市级规模畜禽场污染治理设施</w:t>
            </w:r>
          </w:p>
        </w:tc>
        <w:tc>
          <w:tcPr>
            <w:tcW w:w="3371" w:type="pct"/>
            <w:noWrap w:val="0"/>
            <w:vAlign w:val="center"/>
          </w:tcPr>
          <w:p>
            <w:pPr>
              <w:adjustRightInd/>
              <w:snapToGrid/>
              <w:spacing w:line="240" w:lineRule="auto"/>
              <w:jc w:val="center"/>
              <w:rPr>
                <w:kern w:val="2"/>
                <w:sz w:val="21"/>
                <w:szCs w:val="21"/>
              </w:rPr>
            </w:pPr>
            <w:r>
              <w:rPr>
                <w:kern w:val="2"/>
                <w:sz w:val="21"/>
                <w:szCs w:val="21"/>
              </w:rPr>
              <w:t>建设粪污处理设施，配套建设粪污棚，堆放棚、晒粪场、三级化粪池等粪污治理设施，改造猪场的污水排放设施，将雨水和粪水分开排放，完善污水处理设施，实现污水达标排放。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Pr>
        <w:tc>
          <w:tcPr>
            <w:tcW w:w="361" w:type="pct"/>
            <w:noWrap w:val="0"/>
            <w:vAlign w:val="center"/>
          </w:tcPr>
          <w:p>
            <w:pPr>
              <w:adjustRightInd/>
              <w:snapToGrid/>
              <w:spacing w:line="240" w:lineRule="auto"/>
              <w:jc w:val="center"/>
              <w:rPr>
                <w:kern w:val="2"/>
                <w:sz w:val="21"/>
                <w:szCs w:val="21"/>
              </w:rPr>
            </w:pPr>
            <w:r>
              <w:rPr>
                <w:kern w:val="2"/>
                <w:sz w:val="21"/>
                <w:szCs w:val="21"/>
              </w:rPr>
              <w:t>2</w:t>
            </w:r>
          </w:p>
        </w:tc>
        <w:tc>
          <w:tcPr>
            <w:tcW w:w="1268" w:type="pct"/>
            <w:noWrap w:val="0"/>
            <w:vAlign w:val="center"/>
          </w:tcPr>
          <w:p>
            <w:pPr>
              <w:adjustRightInd/>
              <w:snapToGrid/>
              <w:spacing w:line="240" w:lineRule="auto"/>
              <w:jc w:val="center"/>
              <w:rPr>
                <w:kern w:val="2"/>
                <w:sz w:val="21"/>
                <w:szCs w:val="21"/>
              </w:rPr>
            </w:pPr>
            <w:r>
              <w:rPr>
                <w:kern w:val="2"/>
                <w:sz w:val="21"/>
                <w:szCs w:val="21"/>
              </w:rPr>
              <w:t>建设和完善县级规模畜禽场粪污处理设施，实行种养结合良性循环</w:t>
            </w:r>
          </w:p>
        </w:tc>
        <w:tc>
          <w:tcPr>
            <w:tcW w:w="3371" w:type="pct"/>
            <w:noWrap w:val="0"/>
            <w:vAlign w:val="center"/>
          </w:tcPr>
          <w:p>
            <w:pPr>
              <w:adjustRightInd/>
              <w:snapToGrid/>
              <w:spacing w:line="240" w:lineRule="auto"/>
              <w:jc w:val="center"/>
              <w:rPr>
                <w:kern w:val="2"/>
                <w:sz w:val="21"/>
                <w:szCs w:val="21"/>
              </w:rPr>
            </w:pPr>
            <w:r>
              <w:rPr>
                <w:kern w:val="2"/>
                <w:sz w:val="21"/>
                <w:szCs w:val="21"/>
              </w:rPr>
              <w:t>建设和完善畜禽粪污处理设施，建设堆粪棚，加强粪污综合利用，实现种养结合循环利用。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Pr>
        <w:tc>
          <w:tcPr>
            <w:tcW w:w="361" w:type="pct"/>
            <w:noWrap w:val="0"/>
            <w:vAlign w:val="center"/>
          </w:tcPr>
          <w:p>
            <w:pPr>
              <w:adjustRightInd/>
              <w:snapToGrid/>
              <w:spacing w:line="240" w:lineRule="auto"/>
              <w:jc w:val="center"/>
              <w:rPr>
                <w:kern w:val="2"/>
                <w:sz w:val="21"/>
                <w:szCs w:val="21"/>
              </w:rPr>
            </w:pPr>
            <w:r>
              <w:rPr>
                <w:kern w:val="2"/>
                <w:sz w:val="21"/>
                <w:szCs w:val="21"/>
              </w:rPr>
              <w:t>3</w:t>
            </w:r>
          </w:p>
        </w:tc>
        <w:tc>
          <w:tcPr>
            <w:tcW w:w="1268" w:type="pct"/>
            <w:noWrap w:val="0"/>
            <w:vAlign w:val="center"/>
          </w:tcPr>
          <w:p>
            <w:pPr>
              <w:adjustRightInd/>
              <w:snapToGrid/>
              <w:spacing w:line="240" w:lineRule="auto"/>
              <w:jc w:val="center"/>
              <w:rPr>
                <w:kern w:val="2"/>
                <w:sz w:val="21"/>
                <w:szCs w:val="21"/>
              </w:rPr>
            </w:pPr>
            <w:r>
              <w:rPr>
                <w:kern w:val="2"/>
                <w:sz w:val="21"/>
                <w:szCs w:val="21"/>
              </w:rPr>
              <w:t>沼气回收能源、沼渣和沼液还田利用，无任何治污设施或治理无望的予以取缔</w:t>
            </w:r>
          </w:p>
        </w:tc>
        <w:tc>
          <w:tcPr>
            <w:tcW w:w="3371" w:type="pct"/>
            <w:noWrap w:val="0"/>
            <w:vAlign w:val="center"/>
          </w:tcPr>
          <w:p>
            <w:pPr>
              <w:adjustRightInd/>
              <w:snapToGrid/>
              <w:spacing w:line="240" w:lineRule="auto"/>
              <w:jc w:val="center"/>
              <w:rPr>
                <w:kern w:val="2"/>
                <w:sz w:val="21"/>
                <w:szCs w:val="21"/>
              </w:rPr>
            </w:pPr>
            <w:r>
              <w:rPr>
                <w:kern w:val="2"/>
                <w:sz w:val="21"/>
                <w:szCs w:val="21"/>
              </w:rPr>
              <w:t>农牧结合、种养平衡一体化，建设农村沼气池，做到沼气回收能源、沼渣和沼液还田利用，消除畜禽养殖废弃物产生的环境污染，无任何治污设施或治理无望的予以取缔。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Pr>
        <w:tc>
          <w:tcPr>
            <w:tcW w:w="361" w:type="pct"/>
            <w:noWrap w:val="0"/>
            <w:vAlign w:val="center"/>
          </w:tcPr>
          <w:p>
            <w:pPr>
              <w:adjustRightInd/>
              <w:snapToGrid/>
              <w:spacing w:line="240" w:lineRule="auto"/>
              <w:jc w:val="center"/>
              <w:rPr>
                <w:kern w:val="2"/>
                <w:sz w:val="21"/>
                <w:szCs w:val="21"/>
              </w:rPr>
            </w:pPr>
            <w:r>
              <w:rPr>
                <w:kern w:val="2"/>
                <w:sz w:val="21"/>
                <w:szCs w:val="21"/>
              </w:rPr>
              <w:t>4</w:t>
            </w:r>
          </w:p>
        </w:tc>
        <w:tc>
          <w:tcPr>
            <w:tcW w:w="1268" w:type="pct"/>
            <w:noWrap w:val="0"/>
            <w:vAlign w:val="center"/>
          </w:tcPr>
          <w:p>
            <w:pPr>
              <w:widowControl/>
              <w:adjustRightInd/>
              <w:snapToGrid/>
              <w:spacing w:line="240" w:lineRule="auto"/>
              <w:jc w:val="center"/>
              <w:rPr>
                <w:kern w:val="0"/>
                <w:sz w:val="21"/>
                <w:szCs w:val="21"/>
              </w:rPr>
            </w:pPr>
            <w:r>
              <w:rPr>
                <w:kern w:val="0"/>
                <w:sz w:val="21"/>
                <w:szCs w:val="21"/>
              </w:rPr>
              <w:t>废弃物肥料处理</w:t>
            </w:r>
          </w:p>
        </w:tc>
        <w:tc>
          <w:tcPr>
            <w:tcW w:w="3371" w:type="pct"/>
            <w:noWrap w:val="0"/>
            <w:vAlign w:val="center"/>
          </w:tcPr>
          <w:p>
            <w:pPr>
              <w:widowControl/>
              <w:adjustRightInd/>
              <w:snapToGrid/>
              <w:spacing w:line="240" w:lineRule="auto"/>
              <w:jc w:val="center"/>
              <w:rPr>
                <w:kern w:val="0"/>
                <w:sz w:val="21"/>
                <w:szCs w:val="21"/>
              </w:rPr>
            </w:pPr>
            <w:r>
              <w:rPr>
                <w:kern w:val="0"/>
                <w:sz w:val="21"/>
                <w:szCs w:val="21"/>
              </w:rPr>
              <w:t>建设恒温发酵池800m</w:t>
            </w:r>
            <w:r>
              <w:rPr>
                <w:rFonts w:eastAsia="宋体"/>
                <w:kern w:val="0"/>
                <w:sz w:val="21"/>
                <w:szCs w:val="21"/>
              </w:rPr>
              <w:t>³</w:t>
            </w:r>
            <w:r>
              <w:rPr>
                <w:kern w:val="0"/>
                <w:sz w:val="21"/>
                <w:szCs w:val="21"/>
              </w:rPr>
              <w:t>，2000m</w:t>
            </w:r>
            <w:r>
              <w:rPr>
                <w:rFonts w:eastAsia="宋体"/>
                <w:kern w:val="0"/>
                <w:sz w:val="21"/>
                <w:szCs w:val="21"/>
              </w:rPr>
              <w:t>³</w:t>
            </w:r>
            <w:r>
              <w:rPr>
                <w:kern w:val="0"/>
                <w:sz w:val="21"/>
                <w:szCs w:val="21"/>
              </w:rPr>
              <w:t>晒场，有机肥生产包装设备。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Pr>
        <w:tc>
          <w:tcPr>
            <w:tcW w:w="361" w:type="pct"/>
            <w:noWrap w:val="0"/>
            <w:vAlign w:val="center"/>
          </w:tcPr>
          <w:p>
            <w:pPr>
              <w:adjustRightInd/>
              <w:snapToGrid/>
              <w:spacing w:line="240" w:lineRule="auto"/>
              <w:jc w:val="center"/>
              <w:rPr>
                <w:kern w:val="2"/>
                <w:sz w:val="21"/>
                <w:szCs w:val="21"/>
              </w:rPr>
            </w:pPr>
            <w:r>
              <w:rPr>
                <w:kern w:val="2"/>
                <w:sz w:val="21"/>
                <w:szCs w:val="21"/>
              </w:rPr>
              <w:t>5</w:t>
            </w:r>
          </w:p>
        </w:tc>
        <w:tc>
          <w:tcPr>
            <w:tcW w:w="1268" w:type="pct"/>
            <w:noWrap w:val="0"/>
            <w:vAlign w:val="center"/>
          </w:tcPr>
          <w:p>
            <w:pPr>
              <w:adjustRightInd/>
              <w:snapToGrid/>
              <w:spacing w:line="240" w:lineRule="auto"/>
              <w:jc w:val="center"/>
              <w:rPr>
                <w:kern w:val="2"/>
                <w:sz w:val="21"/>
                <w:szCs w:val="21"/>
              </w:rPr>
            </w:pPr>
            <w:r>
              <w:rPr>
                <w:kern w:val="2"/>
                <w:sz w:val="21"/>
                <w:szCs w:val="21"/>
              </w:rPr>
              <w:t>有机肥粪便处理中心</w:t>
            </w:r>
          </w:p>
        </w:tc>
        <w:tc>
          <w:tcPr>
            <w:tcW w:w="3371" w:type="pct"/>
            <w:noWrap w:val="0"/>
            <w:vAlign w:val="center"/>
          </w:tcPr>
          <w:p>
            <w:pPr>
              <w:adjustRightInd/>
              <w:snapToGrid/>
              <w:spacing w:line="240" w:lineRule="auto"/>
              <w:jc w:val="center"/>
              <w:rPr>
                <w:kern w:val="2"/>
                <w:sz w:val="21"/>
                <w:szCs w:val="21"/>
              </w:rPr>
            </w:pPr>
            <w:r>
              <w:rPr>
                <w:kern w:val="2"/>
                <w:sz w:val="21"/>
                <w:szCs w:val="21"/>
              </w:rPr>
              <w:t>生产厂房、有机肥料生产配套设备，粉碎机，翻堆机械、添置粪污专用运输车辆</w:t>
            </w:r>
          </w:p>
        </w:tc>
      </w:tr>
    </w:tbl>
    <w:p>
      <w:pPr>
        <w:pStyle w:val="4"/>
        <w:rPr>
          <w:rFonts w:ascii="Times New Roman" w:hAnsi="Times New Roman"/>
        </w:rPr>
      </w:pPr>
      <w:r>
        <w:rPr>
          <w:rFonts w:ascii="Times New Roman" w:hAnsi="Times New Roman"/>
        </w:rPr>
        <w:t>5.1.2大气污染物总量减排</w:t>
      </w:r>
    </w:p>
    <w:p>
      <w:pPr>
        <w:spacing w:line="500" w:lineRule="exact"/>
        <w:ind w:firstLine="584" w:firstLineChars="200"/>
        <w:rPr>
          <w:szCs w:val="28"/>
        </w:rPr>
      </w:pPr>
      <w:r>
        <w:rPr>
          <w:spacing w:val="6"/>
          <w:szCs w:val="28"/>
        </w:rPr>
        <w:t>全面启动电厂降氮脱硝工程。</w:t>
      </w:r>
      <w:r>
        <w:rPr>
          <w:szCs w:val="28"/>
        </w:rPr>
        <w:t>采取电厂脱硝补助政策等促进电厂建设脱硝工程</w:t>
      </w:r>
      <w:r>
        <w:rPr>
          <w:rFonts w:hint="eastAsia"/>
          <w:szCs w:val="28"/>
        </w:rPr>
        <w:t>，</w:t>
      </w:r>
      <w:r>
        <w:rPr>
          <w:szCs w:val="28"/>
        </w:rPr>
        <w:t>加强电厂降氮脱硝设施的监管，逐步提高脱氮脱硝效率。</w:t>
      </w:r>
      <w:r>
        <w:rPr>
          <w:spacing w:val="6"/>
          <w:szCs w:val="28"/>
        </w:rPr>
        <w:t>电厂完成</w:t>
      </w:r>
      <w:r>
        <w:rPr>
          <w:szCs w:val="28"/>
        </w:rPr>
        <w:t>低氮燃烧器安装及烟气脱氮脱硝工程并投入使用，具体见表</w:t>
      </w:r>
      <w:r>
        <w:rPr>
          <w:rFonts w:hint="eastAsia"/>
          <w:szCs w:val="28"/>
        </w:rPr>
        <w:t>5.1-5</w:t>
      </w:r>
      <w:r>
        <w:rPr>
          <w:szCs w:val="28"/>
        </w:rPr>
        <w:t>。</w:t>
      </w:r>
    </w:p>
    <w:p>
      <w:pPr>
        <w:spacing w:line="500" w:lineRule="exact"/>
        <w:jc w:val="center"/>
      </w:pPr>
      <w:r>
        <w:t>表5.1-</w:t>
      </w:r>
      <w:r>
        <w:rPr>
          <w:rFonts w:hint="eastAsia"/>
        </w:rPr>
        <w:t>5</w:t>
      </w:r>
      <w:r>
        <w:t xml:space="preserve"> 电力行业低氮燃烧改造及脱硝工程项目表</w:t>
      </w:r>
    </w:p>
    <w:tbl>
      <w:tblPr>
        <w:tblStyle w:val="34"/>
        <w:tblW w:w="547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40"/>
        <w:gridCol w:w="537"/>
        <w:gridCol w:w="1022"/>
        <w:gridCol w:w="843"/>
        <w:gridCol w:w="539"/>
        <w:gridCol w:w="842"/>
        <w:gridCol w:w="1084"/>
        <w:gridCol w:w="834"/>
        <w:gridCol w:w="11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jc w:val="center"/>
        </w:trPr>
        <w:tc>
          <w:tcPr>
            <w:tcW w:w="1229" w:type="pct"/>
            <w:vMerge w:val="restart"/>
            <w:noWrap w:val="0"/>
            <w:vAlign w:val="center"/>
          </w:tcPr>
          <w:p>
            <w:pPr>
              <w:spacing w:line="0" w:lineRule="atLeast"/>
              <w:jc w:val="center"/>
              <w:rPr>
                <w:sz w:val="21"/>
                <w:szCs w:val="21"/>
              </w:rPr>
            </w:pPr>
            <w:r>
              <w:rPr>
                <w:b/>
                <w:bCs/>
                <w:sz w:val="21"/>
                <w:szCs w:val="21"/>
              </w:rPr>
              <w:t>企业名称</w:t>
            </w:r>
          </w:p>
        </w:tc>
        <w:tc>
          <w:tcPr>
            <w:tcW w:w="1319" w:type="pct"/>
            <w:gridSpan w:val="3"/>
            <w:noWrap w:val="0"/>
            <w:vAlign w:val="center"/>
          </w:tcPr>
          <w:p>
            <w:pPr>
              <w:spacing w:line="0" w:lineRule="atLeast"/>
              <w:jc w:val="center"/>
              <w:rPr>
                <w:sz w:val="21"/>
                <w:szCs w:val="21"/>
              </w:rPr>
            </w:pPr>
            <w:r>
              <w:rPr>
                <w:b/>
                <w:bCs/>
                <w:sz w:val="21"/>
                <w:szCs w:val="21"/>
              </w:rPr>
              <w:t>发电机组</w:t>
            </w:r>
          </w:p>
        </w:tc>
        <w:tc>
          <w:tcPr>
            <w:tcW w:w="757" w:type="pct"/>
            <w:gridSpan w:val="2"/>
            <w:noWrap w:val="0"/>
            <w:vAlign w:val="center"/>
          </w:tcPr>
          <w:p>
            <w:pPr>
              <w:spacing w:line="0" w:lineRule="atLeast"/>
              <w:jc w:val="center"/>
              <w:rPr>
                <w:sz w:val="21"/>
                <w:szCs w:val="21"/>
              </w:rPr>
            </w:pPr>
            <w:r>
              <w:rPr>
                <w:b/>
                <w:bCs/>
                <w:sz w:val="21"/>
                <w:szCs w:val="21"/>
              </w:rPr>
              <w:t>燃料</w:t>
            </w:r>
          </w:p>
        </w:tc>
        <w:tc>
          <w:tcPr>
            <w:tcW w:w="595" w:type="pct"/>
            <w:vMerge w:val="restart"/>
            <w:noWrap w:val="0"/>
            <w:vAlign w:val="center"/>
          </w:tcPr>
          <w:p>
            <w:pPr>
              <w:spacing w:line="0" w:lineRule="atLeast"/>
              <w:jc w:val="center"/>
              <w:rPr>
                <w:b/>
                <w:bCs/>
                <w:sz w:val="21"/>
                <w:szCs w:val="21"/>
              </w:rPr>
            </w:pPr>
            <w:r>
              <w:rPr>
                <w:b/>
                <w:bCs/>
                <w:sz w:val="21"/>
                <w:szCs w:val="21"/>
              </w:rPr>
              <w:t>项目</w:t>
            </w:r>
          </w:p>
          <w:p>
            <w:pPr>
              <w:spacing w:line="0" w:lineRule="atLeast"/>
              <w:jc w:val="center"/>
              <w:rPr>
                <w:sz w:val="21"/>
                <w:szCs w:val="21"/>
              </w:rPr>
            </w:pPr>
            <w:r>
              <w:rPr>
                <w:b/>
                <w:bCs/>
                <w:sz w:val="21"/>
                <w:szCs w:val="21"/>
              </w:rPr>
              <w:t>类型</w:t>
            </w:r>
          </w:p>
        </w:tc>
        <w:tc>
          <w:tcPr>
            <w:tcW w:w="458" w:type="pct"/>
            <w:vMerge w:val="restart"/>
            <w:noWrap w:val="0"/>
            <w:vAlign w:val="center"/>
          </w:tcPr>
          <w:p>
            <w:pPr>
              <w:spacing w:line="0" w:lineRule="atLeast"/>
              <w:jc w:val="center"/>
              <w:rPr>
                <w:sz w:val="21"/>
                <w:szCs w:val="21"/>
              </w:rPr>
            </w:pPr>
            <w:r>
              <w:rPr>
                <w:b/>
                <w:bCs/>
                <w:sz w:val="21"/>
                <w:szCs w:val="21"/>
              </w:rPr>
              <w:t>烟气脱硝效率(%)</w:t>
            </w:r>
          </w:p>
        </w:tc>
        <w:tc>
          <w:tcPr>
            <w:tcW w:w="641" w:type="pct"/>
            <w:vMerge w:val="restart"/>
            <w:noWrap w:val="0"/>
            <w:vAlign w:val="center"/>
          </w:tcPr>
          <w:p>
            <w:pPr>
              <w:spacing w:line="0" w:lineRule="atLeast"/>
              <w:jc w:val="center"/>
              <w:rPr>
                <w:b/>
                <w:bCs/>
                <w:sz w:val="21"/>
                <w:szCs w:val="21"/>
              </w:rPr>
            </w:pPr>
            <w:r>
              <w:rPr>
                <w:b/>
                <w:bCs/>
                <w:sz w:val="21"/>
                <w:szCs w:val="21"/>
              </w:rPr>
              <w:t>十二五NOx削减量</w:t>
            </w:r>
          </w:p>
          <w:p>
            <w:pPr>
              <w:spacing w:line="0" w:lineRule="atLeast"/>
              <w:jc w:val="center"/>
              <w:rPr>
                <w:sz w:val="21"/>
                <w:szCs w:val="21"/>
              </w:rPr>
            </w:pPr>
            <w:r>
              <w:rPr>
                <w:b/>
                <w:bCs/>
                <w:sz w:val="21"/>
                <w:szCs w:val="21"/>
              </w:rPr>
              <w:t>（吨/年）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jc w:val="center"/>
        </w:trPr>
        <w:tc>
          <w:tcPr>
            <w:tcW w:w="1229" w:type="pct"/>
            <w:vMerge w:val="continue"/>
            <w:noWrap w:val="0"/>
            <w:vAlign w:val="center"/>
          </w:tcPr>
          <w:p>
            <w:pPr>
              <w:spacing w:line="0" w:lineRule="atLeast"/>
              <w:jc w:val="center"/>
              <w:rPr>
                <w:sz w:val="21"/>
                <w:szCs w:val="21"/>
              </w:rPr>
            </w:pPr>
          </w:p>
        </w:tc>
        <w:tc>
          <w:tcPr>
            <w:tcW w:w="295" w:type="pct"/>
            <w:noWrap w:val="0"/>
            <w:vAlign w:val="center"/>
          </w:tcPr>
          <w:p>
            <w:pPr>
              <w:spacing w:line="0" w:lineRule="atLeast"/>
              <w:jc w:val="center"/>
              <w:rPr>
                <w:b/>
                <w:bCs/>
                <w:sz w:val="21"/>
                <w:szCs w:val="21"/>
              </w:rPr>
            </w:pPr>
            <w:r>
              <w:rPr>
                <w:b/>
                <w:bCs/>
                <w:sz w:val="21"/>
                <w:szCs w:val="21"/>
              </w:rPr>
              <w:t>编号</w:t>
            </w:r>
          </w:p>
        </w:tc>
        <w:tc>
          <w:tcPr>
            <w:tcW w:w="561" w:type="pct"/>
            <w:noWrap w:val="0"/>
            <w:vAlign w:val="center"/>
          </w:tcPr>
          <w:p>
            <w:pPr>
              <w:spacing w:line="0" w:lineRule="atLeast"/>
              <w:jc w:val="center"/>
              <w:rPr>
                <w:b/>
                <w:bCs/>
                <w:sz w:val="21"/>
                <w:szCs w:val="21"/>
              </w:rPr>
            </w:pPr>
            <w:r>
              <w:rPr>
                <w:b/>
                <w:bCs/>
                <w:sz w:val="21"/>
                <w:szCs w:val="21"/>
              </w:rPr>
              <w:t>装机容量（万千瓦）</w:t>
            </w:r>
          </w:p>
        </w:tc>
        <w:tc>
          <w:tcPr>
            <w:tcW w:w="463" w:type="pct"/>
            <w:noWrap w:val="0"/>
            <w:vAlign w:val="center"/>
          </w:tcPr>
          <w:p>
            <w:pPr>
              <w:spacing w:line="0" w:lineRule="atLeast"/>
              <w:jc w:val="center"/>
              <w:rPr>
                <w:b/>
                <w:bCs/>
                <w:sz w:val="21"/>
                <w:szCs w:val="21"/>
              </w:rPr>
            </w:pPr>
            <w:r>
              <w:rPr>
                <w:b/>
                <w:bCs/>
                <w:sz w:val="21"/>
                <w:szCs w:val="21"/>
              </w:rPr>
              <w:t>投运时间</w:t>
            </w:r>
          </w:p>
        </w:tc>
        <w:tc>
          <w:tcPr>
            <w:tcW w:w="296" w:type="pct"/>
            <w:noWrap w:val="0"/>
            <w:vAlign w:val="center"/>
          </w:tcPr>
          <w:p>
            <w:pPr>
              <w:spacing w:line="0" w:lineRule="atLeast"/>
              <w:jc w:val="center"/>
              <w:rPr>
                <w:b/>
                <w:bCs/>
                <w:sz w:val="21"/>
                <w:szCs w:val="21"/>
              </w:rPr>
            </w:pPr>
            <w:r>
              <w:rPr>
                <w:b/>
                <w:bCs/>
                <w:sz w:val="21"/>
                <w:szCs w:val="21"/>
              </w:rPr>
              <w:t>类型</w:t>
            </w:r>
          </w:p>
        </w:tc>
        <w:tc>
          <w:tcPr>
            <w:tcW w:w="462" w:type="pct"/>
            <w:noWrap w:val="0"/>
            <w:vAlign w:val="center"/>
          </w:tcPr>
          <w:p>
            <w:pPr>
              <w:spacing w:line="0" w:lineRule="atLeast"/>
              <w:jc w:val="center"/>
              <w:rPr>
                <w:b/>
                <w:bCs/>
                <w:sz w:val="21"/>
                <w:szCs w:val="21"/>
              </w:rPr>
            </w:pPr>
            <w:r>
              <w:rPr>
                <w:b/>
                <w:bCs/>
                <w:sz w:val="21"/>
                <w:szCs w:val="21"/>
              </w:rPr>
              <w:t>用量</w:t>
            </w:r>
          </w:p>
          <w:p>
            <w:pPr>
              <w:spacing w:line="0" w:lineRule="atLeast"/>
              <w:jc w:val="center"/>
              <w:rPr>
                <w:b/>
                <w:bCs/>
                <w:sz w:val="21"/>
                <w:szCs w:val="21"/>
              </w:rPr>
            </w:pPr>
            <w:r>
              <w:rPr>
                <w:b/>
                <w:bCs/>
                <w:sz w:val="21"/>
                <w:szCs w:val="21"/>
              </w:rPr>
              <w:t>(吨/年)</w:t>
            </w:r>
          </w:p>
        </w:tc>
        <w:tc>
          <w:tcPr>
            <w:tcW w:w="595" w:type="pct"/>
            <w:vMerge w:val="continue"/>
            <w:noWrap w:val="0"/>
            <w:vAlign w:val="center"/>
          </w:tcPr>
          <w:p>
            <w:pPr>
              <w:spacing w:line="0" w:lineRule="atLeast"/>
              <w:jc w:val="center"/>
              <w:rPr>
                <w:b/>
                <w:bCs/>
                <w:sz w:val="21"/>
                <w:szCs w:val="21"/>
              </w:rPr>
            </w:pPr>
          </w:p>
        </w:tc>
        <w:tc>
          <w:tcPr>
            <w:tcW w:w="458" w:type="pct"/>
            <w:vMerge w:val="continue"/>
            <w:noWrap w:val="0"/>
            <w:vAlign w:val="center"/>
          </w:tcPr>
          <w:p>
            <w:pPr>
              <w:spacing w:line="0" w:lineRule="atLeast"/>
              <w:jc w:val="center"/>
              <w:rPr>
                <w:b/>
                <w:bCs/>
                <w:sz w:val="21"/>
                <w:szCs w:val="21"/>
              </w:rPr>
            </w:pPr>
          </w:p>
        </w:tc>
        <w:tc>
          <w:tcPr>
            <w:tcW w:w="641" w:type="pct"/>
            <w:vMerge w:val="continue"/>
            <w:noWrap w:val="0"/>
            <w:vAlign w:val="center"/>
          </w:tcPr>
          <w:p>
            <w:pPr>
              <w:spacing w:line="0" w:lineRule="atLeast"/>
              <w:jc w:val="center"/>
              <w:rPr>
                <w:b/>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jc w:val="center"/>
        </w:trPr>
        <w:tc>
          <w:tcPr>
            <w:tcW w:w="1229" w:type="pct"/>
            <w:noWrap w:val="0"/>
            <w:vAlign w:val="center"/>
          </w:tcPr>
          <w:p>
            <w:pPr>
              <w:spacing w:line="0" w:lineRule="atLeast"/>
              <w:jc w:val="center"/>
              <w:rPr>
                <w:sz w:val="21"/>
                <w:szCs w:val="21"/>
              </w:rPr>
            </w:pPr>
            <w:r>
              <w:rPr>
                <w:sz w:val="21"/>
                <w:szCs w:val="21"/>
              </w:rPr>
              <w:t>昆山千灯热电有限公司</w:t>
            </w:r>
          </w:p>
        </w:tc>
        <w:tc>
          <w:tcPr>
            <w:tcW w:w="295" w:type="pct"/>
            <w:noWrap w:val="0"/>
            <w:vAlign w:val="center"/>
          </w:tcPr>
          <w:p>
            <w:pPr>
              <w:spacing w:line="0" w:lineRule="atLeast"/>
              <w:jc w:val="center"/>
              <w:rPr>
                <w:sz w:val="21"/>
                <w:szCs w:val="21"/>
              </w:rPr>
            </w:pPr>
            <w:r>
              <w:rPr>
                <w:sz w:val="21"/>
                <w:szCs w:val="21"/>
              </w:rPr>
              <w:t>1#</w:t>
            </w:r>
          </w:p>
        </w:tc>
        <w:tc>
          <w:tcPr>
            <w:tcW w:w="561" w:type="pct"/>
            <w:noWrap w:val="0"/>
            <w:vAlign w:val="center"/>
          </w:tcPr>
          <w:p>
            <w:pPr>
              <w:spacing w:line="0" w:lineRule="atLeast"/>
              <w:jc w:val="center"/>
              <w:rPr>
                <w:sz w:val="21"/>
                <w:szCs w:val="21"/>
              </w:rPr>
            </w:pPr>
            <w:r>
              <w:rPr>
                <w:sz w:val="21"/>
                <w:szCs w:val="21"/>
              </w:rPr>
              <w:t>6</w:t>
            </w:r>
          </w:p>
        </w:tc>
        <w:tc>
          <w:tcPr>
            <w:tcW w:w="463" w:type="pct"/>
            <w:noWrap w:val="0"/>
            <w:vAlign w:val="center"/>
          </w:tcPr>
          <w:p>
            <w:pPr>
              <w:spacing w:line="0" w:lineRule="atLeast"/>
              <w:jc w:val="center"/>
              <w:rPr>
                <w:sz w:val="21"/>
                <w:szCs w:val="21"/>
              </w:rPr>
            </w:pPr>
            <w:r>
              <w:rPr>
                <w:sz w:val="21"/>
                <w:szCs w:val="21"/>
              </w:rPr>
              <w:t>1997-6</w:t>
            </w:r>
          </w:p>
        </w:tc>
        <w:tc>
          <w:tcPr>
            <w:tcW w:w="296" w:type="pct"/>
            <w:noWrap w:val="0"/>
            <w:vAlign w:val="center"/>
          </w:tcPr>
          <w:p>
            <w:pPr>
              <w:spacing w:line="0" w:lineRule="atLeast"/>
              <w:jc w:val="center"/>
              <w:rPr>
                <w:sz w:val="21"/>
                <w:szCs w:val="21"/>
              </w:rPr>
            </w:pPr>
            <w:r>
              <w:rPr>
                <w:sz w:val="21"/>
                <w:szCs w:val="21"/>
              </w:rPr>
              <w:t>煤</w:t>
            </w:r>
          </w:p>
        </w:tc>
        <w:tc>
          <w:tcPr>
            <w:tcW w:w="462" w:type="pct"/>
            <w:noWrap w:val="0"/>
            <w:vAlign w:val="center"/>
          </w:tcPr>
          <w:p>
            <w:pPr>
              <w:spacing w:line="0" w:lineRule="atLeast"/>
              <w:jc w:val="center"/>
              <w:rPr>
                <w:sz w:val="21"/>
                <w:szCs w:val="21"/>
              </w:rPr>
            </w:pPr>
            <w:r>
              <w:rPr>
                <w:sz w:val="21"/>
                <w:szCs w:val="21"/>
              </w:rPr>
              <w:t>43700</w:t>
            </w:r>
          </w:p>
        </w:tc>
        <w:tc>
          <w:tcPr>
            <w:tcW w:w="595" w:type="pct"/>
            <w:vMerge w:val="restart"/>
            <w:noWrap w:val="0"/>
            <w:vAlign w:val="center"/>
          </w:tcPr>
          <w:p>
            <w:pPr>
              <w:spacing w:line="0" w:lineRule="atLeast"/>
              <w:jc w:val="center"/>
              <w:rPr>
                <w:sz w:val="21"/>
                <w:szCs w:val="21"/>
              </w:rPr>
            </w:pPr>
            <w:r>
              <w:rPr>
                <w:sz w:val="21"/>
                <w:szCs w:val="21"/>
              </w:rPr>
              <w:t>新建脱硝设施</w:t>
            </w:r>
          </w:p>
        </w:tc>
        <w:tc>
          <w:tcPr>
            <w:tcW w:w="458" w:type="pct"/>
            <w:noWrap w:val="0"/>
            <w:vAlign w:val="center"/>
          </w:tcPr>
          <w:p>
            <w:pPr>
              <w:jc w:val="center"/>
              <w:rPr>
                <w:sz w:val="21"/>
                <w:szCs w:val="21"/>
              </w:rPr>
            </w:pPr>
            <w:r>
              <w:rPr>
                <w:sz w:val="21"/>
                <w:szCs w:val="21"/>
              </w:rPr>
              <w:t>60%</w:t>
            </w:r>
          </w:p>
        </w:tc>
        <w:tc>
          <w:tcPr>
            <w:tcW w:w="641" w:type="pct"/>
            <w:noWrap w:val="0"/>
            <w:vAlign w:val="center"/>
          </w:tcPr>
          <w:p>
            <w:pPr>
              <w:jc w:val="center"/>
              <w:rPr>
                <w:sz w:val="21"/>
                <w:szCs w:val="21"/>
              </w:rPr>
            </w:pPr>
            <w:r>
              <w:rPr>
                <w:sz w:val="21"/>
                <w:szCs w:val="21"/>
              </w:rPr>
              <w:t xml:space="preserve">26.22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jc w:val="center"/>
        </w:trPr>
        <w:tc>
          <w:tcPr>
            <w:tcW w:w="1229" w:type="pct"/>
            <w:noWrap w:val="0"/>
            <w:vAlign w:val="center"/>
          </w:tcPr>
          <w:p>
            <w:pPr>
              <w:spacing w:line="0" w:lineRule="atLeast"/>
              <w:jc w:val="center"/>
              <w:rPr>
                <w:sz w:val="21"/>
                <w:szCs w:val="21"/>
              </w:rPr>
            </w:pPr>
            <w:r>
              <w:rPr>
                <w:sz w:val="21"/>
                <w:szCs w:val="21"/>
              </w:rPr>
              <w:t>昆山新昆热电有限公司</w:t>
            </w:r>
          </w:p>
        </w:tc>
        <w:tc>
          <w:tcPr>
            <w:tcW w:w="295" w:type="pct"/>
            <w:noWrap w:val="0"/>
            <w:vAlign w:val="center"/>
          </w:tcPr>
          <w:p>
            <w:pPr>
              <w:spacing w:line="0" w:lineRule="atLeast"/>
              <w:jc w:val="center"/>
              <w:rPr>
                <w:sz w:val="21"/>
                <w:szCs w:val="21"/>
              </w:rPr>
            </w:pPr>
            <w:r>
              <w:rPr>
                <w:sz w:val="21"/>
                <w:szCs w:val="21"/>
              </w:rPr>
              <w:t>1#</w:t>
            </w:r>
          </w:p>
        </w:tc>
        <w:tc>
          <w:tcPr>
            <w:tcW w:w="561" w:type="pct"/>
            <w:noWrap w:val="0"/>
            <w:vAlign w:val="center"/>
          </w:tcPr>
          <w:p>
            <w:pPr>
              <w:spacing w:line="0" w:lineRule="atLeast"/>
              <w:jc w:val="center"/>
              <w:rPr>
                <w:sz w:val="21"/>
                <w:szCs w:val="21"/>
              </w:rPr>
            </w:pPr>
            <w:r>
              <w:rPr>
                <w:sz w:val="21"/>
                <w:szCs w:val="21"/>
              </w:rPr>
              <w:t>1.5</w:t>
            </w:r>
          </w:p>
        </w:tc>
        <w:tc>
          <w:tcPr>
            <w:tcW w:w="463" w:type="pct"/>
            <w:noWrap w:val="0"/>
            <w:vAlign w:val="center"/>
          </w:tcPr>
          <w:p>
            <w:pPr>
              <w:spacing w:line="0" w:lineRule="atLeast"/>
              <w:jc w:val="center"/>
              <w:rPr>
                <w:sz w:val="21"/>
                <w:szCs w:val="21"/>
              </w:rPr>
            </w:pPr>
            <w:r>
              <w:rPr>
                <w:sz w:val="21"/>
                <w:szCs w:val="21"/>
              </w:rPr>
              <w:t>1992-1</w:t>
            </w:r>
          </w:p>
        </w:tc>
        <w:tc>
          <w:tcPr>
            <w:tcW w:w="296" w:type="pct"/>
            <w:noWrap w:val="0"/>
            <w:vAlign w:val="center"/>
          </w:tcPr>
          <w:p>
            <w:pPr>
              <w:spacing w:line="0" w:lineRule="atLeast"/>
              <w:jc w:val="center"/>
              <w:rPr>
                <w:sz w:val="21"/>
                <w:szCs w:val="21"/>
              </w:rPr>
            </w:pPr>
            <w:r>
              <w:rPr>
                <w:sz w:val="21"/>
                <w:szCs w:val="21"/>
              </w:rPr>
              <w:t>煤</w:t>
            </w:r>
          </w:p>
        </w:tc>
        <w:tc>
          <w:tcPr>
            <w:tcW w:w="462" w:type="pct"/>
            <w:noWrap w:val="0"/>
            <w:vAlign w:val="center"/>
          </w:tcPr>
          <w:p>
            <w:pPr>
              <w:spacing w:line="0" w:lineRule="atLeast"/>
              <w:jc w:val="center"/>
              <w:rPr>
                <w:sz w:val="21"/>
                <w:szCs w:val="21"/>
              </w:rPr>
            </w:pPr>
            <w:r>
              <w:rPr>
                <w:sz w:val="21"/>
                <w:szCs w:val="21"/>
              </w:rPr>
              <w:t>26800</w:t>
            </w:r>
          </w:p>
        </w:tc>
        <w:tc>
          <w:tcPr>
            <w:tcW w:w="595" w:type="pct"/>
            <w:vMerge w:val="continue"/>
            <w:noWrap w:val="0"/>
            <w:vAlign w:val="center"/>
          </w:tcPr>
          <w:p>
            <w:pPr>
              <w:spacing w:line="0" w:lineRule="atLeast"/>
              <w:jc w:val="center"/>
              <w:rPr>
                <w:sz w:val="21"/>
                <w:szCs w:val="21"/>
              </w:rPr>
            </w:pPr>
          </w:p>
        </w:tc>
        <w:tc>
          <w:tcPr>
            <w:tcW w:w="458" w:type="pct"/>
            <w:noWrap w:val="0"/>
            <w:vAlign w:val="center"/>
          </w:tcPr>
          <w:p>
            <w:pPr>
              <w:spacing w:line="0" w:lineRule="atLeast"/>
              <w:jc w:val="center"/>
              <w:rPr>
                <w:sz w:val="21"/>
                <w:szCs w:val="21"/>
              </w:rPr>
            </w:pPr>
            <w:r>
              <w:rPr>
                <w:sz w:val="21"/>
                <w:szCs w:val="21"/>
              </w:rPr>
              <w:t>60%</w:t>
            </w:r>
          </w:p>
        </w:tc>
        <w:tc>
          <w:tcPr>
            <w:tcW w:w="641" w:type="pct"/>
            <w:noWrap w:val="0"/>
            <w:vAlign w:val="center"/>
          </w:tcPr>
          <w:p>
            <w:pPr>
              <w:spacing w:line="0" w:lineRule="atLeast"/>
              <w:jc w:val="center"/>
              <w:rPr>
                <w:sz w:val="21"/>
                <w:szCs w:val="21"/>
              </w:rPr>
            </w:pPr>
            <w:r>
              <w:rPr>
                <w:sz w:val="21"/>
                <w:szCs w:val="21"/>
              </w:rPr>
              <w:t>16.08</w:t>
            </w:r>
          </w:p>
        </w:tc>
      </w:tr>
    </w:tbl>
    <w:p>
      <w:pPr>
        <w:spacing w:line="500" w:lineRule="exact"/>
        <w:ind w:firstLine="584" w:firstLineChars="200"/>
        <w:rPr>
          <w:spacing w:val="6"/>
          <w:szCs w:val="28"/>
          <w:lang w:bidi="en-US"/>
        </w:rPr>
      </w:pPr>
      <w:r>
        <w:rPr>
          <w:spacing w:val="6"/>
          <w:szCs w:val="28"/>
        </w:rPr>
        <w:t>电力</w:t>
      </w:r>
      <w:r>
        <w:rPr>
          <w:spacing w:val="6"/>
          <w:szCs w:val="28"/>
          <w:lang w:bidi="en-US"/>
        </w:rPr>
        <w:t>行业的氮氧化物控制技术可分为燃料前处理技术、燃烧过程改善技术及废气后处理技术三大类。</w:t>
      </w:r>
    </w:p>
    <w:p>
      <w:pPr>
        <w:spacing w:line="500" w:lineRule="exact"/>
        <w:ind w:firstLine="584" w:firstLineChars="200"/>
        <w:rPr>
          <w:spacing w:val="6"/>
          <w:szCs w:val="28"/>
          <w:lang w:bidi="en-US"/>
        </w:rPr>
      </w:pPr>
      <w:r>
        <w:rPr>
          <w:spacing w:val="6"/>
          <w:szCs w:val="28"/>
          <w:lang w:bidi="en-US"/>
        </w:rPr>
        <w:t>①燃料前处理技术</w:t>
      </w:r>
    </w:p>
    <w:p>
      <w:pPr>
        <w:spacing w:line="500" w:lineRule="exact"/>
        <w:ind w:firstLine="584" w:firstLineChars="200"/>
        <w:rPr>
          <w:spacing w:val="6"/>
          <w:szCs w:val="28"/>
          <w:lang w:bidi="en-US"/>
        </w:rPr>
      </w:pPr>
      <w:r>
        <w:rPr>
          <w:spacing w:val="6"/>
          <w:szCs w:val="28"/>
          <w:lang w:bidi="en-US"/>
        </w:rPr>
        <w:t>是改用含氮成分较低的燃料（如天然气）或减少燃料中含氮成分（加氢脱氮处理），进而避免燃料式NO</w:t>
      </w:r>
      <w:r>
        <w:rPr>
          <w:spacing w:val="6"/>
          <w:szCs w:val="28"/>
          <w:vertAlign w:val="subscript"/>
          <w:lang w:bidi="en-US"/>
        </w:rPr>
        <w:t>X</w:t>
      </w:r>
      <w:r>
        <w:rPr>
          <w:spacing w:val="6"/>
          <w:szCs w:val="28"/>
          <w:lang w:bidi="en-US"/>
        </w:rPr>
        <w:t>污染物的生成。</w:t>
      </w:r>
    </w:p>
    <w:p>
      <w:pPr>
        <w:spacing w:line="500" w:lineRule="exact"/>
        <w:ind w:firstLine="584" w:firstLineChars="200"/>
        <w:rPr>
          <w:spacing w:val="6"/>
          <w:szCs w:val="28"/>
          <w:lang w:bidi="en-US"/>
        </w:rPr>
      </w:pPr>
      <w:r>
        <w:rPr>
          <w:spacing w:val="6"/>
          <w:szCs w:val="28"/>
          <w:lang w:bidi="en-US"/>
        </w:rPr>
        <w:t>②燃烧过程改善技术</w:t>
      </w:r>
    </w:p>
    <w:p>
      <w:pPr>
        <w:spacing w:line="500" w:lineRule="exact"/>
        <w:ind w:firstLine="584" w:firstLineChars="200"/>
        <w:rPr>
          <w:spacing w:val="6"/>
          <w:szCs w:val="28"/>
          <w:lang w:bidi="en-US"/>
        </w:rPr>
      </w:pPr>
      <w:r>
        <w:rPr>
          <w:spacing w:val="6"/>
          <w:szCs w:val="28"/>
          <w:lang w:bidi="en-US"/>
        </w:rPr>
        <w:t>是经由改变火焰结构的方式以达到降低NO</w:t>
      </w:r>
      <w:r>
        <w:rPr>
          <w:spacing w:val="6"/>
          <w:szCs w:val="28"/>
          <w:vertAlign w:val="subscript"/>
          <w:lang w:bidi="en-US"/>
        </w:rPr>
        <w:t>X</w:t>
      </w:r>
      <w:r>
        <w:rPr>
          <w:spacing w:val="6"/>
          <w:szCs w:val="28"/>
          <w:lang w:bidi="en-US"/>
        </w:rPr>
        <w:t>的效果，其技术范围从简单的燃料/空气调整到复杂的燃烧器及设备的置换，均属于燃烧过程改善的范畴。</w:t>
      </w:r>
    </w:p>
    <w:p>
      <w:pPr>
        <w:spacing w:line="500" w:lineRule="exact"/>
        <w:ind w:firstLine="584" w:firstLineChars="200"/>
        <w:rPr>
          <w:spacing w:val="6"/>
          <w:szCs w:val="28"/>
          <w:lang w:bidi="en-US"/>
        </w:rPr>
      </w:pPr>
      <w:r>
        <w:rPr>
          <w:spacing w:val="6"/>
          <w:szCs w:val="28"/>
          <w:lang w:bidi="en-US"/>
        </w:rPr>
        <w:t>③废气后处理技术</w:t>
      </w:r>
    </w:p>
    <w:p>
      <w:pPr>
        <w:spacing w:line="500" w:lineRule="exact"/>
        <w:ind w:firstLine="584" w:firstLineChars="200"/>
        <w:rPr>
          <w:spacing w:val="6"/>
          <w:szCs w:val="28"/>
          <w:lang w:bidi="en-US"/>
        </w:rPr>
      </w:pPr>
      <w:r>
        <w:rPr>
          <w:spacing w:val="6"/>
          <w:szCs w:val="28"/>
          <w:lang w:bidi="en-US"/>
        </w:rPr>
        <w:t>废气后处理技术有选择性催化还原法（Selective Catalytic Reduction,SCR）、选择性非催化还原法（Selective Non-Catalytic Reduction,SNCR）等，是利用还原剂注入烟道气中，并在设定的反应条件下，将NO</w:t>
      </w:r>
      <w:r>
        <w:rPr>
          <w:spacing w:val="6"/>
          <w:szCs w:val="28"/>
          <w:vertAlign w:val="subscript"/>
          <w:lang w:bidi="en-US"/>
        </w:rPr>
        <w:t>X</w:t>
      </w:r>
      <w:r>
        <w:rPr>
          <w:spacing w:val="6"/>
          <w:szCs w:val="28"/>
          <w:lang w:bidi="en-US"/>
        </w:rPr>
        <w:t>还原成NO</w:t>
      </w:r>
      <w:r>
        <w:rPr>
          <w:spacing w:val="6"/>
          <w:szCs w:val="28"/>
          <w:vertAlign w:val="subscript"/>
          <w:lang w:bidi="en-US"/>
        </w:rPr>
        <w:t>2</w:t>
      </w:r>
      <w:r>
        <w:rPr>
          <w:spacing w:val="6"/>
          <w:szCs w:val="28"/>
          <w:lang w:bidi="en-US"/>
        </w:rPr>
        <w:t>的方法。</w:t>
      </w:r>
    </w:p>
    <w:p>
      <w:pPr>
        <w:spacing w:line="500" w:lineRule="exact"/>
        <w:ind w:firstLine="584" w:firstLineChars="200"/>
        <w:rPr>
          <w:spacing w:val="6"/>
          <w:szCs w:val="28"/>
        </w:rPr>
      </w:pPr>
      <w:r>
        <w:rPr>
          <w:spacing w:val="6"/>
          <w:szCs w:val="28"/>
          <w:lang w:bidi="en-US"/>
        </w:rPr>
        <w:t>各种氮氧化物控制技术的比较见表5.1-</w:t>
      </w:r>
      <w:r>
        <w:rPr>
          <w:rFonts w:hint="eastAsia"/>
          <w:spacing w:val="6"/>
          <w:szCs w:val="28"/>
          <w:lang w:bidi="en-US"/>
        </w:rPr>
        <w:t>6</w:t>
      </w:r>
      <w:r>
        <w:rPr>
          <w:spacing w:val="6"/>
          <w:szCs w:val="28"/>
          <w:lang w:bidi="en-US"/>
        </w:rPr>
        <w:t>。</w:t>
      </w:r>
    </w:p>
    <w:p>
      <w:pPr>
        <w:spacing w:line="500" w:lineRule="exact"/>
        <w:ind w:firstLine="584" w:firstLineChars="200"/>
        <w:rPr>
          <w:spacing w:val="6"/>
          <w:szCs w:val="28"/>
        </w:rPr>
      </w:pPr>
    </w:p>
    <w:p>
      <w:pPr>
        <w:spacing w:line="500" w:lineRule="exact"/>
        <w:jc w:val="center"/>
      </w:pPr>
    </w:p>
    <w:p>
      <w:pPr>
        <w:spacing w:line="500" w:lineRule="exact"/>
        <w:ind w:firstLine="584" w:firstLineChars="200"/>
        <w:rPr>
          <w:spacing w:val="6"/>
          <w:szCs w:val="28"/>
        </w:rPr>
        <w:sectPr>
          <w:endnotePr>
            <w:numFmt w:val="decimal"/>
          </w:endnotePr>
          <w:pgSz w:w="11906" w:h="16838"/>
          <w:pgMar w:top="1440" w:right="1797" w:bottom="1440" w:left="1797" w:header="851" w:footer="992" w:gutter="0"/>
          <w:cols w:space="425" w:num="1"/>
          <w:docGrid w:linePitch="312" w:charSpace="0"/>
        </w:sectPr>
      </w:pPr>
    </w:p>
    <w:p>
      <w:pPr>
        <w:pBdr>
          <w:between w:val="single" w:color="auto" w:sz="12" w:space="1"/>
        </w:pBdr>
        <w:spacing w:line="400" w:lineRule="exact"/>
        <w:jc w:val="center"/>
        <w:rPr>
          <w:snapToGrid w:val="0"/>
        </w:rPr>
      </w:pPr>
      <w:r>
        <w:rPr>
          <w:snapToGrid w:val="0"/>
        </w:rPr>
        <w:t>表5.1-</w:t>
      </w:r>
      <w:r>
        <w:rPr>
          <w:rFonts w:hint="eastAsia"/>
          <w:snapToGrid w:val="0"/>
        </w:rPr>
        <w:t>6</w:t>
      </w:r>
      <w:r>
        <w:rPr>
          <w:snapToGrid w:val="0"/>
        </w:rPr>
        <w:t xml:space="preserve"> 各种氮氧化物控制技术比较</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535"/>
        <w:gridCol w:w="3296"/>
        <w:gridCol w:w="1676"/>
        <w:gridCol w:w="1254"/>
        <w:gridCol w:w="827"/>
        <w:gridCol w:w="799"/>
        <w:gridCol w:w="3327"/>
        <w:gridCol w:w="12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jc w:val="center"/>
        </w:trPr>
        <w:tc>
          <w:tcPr>
            <w:tcW w:w="549" w:type="pct"/>
            <w:noWrap w:val="0"/>
            <w:vAlign w:val="center"/>
          </w:tcPr>
          <w:p>
            <w:pPr>
              <w:spacing w:line="240" w:lineRule="exact"/>
              <w:jc w:val="center"/>
              <w:rPr>
                <w:b/>
                <w:snapToGrid w:val="0"/>
                <w:sz w:val="18"/>
                <w:szCs w:val="18"/>
              </w:rPr>
            </w:pPr>
            <w:r>
              <w:rPr>
                <w:b/>
                <w:snapToGrid w:val="0"/>
                <w:sz w:val="18"/>
                <w:szCs w:val="18"/>
              </w:rPr>
              <w:t>控制技术</w:t>
            </w:r>
          </w:p>
        </w:tc>
        <w:tc>
          <w:tcPr>
            <w:tcW w:w="1180" w:type="pct"/>
            <w:noWrap w:val="0"/>
            <w:vAlign w:val="center"/>
          </w:tcPr>
          <w:p>
            <w:pPr>
              <w:spacing w:line="240" w:lineRule="exact"/>
              <w:jc w:val="center"/>
              <w:rPr>
                <w:b/>
                <w:snapToGrid w:val="0"/>
                <w:sz w:val="18"/>
                <w:szCs w:val="18"/>
              </w:rPr>
            </w:pPr>
            <w:r>
              <w:rPr>
                <w:b/>
                <w:snapToGrid w:val="0"/>
                <w:sz w:val="18"/>
                <w:szCs w:val="18"/>
              </w:rPr>
              <w:t>原理</w:t>
            </w:r>
          </w:p>
        </w:tc>
        <w:tc>
          <w:tcPr>
            <w:tcW w:w="600" w:type="pct"/>
            <w:noWrap w:val="0"/>
            <w:vAlign w:val="center"/>
          </w:tcPr>
          <w:p>
            <w:pPr>
              <w:spacing w:line="240" w:lineRule="exact"/>
              <w:jc w:val="center"/>
              <w:rPr>
                <w:b/>
                <w:snapToGrid w:val="0"/>
                <w:sz w:val="18"/>
                <w:szCs w:val="18"/>
              </w:rPr>
            </w:pPr>
            <w:r>
              <w:rPr>
                <w:b/>
                <w:snapToGrid w:val="0"/>
                <w:sz w:val="18"/>
                <w:szCs w:val="18"/>
              </w:rPr>
              <w:t>去除率（％）</w:t>
            </w:r>
          </w:p>
        </w:tc>
        <w:tc>
          <w:tcPr>
            <w:tcW w:w="449" w:type="pct"/>
            <w:noWrap w:val="0"/>
            <w:vAlign w:val="center"/>
          </w:tcPr>
          <w:p>
            <w:pPr>
              <w:spacing w:line="240" w:lineRule="exact"/>
              <w:jc w:val="center"/>
              <w:rPr>
                <w:b/>
                <w:snapToGrid w:val="0"/>
                <w:sz w:val="18"/>
                <w:szCs w:val="18"/>
              </w:rPr>
            </w:pPr>
            <w:r>
              <w:rPr>
                <w:b/>
                <w:snapToGrid w:val="0"/>
                <w:sz w:val="18"/>
                <w:szCs w:val="18"/>
              </w:rPr>
              <w:t>应用</w:t>
            </w:r>
          </w:p>
        </w:tc>
        <w:tc>
          <w:tcPr>
            <w:tcW w:w="296" w:type="pct"/>
            <w:noWrap w:val="0"/>
            <w:vAlign w:val="center"/>
          </w:tcPr>
          <w:p>
            <w:pPr>
              <w:spacing w:line="240" w:lineRule="exact"/>
              <w:jc w:val="center"/>
              <w:rPr>
                <w:b/>
                <w:snapToGrid w:val="0"/>
                <w:sz w:val="18"/>
                <w:szCs w:val="18"/>
              </w:rPr>
            </w:pPr>
            <w:r>
              <w:rPr>
                <w:b/>
                <w:snapToGrid w:val="0"/>
                <w:sz w:val="18"/>
                <w:szCs w:val="18"/>
              </w:rPr>
              <w:t>二次</w:t>
            </w:r>
          </w:p>
          <w:p>
            <w:pPr>
              <w:spacing w:line="240" w:lineRule="exact"/>
              <w:jc w:val="center"/>
              <w:rPr>
                <w:b/>
                <w:snapToGrid w:val="0"/>
                <w:sz w:val="18"/>
                <w:szCs w:val="18"/>
              </w:rPr>
            </w:pPr>
            <w:r>
              <w:rPr>
                <w:b/>
                <w:snapToGrid w:val="0"/>
                <w:sz w:val="18"/>
                <w:szCs w:val="18"/>
              </w:rPr>
              <w:t>污染</w:t>
            </w:r>
          </w:p>
        </w:tc>
        <w:tc>
          <w:tcPr>
            <w:tcW w:w="286" w:type="pct"/>
            <w:noWrap w:val="0"/>
            <w:vAlign w:val="center"/>
          </w:tcPr>
          <w:p>
            <w:pPr>
              <w:spacing w:line="240" w:lineRule="exact"/>
              <w:jc w:val="center"/>
              <w:rPr>
                <w:b/>
                <w:snapToGrid w:val="0"/>
                <w:sz w:val="18"/>
                <w:szCs w:val="18"/>
              </w:rPr>
            </w:pPr>
            <w:r>
              <w:rPr>
                <w:b/>
                <w:snapToGrid w:val="0"/>
                <w:sz w:val="18"/>
                <w:szCs w:val="18"/>
              </w:rPr>
              <w:t>费用</w:t>
            </w:r>
          </w:p>
        </w:tc>
        <w:tc>
          <w:tcPr>
            <w:tcW w:w="1191" w:type="pct"/>
            <w:noWrap w:val="0"/>
            <w:vAlign w:val="center"/>
          </w:tcPr>
          <w:p>
            <w:pPr>
              <w:spacing w:line="240" w:lineRule="exact"/>
              <w:jc w:val="center"/>
              <w:rPr>
                <w:b/>
                <w:snapToGrid w:val="0"/>
                <w:sz w:val="18"/>
                <w:szCs w:val="18"/>
              </w:rPr>
            </w:pPr>
            <w:r>
              <w:rPr>
                <w:b/>
                <w:snapToGrid w:val="0"/>
                <w:sz w:val="18"/>
                <w:szCs w:val="18"/>
              </w:rPr>
              <w:t>备注</w:t>
            </w:r>
          </w:p>
        </w:tc>
        <w:tc>
          <w:tcPr>
            <w:tcW w:w="449" w:type="pct"/>
            <w:noWrap w:val="0"/>
            <w:vAlign w:val="center"/>
          </w:tcPr>
          <w:p>
            <w:pPr>
              <w:spacing w:line="240" w:lineRule="exact"/>
              <w:jc w:val="center"/>
              <w:rPr>
                <w:b/>
                <w:snapToGrid w:val="0"/>
                <w:sz w:val="18"/>
                <w:szCs w:val="18"/>
              </w:rPr>
            </w:pPr>
            <w:r>
              <w:rPr>
                <w:b/>
                <w:snapToGrid w:val="0"/>
                <w:sz w:val="18"/>
                <w:szCs w:val="18"/>
              </w:rPr>
              <w:t>适宜机组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jc w:val="center"/>
        </w:trPr>
        <w:tc>
          <w:tcPr>
            <w:tcW w:w="549" w:type="pct"/>
            <w:noWrap w:val="0"/>
            <w:vAlign w:val="center"/>
          </w:tcPr>
          <w:p>
            <w:pPr>
              <w:spacing w:line="240" w:lineRule="exact"/>
              <w:jc w:val="center"/>
              <w:rPr>
                <w:snapToGrid w:val="0"/>
                <w:sz w:val="18"/>
                <w:szCs w:val="18"/>
              </w:rPr>
            </w:pPr>
            <w:r>
              <w:rPr>
                <w:snapToGrid w:val="0"/>
                <w:sz w:val="18"/>
                <w:szCs w:val="18"/>
              </w:rPr>
              <w:t>分段燃烧法</w:t>
            </w:r>
          </w:p>
        </w:tc>
        <w:tc>
          <w:tcPr>
            <w:tcW w:w="1180" w:type="pct"/>
            <w:noWrap w:val="0"/>
            <w:vAlign w:val="center"/>
          </w:tcPr>
          <w:p>
            <w:pPr>
              <w:spacing w:line="240" w:lineRule="exact"/>
              <w:jc w:val="center"/>
              <w:rPr>
                <w:snapToGrid w:val="0"/>
                <w:sz w:val="18"/>
                <w:szCs w:val="18"/>
              </w:rPr>
            </w:pPr>
            <w:r>
              <w:rPr>
                <w:snapToGrid w:val="0"/>
                <w:sz w:val="18"/>
                <w:szCs w:val="18"/>
              </w:rPr>
              <w:t>减少氧的利用率。</w:t>
            </w:r>
          </w:p>
          <w:p>
            <w:pPr>
              <w:spacing w:line="240" w:lineRule="exact"/>
              <w:jc w:val="center"/>
              <w:rPr>
                <w:snapToGrid w:val="0"/>
                <w:sz w:val="18"/>
                <w:szCs w:val="18"/>
              </w:rPr>
            </w:pPr>
            <w:r>
              <w:rPr>
                <w:snapToGrid w:val="0"/>
                <w:sz w:val="18"/>
                <w:szCs w:val="18"/>
              </w:rPr>
              <w:t>降低峰焰温度。</w:t>
            </w:r>
          </w:p>
        </w:tc>
        <w:tc>
          <w:tcPr>
            <w:tcW w:w="600" w:type="pct"/>
            <w:noWrap w:val="0"/>
            <w:vAlign w:val="center"/>
          </w:tcPr>
          <w:p>
            <w:pPr>
              <w:spacing w:line="240" w:lineRule="exact"/>
              <w:jc w:val="center"/>
              <w:rPr>
                <w:snapToGrid w:val="0"/>
                <w:sz w:val="18"/>
                <w:szCs w:val="18"/>
              </w:rPr>
            </w:pPr>
            <w:r>
              <w:rPr>
                <w:snapToGrid w:val="0"/>
                <w:sz w:val="18"/>
                <w:szCs w:val="18"/>
              </w:rPr>
              <w:t>10～30</w:t>
            </w:r>
          </w:p>
          <w:p>
            <w:pPr>
              <w:spacing w:line="240" w:lineRule="exact"/>
              <w:jc w:val="center"/>
              <w:rPr>
                <w:snapToGrid w:val="0"/>
                <w:w w:val="80"/>
                <w:sz w:val="18"/>
                <w:szCs w:val="18"/>
              </w:rPr>
            </w:pPr>
            <w:r>
              <w:rPr>
                <w:snapToGrid w:val="0"/>
                <w:w w:val="80"/>
                <w:sz w:val="18"/>
                <w:szCs w:val="18"/>
              </w:rPr>
              <w:t>（火上或分段空气法）</w:t>
            </w:r>
          </w:p>
          <w:p>
            <w:pPr>
              <w:spacing w:line="240" w:lineRule="exact"/>
              <w:jc w:val="center"/>
              <w:rPr>
                <w:snapToGrid w:val="0"/>
                <w:sz w:val="18"/>
                <w:szCs w:val="18"/>
              </w:rPr>
            </w:pPr>
            <w:r>
              <w:rPr>
                <w:snapToGrid w:val="0"/>
                <w:sz w:val="18"/>
                <w:szCs w:val="18"/>
              </w:rPr>
              <w:t>20～40</w:t>
            </w:r>
            <w:r>
              <w:rPr>
                <w:snapToGrid w:val="0"/>
                <w:w w:val="80"/>
                <w:sz w:val="18"/>
                <w:szCs w:val="18"/>
              </w:rPr>
              <w:t>（分段燃烧法）</w:t>
            </w:r>
          </w:p>
        </w:tc>
        <w:tc>
          <w:tcPr>
            <w:tcW w:w="449" w:type="pct"/>
            <w:noWrap w:val="0"/>
            <w:vAlign w:val="center"/>
          </w:tcPr>
          <w:p>
            <w:pPr>
              <w:spacing w:line="240" w:lineRule="exact"/>
              <w:jc w:val="center"/>
              <w:rPr>
                <w:snapToGrid w:val="0"/>
                <w:sz w:val="18"/>
                <w:szCs w:val="18"/>
              </w:rPr>
            </w:pPr>
            <w:r>
              <w:rPr>
                <w:snapToGrid w:val="0"/>
                <w:sz w:val="18"/>
                <w:szCs w:val="18"/>
              </w:rPr>
              <w:t>新厂</w:t>
            </w:r>
          </w:p>
        </w:tc>
        <w:tc>
          <w:tcPr>
            <w:tcW w:w="296" w:type="pct"/>
            <w:noWrap w:val="0"/>
            <w:vAlign w:val="center"/>
          </w:tcPr>
          <w:p>
            <w:pPr>
              <w:spacing w:line="240" w:lineRule="exact"/>
              <w:jc w:val="center"/>
              <w:rPr>
                <w:snapToGrid w:val="0"/>
                <w:sz w:val="18"/>
                <w:szCs w:val="18"/>
              </w:rPr>
            </w:pPr>
            <w:r>
              <w:rPr>
                <w:snapToGrid w:val="0"/>
                <w:sz w:val="18"/>
                <w:szCs w:val="18"/>
              </w:rPr>
              <w:t>无</w:t>
            </w:r>
          </w:p>
        </w:tc>
        <w:tc>
          <w:tcPr>
            <w:tcW w:w="286" w:type="pct"/>
            <w:noWrap w:val="0"/>
            <w:vAlign w:val="center"/>
          </w:tcPr>
          <w:p>
            <w:pPr>
              <w:spacing w:line="240" w:lineRule="exact"/>
              <w:jc w:val="center"/>
              <w:rPr>
                <w:snapToGrid w:val="0"/>
                <w:sz w:val="18"/>
                <w:szCs w:val="18"/>
              </w:rPr>
            </w:pPr>
            <w:r>
              <w:rPr>
                <w:snapToGrid w:val="0"/>
                <w:sz w:val="18"/>
                <w:szCs w:val="18"/>
              </w:rPr>
              <w:t>低</w:t>
            </w:r>
          </w:p>
        </w:tc>
        <w:tc>
          <w:tcPr>
            <w:tcW w:w="1191" w:type="pct"/>
            <w:noWrap w:val="0"/>
            <w:vAlign w:val="center"/>
          </w:tcPr>
          <w:p>
            <w:pPr>
              <w:spacing w:line="240" w:lineRule="exact"/>
              <w:jc w:val="center"/>
              <w:rPr>
                <w:snapToGrid w:val="0"/>
                <w:w w:val="80"/>
                <w:sz w:val="18"/>
                <w:szCs w:val="18"/>
              </w:rPr>
            </w:pPr>
            <w:r>
              <w:rPr>
                <w:snapToGrid w:val="0"/>
                <w:w w:val="80"/>
                <w:sz w:val="18"/>
                <w:szCs w:val="18"/>
              </w:rPr>
              <w:t>配合其他NOx控制技术，可达更佳去除率。</w:t>
            </w:r>
          </w:p>
          <w:p>
            <w:pPr>
              <w:spacing w:line="240" w:lineRule="exact"/>
              <w:jc w:val="center"/>
              <w:rPr>
                <w:snapToGrid w:val="0"/>
                <w:sz w:val="18"/>
                <w:szCs w:val="18"/>
              </w:rPr>
            </w:pPr>
            <w:r>
              <w:rPr>
                <w:snapToGrid w:val="0"/>
                <w:sz w:val="18"/>
                <w:szCs w:val="18"/>
              </w:rPr>
              <w:t>需注意燃烧不完全时，产生烟尘和CO。</w:t>
            </w:r>
          </w:p>
          <w:p>
            <w:pPr>
              <w:spacing w:line="240" w:lineRule="exact"/>
              <w:jc w:val="center"/>
              <w:rPr>
                <w:snapToGrid w:val="0"/>
                <w:sz w:val="18"/>
                <w:szCs w:val="18"/>
              </w:rPr>
            </w:pPr>
            <w:r>
              <w:rPr>
                <w:snapToGrid w:val="0"/>
                <w:sz w:val="18"/>
                <w:szCs w:val="18"/>
              </w:rPr>
              <w:t>燃烧管理上相当困难。</w:t>
            </w:r>
          </w:p>
        </w:tc>
        <w:tc>
          <w:tcPr>
            <w:tcW w:w="449" w:type="pct"/>
            <w:noWrap w:val="0"/>
            <w:vAlign w:val="center"/>
          </w:tcPr>
          <w:p>
            <w:pPr>
              <w:spacing w:line="240" w:lineRule="exact"/>
              <w:jc w:val="center"/>
              <w:rPr>
                <w:snapToGrid w:val="0"/>
                <w:sz w:val="18"/>
                <w:szCs w:val="18"/>
              </w:rPr>
            </w:pPr>
            <w:r>
              <w:rPr>
                <w:snapToGrid w:val="0"/>
                <w:sz w:val="18"/>
                <w:szCs w:val="18"/>
              </w:rPr>
              <w:t>中小型机组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jc w:val="center"/>
        </w:trPr>
        <w:tc>
          <w:tcPr>
            <w:tcW w:w="549" w:type="pct"/>
            <w:noWrap w:val="0"/>
            <w:vAlign w:val="center"/>
          </w:tcPr>
          <w:p>
            <w:pPr>
              <w:spacing w:line="240" w:lineRule="exact"/>
              <w:jc w:val="center"/>
              <w:rPr>
                <w:snapToGrid w:val="0"/>
                <w:sz w:val="18"/>
                <w:szCs w:val="18"/>
              </w:rPr>
            </w:pPr>
            <w:r>
              <w:rPr>
                <w:snapToGrid w:val="0"/>
                <w:sz w:val="18"/>
                <w:szCs w:val="18"/>
              </w:rPr>
              <w:t>低NOx燃烧器</w:t>
            </w:r>
          </w:p>
        </w:tc>
        <w:tc>
          <w:tcPr>
            <w:tcW w:w="1180" w:type="pct"/>
            <w:noWrap w:val="0"/>
            <w:vAlign w:val="center"/>
          </w:tcPr>
          <w:p>
            <w:pPr>
              <w:spacing w:line="240" w:lineRule="exact"/>
              <w:jc w:val="center"/>
              <w:rPr>
                <w:snapToGrid w:val="0"/>
                <w:sz w:val="18"/>
                <w:szCs w:val="18"/>
              </w:rPr>
            </w:pPr>
            <w:r>
              <w:rPr>
                <w:snapToGrid w:val="0"/>
                <w:sz w:val="18"/>
                <w:szCs w:val="18"/>
              </w:rPr>
              <w:t>二段式燃烧过程。</w:t>
            </w:r>
          </w:p>
          <w:p>
            <w:pPr>
              <w:spacing w:line="240" w:lineRule="exact"/>
              <w:jc w:val="center"/>
              <w:rPr>
                <w:snapToGrid w:val="0"/>
                <w:sz w:val="18"/>
                <w:szCs w:val="18"/>
              </w:rPr>
            </w:pPr>
            <w:r>
              <w:rPr>
                <w:snapToGrid w:val="0"/>
                <w:sz w:val="18"/>
                <w:szCs w:val="18"/>
              </w:rPr>
              <w:t>第一阶段减少所需空气量。</w:t>
            </w:r>
          </w:p>
          <w:p>
            <w:pPr>
              <w:spacing w:line="240" w:lineRule="exact"/>
              <w:jc w:val="center"/>
              <w:rPr>
                <w:snapToGrid w:val="0"/>
                <w:sz w:val="18"/>
                <w:szCs w:val="18"/>
              </w:rPr>
            </w:pPr>
            <w:r>
              <w:rPr>
                <w:snapToGrid w:val="0"/>
                <w:sz w:val="18"/>
                <w:szCs w:val="18"/>
              </w:rPr>
              <w:t>第二阶段降低峰焰温度。</w:t>
            </w:r>
          </w:p>
        </w:tc>
        <w:tc>
          <w:tcPr>
            <w:tcW w:w="600" w:type="pct"/>
            <w:noWrap w:val="0"/>
            <w:vAlign w:val="center"/>
          </w:tcPr>
          <w:p>
            <w:pPr>
              <w:spacing w:line="240" w:lineRule="exact"/>
              <w:jc w:val="center"/>
              <w:rPr>
                <w:snapToGrid w:val="0"/>
                <w:sz w:val="18"/>
                <w:szCs w:val="18"/>
              </w:rPr>
            </w:pPr>
            <w:r>
              <w:rPr>
                <w:snapToGrid w:val="0"/>
                <w:sz w:val="18"/>
                <w:szCs w:val="18"/>
              </w:rPr>
              <w:t>30～50</w:t>
            </w:r>
          </w:p>
        </w:tc>
        <w:tc>
          <w:tcPr>
            <w:tcW w:w="449" w:type="pct"/>
            <w:noWrap w:val="0"/>
            <w:vAlign w:val="center"/>
          </w:tcPr>
          <w:p>
            <w:pPr>
              <w:spacing w:line="240" w:lineRule="exact"/>
              <w:jc w:val="center"/>
              <w:rPr>
                <w:snapToGrid w:val="0"/>
                <w:sz w:val="18"/>
                <w:szCs w:val="18"/>
              </w:rPr>
            </w:pPr>
            <w:r>
              <w:rPr>
                <w:snapToGrid w:val="0"/>
                <w:sz w:val="18"/>
                <w:szCs w:val="18"/>
              </w:rPr>
              <w:t>新厂或旧厂</w:t>
            </w:r>
          </w:p>
        </w:tc>
        <w:tc>
          <w:tcPr>
            <w:tcW w:w="296" w:type="pct"/>
            <w:noWrap w:val="0"/>
            <w:vAlign w:val="center"/>
          </w:tcPr>
          <w:p>
            <w:pPr>
              <w:spacing w:line="240" w:lineRule="exact"/>
              <w:jc w:val="center"/>
              <w:rPr>
                <w:snapToGrid w:val="0"/>
                <w:sz w:val="18"/>
                <w:szCs w:val="18"/>
              </w:rPr>
            </w:pPr>
            <w:r>
              <w:rPr>
                <w:snapToGrid w:val="0"/>
                <w:sz w:val="18"/>
                <w:szCs w:val="18"/>
              </w:rPr>
              <w:t>无</w:t>
            </w:r>
          </w:p>
        </w:tc>
        <w:tc>
          <w:tcPr>
            <w:tcW w:w="286" w:type="pct"/>
            <w:noWrap w:val="0"/>
            <w:vAlign w:val="center"/>
          </w:tcPr>
          <w:p>
            <w:pPr>
              <w:spacing w:line="240" w:lineRule="exact"/>
              <w:jc w:val="center"/>
              <w:rPr>
                <w:snapToGrid w:val="0"/>
                <w:sz w:val="18"/>
                <w:szCs w:val="18"/>
              </w:rPr>
            </w:pPr>
            <w:r>
              <w:rPr>
                <w:snapToGrid w:val="0"/>
                <w:sz w:val="18"/>
                <w:szCs w:val="18"/>
              </w:rPr>
              <w:t>低</w:t>
            </w:r>
          </w:p>
        </w:tc>
        <w:tc>
          <w:tcPr>
            <w:tcW w:w="1191" w:type="pct"/>
            <w:noWrap w:val="0"/>
            <w:vAlign w:val="center"/>
          </w:tcPr>
          <w:p>
            <w:pPr>
              <w:spacing w:line="240" w:lineRule="exact"/>
              <w:jc w:val="center"/>
              <w:rPr>
                <w:snapToGrid w:val="0"/>
                <w:sz w:val="18"/>
                <w:szCs w:val="18"/>
              </w:rPr>
            </w:pPr>
            <w:r>
              <w:rPr>
                <w:snapToGrid w:val="0"/>
                <w:sz w:val="18"/>
                <w:szCs w:val="18"/>
              </w:rPr>
              <w:t>旧设备改装不易。</w:t>
            </w:r>
          </w:p>
        </w:tc>
        <w:tc>
          <w:tcPr>
            <w:tcW w:w="449" w:type="pct"/>
            <w:noWrap w:val="0"/>
            <w:vAlign w:val="center"/>
          </w:tcPr>
          <w:p>
            <w:pPr>
              <w:spacing w:line="240" w:lineRule="exact"/>
              <w:jc w:val="center"/>
              <w:rPr>
                <w:snapToGrid w:val="0"/>
                <w:sz w:val="18"/>
                <w:szCs w:val="18"/>
              </w:rPr>
            </w:pPr>
            <w:r>
              <w:rPr>
                <w:snapToGrid w:val="0"/>
                <w:sz w:val="18"/>
                <w:szCs w:val="18"/>
              </w:rPr>
              <w:t>大中型机组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jc w:val="center"/>
        </w:trPr>
        <w:tc>
          <w:tcPr>
            <w:tcW w:w="549" w:type="pct"/>
            <w:noWrap w:val="0"/>
            <w:vAlign w:val="center"/>
          </w:tcPr>
          <w:p>
            <w:pPr>
              <w:spacing w:line="240" w:lineRule="exact"/>
              <w:jc w:val="center"/>
              <w:rPr>
                <w:snapToGrid w:val="0"/>
                <w:sz w:val="18"/>
                <w:szCs w:val="18"/>
              </w:rPr>
            </w:pPr>
            <w:r>
              <w:rPr>
                <w:snapToGrid w:val="0"/>
                <w:sz w:val="18"/>
                <w:szCs w:val="18"/>
              </w:rPr>
              <w:t>燃烧优化技术</w:t>
            </w:r>
          </w:p>
        </w:tc>
        <w:tc>
          <w:tcPr>
            <w:tcW w:w="1180" w:type="pct"/>
            <w:noWrap w:val="0"/>
            <w:vAlign w:val="center"/>
          </w:tcPr>
          <w:p>
            <w:pPr>
              <w:spacing w:line="240" w:lineRule="exact"/>
              <w:jc w:val="center"/>
              <w:rPr>
                <w:snapToGrid w:val="0"/>
                <w:sz w:val="18"/>
                <w:szCs w:val="18"/>
              </w:rPr>
            </w:pPr>
            <w:r>
              <w:rPr>
                <w:snapToGrid w:val="0"/>
                <w:sz w:val="18"/>
                <w:szCs w:val="18"/>
              </w:rPr>
              <w:t>通过对锅炉燃料供给和配</w:t>
            </w:r>
          </w:p>
          <w:p>
            <w:pPr>
              <w:spacing w:line="240" w:lineRule="exact"/>
              <w:jc w:val="center"/>
              <w:rPr>
                <w:snapToGrid w:val="0"/>
                <w:sz w:val="18"/>
                <w:szCs w:val="18"/>
              </w:rPr>
            </w:pPr>
            <w:r>
              <w:rPr>
                <w:snapToGrid w:val="0"/>
                <w:sz w:val="18"/>
                <w:szCs w:val="18"/>
              </w:rPr>
              <w:t>风参数的调整,以及对其控制方式的改变等实现最佳燃烧工况的工作。</w:t>
            </w:r>
          </w:p>
        </w:tc>
        <w:tc>
          <w:tcPr>
            <w:tcW w:w="600" w:type="pct"/>
            <w:noWrap w:val="0"/>
            <w:vAlign w:val="center"/>
          </w:tcPr>
          <w:p>
            <w:pPr>
              <w:spacing w:line="240" w:lineRule="exact"/>
              <w:jc w:val="center"/>
              <w:rPr>
                <w:snapToGrid w:val="0"/>
                <w:sz w:val="18"/>
                <w:szCs w:val="18"/>
              </w:rPr>
            </w:pPr>
            <w:r>
              <w:rPr>
                <w:snapToGrid w:val="0"/>
                <w:sz w:val="18"/>
                <w:szCs w:val="18"/>
              </w:rPr>
              <w:t>10～30</w:t>
            </w:r>
          </w:p>
        </w:tc>
        <w:tc>
          <w:tcPr>
            <w:tcW w:w="449" w:type="pct"/>
            <w:noWrap w:val="0"/>
            <w:vAlign w:val="center"/>
          </w:tcPr>
          <w:p>
            <w:pPr>
              <w:spacing w:line="240" w:lineRule="exact"/>
              <w:jc w:val="center"/>
              <w:rPr>
                <w:snapToGrid w:val="0"/>
                <w:sz w:val="18"/>
                <w:szCs w:val="18"/>
              </w:rPr>
            </w:pPr>
            <w:r>
              <w:rPr>
                <w:snapToGrid w:val="0"/>
                <w:sz w:val="18"/>
                <w:szCs w:val="18"/>
              </w:rPr>
              <w:t>新厂或旧厂</w:t>
            </w:r>
          </w:p>
        </w:tc>
        <w:tc>
          <w:tcPr>
            <w:tcW w:w="296" w:type="pct"/>
            <w:noWrap w:val="0"/>
            <w:vAlign w:val="center"/>
          </w:tcPr>
          <w:p>
            <w:pPr>
              <w:spacing w:line="240" w:lineRule="exact"/>
              <w:jc w:val="center"/>
              <w:rPr>
                <w:snapToGrid w:val="0"/>
                <w:sz w:val="18"/>
                <w:szCs w:val="18"/>
              </w:rPr>
            </w:pPr>
            <w:r>
              <w:rPr>
                <w:snapToGrid w:val="0"/>
                <w:sz w:val="18"/>
                <w:szCs w:val="18"/>
              </w:rPr>
              <w:t>无</w:t>
            </w:r>
          </w:p>
        </w:tc>
        <w:tc>
          <w:tcPr>
            <w:tcW w:w="286" w:type="pct"/>
            <w:noWrap w:val="0"/>
            <w:vAlign w:val="center"/>
          </w:tcPr>
          <w:p>
            <w:pPr>
              <w:spacing w:line="240" w:lineRule="exact"/>
              <w:jc w:val="center"/>
              <w:rPr>
                <w:snapToGrid w:val="0"/>
                <w:sz w:val="18"/>
                <w:szCs w:val="18"/>
              </w:rPr>
            </w:pPr>
            <w:r>
              <w:rPr>
                <w:snapToGrid w:val="0"/>
                <w:sz w:val="18"/>
                <w:szCs w:val="18"/>
              </w:rPr>
              <w:t>低</w:t>
            </w:r>
          </w:p>
        </w:tc>
        <w:tc>
          <w:tcPr>
            <w:tcW w:w="1191" w:type="pct"/>
            <w:noWrap w:val="0"/>
            <w:vAlign w:val="center"/>
          </w:tcPr>
          <w:p>
            <w:pPr>
              <w:spacing w:line="240" w:lineRule="exact"/>
              <w:jc w:val="center"/>
              <w:rPr>
                <w:snapToGrid w:val="0"/>
                <w:sz w:val="18"/>
                <w:szCs w:val="18"/>
              </w:rPr>
            </w:pPr>
            <w:r>
              <w:rPr>
                <w:snapToGrid w:val="0"/>
                <w:sz w:val="18"/>
                <w:szCs w:val="18"/>
              </w:rPr>
              <w:t>提高了锅炉运行安全性和锅炉效率。</w:t>
            </w:r>
          </w:p>
          <w:p>
            <w:pPr>
              <w:spacing w:line="240" w:lineRule="exact"/>
              <w:jc w:val="center"/>
              <w:rPr>
                <w:snapToGrid w:val="0"/>
                <w:sz w:val="18"/>
                <w:szCs w:val="18"/>
              </w:rPr>
            </w:pPr>
          </w:p>
        </w:tc>
        <w:tc>
          <w:tcPr>
            <w:tcW w:w="449" w:type="pct"/>
            <w:noWrap w:val="0"/>
            <w:vAlign w:val="center"/>
          </w:tcPr>
          <w:p>
            <w:pPr>
              <w:spacing w:line="240" w:lineRule="exact"/>
              <w:jc w:val="center"/>
              <w:rPr>
                <w:snapToGrid w:val="0"/>
                <w:sz w:val="18"/>
                <w:szCs w:val="18"/>
              </w:rPr>
            </w:pPr>
            <w:r>
              <w:rPr>
                <w:snapToGrid w:val="0"/>
                <w:sz w:val="18"/>
                <w:szCs w:val="18"/>
              </w:rPr>
              <w:t>大中型机组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jc w:val="center"/>
        </w:trPr>
        <w:tc>
          <w:tcPr>
            <w:tcW w:w="549" w:type="pct"/>
            <w:noWrap w:val="0"/>
            <w:vAlign w:val="center"/>
          </w:tcPr>
          <w:p>
            <w:pPr>
              <w:spacing w:line="240" w:lineRule="exact"/>
              <w:jc w:val="center"/>
              <w:rPr>
                <w:snapToGrid w:val="0"/>
                <w:sz w:val="18"/>
                <w:szCs w:val="18"/>
              </w:rPr>
            </w:pPr>
            <w:r>
              <w:rPr>
                <w:snapToGrid w:val="0"/>
                <w:sz w:val="18"/>
                <w:szCs w:val="18"/>
              </w:rPr>
              <w:t>分级风技术</w:t>
            </w:r>
          </w:p>
        </w:tc>
        <w:tc>
          <w:tcPr>
            <w:tcW w:w="1180" w:type="pct"/>
            <w:noWrap w:val="0"/>
            <w:vAlign w:val="center"/>
          </w:tcPr>
          <w:p>
            <w:pPr>
              <w:spacing w:line="240" w:lineRule="exact"/>
              <w:jc w:val="center"/>
              <w:rPr>
                <w:snapToGrid w:val="0"/>
                <w:sz w:val="18"/>
                <w:szCs w:val="18"/>
              </w:rPr>
            </w:pPr>
            <w:r>
              <w:rPr>
                <w:snapToGrid w:val="0"/>
                <w:sz w:val="18"/>
                <w:szCs w:val="18"/>
              </w:rPr>
              <w:t>在不同燃烧阶段使燃烧物质处于富氧或者缺氧状态</w:t>
            </w:r>
          </w:p>
        </w:tc>
        <w:tc>
          <w:tcPr>
            <w:tcW w:w="600" w:type="pct"/>
            <w:noWrap w:val="0"/>
            <w:vAlign w:val="center"/>
          </w:tcPr>
          <w:p>
            <w:pPr>
              <w:spacing w:line="240" w:lineRule="exact"/>
              <w:jc w:val="center"/>
              <w:rPr>
                <w:snapToGrid w:val="0"/>
                <w:sz w:val="18"/>
                <w:szCs w:val="18"/>
              </w:rPr>
            </w:pPr>
            <w:r>
              <w:rPr>
                <w:snapToGrid w:val="0"/>
                <w:sz w:val="18"/>
                <w:szCs w:val="18"/>
              </w:rPr>
              <w:t>20～40</w:t>
            </w:r>
          </w:p>
        </w:tc>
        <w:tc>
          <w:tcPr>
            <w:tcW w:w="449" w:type="pct"/>
            <w:noWrap w:val="0"/>
            <w:vAlign w:val="center"/>
          </w:tcPr>
          <w:p>
            <w:pPr>
              <w:spacing w:line="240" w:lineRule="exact"/>
              <w:jc w:val="center"/>
              <w:rPr>
                <w:snapToGrid w:val="0"/>
                <w:sz w:val="18"/>
                <w:szCs w:val="18"/>
              </w:rPr>
            </w:pPr>
            <w:r>
              <w:rPr>
                <w:snapToGrid w:val="0"/>
                <w:sz w:val="18"/>
                <w:szCs w:val="18"/>
              </w:rPr>
              <w:t>新厂或旧厂</w:t>
            </w:r>
          </w:p>
        </w:tc>
        <w:tc>
          <w:tcPr>
            <w:tcW w:w="296" w:type="pct"/>
            <w:noWrap w:val="0"/>
            <w:vAlign w:val="center"/>
          </w:tcPr>
          <w:p>
            <w:pPr>
              <w:spacing w:line="240" w:lineRule="exact"/>
              <w:jc w:val="center"/>
              <w:rPr>
                <w:snapToGrid w:val="0"/>
                <w:sz w:val="18"/>
                <w:szCs w:val="18"/>
              </w:rPr>
            </w:pPr>
            <w:r>
              <w:rPr>
                <w:snapToGrid w:val="0"/>
                <w:sz w:val="18"/>
                <w:szCs w:val="18"/>
              </w:rPr>
              <w:t>无</w:t>
            </w:r>
          </w:p>
        </w:tc>
        <w:tc>
          <w:tcPr>
            <w:tcW w:w="286" w:type="pct"/>
            <w:noWrap w:val="0"/>
            <w:vAlign w:val="center"/>
          </w:tcPr>
          <w:p>
            <w:pPr>
              <w:spacing w:line="240" w:lineRule="exact"/>
              <w:jc w:val="center"/>
              <w:rPr>
                <w:snapToGrid w:val="0"/>
                <w:sz w:val="18"/>
                <w:szCs w:val="18"/>
              </w:rPr>
            </w:pPr>
            <w:r>
              <w:rPr>
                <w:snapToGrid w:val="0"/>
                <w:sz w:val="18"/>
                <w:szCs w:val="18"/>
              </w:rPr>
              <w:t>低</w:t>
            </w:r>
          </w:p>
        </w:tc>
        <w:tc>
          <w:tcPr>
            <w:tcW w:w="1191" w:type="pct"/>
            <w:noWrap w:val="0"/>
            <w:vAlign w:val="center"/>
          </w:tcPr>
          <w:p>
            <w:pPr>
              <w:spacing w:line="240" w:lineRule="exact"/>
              <w:jc w:val="center"/>
              <w:rPr>
                <w:snapToGrid w:val="0"/>
                <w:sz w:val="18"/>
                <w:szCs w:val="18"/>
              </w:rPr>
            </w:pPr>
            <w:r>
              <w:rPr>
                <w:snapToGrid w:val="0"/>
                <w:sz w:val="18"/>
                <w:szCs w:val="18"/>
              </w:rPr>
              <w:t>解决工业炉窑燃烧不充分、黑烟等粉尘颗粒物排放较为严重的问题。</w:t>
            </w:r>
          </w:p>
        </w:tc>
        <w:tc>
          <w:tcPr>
            <w:tcW w:w="449" w:type="pct"/>
            <w:noWrap w:val="0"/>
            <w:vAlign w:val="center"/>
          </w:tcPr>
          <w:p>
            <w:pPr>
              <w:spacing w:line="240" w:lineRule="exact"/>
              <w:jc w:val="center"/>
              <w:rPr>
                <w:snapToGrid w:val="0"/>
                <w:sz w:val="18"/>
                <w:szCs w:val="18"/>
              </w:rPr>
            </w:pPr>
            <w:r>
              <w:rPr>
                <w:snapToGrid w:val="0"/>
                <w:sz w:val="18"/>
                <w:szCs w:val="18"/>
              </w:rPr>
              <w:t>中小型机组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jc w:val="center"/>
        </w:trPr>
        <w:tc>
          <w:tcPr>
            <w:tcW w:w="549" w:type="pct"/>
            <w:noWrap w:val="0"/>
            <w:vAlign w:val="center"/>
          </w:tcPr>
          <w:p>
            <w:pPr>
              <w:spacing w:line="240" w:lineRule="exact"/>
              <w:jc w:val="center"/>
              <w:rPr>
                <w:snapToGrid w:val="0"/>
                <w:sz w:val="18"/>
                <w:szCs w:val="18"/>
              </w:rPr>
            </w:pPr>
            <w:r>
              <w:rPr>
                <w:snapToGrid w:val="0"/>
                <w:sz w:val="18"/>
                <w:szCs w:val="18"/>
              </w:rPr>
              <w:t>烟气再循环技术</w:t>
            </w:r>
          </w:p>
        </w:tc>
        <w:tc>
          <w:tcPr>
            <w:tcW w:w="1180" w:type="pct"/>
            <w:noWrap w:val="0"/>
            <w:vAlign w:val="center"/>
          </w:tcPr>
          <w:p>
            <w:pPr>
              <w:spacing w:line="240" w:lineRule="exact"/>
              <w:jc w:val="center"/>
              <w:rPr>
                <w:snapToGrid w:val="0"/>
                <w:sz w:val="18"/>
                <w:szCs w:val="18"/>
              </w:rPr>
            </w:pPr>
            <w:r>
              <w:rPr>
                <w:snapToGrid w:val="0"/>
                <w:sz w:val="18"/>
                <w:szCs w:val="18"/>
              </w:rPr>
              <w:t>在炉膛上部区域产生一个局部的还原性气氛,实现烟气中NOx的降解。</w:t>
            </w:r>
          </w:p>
        </w:tc>
        <w:tc>
          <w:tcPr>
            <w:tcW w:w="600" w:type="pct"/>
            <w:noWrap w:val="0"/>
            <w:vAlign w:val="center"/>
          </w:tcPr>
          <w:p>
            <w:pPr>
              <w:spacing w:line="240" w:lineRule="exact"/>
              <w:jc w:val="center"/>
              <w:rPr>
                <w:snapToGrid w:val="0"/>
                <w:sz w:val="18"/>
                <w:szCs w:val="18"/>
              </w:rPr>
            </w:pPr>
            <w:r>
              <w:rPr>
                <w:snapToGrid w:val="0"/>
                <w:sz w:val="18"/>
                <w:szCs w:val="18"/>
              </w:rPr>
              <w:t>20～50</w:t>
            </w:r>
          </w:p>
        </w:tc>
        <w:tc>
          <w:tcPr>
            <w:tcW w:w="449" w:type="pct"/>
            <w:noWrap w:val="0"/>
            <w:vAlign w:val="center"/>
          </w:tcPr>
          <w:p>
            <w:pPr>
              <w:spacing w:line="240" w:lineRule="exact"/>
              <w:jc w:val="center"/>
              <w:rPr>
                <w:snapToGrid w:val="0"/>
                <w:sz w:val="18"/>
                <w:szCs w:val="18"/>
              </w:rPr>
            </w:pPr>
            <w:r>
              <w:rPr>
                <w:snapToGrid w:val="0"/>
                <w:sz w:val="18"/>
                <w:szCs w:val="18"/>
              </w:rPr>
              <w:t>新厂或旧厂</w:t>
            </w:r>
          </w:p>
        </w:tc>
        <w:tc>
          <w:tcPr>
            <w:tcW w:w="296" w:type="pct"/>
            <w:noWrap w:val="0"/>
            <w:vAlign w:val="center"/>
          </w:tcPr>
          <w:p>
            <w:pPr>
              <w:spacing w:line="240" w:lineRule="exact"/>
              <w:jc w:val="center"/>
              <w:rPr>
                <w:snapToGrid w:val="0"/>
                <w:sz w:val="18"/>
                <w:szCs w:val="18"/>
              </w:rPr>
            </w:pPr>
            <w:r>
              <w:rPr>
                <w:snapToGrid w:val="0"/>
                <w:sz w:val="18"/>
                <w:szCs w:val="18"/>
              </w:rPr>
              <w:t>无</w:t>
            </w:r>
          </w:p>
        </w:tc>
        <w:tc>
          <w:tcPr>
            <w:tcW w:w="286" w:type="pct"/>
            <w:noWrap w:val="0"/>
            <w:vAlign w:val="center"/>
          </w:tcPr>
          <w:p>
            <w:pPr>
              <w:spacing w:line="240" w:lineRule="exact"/>
              <w:jc w:val="center"/>
              <w:rPr>
                <w:snapToGrid w:val="0"/>
                <w:sz w:val="18"/>
                <w:szCs w:val="18"/>
              </w:rPr>
            </w:pPr>
            <w:r>
              <w:rPr>
                <w:snapToGrid w:val="0"/>
                <w:sz w:val="18"/>
                <w:szCs w:val="18"/>
              </w:rPr>
              <w:t>低</w:t>
            </w:r>
          </w:p>
        </w:tc>
        <w:tc>
          <w:tcPr>
            <w:tcW w:w="1191" w:type="pct"/>
            <w:noWrap w:val="0"/>
            <w:vAlign w:val="center"/>
          </w:tcPr>
          <w:p>
            <w:pPr>
              <w:spacing w:line="240" w:lineRule="exact"/>
              <w:jc w:val="center"/>
              <w:rPr>
                <w:snapToGrid w:val="0"/>
                <w:sz w:val="18"/>
                <w:szCs w:val="18"/>
              </w:rPr>
            </w:pPr>
            <w:r>
              <w:rPr>
                <w:snapToGrid w:val="0"/>
                <w:sz w:val="18"/>
                <w:szCs w:val="18"/>
              </w:rPr>
              <w:t>关键在于确立再燃燃料的种类、喷入量与烟气再循环率大小。</w:t>
            </w:r>
          </w:p>
        </w:tc>
        <w:tc>
          <w:tcPr>
            <w:tcW w:w="449" w:type="pct"/>
            <w:noWrap w:val="0"/>
            <w:vAlign w:val="center"/>
          </w:tcPr>
          <w:p>
            <w:pPr>
              <w:spacing w:line="240" w:lineRule="exact"/>
              <w:jc w:val="center"/>
              <w:rPr>
                <w:snapToGrid w:val="0"/>
                <w:sz w:val="18"/>
                <w:szCs w:val="18"/>
              </w:rPr>
            </w:pPr>
            <w:r>
              <w:rPr>
                <w:snapToGrid w:val="0"/>
                <w:sz w:val="18"/>
                <w:szCs w:val="18"/>
              </w:rPr>
              <w:t>中小型机组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jc w:val="center"/>
        </w:trPr>
        <w:tc>
          <w:tcPr>
            <w:tcW w:w="549" w:type="pct"/>
            <w:noWrap w:val="0"/>
            <w:vAlign w:val="center"/>
          </w:tcPr>
          <w:p>
            <w:pPr>
              <w:spacing w:line="240" w:lineRule="exact"/>
              <w:jc w:val="center"/>
              <w:rPr>
                <w:snapToGrid w:val="0"/>
                <w:sz w:val="18"/>
                <w:szCs w:val="18"/>
              </w:rPr>
            </w:pPr>
            <w:r>
              <w:rPr>
                <w:snapToGrid w:val="0"/>
                <w:sz w:val="18"/>
                <w:szCs w:val="18"/>
              </w:rPr>
              <w:t>再燃技术</w:t>
            </w:r>
          </w:p>
        </w:tc>
        <w:tc>
          <w:tcPr>
            <w:tcW w:w="1180" w:type="pct"/>
            <w:noWrap w:val="0"/>
            <w:vAlign w:val="center"/>
          </w:tcPr>
          <w:p>
            <w:pPr>
              <w:spacing w:line="240" w:lineRule="exact"/>
              <w:jc w:val="center"/>
              <w:rPr>
                <w:snapToGrid w:val="0"/>
                <w:sz w:val="18"/>
                <w:szCs w:val="18"/>
              </w:rPr>
            </w:pPr>
            <w:r>
              <w:rPr>
                <w:snapToGrid w:val="0"/>
                <w:sz w:val="18"/>
                <w:szCs w:val="18"/>
              </w:rPr>
              <w:t>设置一次燃料欠氧燃烧的NOx 还原区段,以控制NOx的最终生成量。</w:t>
            </w:r>
          </w:p>
        </w:tc>
        <w:tc>
          <w:tcPr>
            <w:tcW w:w="600" w:type="pct"/>
            <w:noWrap w:val="0"/>
            <w:vAlign w:val="center"/>
          </w:tcPr>
          <w:p>
            <w:pPr>
              <w:spacing w:line="240" w:lineRule="exact"/>
              <w:jc w:val="center"/>
              <w:rPr>
                <w:snapToGrid w:val="0"/>
                <w:sz w:val="18"/>
                <w:szCs w:val="18"/>
              </w:rPr>
            </w:pPr>
            <w:r>
              <w:rPr>
                <w:snapToGrid w:val="0"/>
                <w:sz w:val="18"/>
                <w:szCs w:val="18"/>
              </w:rPr>
              <w:t>40～50</w:t>
            </w:r>
          </w:p>
        </w:tc>
        <w:tc>
          <w:tcPr>
            <w:tcW w:w="449" w:type="pct"/>
            <w:noWrap w:val="0"/>
            <w:vAlign w:val="center"/>
          </w:tcPr>
          <w:p>
            <w:pPr>
              <w:spacing w:line="240" w:lineRule="exact"/>
              <w:jc w:val="center"/>
              <w:rPr>
                <w:snapToGrid w:val="0"/>
                <w:sz w:val="18"/>
                <w:szCs w:val="18"/>
              </w:rPr>
            </w:pPr>
            <w:r>
              <w:rPr>
                <w:snapToGrid w:val="0"/>
                <w:sz w:val="18"/>
                <w:szCs w:val="18"/>
              </w:rPr>
              <w:t>新厂或旧厂</w:t>
            </w:r>
          </w:p>
        </w:tc>
        <w:tc>
          <w:tcPr>
            <w:tcW w:w="296" w:type="pct"/>
            <w:noWrap w:val="0"/>
            <w:vAlign w:val="center"/>
          </w:tcPr>
          <w:p>
            <w:pPr>
              <w:spacing w:line="240" w:lineRule="exact"/>
              <w:jc w:val="center"/>
              <w:rPr>
                <w:snapToGrid w:val="0"/>
                <w:sz w:val="18"/>
                <w:szCs w:val="18"/>
              </w:rPr>
            </w:pPr>
            <w:r>
              <w:rPr>
                <w:snapToGrid w:val="0"/>
                <w:sz w:val="18"/>
                <w:szCs w:val="18"/>
              </w:rPr>
              <w:t>无</w:t>
            </w:r>
          </w:p>
        </w:tc>
        <w:tc>
          <w:tcPr>
            <w:tcW w:w="286" w:type="pct"/>
            <w:noWrap w:val="0"/>
            <w:vAlign w:val="center"/>
          </w:tcPr>
          <w:p>
            <w:pPr>
              <w:spacing w:line="240" w:lineRule="exact"/>
              <w:jc w:val="center"/>
              <w:rPr>
                <w:snapToGrid w:val="0"/>
                <w:sz w:val="18"/>
                <w:szCs w:val="18"/>
              </w:rPr>
            </w:pPr>
            <w:r>
              <w:rPr>
                <w:snapToGrid w:val="0"/>
                <w:sz w:val="18"/>
                <w:szCs w:val="18"/>
              </w:rPr>
              <w:t>低</w:t>
            </w:r>
          </w:p>
        </w:tc>
        <w:tc>
          <w:tcPr>
            <w:tcW w:w="1191" w:type="pct"/>
            <w:noWrap w:val="0"/>
            <w:vAlign w:val="center"/>
          </w:tcPr>
          <w:p>
            <w:pPr>
              <w:spacing w:line="240" w:lineRule="exact"/>
              <w:jc w:val="center"/>
              <w:rPr>
                <w:snapToGrid w:val="0"/>
                <w:sz w:val="18"/>
                <w:szCs w:val="18"/>
              </w:rPr>
            </w:pPr>
            <w:r>
              <w:rPr>
                <w:snapToGrid w:val="0"/>
                <w:sz w:val="18"/>
                <w:szCs w:val="18"/>
              </w:rPr>
              <w:t>影响因素包括再燃燃料的种类、主燃区NOx量、再燃区温度、再燃区停留时间、化学当量比、再燃区混合状况等。</w:t>
            </w:r>
          </w:p>
        </w:tc>
        <w:tc>
          <w:tcPr>
            <w:tcW w:w="449" w:type="pct"/>
            <w:noWrap w:val="0"/>
            <w:vAlign w:val="center"/>
          </w:tcPr>
          <w:p>
            <w:pPr>
              <w:spacing w:line="240" w:lineRule="exact"/>
              <w:jc w:val="center"/>
              <w:rPr>
                <w:snapToGrid w:val="0"/>
                <w:sz w:val="18"/>
                <w:szCs w:val="18"/>
              </w:rPr>
            </w:pPr>
            <w:r>
              <w:rPr>
                <w:snapToGrid w:val="0"/>
                <w:sz w:val="18"/>
                <w:szCs w:val="18"/>
              </w:rPr>
              <w:t>大中型机组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jc w:val="center"/>
        </w:trPr>
        <w:tc>
          <w:tcPr>
            <w:tcW w:w="549" w:type="pct"/>
            <w:noWrap w:val="0"/>
            <w:vAlign w:val="center"/>
          </w:tcPr>
          <w:p>
            <w:pPr>
              <w:spacing w:line="240" w:lineRule="exact"/>
              <w:jc w:val="center"/>
              <w:rPr>
                <w:snapToGrid w:val="0"/>
                <w:sz w:val="18"/>
                <w:szCs w:val="18"/>
              </w:rPr>
            </w:pPr>
            <w:r>
              <w:rPr>
                <w:snapToGrid w:val="0"/>
                <w:sz w:val="18"/>
                <w:szCs w:val="18"/>
              </w:rPr>
              <w:t>选择性非催化还原法（SNCR）</w:t>
            </w:r>
          </w:p>
        </w:tc>
        <w:tc>
          <w:tcPr>
            <w:tcW w:w="1180" w:type="pct"/>
            <w:noWrap w:val="0"/>
            <w:vAlign w:val="center"/>
          </w:tcPr>
          <w:p>
            <w:pPr>
              <w:spacing w:line="240" w:lineRule="exact"/>
              <w:jc w:val="center"/>
              <w:rPr>
                <w:snapToGrid w:val="0"/>
                <w:sz w:val="18"/>
                <w:szCs w:val="18"/>
              </w:rPr>
            </w:pPr>
            <w:r>
              <w:rPr>
                <w:snapToGrid w:val="0"/>
                <w:sz w:val="18"/>
                <w:szCs w:val="18"/>
              </w:rPr>
              <w:t>高温下注入NH</w:t>
            </w:r>
            <w:r>
              <w:rPr>
                <w:snapToGrid w:val="0"/>
                <w:sz w:val="18"/>
                <w:szCs w:val="18"/>
                <w:vertAlign w:val="subscript"/>
              </w:rPr>
              <w:t>3</w:t>
            </w:r>
            <w:r>
              <w:rPr>
                <w:snapToGrid w:val="0"/>
                <w:sz w:val="18"/>
                <w:szCs w:val="18"/>
              </w:rPr>
              <w:t>或尿素，与NO反应或N</w:t>
            </w:r>
            <w:r>
              <w:rPr>
                <w:snapToGrid w:val="0"/>
                <w:sz w:val="18"/>
                <w:szCs w:val="18"/>
                <w:vertAlign w:val="subscript"/>
              </w:rPr>
              <w:t>2</w:t>
            </w:r>
            <w:r>
              <w:rPr>
                <w:snapToGrid w:val="0"/>
                <w:sz w:val="18"/>
                <w:szCs w:val="18"/>
              </w:rPr>
              <w:t>和H</w:t>
            </w:r>
            <w:r>
              <w:rPr>
                <w:snapToGrid w:val="0"/>
                <w:sz w:val="18"/>
                <w:szCs w:val="18"/>
                <w:vertAlign w:val="subscript"/>
              </w:rPr>
              <w:t>2</w:t>
            </w:r>
            <w:r>
              <w:rPr>
                <w:snapToGrid w:val="0"/>
                <w:sz w:val="18"/>
                <w:szCs w:val="18"/>
              </w:rPr>
              <w:t>O。</w:t>
            </w:r>
          </w:p>
        </w:tc>
        <w:tc>
          <w:tcPr>
            <w:tcW w:w="600" w:type="pct"/>
            <w:noWrap w:val="0"/>
            <w:vAlign w:val="center"/>
          </w:tcPr>
          <w:p>
            <w:pPr>
              <w:spacing w:line="240" w:lineRule="exact"/>
              <w:jc w:val="center"/>
              <w:rPr>
                <w:snapToGrid w:val="0"/>
                <w:sz w:val="18"/>
                <w:szCs w:val="18"/>
              </w:rPr>
            </w:pPr>
            <w:r>
              <w:rPr>
                <w:snapToGrid w:val="0"/>
                <w:sz w:val="18"/>
                <w:szCs w:val="18"/>
              </w:rPr>
              <w:t>50～60</w:t>
            </w:r>
          </w:p>
        </w:tc>
        <w:tc>
          <w:tcPr>
            <w:tcW w:w="449" w:type="pct"/>
            <w:noWrap w:val="0"/>
            <w:vAlign w:val="center"/>
          </w:tcPr>
          <w:p>
            <w:pPr>
              <w:spacing w:line="240" w:lineRule="exact"/>
              <w:jc w:val="center"/>
              <w:rPr>
                <w:snapToGrid w:val="0"/>
                <w:sz w:val="18"/>
                <w:szCs w:val="18"/>
              </w:rPr>
            </w:pPr>
            <w:r>
              <w:rPr>
                <w:snapToGrid w:val="0"/>
                <w:sz w:val="18"/>
                <w:szCs w:val="18"/>
              </w:rPr>
              <w:t>新厂或旧厂</w:t>
            </w:r>
          </w:p>
        </w:tc>
        <w:tc>
          <w:tcPr>
            <w:tcW w:w="296" w:type="pct"/>
            <w:noWrap w:val="0"/>
            <w:vAlign w:val="center"/>
          </w:tcPr>
          <w:p>
            <w:pPr>
              <w:spacing w:line="240" w:lineRule="exact"/>
              <w:jc w:val="center"/>
              <w:rPr>
                <w:snapToGrid w:val="0"/>
                <w:sz w:val="18"/>
                <w:szCs w:val="18"/>
              </w:rPr>
            </w:pPr>
            <w:r>
              <w:rPr>
                <w:snapToGrid w:val="0"/>
                <w:sz w:val="18"/>
                <w:szCs w:val="18"/>
              </w:rPr>
              <w:t>废弃物产生CO</w:t>
            </w:r>
          </w:p>
        </w:tc>
        <w:tc>
          <w:tcPr>
            <w:tcW w:w="286" w:type="pct"/>
            <w:noWrap w:val="0"/>
            <w:vAlign w:val="center"/>
          </w:tcPr>
          <w:p>
            <w:pPr>
              <w:spacing w:line="240" w:lineRule="exact"/>
              <w:jc w:val="center"/>
              <w:rPr>
                <w:snapToGrid w:val="0"/>
                <w:sz w:val="18"/>
                <w:szCs w:val="18"/>
              </w:rPr>
            </w:pPr>
            <w:r>
              <w:rPr>
                <w:snapToGrid w:val="0"/>
                <w:sz w:val="18"/>
                <w:szCs w:val="18"/>
              </w:rPr>
              <w:t>中</w:t>
            </w:r>
          </w:p>
        </w:tc>
        <w:tc>
          <w:tcPr>
            <w:tcW w:w="1191" w:type="pct"/>
            <w:noWrap w:val="0"/>
            <w:vAlign w:val="center"/>
          </w:tcPr>
          <w:p>
            <w:pPr>
              <w:spacing w:line="240" w:lineRule="exact"/>
              <w:jc w:val="center"/>
              <w:rPr>
                <w:snapToGrid w:val="0"/>
                <w:sz w:val="18"/>
                <w:szCs w:val="18"/>
              </w:rPr>
            </w:pPr>
            <w:r>
              <w:rPr>
                <w:snapToGrid w:val="0"/>
                <w:sz w:val="18"/>
                <w:szCs w:val="18"/>
              </w:rPr>
              <w:t>反应温度须控制在927～1027℃之间。</w:t>
            </w:r>
          </w:p>
          <w:p>
            <w:pPr>
              <w:spacing w:line="240" w:lineRule="exact"/>
              <w:jc w:val="center"/>
              <w:rPr>
                <w:snapToGrid w:val="0"/>
                <w:sz w:val="18"/>
                <w:szCs w:val="18"/>
              </w:rPr>
            </w:pPr>
            <w:r>
              <w:rPr>
                <w:snapToGrid w:val="0"/>
                <w:sz w:val="18"/>
                <w:szCs w:val="18"/>
              </w:rPr>
              <w:t>需采用无硫或硫含量极低之燃料。</w:t>
            </w:r>
          </w:p>
        </w:tc>
        <w:tc>
          <w:tcPr>
            <w:tcW w:w="449" w:type="pct"/>
            <w:noWrap w:val="0"/>
            <w:vAlign w:val="center"/>
          </w:tcPr>
          <w:p>
            <w:pPr>
              <w:spacing w:line="240" w:lineRule="exact"/>
              <w:jc w:val="center"/>
              <w:rPr>
                <w:snapToGrid w:val="0"/>
                <w:sz w:val="18"/>
                <w:szCs w:val="18"/>
              </w:rPr>
            </w:pPr>
            <w:r>
              <w:rPr>
                <w:snapToGrid w:val="0"/>
                <w:sz w:val="18"/>
                <w:szCs w:val="18"/>
              </w:rPr>
              <w:t>大中型机组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jc w:val="center"/>
        </w:trPr>
        <w:tc>
          <w:tcPr>
            <w:tcW w:w="549" w:type="pct"/>
            <w:noWrap w:val="0"/>
            <w:vAlign w:val="center"/>
          </w:tcPr>
          <w:p>
            <w:pPr>
              <w:spacing w:line="240" w:lineRule="exact"/>
              <w:jc w:val="center"/>
              <w:rPr>
                <w:snapToGrid w:val="0"/>
                <w:sz w:val="18"/>
                <w:szCs w:val="18"/>
              </w:rPr>
            </w:pPr>
            <w:r>
              <w:rPr>
                <w:snapToGrid w:val="0"/>
                <w:sz w:val="18"/>
                <w:szCs w:val="18"/>
              </w:rPr>
              <w:t>选择性催化还原法（SCR）</w:t>
            </w:r>
          </w:p>
        </w:tc>
        <w:tc>
          <w:tcPr>
            <w:tcW w:w="1180" w:type="pct"/>
            <w:noWrap w:val="0"/>
            <w:vAlign w:val="center"/>
          </w:tcPr>
          <w:p>
            <w:pPr>
              <w:spacing w:line="240" w:lineRule="exact"/>
              <w:jc w:val="center"/>
              <w:rPr>
                <w:snapToGrid w:val="0"/>
                <w:sz w:val="18"/>
                <w:szCs w:val="18"/>
              </w:rPr>
            </w:pPr>
            <w:r>
              <w:rPr>
                <w:snapToGrid w:val="0"/>
                <w:sz w:val="18"/>
                <w:szCs w:val="18"/>
              </w:rPr>
              <w:t>操作原理与SNCR相同外，多一个接触作用。</w:t>
            </w:r>
          </w:p>
        </w:tc>
        <w:tc>
          <w:tcPr>
            <w:tcW w:w="600" w:type="pct"/>
            <w:noWrap w:val="0"/>
            <w:vAlign w:val="center"/>
          </w:tcPr>
          <w:p>
            <w:pPr>
              <w:spacing w:line="240" w:lineRule="exact"/>
              <w:jc w:val="center"/>
              <w:rPr>
                <w:snapToGrid w:val="0"/>
                <w:sz w:val="18"/>
                <w:szCs w:val="18"/>
              </w:rPr>
            </w:pPr>
            <w:r>
              <w:rPr>
                <w:snapToGrid w:val="0"/>
                <w:sz w:val="18"/>
                <w:szCs w:val="18"/>
              </w:rPr>
              <w:t>80～90</w:t>
            </w:r>
          </w:p>
        </w:tc>
        <w:tc>
          <w:tcPr>
            <w:tcW w:w="449" w:type="pct"/>
            <w:noWrap w:val="0"/>
            <w:vAlign w:val="center"/>
          </w:tcPr>
          <w:p>
            <w:pPr>
              <w:spacing w:line="240" w:lineRule="exact"/>
              <w:jc w:val="center"/>
              <w:rPr>
                <w:snapToGrid w:val="0"/>
                <w:sz w:val="18"/>
                <w:szCs w:val="18"/>
              </w:rPr>
            </w:pPr>
            <w:r>
              <w:rPr>
                <w:snapToGrid w:val="0"/>
                <w:sz w:val="18"/>
                <w:szCs w:val="18"/>
              </w:rPr>
              <w:t>新厂或旧厂</w:t>
            </w:r>
          </w:p>
        </w:tc>
        <w:tc>
          <w:tcPr>
            <w:tcW w:w="296" w:type="pct"/>
            <w:noWrap w:val="0"/>
            <w:vAlign w:val="center"/>
          </w:tcPr>
          <w:p>
            <w:pPr>
              <w:spacing w:line="240" w:lineRule="exact"/>
              <w:jc w:val="center"/>
              <w:rPr>
                <w:snapToGrid w:val="0"/>
                <w:sz w:val="18"/>
                <w:szCs w:val="18"/>
              </w:rPr>
            </w:pPr>
            <w:r>
              <w:rPr>
                <w:snapToGrid w:val="0"/>
                <w:sz w:val="18"/>
                <w:szCs w:val="18"/>
              </w:rPr>
              <w:t>触媒老化废弃问题</w:t>
            </w:r>
          </w:p>
        </w:tc>
        <w:tc>
          <w:tcPr>
            <w:tcW w:w="286" w:type="pct"/>
            <w:noWrap w:val="0"/>
            <w:vAlign w:val="center"/>
          </w:tcPr>
          <w:p>
            <w:pPr>
              <w:spacing w:line="240" w:lineRule="exact"/>
              <w:jc w:val="center"/>
              <w:rPr>
                <w:snapToGrid w:val="0"/>
                <w:sz w:val="18"/>
                <w:szCs w:val="18"/>
              </w:rPr>
            </w:pPr>
            <w:r>
              <w:rPr>
                <w:snapToGrid w:val="0"/>
                <w:sz w:val="18"/>
                <w:szCs w:val="18"/>
              </w:rPr>
              <w:t>高</w:t>
            </w:r>
          </w:p>
        </w:tc>
        <w:tc>
          <w:tcPr>
            <w:tcW w:w="1191" w:type="pct"/>
            <w:noWrap w:val="0"/>
            <w:vAlign w:val="center"/>
          </w:tcPr>
          <w:p>
            <w:pPr>
              <w:spacing w:line="240" w:lineRule="exact"/>
              <w:jc w:val="center"/>
              <w:rPr>
                <w:snapToGrid w:val="0"/>
                <w:sz w:val="18"/>
                <w:szCs w:val="18"/>
              </w:rPr>
            </w:pPr>
            <w:r>
              <w:rPr>
                <w:snapToGrid w:val="0"/>
                <w:sz w:val="18"/>
                <w:szCs w:val="18"/>
              </w:rPr>
              <w:t>操作温度在250～400℃之间。</w:t>
            </w:r>
          </w:p>
          <w:p>
            <w:pPr>
              <w:spacing w:line="240" w:lineRule="exact"/>
              <w:jc w:val="center"/>
              <w:rPr>
                <w:snapToGrid w:val="0"/>
                <w:sz w:val="18"/>
                <w:szCs w:val="18"/>
              </w:rPr>
            </w:pPr>
            <w:r>
              <w:rPr>
                <w:snapToGrid w:val="0"/>
                <w:sz w:val="18"/>
                <w:szCs w:val="18"/>
              </w:rPr>
              <w:t>注入NH</w:t>
            </w:r>
            <w:r>
              <w:rPr>
                <w:snapToGrid w:val="0"/>
                <w:sz w:val="18"/>
                <w:szCs w:val="18"/>
                <w:vertAlign w:val="subscript"/>
              </w:rPr>
              <w:t>3</w:t>
            </w:r>
            <w:r>
              <w:rPr>
                <w:snapToGrid w:val="0"/>
                <w:sz w:val="18"/>
                <w:szCs w:val="18"/>
              </w:rPr>
              <w:t>会有混合不均匀发生逃逸现象。</w:t>
            </w:r>
          </w:p>
          <w:p>
            <w:pPr>
              <w:spacing w:line="240" w:lineRule="exact"/>
              <w:jc w:val="center"/>
              <w:rPr>
                <w:snapToGrid w:val="0"/>
                <w:sz w:val="18"/>
                <w:szCs w:val="18"/>
              </w:rPr>
            </w:pPr>
            <w:r>
              <w:rPr>
                <w:snapToGrid w:val="0"/>
                <w:sz w:val="18"/>
                <w:szCs w:val="18"/>
              </w:rPr>
              <w:t>不适用于处理含硫量高的烟气。</w:t>
            </w:r>
          </w:p>
        </w:tc>
        <w:tc>
          <w:tcPr>
            <w:tcW w:w="449" w:type="pct"/>
            <w:noWrap w:val="0"/>
            <w:vAlign w:val="center"/>
          </w:tcPr>
          <w:p>
            <w:pPr>
              <w:spacing w:line="240" w:lineRule="exact"/>
              <w:jc w:val="center"/>
              <w:rPr>
                <w:snapToGrid w:val="0"/>
                <w:sz w:val="18"/>
                <w:szCs w:val="18"/>
              </w:rPr>
            </w:pPr>
            <w:r>
              <w:rPr>
                <w:snapToGrid w:val="0"/>
                <w:sz w:val="18"/>
                <w:szCs w:val="18"/>
              </w:rPr>
              <w:t>大型机组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jc w:val="center"/>
        </w:trPr>
        <w:tc>
          <w:tcPr>
            <w:tcW w:w="549" w:type="pct"/>
            <w:noWrap w:val="0"/>
            <w:vAlign w:val="center"/>
          </w:tcPr>
          <w:p>
            <w:pPr>
              <w:spacing w:line="240" w:lineRule="exact"/>
              <w:jc w:val="center"/>
              <w:rPr>
                <w:snapToGrid w:val="0"/>
                <w:sz w:val="18"/>
                <w:szCs w:val="18"/>
              </w:rPr>
            </w:pPr>
            <w:r>
              <w:rPr>
                <w:snapToGrid w:val="0"/>
                <w:sz w:val="18"/>
                <w:szCs w:val="18"/>
              </w:rPr>
              <w:t>湿式同时脱硝、脱硫法</w:t>
            </w:r>
          </w:p>
        </w:tc>
        <w:tc>
          <w:tcPr>
            <w:tcW w:w="1180" w:type="pct"/>
            <w:noWrap w:val="0"/>
            <w:vAlign w:val="center"/>
          </w:tcPr>
          <w:p>
            <w:pPr>
              <w:spacing w:line="240" w:lineRule="exact"/>
              <w:jc w:val="center"/>
              <w:rPr>
                <w:snapToGrid w:val="0"/>
                <w:spacing w:val="-20"/>
                <w:sz w:val="18"/>
                <w:szCs w:val="18"/>
              </w:rPr>
            </w:pPr>
            <w:r>
              <w:rPr>
                <w:snapToGrid w:val="0"/>
                <w:spacing w:val="-20"/>
                <w:sz w:val="18"/>
                <w:szCs w:val="18"/>
              </w:rPr>
              <w:t>吸收还原法：利用含铁化合物及碳酸钠吸收NO及SO</w:t>
            </w:r>
            <w:r>
              <w:rPr>
                <w:snapToGrid w:val="0"/>
                <w:spacing w:val="-20"/>
                <w:sz w:val="18"/>
                <w:szCs w:val="18"/>
                <w:vertAlign w:val="subscript"/>
              </w:rPr>
              <w:t>2</w:t>
            </w:r>
            <w:r>
              <w:rPr>
                <w:snapToGrid w:val="0"/>
                <w:spacing w:val="-20"/>
                <w:sz w:val="18"/>
                <w:szCs w:val="18"/>
              </w:rPr>
              <w:t>，生成物再行反应成NO</w:t>
            </w:r>
            <w:r>
              <w:rPr>
                <w:snapToGrid w:val="0"/>
                <w:spacing w:val="-20"/>
                <w:sz w:val="18"/>
                <w:szCs w:val="18"/>
                <w:vertAlign w:val="subscript"/>
              </w:rPr>
              <w:t>2</w:t>
            </w:r>
            <w:r>
              <w:rPr>
                <w:snapToGrid w:val="0"/>
                <w:spacing w:val="-20"/>
                <w:sz w:val="18"/>
                <w:szCs w:val="18"/>
              </w:rPr>
              <w:t>、铁化合物及硫酸钠。</w:t>
            </w:r>
          </w:p>
          <w:p>
            <w:pPr>
              <w:spacing w:line="240" w:lineRule="exact"/>
              <w:jc w:val="center"/>
              <w:rPr>
                <w:snapToGrid w:val="0"/>
                <w:sz w:val="18"/>
                <w:szCs w:val="18"/>
              </w:rPr>
            </w:pPr>
            <w:r>
              <w:rPr>
                <w:snapToGrid w:val="0"/>
                <w:spacing w:val="-20"/>
                <w:sz w:val="18"/>
                <w:szCs w:val="18"/>
              </w:rPr>
              <w:t>氧化吸收还原法：利用臭氧或二氧化氯将NO氧化成NO</w:t>
            </w:r>
            <w:r>
              <w:rPr>
                <w:snapToGrid w:val="0"/>
                <w:spacing w:val="-20"/>
                <w:sz w:val="18"/>
                <w:szCs w:val="18"/>
                <w:vertAlign w:val="subscript"/>
              </w:rPr>
              <w:t>2</w:t>
            </w:r>
            <w:r>
              <w:rPr>
                <w:snapToGrid w:val="0"/>
                <w:spacing w:val="-20"/>
                <w:sz w:val="18"/>
                <w:szCs w:val="18"/>
              </w:rPr>
              <w:t>，再由亚硫酸和硝酸盐溶液吸收还原成N</w:t>
            </w:r>
            <w:r>
              <w:rPr>
                <w:snapToGrid w:val="0"/>
                <w:spacing w:val="-20"/>
                <w:sz w:val="18"/>
                <w:szCs w:val="18"/>
                <w:vertAlign w:val="subscript"/>
              </w:rPr>
              <w:t>2</w:t>
            </w:r>
            <w:r>
              <w:rPr>
                <w:snapToGrid w:val="0"/>
                <w:spacing w:val="-20"/>
                <w:sz w:val="18"/>
                <w:szCs w:val="18"/>
              </w:rPr>
              <w:t>。</w:t>
            </w:r>
          </w:p>
        </w:tc>
        <w:tc>
          <w:tcPr>
            <w:tcW w:w="600" w:type="pct"/>
            <w:noWrap w:val="0"/>
            <w:vAlign w:val="center"/>
          </w:tcPr>
          <w:p>
            <w:pPr>
              <w:spacing w:line="240" w:lineRule="exact"/>
              <w:jc w:val="center"/>
              <w:rPr>
                <w:snapToGrid w:val="0"/>
                <w:sz w:val="18"/>
                <w:szCs w:val="18"/>
              </w:rPr>
            </w:pPr>
            <w:r>
              <w:rPr>
                <w:snapToGrid w:val="0"/>
                <w:sz w:val="18"/>
                <w:szCs w:val="18"/>
              </w:rPr>
              <w:t>80～85</w:t>
            </w:r>
          </w:p>
        </w:tc>
        <w:tc>
          <w:tcPr>
            <w:tcW w:w="449" w:type="pct"/>
            <w:noWrap w:val="0"/>
            <w:vAlign w:val="center"/>
          </w:tcPr>
          <w:p>
            <w:pPr>
              <w:spacing w:line="240" w:lineRule="exact"/>
              <w:jc w:val="center"/>
              <w:rPr>
                <w:snapToGrid w:val="0"/>
                <w:sz w:val="18"/>
                <w:szCs w:val="18"/>
              </w:rPr>
            </w:pPr>
            <w:r>
              <w:rPr>
                <w:snapToGrid w:val="0"/>
                <w:sz w:val="18"/>
                <w:szCs w:val="18"/>
              </w:rPr>
              <w:t>化工厂</w:t>
            </w:r>
          </w:p>
        </w:tc>
        <w:tc>
          <w:tcPr>
            <w:tcW w:w="296" w:type="pct"/>
            <w:noWrap w:val="0"/>
            <w:vAlign w:val="center"/>
          </w:tcPr>
          <w:p>
            <w:pPr>
              <w:spacing w:line="240" w:lineRule="exact"/>
              <w:jc w:val="center"/>
              <w:rPr>
                <w:snapToGrid w:val="0"/>
                <w:sz w:val="18"/>
                <w:szCs w:val="18"/>
              </w:rPr>
            </w:pPr>
            <w:r>
              <w:rPr>
                <w:snapToGrid w:val="0"/>
                <w:sz w:val="18"/>
                <w:szCs w:val="18"/>
              </w:rPr>
              <w:t>废水和废弃物</w:t>
            </w:r>
          </w:p>
        </w:tc>
        <w:tc>
          <w:tcPr>
            <w:tcW w:w="286" w:type="pct"/>
            <w:noWrap w:val="0"/>
            <w:vAlign w:val="center"/>
          </w:tcPr>
          <w:p>
            <w:pPr>
              <w:spacing w:line="240" w:lineRule="exact"/>
              <w:jc w:val="center"/>
              <w:rPr>
                <w:snapToGrid w:val="0"/>
                <w:sz w:val="18"/>
                <w:szCs w:val="18"/>
              </w:rPr>
            </w:pPr>
            <w:r>
              <w:rPr>
                <w:snapToGrid w:val="0"/>
                <w:sz w:val="18"/>
                <w:szCs w:val="18"/>
              </w:rPr>
              <w:t>高</w:t>
            </w:r>
          </w:p>
        </w:tc>
        <w:tc>
          <w:tcPr>
            <w:tcW w:w="1191" w:type="pct"/>
            <w:noWrap w:val="0"/>
            <w:vAlign w:val="center"/>
          </w:tcPr>
          <w:p>
            <w:pPr>
              <w:spacing w:line="240" w:lineRule="exact"/>
              <w:jc w:val="center"/>
              <w:rPr>
                <w:snapToGrid w:val="0"/>
                <w:sz w:val="18"/>
                <w:szCs w:val="18"/>
              </w:rPr>
            </w:pPr>
            <w:r>
              <w:rPr>
                <w:snapToGrid w:val="0"/>
                <w:sz w:val="18"/>
                <w:szCs w:val="18"/>
              </w:rPr>
              <w:t>流程复杂。</w:t>
            </w:r>
          </w:p>
          <w:p>
            <w:pPr>
              <w:spacing w:line="240" w:lineRule="exact"/>
              <w:jc w:val="center"/>
              <w:rPr>
                <w:snapToGrid w:val="0"/>
                <w:sz w:val="18"/>
                <w:szCs w:val="18"/>
              </w:rPr>
            </w:pPr>
            <w:r>
              <w:rPr>
                <w:snapToGrid w:val="0"/>
                <w:sz w:val="18"/>
                <w:szCs w:val="18"/>
              </w:rPr>
              <w:t>适合处理高流量的烟气。</w:t>
            </w:r>
          </w:p>
          <w:p>
            <w:pPr>
              <w:spacing w:line="240" w:lineRule="exact"/>
              <w:jc w:val="center"/>
              <w:rPr>
                <w:snapToGrid w:val="0"/>
                <w:sz w:val="18"/>
                <w:szCs w:val="18"/>
              </w:rPr>
            </w:pPr>
            <w:r>
              <w:rPr>
                <w:snapToGrid w:val="0"/>
                <w:sz w:val="18"/>
                <w:szCs w:val="18"/>
              </w:rPr>
              <w:t>同时去除NOx和SOx。</w:t>
            </w:r>
          </w:p>
          <w:p>
            <w:pPr>
              <w:spacing w:line="240" w:lineRule="exact"/>
              <w:jc w:val="center"/>
              <w:rPr>
                <w:snapToGrid w:val="0"/>
                <w:sz w:val="18"/>
                <w:szCs w:val="18"/>
              </w:rPr>
            </w:pPr>
            <w:r>
              <w:rPr>
                <w:snapToGrid w:val="0"/>
                <w:sz w:val="18"/>
                <w:szCs w:val="18"/>
              </w:rPr>
              <w:t>此法尚属研究发展阶段。</w:t>
            </w:r>
          </w:p>
        </w:tc>
        <w:tc>
          <w:tcPr>
            <w:tcW w:w="449" w:type="pct"/>
            <w:noWrap w:val="0"/>
            <w:vAlign w:val="center"/>
          </w:tcPr>
          <w:p>
            <w:pPr>
              <w:spacing w:line="240" w:lineRule="exact"/>
              <w:jc w:val="center"/>
              <w:rPr>
                <w:snapToGrid w:val="0"/>
                <w:sz w:val="18"/>
                <w:szCs w:val="18"/>
              </w:rPr>
            </w:pPr>
            <w:r>
              <w:rPr>
                <w:snapToGrid w:val="0"/>
                <w:sz w:val="18"/>
                <w:szCs w:val="18"/>
              </w:rPr>
              <w:t>大中型机组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jc w:val="center"/>
        </w:trPr>
        <w:tc>
          <w:tcPr>
            <w:tcW w:w="549" w:type="pct"/>
            <w:noWrap w:val="0"/>
            <w:vAlign w:val="center"/>
          </w:tcPr>
          <w:p>
            <w:pPr>
              <w:spacing w:line="240" w:lineRule="exact"/>
              <w:jc w:val="center"/>
              <w:rPr>
                <w:snapToGrid w:val="0"/>
                <w:sz w:val="18"/>
                <w:szCs w:val="18"/>
              </w:rPr>
            </w:pPr>
            <w:r>
              <w:rPr>
                <w:snapToGrid w:val="0"/>
                <w:sz w:val="18"/>
                <w:szCs w:val="18"/>
              </w:rPr>
              <w:t>电子光束法</w:t>
            </w:r>
          </w:p>
        </w:tc>
        <w:tc>
          <w:tcPr>
            <w:tcW w:w="1180" w:type="pct"/>
            <w:noWrap w:val="0"/>
            <w:vAlign w:val="center"/>
          </w:tcPr>
          <w:p>
            <w:pPr>
              <w:spacing w:line="240" w:lineRule="exact"/>
              <w:jc w:val="center"/>
              <w:rPr>
                <w:snapToGrid w:val="0"/>
                <w:sz w:val="18"/>
                <w:szCs w:val="18"/>
              </w:rPr>
            </w:pPr>
            <w:r>
              <w:rPr>
                <w:snapToGrid w:val="0"/>
                <w:sz w:val="18"/>
                <w:szCs w:val="18"/>
              </w:rPr>
              <w:t>利用电子光束设透烟气气流，产生自由基，自由基将烟气中NOx氧化，再与NH</w:t>
            </w:r>
            <w:r>
              <w:rPr>
                <w:snapToGrid w:val="0"/>
                <w:sz w:val="18"/>
                <w:szCs w:val="18"/>
                <w:vertAlign w:val="subscript"/>
              </w:rPr>
              <w:t>3</w:t>
            </w:r>
            <w:r>
              <w:rPr>
                <w:snapToGrid w:val="0"/>
                <w:sz w:val="18"/>
                <w:szCs w:val="18"/>
              </w:rPr>
              <w:t>中和，生成固体物后被回收。</w:t>
            </w:r>
          </w:p>
        </w:tc>
        <w:tc>
          <w:tcPr>
            <w:tcW w:w="600" w:type="pct"/>
            <w:noWrap w:val="0"/>
            <w:vAlign w:val="center"/>
          </w:tcPr>
          <w:p>
            <w:pPr>
              <w:spacing w:line="240" w:lineRule="exact"/>
              <w:jc w:val="center"/>
              <w:rPr>
                <w:snapToGrid w:val="0"/>
                <w:sz w:val="18"/>
                <w:szCs w:val="18"/>
              </w:rPr>
            </w:pPr>
            <w:r>
              <w:rPr>
                <w:snapToGrid w:val="0"/>
                <w:sz w:val="18"/>
                <w:szCs w:val="18"/>
              </w:rPr>
              <w:t>90</w:t>
            </w:r>
          </w:p>
        </w:tc>
        <w:tc>
          <w:tcPr>
            <w:tcW w:w="449" w:type="pct"/>
            <w:noWrap w:val="0"/>
            <w:vAlign w:val="center"/>
          </w:tcPr>
          <w:p>
            <w:pPr>
              <w:spacing w:line="240" w:lineRule="exact"/>
              <w:jc w:val="center"/>
              <w:rPr>
                <w:snapToGrid w:val="0"/>
                <w:sz w:val="18"/>
                <w:szCs w:val="18"/>
              </w:rPr>
            </w:pPr>
            <w:r>
              <w:rPr>
                <w:snapToGrid w:val="0"/>
                <w:sz w:val="18"/>
                <w:szCs w:val="18"/>
              </w:rPr>
              <w:t>新厂或旧厂</w:t>
            </w:r>
          </w:p>
        </w:tc>
        <w:tc>
          <w:tcPr>
            <w:tcW w:w="296" w:type="pct"/>
            <w:noWrap w:val="0"/>
            <w:vAlign w:val="center"/>
          </w:tcPr>
          <w:p>
            <w:pPr>
              <w:spacing w:line="240" w:lineRule="exact"/>
              <w:jc w:val="center"/>
              <w:rPr>
                <w:snapToGrid w:val="0"/>
                <w:sz w:val="18"/>
                <w:szCs w:val="18"/>
              </w:rPr>
            </w:pPr>
            <w:r>
              <w:rPr>
                <w:snapToGrid w:val="0"/>
                <w:sz w:val="18"/>
                <w:szCs w:val="18"/>
              </w:rPr>
              <w:t>固体废弃物</w:t>
            </w:r>
          </w:p>
        </w:tc>
        <w:tc>
          <w:tcPr>
            <w:tcW w:w="286" w:type="pct"/>
            <w:noWrap w:val="0"/>
            <w:vAlign w:val="center"/>
          </w:tcPr>
          <w:p>
            <w:pPr>
              <w:spacing w:line="240" w:lineRule="exact"/>
              <w:jc w:val="center"/>
              <w:rPr>
                <w:snapToGrid w:val="0"/>
                <w:sz w:val="18"/>
                <w:szCs w:val="18"/>
              </w:rPr>
            </w:pPr>
            <w:r>
              <w:rPr>
                <w:snapToGrid w:val="0"/>
                <w:sz w:val="18"/>
                <w:szCs w:val="18"/>
              </w:rPr>
              <w:t>高</w:t>
            </w:r>
          </w:p>
        </w:tc>
        <w:tc>
          <w:tcPr>
            <w:tcW w:w="1191" w:type="pct"/>
            <w:noWrap w:val="0"/>
            <w:vAlign w:val="center"/>
          </w:tcPr>
          <w:p>
            <w:pPr>
              <w:spacing w:line="240" w:lineRule="exact"/>
              <w:jc w:val="center"/>
              <w:rPr>
                <w:snapToGrid w:val="0"/>
                <w:sz w:val="18"/>
                <w:szCs w:val="18"/>
              </w:rPr>
            </w:pPr>
            <w:r>
              <w:rPr>
                <w:snapToGrid w:val="0"/>
                <w:sz w:val="18"/>
                <w:szCs w:val="18"/>
              </w:rPr>
              <w:t>此法适用于干式FGD使用。</w:t>
            </w:r>
          </w:p>
        </w:tc>
        <w:tc>
          <w:tcPr>
            <w:tcW w:w="449" w:type="pct"/>
            <w:noWrap w:val="0"/>
            <w:vAlign w:val="center"/>
          </w:tcPr>
          <w:p>
            <w:pPr>
              <w:spacing w:line="240" w:lineRule="exact"/>
              <w:jc w:val="center"/>
              <w:rPr>
                <w:snapToGrid w:val="0"/>
                <w:sz w:val="18"/>
                <w:szCs w:val="18"/>
              </w:rPr>
            </w:pPr>
            <w:r>
              <w:rPr>
                <w:snapToGrid w:val="0"/>
                <w:sz w:val="18"/>
                <w:szCs w:val="18"/>
              </w:rPr>
              <w:t>全部机组</w:t>
            </w:r>
          </w:p>
        </w:tc>
      </w:tr>
    </w:tbl>
    <w:p>
      <w:pPr>
        <w:spacing w:line="500" w:lineRule="exact"/>
        <w:jc w:val="center"/>
        <w:rPr>
          <w:spacing w:val="6"/>
          <w:szCs w:val="28"/>
        </w:rPr>
      </w:pPr>
    </w:p>
    <w:p>
      <w:pPr>
        <w:spacing w:line="500" w:lineRule="exact"/>
        <w:jc w:val="center"/>
        <w:rPr>
          <w:spacing w:val="6"/>
          <w:szCs w:val="28"/>
        </w:rPr>
        <w:sectPr>
          <w:endnotePr>
            <w:numFmt w:val="decimal"/>
          </w:endnotePr>
          <w:pgSz w:w="16838" w:h="11906" w:orient="landscape"/>
          <w:pgMar w:top="1797" w:right="1440" w:bottom="1797" w:left="1440" w:header="851" w:footer="992" w:gutter="0"/>
          <w:cols w:space="425" w:num="1"/>
          <w:docGrid w:linePitch="312" w:charSpace="0"/>
        </w:sectPr>
      </w:pPr>
    </w:p>
    <w:p>
      <w:pPr>
        <w:pStyle w:val="3"/>
        <w:spacing w:line="500" w:lineRule="exact"/>
      </w:pPr>
      <w:bookmarkStart w:id="86" w:name="_Toc304379410"/>
      <w:r>
        <w:t>5.2水环境综合整治与保护</w:t>
      </w:r>
      <w:bookmarkEnd w:id="86"/>
    </w:p>
    <w:p>
      <w:pPr>
        <w:pStyle w:val="4"/>
        <w:rPr>
          <w:rFonts w:ascii="Times New Roman" w:hAnsi="Times New Roman"/>
        </w:rPr>
      </w:pPr>
      <w:r>
        <w:rPr>
          <w:rFonts w:ascii="Times New Roman" w:hAnsi="Times New Roman"/>
        </w:rPr>
        <w:t>5.2.1水环境综合整治目标</w:t>
      </w:r>
    </w:p>
    <w:p>
      <w:pPr>
        <w:spacing w:line="500" w:lineRule="exact"/>
        <w:ind w:firstLine="584" w:firstLineChars="200"/>
        <w:rPr>
          <w:szCs w:val="28"/>
        </w:rPr>
      </w:pPr>
      <w:r>
        <w:rPr>
          <w:spacing w:val="6"/>
          <w:szCs w:val="28"/>
        </w:rPr>
        <w:t>通过昆山水环境整治，2015年县城生活污水处理率达98%，乡镇生活污水处理率达90%，生活污水处理厂全部达到一级A排放标准。</w:t>
      </w:r>
    </w:p>
    <w:p>
      <w:pPr>
        <w:pStyle w:val="4"/>
        <w:rPr>
          <w:rFonts w:ascii="Times New Roman" w:hAnsi="Times New Roman"/>
        </w:rPr>
      </w:pPr>
      <w:r>
        <w:rPr>
          <w:rFonts w:ascii="Times New Roman" w:hAnsi="Times New Roman"/>
        </w:rPr>
        <w:t>5.2.2水污染控制规划</w:t>
      </w:r>
      <w:bookmarkEnd w:id="79"/>
    </w:p>
    <w:p>
      <w:pPr>
        <w:pStyle w:val="5"/>
        <w:ind w:left="0"/>
        <w:rPr>
          <w:rFonts w:eastAsia="仿宋_GB2312"/>
        </w:rPr>
      </w:pPr>
      <w:r>
        <w:rPr>
          <w:rFonts w:eastAsia="仿宋_GB2312"/>
        </w:rPr>
        <w:t>5.2.2.1 加强污染源控制，减轻水环境污染负荷</w:t>
      </w:r>
    </w:p>
    <w:p>
      <w:pPr>
        <w:adjustRightInd/>
        <w:snapToGrid/>
        <w:spacing w:line="500" w:lineRule="exact"/>
        <w:ind w:firstLine="584" w:firstLineChars="200"/>
        <w:rPr>
          <w:spacing w:val="6"/>
          <w:kern w:val="2"/>
          <w:szCs w:val="28"/>
        </w:rPr>
      </w:pPr>
      <w:r>
        <w:rPr>
          <w:spacing w:val="6"/>
          <w:kern w:val="2"/>
          <w:szCs w:val="28"/>
        </w:rPr>
        <w:t>2009年工业废水排放量为6952.21万吨，城镇生活污水排放量为9453.5万吨，根据分析，工业废水排放量近年来有下降的趋势，但随着人口数量的增加、城市化进程的加快和居民生活水平的增加，生活污水排放量会逐步增加。</w:t>
      </w:r>
    </w:p>
    <w:p>
      <w:pPr>
        <w:adjustRightInd/>
        <w:snapToGrid/>
        <w:spacing w:line="500" w:lineRule="exact"/>
        <w:ind w:firstLine="584" w:firstLineChars="200"/>
        <w:rPr>
          <w:spacing w:val="6"/>
          <w:kern w:val="2"/>
          <w:szCs w:val="28"/>
        </w:rPr>
      </w:pPr>
      <w:r>
        <w:rPr>
          <w:spacing w:val="6"/>
          <w:kern w:val="2"/>
          <w:szCs w:val="28"/>
        </w:rPr>
        <w:t>加强污染源控制，减轻水环境污染负荷的主要控制对策为：</w:t>
      </w:r>
    </w:p>
    <w:p>
      <w:pPr>
        <w:adjustRightInd/>
        <w:snapToGrid/>
        <w:spacing w:line="500" w:lineRule="exact"/>
        <w:ind w:firstLine="586" w:firstLineChars="200"/>
        <w:rPr>
          <w:b/>
          <w:spacing w:val="6"/>
          <w:kern w:val="2"/>
          <w:szCs w:val="28"/>
        </w:rPr>
      </w:pPr>
      <w:r>
        <w:rPr>
          <w:b/>
          <w:spacing w:val="6"/>
          <w:kern w:val="2"/>
          <w:szCs w:val="28"/>
        </w:rPr>
        <w:t>（1）削减污染物排放量</w:t>
      </w:r>
    </w:p>
    <w:p>
      <w:pPr>
        <w:adjustRightInd/>
        <w:snapToGrid/>
        <w:spacing w:line="500" w:lineRule="exact"/>
        <w:ind w:firstLine="584" w:firstLineChars="200"/>
        <w:rPr>
          <w:spacing w:val="6"/>
          <w:kern w:val="2"/>
          <w:szCs w:val="28"/>
        </w:rPr>
      </w:pPr>
      <w:r>
        <w:rPr>
          <w:spacing w:val="6"/>
          <w:kern w:val="2"/>
          <w:szCs w:val="28"/>
        </w:rPr>
        <w:t>加强工业污染源控制，促进企业清洁生产。严格控制新增污染源，在审批新、改、扩建项目，坚持建设项目全过程管理，力争做到增产不增污，增产减污。调整工业结构，减少污染物排放，加强工业废水处理设施建设，工业污染源做到达标排放。工业园区内废水在内部达标基础上，污水统一进污水处理管网处理。结合产业结构调整和布局改造，促进清洁生产，推行企业清洁生产审核，发展循环经济，建设生态工业园区，实现废水回用以减少废水排放。对于重点行业，尤其是化工、电子行业，推荐采用先进工艺，降低单位产品的水耗，提高企业内部及企业之间的水资源重复利用率，减少新鲜水消耗量，提高企业中水回用率。加大工业污染源的监管力度，规范工业企业排污行为，严厉打击偷排、漏排、超标排放等环境违法行为，确保工业废水全部达标排放。</w:t>
      </w:r>
    </w:p>
    <w:p>
      <w:pPr>
        <w:adjustRightInd/>
        <w:snapToGrid/>
        <w:spacing w:line="500" w:lineRule="exact"/>
        <w:ind w:firstLine="586" w:firstLineChars="200"/>
        <w:rPr>
          <w:b/>
          <w:spacing w:val="6"/>
          <w:kern w:val="2"/>
          <w:szCs w:val="28"/>
        </w:rPr>
      </w:pPr>
      <w:r>
        <w:rPr>
          <w:b/>
          <w:spacing w:val="6"/>
          <w:kern w:val="2"/>
          <w:szCs w:val="28"/>
        </w:rPr>
        <w:t>（2）实行分质供水</w:t>
      </w:r>
    </w:p>
    <w:p>
      <w:pPr>
        <w:adjustRightInd/>
        <w:snapToGrid/>
        <w:spacing w:line="500" w:lineRule="exact"/>
        <w:ind w:firstLine="584" w:firstLineChars="200"/>
        <w:rPr>
          <w:spacing w:val="6"/>
          <w:kern w:val="2"/>
          <w:szCs w:val="28"/>
        </w:rPr>
      </w:pPr>
      <w:r>
        <w:rPr>
          <w:spacing w:val="6"/>
          <w:kern w:val="2"/>
          <w:szCs w:val="28"/>
        </w:rPr>
        <w:t>生活用水供水系统设两条不同的管网：一条输送洁净的自来水，另一条为中水管道, 输送经中水设施净化处理的循环水。</w:t>
      </w:r>
    </w:p>
    <w:p>
      <w:pPr>
        <w:adjustRightInd/>
        <w:snapToGrid/>
        <w:spacing w:line="500" w:lineRule="exact"/>
        <w:ind w:firstLine="584" w:firstLineChars="200"/>
        <w:rPr>
          <w:spacing w:val="6"/>
          <w:kern w:val="2"/>
          <w:szCs w:val="28"/>
        </w:rPr>
      </w:pPr>
      <w:r>
        <w:rPr>
          <w:spacing w:val="6"/>
          <w:kern w:val="2"/>
          <w:szCs w:val="28"/>
        </w:rPr>
        <w:t>新建生活小区，必须配套好雨污分流管网，污水接入城市污水管网，雨水进入中水循环系统。居民小区中经处理后的污水，部分可作为居民区的景观或园区灌溉用水。</w:t>
      </w:r>
    </w:p>
    <w:p>
      <w:pPr>
        <w:adjustRightInd/>
        <w:snapToGrid/>
        <w:spacing w:line="500" w:lineRule="exact"/>
        <w:ind w:firstLine="584" w:firstLineChars="200"/>
        <w:rPr>
          <w:spacing w:val="6"/>
          <w:kern w:val="2"/>
          <w:szCs w:val="28"/>
        </w:rPr>
      </w:pPr>
      <w:r>
        <w:rPr>
          <w:spacing w:val="6"/>
          <w:kern w:val="2"/>
          <w:szCs w:val="28"/>
        </w:rPr>
        <w:t>逐步建设专供工业用水的水厂。按照分质供水的基本思路，在市开发区、沿沪产业带和吴淞江工业园区等工业用水特别集中的区域，由所在区域管理机构负责组织建设专供工业用水的水厂，铺设专门的供水管网，解决所需的工业用水，缓解快速增长的供水需求对饮用水水源的压力。污水处理厂的中水经适当处理后也可用于工业用水的水源。</w:t>
      </w:r>
    </w:p>
    <w:p>
      <w:pPr>
        <w:adjustRightInd/>
        <w:snapToGrid/>
        <w:spacing w:line="500" w:lineRule="exact"/>
        <w:ind w:firstLine="586" w:firstLineChars="200"/>
        <w:rPr>
          <w:b/>
          <w:spacing w:val="6"/>
          <w:kern w:val="2"/>
          <w:szCs w:val="28"/>
        </w:rPr>
      </w:pPr>
      <w:r>
        <w:rPr>
          <w:b/>
          <w:spacing w:val="6"/>
          <w:kern w:val="2"/>
          <w:szCs w:val="28"/>
        </w:rPr>
        <w:t>（3）中水子系统应用</w:t>
      </w:r>
    </w:p>
    <w:p>
      <w:pPr>
        <w:adjustRightInd/>
        <w:snapToGrid/>
        <w:spacing w:line="500" w:lineRule="exact"/>
        <w:ind w:firstLine="584" w:firstLineChars="200"/>
        <w:rPr>
          <w:spacing w:val="6"/>
          <w:kern w:val="2"/>
          <w:szCs w:val="28"/>
        </w:rPr>
      </w:pPr>
      <w:r>
        <w:rPr>
          <w:spacing w:val="6"/>
          <w:kern w:val="2"/>
          <w:szCs w:val="28"/>
        </w:rPr>
        <w:t>借鉴国内外中水系统成熟的研究成果，建立中水试点工程在不同情况下，需选择不同的工艺。要在城市推广中水系统，首先要搞好试点工作。从实用性出发，结合处理工艺的技术可行性与经济性，建设有代表性的中水系统，为将来的发展奠定基础。以下提出三种中水试点系统及其处理工艺流程：建立以宾馆、办公楼污水为水源的中水系统；建立以污水处理厂出水为水源的中水系统；建立小区中水工程。注意资源的有效利用，增加必要的贮存和处理设施，使其形成“供给-排放-贮存-处理-回用”的循环系统。小区绿化、景观、洗车、道路喷洒、公共卫生等用水应使用中水，使用量应达到小区用水量的30%。规划期内要逐步扩大中水回用的规模，在企业、园区、全市各个层面上积极开发中水回用的技术。</w:t>
      </w:r>
    </w:p>
    <w:p>
      <w:pPr>
        <w:adjustRightInd/>
        <w:snapToGrid/>
        <w:spacing w:line="500" w:lineRule="exact"/>
        <w:ind w:firstLine="586" w:firstLineChars="200"/>
        <w:rPr>
          <w:b/>
          <w:spacing w:val="6"/>
          <w:kern w:val="2"/>
          <w:szCs w:val="28"/>
        </w:rPr>
      </w:pPr>
      <w:r>
        <w:rPr>
          <w:b/>
          <w:spacing w:val="6"/>
          <w:kern w:val="2"/>
          <w:szCs w:val="28"/>
        </w:rPr>
        <w:t>（4）雨水回收与利用</w:t>
      </w:r>
    </w:p>
    <w:p>
      <w:pPr>
        <w:adjustRightInd/>
        <w:snapToGrid/>
        <w:spacing w:line="500" w:lineRule="exact"/>
        <w:ind w:firstLine="584" w:firstLineChars="200"/>
        <w:rPr>
          <w:spacing w:val="6"/>
          <w:kern w:val="2"/>
          <w:szCs w:val="28"/>
        </w:rPr>
      </w:pPr>
      <w:r>
        <w:rPr>
          <w:spacing w:val="6"/>
          <w:kern w:val="2"/>
          <w:szCs w:val="28"/>
        </w:rPr>
        <w:t>生态社区必须是雨、污分流制，要求雨水合理利用。社区建设要结合小区实际情况，有效收集、贮存、净化及利用屋顶雨水，在一定范围内作为非饮用水并进入中水系统作为中水利用。社区雨水通过绿地草坪，最大限度增加雨水的自然渗透，补给地下水。</w:t>
      </w:r>
    </w:p>
    <w:p>
      <w:pPr>
        <w:pStyle w:val="5"/>
        <w:ind w:left="0"/>
        <w:rPr>
          <w:rFonts w:eastAsia="仿宋_GB2312"/>
        </w:rPr>
      </w:pPr>
      <w:r>
        <w:rPr>
          <w:rFonts w:eastAsia="仿宋_GB2312"/>
        </w:rPr>
        <w:t>5.2.2.2 加快污水厂建设，实施雨污分流</w:t>
      </w:r>
    </w:p>
    <w:p>
      <w:pPr>
        <w:adjustRightInd/>
        <w:snapToGrid/>
        <w:spacing w:line="500" w:lineRule="exact"/>
        <w:ind w:firstLine="584" w:firstLineChars="200"/>
        <w:rPr>
          <w:spacing w:val="6"/>
          <w:kern w:val="2"/>
          <w:szCs w:val="28"/>
        </w:rPr>
      </w:pPr>
      <w:r>
        <w:rPr>
          <w:spacing w:val="6"/>
          <w:kern w:val="2"/>
          <w:szCs w:val="28"/>
        </w:rPr>
        <w:t>推进城镇污水处理设施全覆盖。进一步加快污水处理厂及其配套污水截流管网建设，确保污水管网与污水处理厂同步建设</w:t>
      </w:r>
      <w:r>
        <w:rPr>
          <w:rFonts w:hint="eastAsia"/>
          <w:spacing w:val="6"/>
          <w:kern w:val="2"/>
          <w:szCs w:val="28"/>
        </w:rPr>
        <w:t>，</w:t>
      </w:r>
      <w:r>
        <w:rPr>
          <w:spacing w:val="6"/>
          <w:kern w:val="2"/>
          <w:szCs w:val="28"/>
        </w:rPr>
        <w:t>确保污水处理厂的稳定运行</w:t>
      </w:r>
      <w:r>
        <w:rPr>
          <w:rFonts w:hint="eastAsia"/>
          <w:spacing w:val="6"/>
          <w:kern w:val="2"/>
          <w:szCs w:val="28"/>
        </w:rPr>
        <w:t>，</w:t>
      </w:r>
      <w:r>
        <w:rPr>
          <w:spacing w:val="6"/>
          <w:kern w:val="2"/>
          <w:szCs w:val="28"/>
        </w:rPr>
        <w:t>确保污水处理工艺与废水性质相适应，确保接管废水满足接管标准要求，鼓励有条件的开发区和企业建设中水回用系统。</w:t>
      </w:r>
    </w:p>
    <w:p>
      <w:pPr>
        <w:adjustRightInd/>
        <w:snapToGrid/>
        <w:spacing w:line="500" w:lineRule="exact"/>
        <w:ind w:firstLine="584" w:firstLineChars="200"/>
        <w:rPr>
          <w:spacing w:val="6"/>
          <w:kern w:val="2"/>
          <w:szCs w:val="28"/>
        </w:rPr>
      </w:pPr>
      <w:r>
        <w:rPr>
          <w:spacing w:val="6"/>
          <w:kern w:val="2"/>
          <w:szCs w:val="28"/>
        </w:rPr>
        <w:t>全面实施城区雨污分流，消除城市生活污水直接排放城市河道的现象，新增处理能力</w:t>
      </w:r>
      <w:r>
        <w:rPr>
          <w:rFonts w:hint="eastAsia"/>
          <w:spacing w:val="6"/>
          <w:kern w:val="2"/>
          <w:szCs w:val="28"/>
        </w:rPr>
        <w:t>19.5</w:t>
      </w:r>
      <w:r>
        <w:rPr>
          <w:spacing w:val="6"/>
          <w:kern w:val="2"/>
          <w:szCs w:val="28"/>
        </w:rPr>
        <w:t>万吨/日，在扩建污水处理厂的同时，同步配套铺设污水收集管网。规划到2015年，城</w:t>
      </w:r>
      <w:r>
        <w:rPr>
          <w:rFonts w:hint="eastAsia"/>
          <w:spacing w:val="6"/>
          <w:kern w:val="2"/>
          <w:szCs w:val="28"/>
        </w:rPr>
        <w:t>区</w:t>
      </w:r>
      <w:r>
        <w:rPr>
          <w:spacing w:val="6"/>
          <w:kern w:val="2"/>
          <w:szCs w:val="28"/>
        </w:rPr>
        <w:t>、</w:t>
      </w:r>
      <w:r>
        <w:rPr>
          <w:rFonts w:hint="eastAsia"/>
          <w:spacing w:val="6"/>
          <w:kern w:val="2"/>
          <w:szCs w:val="28"/>
        </w:rPr>
        <w:t>乡镇</w:t>
      </w:r>
      <w:r>
        <w:rPr>
          <w:spacing w:val="6"/>
          <w:kern w:val="2"/>
          <w:szCs w:val="28"/>
        </w:rPr>
        <w:t>污水收集处理率分别达到</w:t>
      </w:r>
      <w:r>
        <w:rPr>
          <w:rFonts w:hint="eastAsia"/>
          <w:spacing w:val="6"/>
          <w:kern w:val="2"/>
          <w:szCs w:val="28"/>
        </w:rPr>
        <w:t>98</w:t>
      </w:r>
      <w:r>
        <w:rPr>
          <w:spacing w:val="6"/>
          <w:kern w:val="2"/>
          <w:szCs w:val="28"/>
        </w:rPr>
        <w:t>%、</w:t>
      </w:r>
      <w:r>
        <w:rPr>
          <w:rFonts w:hint="eastAsia"/>
          <w:spacing w:val="6"/>
          <w:kern w:val="2"/>
          <w:szCs w:val="28"/>
        </w:rPr>
        <w:t>9</w:t>
      </w:r>
      <w:r>
        <w:rPr>
          <w:spacing w:val="6"/>
          <w:kern w:val="2"/>
          <w:szCs w:val="28"/>
        </w:rPr>
        <w:t>0%。</w:t>
      </w:r>
    </w:p>
    <w:p>
      <w:pPr>
        <w:adjustRightInd/>
        <w:snapToGrid/>
        <w:spacing w:line="500" w:lineRule="exact"/>
        <w:ind w:firstLine="584" w:firstLineChars="200"/>
        <w:rPr>
          <w:rFonts w:hint="eastAsia"/>
          <w:spacing w:val="6"/>
          <w:kern w:val="2"/>
          <w:szCs w:val="28"/>
        </w:rPr>
      </w:pPr>
      <w:r>
        <w:rPr>
          <w:spacing w:val="6"/>
          <w:kern w:val="2"/>
          <w:szCs w:val="28"/>
        </w:rPr>
        <w:t>加快推进污水处理厂</w:t>
      </w:r>
      <w:r>
        <w:rPr>
          <w:rFonts w:hint="eastAsia"/>
          <w:spacing w:val="6"/>
          <w:kern w:val="2"/>
          <w:szCs w:val="28"/>
        </w:rPr>
        <w:t>、工业企业</w:t>
      </w:r>
      <w:r>
        <w:rPr>
          <w:spacing w:val="6"/>
          <w:kern w:val="2"/>
          <w:szCs w:val="28"/>
        </w:rPr>
        <w:t>提标技术改造和中水回用工程建设</w:t>
      </w:r>
      <w:r>
        <w:rPr>
          <w:rFonts w:hint="eastAsia"/>
          <w:spacing w:val="6"/>
          <w:kern w:val="2"/>
          <w:szCs w:val="28"/>
        </w:rPr>
        <w:t>。</w:t>
      </w:r>
      <w:r>
        <w:rPr>
          <w:spacing w:val="6"/>
          <w:kern w:val="2"/>
          <w:szCs w:val="28"/>
        </w:rPr>
        <w:t>结合污水集中处理工程建设，加快推进中水回用工程建设，建立以蓬朗污水处理厂中水回用为典范的中水系统，中水用于</w:t>
      </w:r>
      <w:r>
        <w:rPr>
          <w:rFonts w:hint="eastAsia"/>
          <w:spacing w:val="6"/>
          <w:kern w:val="2"/>
          <w:szCs w:val="28"/>
        </w:rPr>
        <w:t>工业企业、</w:t>
      </w:r>
      <w:r>
        <w:rPr>
          <w:spacing w:val="6"/>
          <w:kern w:val="2"/>
          <w:szCs w:val="28"/>
        </w:rPr>
        <w:t>道路喷洒、景观等。</w:t>
      </w:r>
    </w:p>
    <w:p>
      <w:pPr>
        <w:adjustRightInd/>
        <w:snapToGrid/>
        <w:spacing w:line="500" w:lineRule="exact"/>
        <w:jc w:val="center"/>
        <w:rPr>
          <w:rFonts w:hint="eastAsia"/>
          <w:spacing w:val="6"/>
          <w:kern w:val="2"/>
          <w:szCs w:val="28"/>
        </w:rPr>
      </w:pPr>
      <w:r>
        <w:rPr>
          <w:spacing w:val="6"/>
          <w:kern w:val="2"/>
          <w:szCs w:val="28"/>
        </w:rPr>
        <w:t>表5.2-1 昆山市污水处理厂</w:t>
      </w:r>
      <w:r>
        <w:rPr>
          <w:rFonts w:hint="eastAsia"/>
          <w:spacing w:val="6"/>
          <w:kern w:val="2"/>
          <w:szCs w:val="28"/>
        </w:rPr>
        <w:t>“十二五”期间</w:t>
      </w:r>
      <w:r>
        <w:rPr>
          <w:spacing w:val="6"/>
          <w:kern w:val="2"/>
          <w:szCs w:val="28"/>
        </w:rPr>
        <w:t>规划建设一览表</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44"/>
        <w:gridCol w:w="3251"/>
        <w:gridCol w:w="46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blHeader/>
          <w:jc w:val="center"/>
        </w:trPr>
        <w:tc>
          <w:tcPr>
            <w:tcW w:w="267" w:type="pct"/>
            <w:noWrap w:val="0"/>
            <w:vAlign w:val="center"/>
          </w:tcPr>
          <w:p>
            <w:pPr>
              <w:spacing w:line="240" w:lineRule="auto"/>
              <w:jc w:val="center"/>
              <w:rPr>
                <w:b/>
                <w:bCs/>
                <w:spacing w:val="6"/>
                <w:sz w:val="21"/>
                <w:szCs w:val="21"/>
              </w:rPr>
            </w:pPr>
            <w:r>
              <w:rPr>
                <w:b/>
                <w:bCs/>
                <w:spacing w:val="6"/>
                <w:sz w:val="21"/>
                <w:szCs w:val="21"/>
              </w:rPr>
              <w:t>序号</w:t>
            </w:r>
          </w:p>
        </w:tc>
        <w:tc>
          <w:tcPr>
            <w:tcW w:w="1953" w:type="pct"/>
            <w:noWrap w:val="0"/>
            <w:vAlign w:val="center"/>
          </w:tcPr>
          <w:p>
            <w:pPr>
              <w:spacing w:line="240" w:lineRule="auto"/>
              <w:jc w:val="center"/>
              <w:rPr>
                <w:b/>
                <w:bCs/>
                <w:spacing w:val="6"/>
                <w:sz w:val="21"/>
                <w:szCs w:val="21"/>
              </w:rPr>
            </w:pPr>
            <w:r>
              <w:rPr>
                <w:b/>
                <w:bCs/>
                <w:spacing w:val="6"/>
                <w:sz w:val="21"/>
                <w:szCs w:val="21"/>
              </w:rPr>
              <w:t>工程名称</w:t>
            </w:r>
          </w:p>
        </w:tc>
        <w:tc>
          <w:tcPr>
            <w:tcW w:w="2780" w:type="pct"/>
            <w:noWrap w:val="0"/>
            <w:vAlign w:val="center"/>
          </w:tcPr>
          <w:p>
            <w:pPr>
              <w:spacing w:line="240" w:lineRule="auto"/>
              <w:jc w:val="center"/>
              <w:rPr>
                <w:b/>
                <w:bCs/>
                <w:spacing w:val="6"/>
                <w:sz w:val="21"/>
                <w:szCs w:val="21"/>
              </w:rPr>
            </w:pPr>
            <w:r>
              <w:rPr>
                <w:b/>
                <w:bCs/>
                <w:spacing w:val="6"/>
                <w:sz w:val="21"/>
                <w:szCs w:val="21"/>
              </w:rPr>
              <w:t>主要建设内容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267" w:type="pct"/>
            <w:noWrap w:val="0"/>
            <w:vAlign w:val="center"/>
          </w:tcPr>
          <w:p>
            <w:pPr>
              <w:spacing w:line="240" w:lineRule="auto"/>
              <w:jc w:val="center"/>
              <w:rPr>
                <w:bCs/>
                <w:spacing w:val="6"/>
                <w:sz w:val="21"/>
                <w:szCs w:val="21"/>
              </w:rPr>
            </w:pPr>
            <w:r>
              <w:rPr>
                <w:bCs/>
                <w:spacing w:val="6"/>
                <w:sz w:val="21"/>
                <w:szCs w:val="21"/>
              </w:rPr>
              <w:t>1</w:t>
            </w:r>
          </w:p>
        </w:tc>
        <w:tc>
          <w:tcPr>
            <w:tcW w:w="1953" w:type="pct"/>
            <w:noWrap w:val="0"/>
            <w:vAlign w:val="center"/>
          </w:tcPr>
          <w:p>
            <w:pPr>
              <w:spacing w:line="240" w:lineRule="auto"/>
              <w:jc w:val="center"/>
              <w:rPr>
                <w:rFonts w:hint="eastAsia"/>
                <w:spacing w:val="6"/>
                <w:sz w:val="21"/>
                <w:szCs w:val="21"/>
              </w:rPr>
            </w:pPr>
            <w:r>
              <w:rPr>
                <w:rFonts w:hint="eastAsia"/>
                <w:kern w:val="0"/>
                <w:sz w:val="21"/>
                <w:szCs w:val="21"/>
              </w:rPr>
              <w:t>昆山经济技术开发区</w:t>
            </w:r>
            <w:r>
              <w:rPr>
                <w:spacing w:val="6"/>
                <w:sz w:val="21"/>
                <w:szCs w:val="21"/>
              </w:rPr>
              <w:t>污水厂扩建</w:t>
            </w:r>
            <w:r>
              <w:rPr>
                <w:rFonts w:hint="eastAsia"/>
                <w:spacing w:val="6"/>
                <w:sz w:val="21"/>
                <w:szCs w:val="21"/>
              </w:rPr>
              <w:t>及管网配套</w:t>
            </w:r>
          </w:p>
        </w:tc>
        <w:tc>
          <w:tcPr>
            <w:tcW w:w="2780" w:type="pct"/>
            <w:noWrap w:val="0"/>
            <w:vAlign w:val="center"/>
          </w:tcPr>
          <w:p>
            <w:pPr>
              <w:spacing w:line="240" w:lineRule="auto"/>
              <w:jc w:val="center"/>
              <w:rPr>
                <w:spacing w:val="6"/>
                <w:sz w:val="21"/>
                <w:szCs w:val="21"/>
              </w:rPr>
            </w:pPr>
            <w:r>
              <w:rPr>
                <w:spacing w:val="6"/>
                <w:sz w:val="21"/>
                <w:szCs w:val="21"/>
              </w:rPr>
              <w:t>扩建</w:t>
            </w:r>
            <w:r>
              <w:rPr>
                <w:kern w:val="0"/>
                <w:sz w:val="21"/>
                <w:szCs w:val="21"/>
              </w:rPr>
              <w:t>蓬朗污水处理厂</w:t>
            </w:r>
            <w:r>
              <w:rPr>
                <w:rFonts w:hint="eastAsia"/>
                <w:kern w:val="0"/>
                <w:sz w:val="21"/>
                <w:szCs w:val="21"/>
              </w:rPr>
              <w:t>2</w:t>
            </w:r>
            <w:r>
              <w:rPr>
                <w:rFonts w:hint="eastAsia"/>
                <w:spacing w:val="6"/>
                <w:sz w:val="21"/>
                <w:szCs w:val="21"/>
              </w:rPr>
              <w:t>万吨/日，配套污水管网100公里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267" w:type="pct"/>
            <w:noWrap w:val="0"/>
            <w:vAlign w:val="center"/>
          </w:tcPr>
          <w:p>
            <w:pPr>
              <w:spacing w:line="240" w:lineRule="auto"/>
              <w:jc w:val="center"/>
              <w:rPr>
                <w:rFonts w:hint="eastAsia"/>
                <w:bCs/>
                <w:spacing w:val="6"/>
                <w:sz w:val="21"/>
                <w:szCs w:val="21"/>
              </w:rPr>
            </w:pPr>
            <w:r>
              <w:rPr>
                <w:rFonts w:hint="eastAsia"/>
                <w:bCs/>
                <w:spacing w:val="6"/>
                <w:sz w:val="21"/>
                <w:szCs w:val="21"/>
              </w:rPr>
              <w:t>2</w:t>
            </w:r>
          </w:p>
        </w:tc>
        <w:tc>
          <w:tcPr>
            <w:tcW w:w="1953" w:type="pct"/>
            <w:noWrap w:val="0"/>
            <w:vAlign w:val="center"/>
          </w:tcPr>
          <w:p>
            <w:pPr>
              <w:spacing w:line="240" w:lineRule="auto"/>
              <w:jc w:val="center"/>
              <w:rPr>
                <w:rFonts w:hint="eastAsia"/>
                <w:spacing w:val="6"/>
                <w:sz w:val="21"/>
                <w:szCs w:val="21"/>
              </w:rPr>
            </w:pPr>
            <w:r>
              <w:rPr>
                <w:rFonts w:hint="eastAsia"/>
                <w:spacing w:val="6"/>
                <w:sz w:val="21"/>
                <w:szCs w:val="21"/>
              </w:rPr>
              <w:t>花桥污水处理厂迁建及管网改造工程</w:t>
            </w:r>
          </w:p>
        </w:tc>
        <w:tc>
          <w:tcPr>
            <w:tcW w:w="2780" w:type="pct"/>
            <w:noWrap w:val="0"/>
            <w:vAlign w:val="center"/>
          </w:tcPr>
          <w:p>
            <w:pPr>
              <w:spacing w:line="240" w:lineRule="auto"/>
              <w:jc w:val="center"/>
              <w:rPr>
                <w:rFonts w:hint="eastAsia"/>
                <w:spacing w:val="6"/>
                <w:sz w:val="21"/>
                <w:szCs w:val="21"/>
              </w:rPr>
            </w:pPr>
            <w:r>
              <w:rPr>
                <w:rFonts w:hint="eastAsia"/>
                <w:spacing w:val="6"/>
                <w:sz w:val="21"/>
                <w:szCs w:val="21"/>
              </w:rPr>
              <w:t>花园路东国道北新建污水处理厂，改造相应配套管网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267" w:type="pct"/>
            <w:noWrap w:val="0"/>
            <w:vAlign w:val="center"/>
          </w:tcPr>
          <w:p>
            <w:pPr>
              <w:spacing w:line="240" w:lineRule="auto"/>
              <w:jc w:val="center"/>
              <w:rPr>
                <w:rFonts w:hint="eastAsia"/>
                <w:bCs/>
                <w:spacing w:val="6"/>
                <w:sz w:val="21"/>
                <w:szCs w:val="21"/>
              </w:rPr>
            </w:pPr>
            <w:r>
              <w:rPr>
                <w:rFonts w:hint="eastAsia"/>
                <w:bCs/>
                <w:spacing w:val="6"/>
                <w:sz w:val="21"/>
                <w:szCs w:val="21"/>
              </w:rPr>
              <w:t>3</w:t>
            </w:r>
          </w:p>
        </w:tc>
        <w:tc>
          <w:tcPr>
            <w:tcW w:w="1953" w:type="pct"/>
            <w:noWrap w:val="0"/>
            <w:vAlign w:val="center"/>
          </w:tcPr>
          <w:p>
            <w:pPr>
              <w:spacing w:line="240" w:lineRule="auto"/>
              <w:jc w:val="center"/>
              <w:rPr>
                <w:rFonts w:hint="eastAsia"/>
                <w:spacing w:val="6"/>
                <w:sz w:val="21"/>
                <w:szCs w:val="21"/>
              </w:rPr>
            </w:pPr>
            <w:r>
              <w:rPr>
                <w:rFonts w:hint="eastAsia"/>
                <w:spacing w:val="6"/>
                <w:sz w:val="21"/>
                <w:szCs w:val="21"/>
              </w:rPr>
              <w:t>玉山污水管网建设及生活小区污水截留</w:t>
            </w:r>
          </w:p>
        </w:tc>
        <w:tc>
          <w:tcPr>
            <w:tcW w:w="2780" w:type="pct"/>
            <w:noWrap w:val="0"/>
            <w:vAlign w:val="center"/>
          </w:tcPr>
          <w:p>
            <w:pPr>
              <w:spacing w:line="240" w:lineRule="auto"/>
              <w:jc w:val="center"/>
              <w:rPr>
                <w:rFonts w:hint="eastAsia"/>
                <w:spacing w:val="6"/>
                <w:sz w:val="21"/>
                <w:szCs w:val="21"/>
              </w:rPr>
            </w:pPr>
            <w:r>
              <w:rPr>
                <w:rFonts w:hint="eastAsia"/>
                <w:spacing w:val="6"/>
                <w:sz w:val="21"/>
                <w:szCs w:val="21"/>
              </w:rPr>
              <w:t>建设污水管网及雨污分流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267" w:type="pct"/>
            <w:noWrap w:val="0"/>
            <w:vAlign w:val="center"/>
          </w:tcPr>
          <w:p>
            <w:pPr>
              <w:spacing w:line="240" w:lineRule="auto"/>
              <w:jc w:val="center"/>
              <w:rPr>
                <w:rFonts w:hint="eastAsia"/>
                <w:bCs/>
                <w:spacing w:val="6"/>
                <w:sz w:val="21"/>
                <w:szCs w:val="21"/>
              </w:rPr>
            </w:pPr>
            <w:r>
              <w:rPr>
                <w:rFonts w:hint="eastAsia"/>
                <w:bCs/>
                <w:spacing w:val="6"/>
                <w:sz w:val="21"/>
                <w:szCs w:val="21"/>
              </w:rPr>
              <w:t>4</w:t>
            </w:r>
          </w:p>
        </w:tc>
        <w:tc>
          <w:tcPr>
            <w:tcW w:w="1953" w:type="pct"/>
            <w:noWrap w:val="0"/>
            <w:vAlign w:val="center"/>
          </w:tcPr>
          <w:p>
            <w:pPr>
              <w:spacing w:line="240" w:lineRule="auto"/>
              <w:jc w:val="center"/>
              <w:rPr>
                <w:rFonts w:hint="eastAsia"/>
                <w:spacing w:val="6"/>
                <w:sz w:val="21"/>
                <w:szCs w:val="21"/>
              </w:rPr>
            </w:pPr>
            <w:r>
              <w:rPr>
                <w:rFonts w:hint="eastAsia"/>
                <w:spacing w:val="6"/>
                <w:sz w:val="21"/>
                <w:szCs w:val="21"/>
              </w:rPr>
              <w:t>张浦污水厂扩建及配套管网工程</w:t>
            </w:r>
          </w:p>
        </w:tc>
        <w:tc>
          <w:tcPr>
            <w:tcW w:w="2780" w:type="pct"/>
            <w:noWrap w:val="0"/>
            <w:vAlign w:val="center"/>
          </w:tcPr>
          <w:p>
            <w:pPr>
              <w:spacing w:line="240" w:lineRule="auto"/>
              <w:jc w:val="center"/>
              <w:rPr>
                <w:spacing w:val="6"/>
                <w:sz w:val="21"/>
                <w:szCs w:val="21"/>
              </w:rPr>
            </w:pPr>
            <w:r>
              <w:rPr>
                <w:rFonts w:hint="eastAsia"/>
                <w:spacing w:val="6"/>
                <w:sz w:val="21"/>
                <w:szCs w:val="21"/>
              </w:rPr>
              <w:t>新建规模1.75 万吨污水厂及配套管网79Km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267" w:type="pct"/>
            <w:noWrap w:val="0"/>
            <w:vAlign w:val="center"/>
          </w:tcPr>
          <w:p>
            <w:pPr>
              <w:spacing w:line="240" w:lineRule="auto"/>
              <w:jc w:val="center"/>
              <w:rPr>
                <w:rFonts w:hint="eastAsia"/>
                <w:bCs/>
                <w:spacing w:val="6"/>
                <w:sz w:val="21"/>
                <w:szCs w:val="21"/>
              </w:rPr>
            </w:pPr>
            <w:r>
              <w:rPr>
                <w:rFonts w:hint="eastAsia"/>
                <w:bCs/>
                <w:spacing w:val="6"/>
                <w:sz w:val="21"/>
                <w:szCs w:val="21"/>
              </w:rPr>
              <w:t>5</w:t>
            </w:r>
          </w:p>
        </w:tc>
        <w:tc>
          <w:tcPr>
            <w:tcW w:w="1953" w:type="pct"/>
            <w:noWrap w:val="0"/>
            <w:vAlign w:val="center"/>
          </w:tcPr>
          <w:p>
            <w:pPr>
              <w:spacing w:line="240" w:lineRule="auto"/>
              <w:jc w:val="center"/>
              <w:rPr>
                <w:rFonts w:hint="eastAsia"/>
                <w:spacing w:val="6"/>
                <w:sz w:val="21"/>
                <w:szCs w:val="21"/>
              </w:rPr>
            </w:pPr>
            <w:r>
              <w:rPr>
                <w:rFonts w:hint="eastAsia"/>
                <w:spacing w:val="6"/>
                <w:sz w:val="21"/>
                <w:szCs w:val="21"/>
              </w:rPr>
              <w:t>周市污水管网建设</w:t>
            </w:r>
          </w:p>
        </w:tc>
        <w:tc>
          <w:tcPr>
            <w:tcW w:w="2780" w:type="pct"/>
            <w:noWrap w:val="0"/>
            <w:vAlign w:val="center"/>
          </w:tcPr>
          <w:p>
            <w:pPr>
              <w:spacing w:line="240" w:lineRule="auto"/>
              <w:jc w:val="center"/>
              <w:rPr>
                <w:spacing w:val="6"/>
                <w:sz w:val="21"/>
                <w:szCs w:val="21"/>
              </w:rPr>
            </w:pPr>
            <w:r>
              <w:rPr>
                <w:rFonts w:hint="eastAsia"/>
                <w:spacing w:val="6"/>
                <w:sz w:val="21"/>
                <w:szCs w:val="21"/>
              </w:rPr>
              <w:t>新建管网85Km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267" w:type="pct"/>
            <w:noWrap w:val="0"/>
            <w:vAlign w:val="center"/>
          </w:tcPr>
          <w:p>
            <w:pPr>
              <w:spacing w:line="240" w:lineRule="auto"/>
              <w:jc w:val="center"/>
              <w:rPr>
                <w:rFonts w:hint="eastAsia"/>
                <w:bCs/>
                <w:spacing w:val="6"/>
                <w:sz w:val="21"/>
                <w:szCs w:val="21"/>
              </w:rPr>
            </w:pPr>
            <w:r>
              <w:rPr>
                <w:rFonts w:hint="eastAsia"/>
                <w:bCs/>
                <w:spacing w:val="6"/>
                <w:sz w:val="21"/>
                <w:szCs w:val="21"/>
              </w:rPr>
              <w:t>6</w:t>
            </w:r>
          </w:p>
        </w:tc>
        <w:tc>
          <w:tcPr>
            <w:tcW w:w="1953" w:type="pct"/>
            <w:noWrap w:val="0"/>
            <w:vAlign w:val="center"/>
          </w:tcPr>
          <w:p>
            <w:pPr>
              <w:spacing w:line="240" w:lineRule="auto"/>
              <w:jc w:val="center"/>
              <w:rPr>
                <w:rFonts w:hint="eastAsia"/>
                <w:spacing w:val="6"/>
                <w:sz w:val="21"/>
                <w:szCs w:val="21"/>
              </w:rPr>
            </w:pPr>
            <w:r>
              <w:rPr>
                <w:rFonts w:hint="eastAsia"/>
                <w:spacing w:val="6"/>
                <w:sz w:val="21"/>
                <w:szCs w:val="21"/>
              </w:rPr>
              <w:t>陆家污水管网建设</w:t>
            </w:r>
          </w:p>
        </w:tc>
        <w:tc>
          <w:tcPr>
            <w:tcW w:w="2780" w:type="pct"/>
            <w:noWrap w:val="0"/>
            <w:vAlign w:val="center"/>
          </w:tcPr>
          <w:p>
            <w:pPr>
              <w:spacing w:line="240" w:lineRule="auto"/>
              <w:jc w:val="center"/>
              <w:rPr>
                <w:rFonts w:hint="eastAsia"/>
                <w:spacing w:val="6"/>
                <w:sz w:val="21"/>
                <w:szCs w:val="21"/>
              </w:rPr>
            </w:pPr>
            <w:r>
              <w:rPr>
                <w:rFonts w:hint="eastAsia"/>
                <w:spacing w:val="6"/>
                <w:sz w:val="21"/>
                <w:szCs w:val="21"/>
              </w:rPr>
              <w:t>新建污水管网20公里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267" w:type="pct"/>
            <w:noWrap w:val="0"/>
            <w:vAlign w:val="center"/>
          </w:tcPr>
          <w:p>
            <w:pPr>
              <w:spacing w:line="240" w:lineRule="auto"/>
              <w:jc w:val="center"/>
              <w:rPr>
                <w:rFonts w:hint="eastAsia"/>
                <w:bCs/>
                <w:spacing w:val="6"/>
                <w:sz w:val="21"/>
                <w:szCs w:val="21"/>
              </w:rPr>
            </w:pPr>
            <w:r>
              <w:rPr>
                <w:rFonts w:hint="eastAsia"/>
                <w:bCs/>
                <w:spacing w:val="6"/>
                <w:sz w:val="21"/>
                <w:szCs w:val="21"/>
              </w:rPr>
              <w:t>7</w:t>
            </w:r>
          </w:p>
        </w:tc>
        <w:tc>
          <w:tcPr>
            <w:tcW w:w="1953" w:type="pct"/>
            <w:noWrap w:val="0"/>
            <w:vAlign w:val="center"/>
          </w:tcPr>
          <w:p>
            <w:pPr>
              <w:spacing w:line="240" w:lineRule="auto"/>
              <w:jc w:val="center"/>
              <w:rPr>
                <w:rFonts w:hint="eastAsia"/>
                <w:spacing w:val="6"/>
                <w:sz w:val="21"/>
                <w:szCs w:val="21"/>
              </w:rPr>
            </w:pPr>
            <w:r>
              <w:rPr>
                <w:rFonts w:hint="eastAsia"/>
                <w:spacing w:val="6"/>
                <w:sz w:val="21"/>
                <w:szCs w:val="21"/>
              </w:rPr>
              <w:t>巴城污水厂扩建及管网配套</w:t>
            </w:r>
          </w:p>
        </w:tc>
        <w:tc>
          <w:tcPr>
            <w:tcW w:w="2780" w:type="pct"/>
            <w:noWrap w:val="0"/>
            <w:vAlign w:val="center"/>
          </w:tcPr>
          <w:p>
            <w:pPr>
              <w:spacing w:line="240" w:lineRule="auto"/>
              <w:jc w:val="center"/>
              <w:rPr>
                <w:rFonts w:hint="eastAsia"/>
                <w:spacing w:val="6"/>
                <w:sz w:val="21"/>
                <w:szCs w:val="21"/>
              </w:rPr>
            </w:pPr>
            <w:r>
              <w:rPr>
                <w:rFonts w:hint="eastAsia"/>
                <w:kern w:val="0"/>
                <w:sz w:val="21"/>
                <w:szCs w:val="21"/>
              </w:rPr>
              <w:t>扩建</w:t>
            </w:r>
            <w:r>
              <w:rPr>
                <w:kern w:val="0"/>
                <w:sz w:val="21"/>
                <w:szCs w:val="21"/>
              </w:rPr>
              <w:t>巴城澄源污水处理厂</w:t>
            </w:r>
            <w:r>
              <w:rPr>
                <w:rFonts w:hint="eastAsia"/>
                <w:kern w:val="0"/>
                <w:sz w:val="21"/>
                <w:szCs w:val="21"/>
              </w:rPr>
              <w:t>1.25万吨及配套管网150公里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267" w:type="pct"/>
            <w:noWrap w:val="0"/>
            <w:vAlign w:val="center"/>
          </w:tcPr>
          <w:p>
            <w:pPr>
              <w:spacing w:line="240" w:lineRule="auto"/>
              <w:jc w:val="center"/>
              <w:rPr>
                <w:rFonts w:hint="eastAsia"/>
                <w:bCs/>
                <w:spacing w:val="6"/>
                <w:sz w:val="21"/>
                <w:szCs w:val="21"/>
              </w:rPr>
            </w:pPr>
            <w:r>
              <w:rPr>
                <w:rFonts w:hint="eastAsia"/>
                <w:bCs/>
                <w:spacing w:val="6"/>
                <w:sz w:val="21"/>
                <w:szCs w:val="21"/>
              </w:rPr>
              <w:t>8</w:t>
            </w:r>
          </w:p>
        </w:tc>
        <w:tc>
          <w:tcPr>
            <w:tcW w:w="1953" w:type="pct"/>
            <w:noWrap w:val="0"/>
            <w:vAlign w:val="center"/>
          </w:tcPr>
          <w:p>
            <w:pPr>
              <w:spacing w:line="240" w:lineRule="auto"/>
              <w:jc w:val="center"/>
              <w:rPr>
                <w:rFonts w:hint="eastAsia"/>
                <w:spacing w:val="6"/>
                <w:sz w:val="21"/>
                <w:szCs w:val="21"/>
              </w:rPr>
            </w:pPr>
            <w:r>
              <w:rPr>
                <w:rFonts w:hint="eastAsia"/>
                <w:spacing w:val="6"/>
                <w:sz w:val="21"/>
                <w:szCs w:val="21"/>
              </w:rPr>
              <w:t>千灯污水厂扩建及管网配套</w:t>
            </w:r>
          </w:p>
        </w:tc>
        <w:tc>
          <w:tcPr>
            <w:tcW w:w="2780" w:type="pct"/>
            <w:noWrap w:val="0"/>
            <w:vAlign w:val="center"/>
          </w:tcPr>
          <w:p>
            <w:pPr>
              <w:spacing w:line="240" w:lineRule="auto"/>
              <w:jc w:val="center"/>
              <w:rPr>
                <w:rFonts w:hint="eastAsia"/>
                <w:spacing w:val="6"/>
                <w:sz w:val="21"/>
                <w:szCs w:val="21"/>
              </w:rPr>
            </w:pPr>
            <w:r>
              <w:rPr>
                <w:rFonts w:hint="eastAsia"/>
                <w:spacing w:val="6"/>
                <w:sz w:val="21"/>
                <w:szCs w:val="21"/>
              </w:rPr>
              <w:t>污水厂扩建6万吨/日，配套管网95公里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267" w:type="pct"/>
            <w:noWrap w:val="0"/>
            <w:vAlign w:val="center"/>
          </w:tcPr>
          <w:p>
            <w:pPr>
              <w:spacing w:line="240" w:lineRule="auto"/>
              <w:jc w:val="center"/>
              <w:rPr>
                <w:rFonts w:hint="eastAsia"/>
                <w:bCs/>
                <w:spacing w:val="6"/>
                <w:sz w:val="21"/>
                <w:szCs w:val="21"/>
              </w:rPr>
            </w:pPr>
            <w:r>
              <w:rPr>
                <w:rFonts w:hint="eastAsia"/>
                <w:bCs/>
                <w:spacing w:val="6"/>
                <w:sz w:val="21"/>
                <w:szCs w:val="21"/>
              </w:rPr>
              <w:t>9</w:t>
            </w:r>
          </w:p>
        </w:tc>
        <w:tc>
          <w:tcPr>
            <w:tcW w:w="1953" w:type="pct"/>
            <w:noWrap w:val="0"/>
            <w:vAlign w:val="center"/>
          </w:tcPr>
          <w:p>
            <w:pPr>
              <w:spacing w:line="240" w:lineRule="auto"/>
              <w:jc w:val="center"/>
              <w:rPr>
                <w:rFonts w:hint="eastAsia"/>
                <w:spacing w:val="6"/>
                <w:sz w:val="21"/>
                <w:szCs w:val="21"/>
              </w:rPr>
            </w:pPr>
            <w:r>
              <w:rPr>
                <w:rFonts w:hint="eastAsia"/>
                <w:spacing w:val="6"/>
                <w:sz w:val="21"/>
                <w:szCs w:val="21"/>
              </w:rPr>
              <w:t>淀山湖污水厂扩建及管网配套</w:t>
            </w:r>
          </w:p>
        </w:tc>
        <w:tc>
          <w:tcPr>
            <w:tcW w:w="2780" w:type="pct"/>
            <w:noWrap w:val="0"/>
            <w:vAlign w:val="center"/>
          </w:tcPr>
          <w:p>
            <w:pPr>
              <w:spacing w:line="240" w:lineRule="auto"/>
              <w:jc w:val="center"/>
              <w:rPr>
                <w:spacing w:val="6"/>
                <w:sz w:val="21"/>
                <w:szCs w:val="21"/>
              </w:rPr>
            </w:pPr>
            <w:r>
              <w:rPr>
                <w:rFonts w:hint="eastAsia"/>
                <w:spacing w:val="6"/>
                <w:sz w:val="21"/>
                <w:szCs w:val="21"/>
              </w:rPr>
              <w:t>污水厂扩建3万吨/日及配套管网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267" w:type="pct"/>
            <w:noWrap w:val="0"/>
            <w:vAlign w:val="center"/>
          </w:tcPr>
          <w:p>
            <w:pPr>
              <w:spacing w:line="240" w:lineRule="auto"/>
              <w:jc w:val="center"/>
              <w:rPr>
                <w:rFonts w:hint="eastAsia"/>
                <w:bCs/>
                <w:spacing w:val="6"/>
                <w:sz w:val="21"/>
                <w:szCs w:val="21"/>
              </w:rPr>
            </w:pPr>
            <w:r>
              <w:rPr>
                <w:rFonts w:hint="eastAsia"/>
                <w:bCs/>
                <w:spacing w:val="6"/>
                <w:sz w:val="21"/>
                <w:szCs w:val="21"/>
              </w:rPr>
              <w:t>10</w:t>
            </w:r>
          </w:p>
        </w:tc>
        <w:tc>
          <w:tcPr>
            <w:tcW w:w="1953" w:type="pct"/>
            <w:noWrap w:val="0"/>
            <w:vAlign w:val="center"/>
          </w:tcPr>
          <w:p>
            <w:pPr>
              <w:spacing w:line="240" w:lineRule="auto"/>
              <w:jc w:val="center"/>
              <w:rPr>
                <w:spacing w:val="6"/>
                <w:sz w:val="21"/>
                <w:szCs w:val="21"/>
              </w:rPr>
            </w:pPr>
            <w:r>
              <w:rPr>
                <w:rFonts w:hint="eastAsia"/>
                <w:spacing w:val="6"/>
                <w:sz w:val="21"/>
                <w:szCs w:val="21"/>
              </w:rPr>
              <w:t>锦溪污水厂扩建及管网建设工程</w:t>
            </w:r>
          </w:p>
        </w:tc>
        <w:tc>
          <w:tcPr>
            <w:tcW w:w="2780" w:type="pct"/>
            <w:noWrap w:val="0"/>
            <w:vAlign w:val="center"/>
          </w:tcPr>
          <w:p>
            <w:pPr>
              <w:spacing w:line="240" w:lineRule="auto"/>
              <w:jc w:val="center"/>
              <w:rPr>
                <w:rFonts w:hint="eastAsia"/>
                <w:spacing w:val="6"/>
                <w:sz w:val="21"/>
                <w:szCs w:val="21"/>
              </w:rPr>
            </w:pPr>
            <w:r>
              <w:rPr>
                <w:rFonts w:hint="eastAsia"/>
                <w:spacing w:val="6"/>
                <w:sz w:val="21"/>
                <w:szCs w:val="21"/>
              </w:rPr>
              <w:t>锦溪污水厂扩建2.25万吨/日，配套管网</w:t>
            </w:r>
          </w:p>
        </w:tc>
      </w:tr>
    </w:tbl>
    <w:p>
      <w:pPr>
        <w:adjustRightInd/>
        <w:snapToGrid/>
        <w:spacing w:line="500" w:lineRule="exact"/>
        <w:ind w:firstLine="584" w:firstLineChars="200"/>
        <w:rPr>
          <w:spacing w:val="6"/>
          <w:kern w:val="2"/>
          <w:szCs w:val="28"/>
        </w:rPr>
      </w:pPr>
      <w:r>
        <w:rPr>
          <w:spacing w:val="6"/>
          <w:kern w:val="2"/>
          <w:szCs w:val="28"/>
        </w:rPr>
        <w:t>（3）小区雨污分流</w:t>
      </w:r>
    </w:p>
    <w:p>
      <w:pPr>
        <w:adjustRightInd/>
        <w:snapToGrid/>
        <w:spacing w:line="500" w:lineRule="exact"/>
        <w:ind w:firstLine="584" w:firstLineChars="200"/>
        <w:rPr>
          <w:spacing w:val="6"/>
          <w:kern w:val="2"/>
          <w:szCs w:val="28"/>
        </w:rPr>
      </w:pPr>
      <w:r>
        <w:rPr>
          <w:spacing w:val="6"/>
          <w:kern w:val="2"/>
          <w:szCs w:val="28"/>
        </w:rPr>
        <w:t>旧城区排水以合流制为主，部分工业废水和生活污水未经处理直接排河，造成河道水质污染，规划逐步进行雨污分流制改造，进一步完善管网，具体规划改造小区见表5.2-2。</w:t>
      </w:r>
    </w:p>
    <w:p>
      <w:pPr>
        <w:adjustRightInd/>
        <w:snapToGrid/>
        <w:spacing w:line="500" w:lineRule="exact"/>
        <w:jc w:val="center"/>
        <w:rPr>
          <w:spacing w:val="6"/>
          <w:kern w:val="2"/>
          <w:szCs w:val="28"/>
        </w:rPr>
      </w:pPr>
      <w:r>
        <w:rPr>
          <w:spacing w:val="6"/>
          <w:kern w:val="2"/>
          <w:szCs w:val="28"/>
        </w:rPr>
        <w:t>表5.2-2 小区改造截流规划</w:t>
      </w:r>
    </w:p>
    <w:tbl>
      <w:tblPr>
        <w:tblStyle w:val="33"/>
        <w:tblW w:w="5000" w:type="pct"/>
        <w:tblInd w:w="0" w:type="dxa"/>
        <w:tblLayout w:type="autofit"/>
        <w:tblCellMar>
          <w:top w:w="0" w:type="dxa"/>
          <w:left w:w="108" w:type="dxa"/>
          <w:bottom w:w="0" w:type="dxa"/>
          <w:right w:w="108" w:type="dxa"/>
        </w:tblCellMar>
      </w:tblPr>
      <w:tblGrid>
        <w:gridCol w:w="978"/>
        <w:gridCol w:w="1729"/>
        <w:gridCol w:w="1453"/>
        <w:gridCol w:w="1453"/>
        <w:gridCol w:w="1453"/>
        <w:gridCol w:w="1462"/>
      </w:tblGrid>
      <w:tr>
        <w:tblPrEx>
          <w:tblCellMar>
            <w:top w:w="0" w:type="dxa"/>
            <w:left w:w="108" w:type="dxa"/>
            <w:bottom w:w="0" w:type="dxa"/>
            <w:right w:w="108" w:type="dxa"/>
          </w:tblCellMar>
        </w:tblPrEx>
        <w:trPr>
          <w:wBefore w:w="0" w:type="dxa"/>
          <w:wAfter w:w="0" w:type="dxa"/>
        </w:trPr>
        <w:tc>
          <w:tcPr>
            <w:tcW w:w="573" w:type="pct"/>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adjustRightInd/>
              <w:snapToGrid/>
              <w:spacing w:line="240" w:lineRule="auto"/>
              <w:jc w:val="center"/>
              <w:rPr>
                <w:b/>
                <w:kern w:val="0"/>
                <w:sz w:val="21"/>
                <w:szCs w:val="21"/>
              </w:rPr>
            </w:pPr>
            <w:r>
              <w:rPr>
                <w:b/>
                <w:kern w:val="0"/>
                <w:sz w:val="21"/>
                <w:szCs w:val="21"/>
              </w:rPr>
              <w:t>序号</w:t>
            </w:r>
          </w:p>
        </w:tc>
        <w:tc>
          <w:tcPr>
            <w:tcW w:w="1014" w:type="pct"/>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adjustRightInd/>
              <w:snapToGrid/>
              <w:spacing w:line="240" w:lineRule="auto"/>
              <w:jc w:val="center"/>
              <w:rPr>
                <w:b/>
                <w:kern w:val="0"/>
                <w:sz w:val="21"/>
                <w:szCs w:val="21"/>
              </w:rPr>
            </w:pPr>
            <w:r>
              <w:rPr>
                <w:b/>
                <w:kern w:val="0"/>
                <w:sz w:val="21"/>
                <w:szCs w:val="21"/>
              </w:rPr>
              <w:t>区域名称</w:t>
            </w:r>
          </w:p>
        </w:tc>
        <w:tc>
          <w:tcPr>
            <w:tcW w:w="852" w:type="pct"/>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adjustRightInd/>
              <w:snapToGrid/>
              <w:spacing w:line="240" w:lineRule="auto"/>
              <w:jc w:val="center"/>
              <w:rPr>
                <w:b/>
                <w:kern w:val="0"/>
                <w:sz w:val="21"/>
                <w:szCs w:val="21"/>
              </w:rPr>
            </w:pPr>
            <w:r>
              <w:rPr>
                <w:b/>
                <w:kern w:val="0"/>
                <w:sz w:val="21"/>
                <w:szCs w:val="21"/>
              </w:rPr>
              <w:t>改造总数</w:t>
            </w:r>
          </w:p>
        </w:tc>
        <w:tc>
          <w:tcPr>
            <w:tcW w:w="2561" w:type="pct"/>
            <w:gridSpan w:val="3"/>
            <w:tcBorders>
              <w:top w:val="single" w:color="auto" w:sz="4" w:space="0"/>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b/>
                <w:kern w:val="0"/>
                <w:sz w:val="21"/>
                <w:szCs w:val="21"/>
              </w:rPr>
            </w:pPr>
            <w:r>
              <w:rPr>
                <w:b/>
                <w:kern w:val="0"/>
                <w:sz w:val="21"/>
                <w:szCs w:val="21"/>
              </w:rPr>
              <w:t>需改造截流</w:t>
            </w:r>
          </w:p>
        </w:tc>
      </w:tr>
      <w:tr>
        <w:tblPrEx>
          <w:tblCellMar>
            <w:top w:w="0" w:type="dxa"/>
            <w:left w:w="108" w:type="dxa"/>
            <w:bottom w:w="0" w:type="dxa"/>
            <w:right w:w="108" w:type="dxa"/>
          </w:tblCellMar>
        </w:tblPrEx>
        <w:trPr>
          <w:wBefore w:w="0" w:type="dxa"/>
          <w:wAfter w:w="0" w:type="dxa"/>
        </w:trPr>
        <w:tc>
          <w:tcPr>
            <w:tcW w:w="573"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adjustRightInd/>
              <w:snapToGrid/>
              <w:spacing w:line="240" w:lineRule="auto"/>
              <w:jc w:val="center"/>
              <w:rPr>
                <w:b/>
                <w:kern w:val="0"/>
                <w:sz w:val="21"/>
                <w:szCs w:val="21"/>
              </w:rPr>
            </w:pPr>
          </w:p>
        </w:tc>
        <w:tc>
          <w:tcPr>
            <w:tcW w:w="1014"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adjustRightInd/>
              <w:snapToGrid/>
              <w:spacing w:line="240" w:lineRule="auto"/>
              <w:jc w:val="center"/>
              <w:rPr>
                <w:b/>
                <w:kern w:val="0"/>
                <w:sz w:val="21"/>
                <w:szCs w:val="21"/>
              </w:rPr>
            </w:pPr>
          </w:p>
        </w:tc>
        <w:tc>
          <w:tcPr>
            <w:tcW w:w="852"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adjustRightInd/>
              <w:snapToGrid/>
              <w:spacing w:line="240" w:lineRule="auto"/>
              <w:jc w:val="center"/>
              <w:rPr>
                <w:b/>
                <w:kern w:val="0"/>
                <w:sz w:val="21"/>
                <w:szCs w:val="21"/>
              </w:rPr>
            </w:pP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b/>
                <w:kern w:val="0"/>
                <w:sz w:val="21"/>
                <w:szCs w:val="21"/>
              </w:rPr>
            </w:pPr>
            <w:r>
              <w:rPr>
                <w:b/>
                <w:kern w:val="0"/>
                <w:sz w:val="21"/>
                <w:szCs w:val="21"/>
              </w:rPr>
              <w:t>2010年</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b/>
                <w:kern w:val="0"/>
                <w:sz w:val="21"/>
                <w:szCs w:val="21"/>
              </w:rPr>
            </w:pPr>
            <w:r>
              <w:rPr>
                <w:b/>
                <w:kern w:val="0"/>
                <w:sz w:val="21"/>
                <w:szCs w:val="21"/>
              </w:rPr>
              <w:t>2011年</w:t>
            </w:r>
          </w:p>
        </w:tc>
        <w:tc>
          <w:tcPr>
            <w:tcW w:w="857"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b/>
                <w:kern w:val="0"/>
                <w:sz w:val="21"/>
                <w:szCs w:val="21"/>
              </w:rPr>
            </w:pPr>
            <w:r>
              <w:rPr>
                <w:b/>
                <w:kern w:val="0"/>
                <w:sz w:val="21"/>
                <w:szCs w:val="21"/>
              </w:rPr>
              <w:t>2012年</w:t>
            </w:r>
          </w:p>
        </w:tc>
      </w:tr>
      <w:tr>
        <w:tblPrEx>
          <w:tblCellMar>
            <w:top w:w="0" w:type="dxa"/>
            <w:left w:w="108" w:type="dxa"/>
            <w:bottom w:w="0" w:type="dxa"/>
            <w:right w:w="108" w:type="dxa"/>
          </w:tblCellMar>
        </w:tblPrEx>
        <w:trPr>
          <w:wBefore w:w="0" w:type="dxa"/>
          <w:wAfter w:w="0" w:type="dxa"/>
        </w:trPr>
        <w:tc>
          <w:tcPr>
            <w:tcW w:w="573" w:type="pct"/>
            <w:tcBorders>
              <w:top w:val="nil"/>
              <w:left w:val="single" w:color="auto" w:sz="4" w:space="0"/>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1</w:t>
            </w:r>
          </w:p>
        </w:tc>
        <w:tc>
          <w:tcPr>
            <w:tcW w:w="1014"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老城区</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69</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16</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28</w:t>
            </w:r>
          </w:p>
        </w:tc>
        <w:tc>
          <w:tcPr>
            <w:tcW w:w="857"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25</w:t>
            </w:r>
          </w:p>
        </w:tc>
      </w:tr>
      <w:tr>
        <w:tblPrEx>
          <w:tblCellMar>
            <w:top w:w="0" w:type="dxa"/>
            <w:left w:w="108" w:type="dxa"/>
            <w:bottom w:w="0" w:type="dxa"/>
            <w:right w:w="108" w:type="dxa"/>
          </w:tblCellMar>
        </w:tblPrEx>
        <w:trPr>
          <w:wBefore w:w="0" w:type="dxa"/>
          <w:wAfter w:w="0" w:type="dxa"/>
        </w:trPr>
        <w:tc>
          <w:tcPr>
            <w:tcW w:w="573" w:type="pct"/>
            <w:tcBorders>
              <w:top w:val="nil"/>
              <w:left w:val="single" w:color="auto" w:sz="4" w:space="0"/>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2</w:t>
            </w:r>
          </w:p>
        </w:tc>
        <w:tc>
          <w:tcPr>
            <w:tcW w:w="1014"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昆山开发区</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59</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26</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15</w:t>
            </w:r>
          </w:p>
        </w:tc>
        <w:tc>
          <w:tcPr>
            <w:tcW w:w="857"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18</w:t>
            </w:r>
          </w:p>
        </w:tc>
      </w:tr>
      <w:tr>
        <w:tblPrEx>
          <w:tblCellMar>
            <w:top w:w="0" w:type="dxa"/>
            <w:left w:w="108" w:type="dxa"/>
            <w:bottom w:w="0" w:type="dxa"/>
            <w:right w:w="108" w:type="dxa"/>
          </w:tblCellMar>
        </w:tblPrEx>
        <w:trPr>
          <w:wBefore w:w="0" w:type="dxa"/>
          <w:wAfter w:w="0" w:type="dxa"/>
        </w:trPr>
        <w:tc>
          <w:tcPr>
            <w:tcW w:w="573" w:type="pct"/>
            <w:tcBorders>
              <w:top w:val="nil"/>
              <w:left w:val="single" w:color="auto" w:sz="4" w:space="0"/>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3</w:t>
            </w:r>
          </w:p>
        </w:tc>
        <w:tc>
          <w:tcPr>
            <w:tcW w:w="1014"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花桥开发区</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17</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5</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8</w:t>
            </w:r>
          </w:p>
        </w:tc>
        <w:tc>
          <w:tcPr>
            <w:tcW w:w="857"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4</w:t>
            </w:r>
          </w:p>
        </w:tc>
      </w:tr>
      <w:tr>
        <w:tblPrEx>
          <w:tblCellMar>
            <w:top w:w="0" w:type="dxa"/>
            <w:left w:w="108" w:type="dxa"/>
            <w:bottom w:w="0" w:type="dxa"/>
            <w:right w:w="108" w:type="dxa"/>
          </w:tblCellMar>
        </w:tblPrEx>
        <w:trPr>
          <w:wBefore w:w="0" w:type="dxa"/>
          <w:wAfter w:w="0" w:type="dxa"/>
        </w:trPr>
        <w:tc>
          <w:tcPr>
            <w:tcW w:w="573" w:type="pct"/>
            <w:tcBorders>
              <w:top w:val="nil"/>
              <w:left w:val="single" w:color="auto" w:sz="4" w:space="0"/>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4</w:t>
            </w:r>
          </w:p>
        </w:tc>
        <w:tc>
          <w:tcPr>
            <w:tcW w:w="1014"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玉山镇</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99</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46</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25</w:t>
            </w:r>
          </w:p>
        </w:tc>
        <w:tc>
          <w:tcPr>
            <w:tcW w:w="857"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28</w:t>
            </w:r>
          </w:p>
        </w:tc>
      </w:tr>
      <w:tr>
        <w:tblPrEx>
          <w:tblCellMar>
            <w:top w:w="0" w:type="dxa"/>
            <w:left w:w="108" w:type="dxa"/>
            <w:bottom w:w="0" w:type="dxa"/>
            <w:right w:w="108" w:type="dxa"/>
          </w:tblCellMar>
        </w:tblPrEx>
        <w:trPr>
          <w:wBefore w:w="0" w:type="dxa"/>
          <w:wAfter w:w="0" w:type="dxa"/>
        </w:trPr>
        <w:tc>
          <w:tcPr>
            <w:tcW w:w="573" w:type="pct"/>
            <w:tcBorders>
              <w:top w:val="nil"/>
              <w:left w:val="single" w:color="auto" w:sz="4" w:space="0"/>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5</w:t>
            </w:r>
          </w:p>
        </w:tc>
        <w:tc>
          <w:tcPr>
            <w:tcW w:w="1014"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张浦镇</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24</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8</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8</w:t>
            </w:r>
          </w:p>
        </w:tc>
        <w:tc>
          <w:tcPr>
            <w:tcW w:w="857"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8</w:t>
            </w:r>
          </w:p>
        </w:tc>
      </w:tr>
      <w:tr>
        <w:tblPrEx>
          <w:tblCellMar>
            <w:top w:w="0" w:type="dxa"/>
            <w:left w:w="108" w:type="dxa"/>
            <w:bottom w:w="0" w:type="dxa"/>
            <w:right w:w="108" w:type="dxa"/>
          </w:tblCellMar>
        </w:tblPrEx>
        <w:trPr>
          <w:wBefore w:w="0" w:type="dxa"/>
          <w:wAfter w:w="0" w:type="dxa"/>
        </w:trPr>
        <w:tc>
          <w:tcPr>
            <w:tcW w:w="573" w:type="pct"/>
            <w:tcBorders>
              <w:top w:val="nil"/>
              <w:left w:val="single" w:color="auto" w:sz="4" w:space="0"/>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6</w:t>
            </w:r>
          </w:p>
        </w:tc>
        <w:tc>
          <w:tcPr>
            <w:tcW w:w="1014"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周市镇</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30</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13</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8</w:t>
            </w:r>
          </w:p>
        </w:tc>
        <w:tc>
          <w:tcPr>
            <w:tcW w:w="857"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9</w:t>
            </w:r>
          </w:p>
        </w:tc>
      </w:tr>
      <w:tr>
        <w:tblPrEx>
          <w:tblCellMar>
            <w:top w:w="0" w:type="dxa"/>
            <w:left w:w="108" w:type="dxa"/>
            <w:bottom w:w="0" w:type="dxa"/>
            <w:right w:w="108" w:type="dxa"/>
          </w:tblCellMar>
        </w:tblPrEx>
        <w:trPr>
          <w:wBefore w:w="0" w:type="dxa"/>
          <w:wAfter w:w="0" w:type="dxa"/>
        </w:trPr>
        <w:tc>
          <w:tcPr>
            <w:tcW w:w="573" w:type="pct"/>
            <w:tcBorders>
              <w:top w:val="nil"/>
              <w:left w:val="single" w:color="auto" w:sz="4" w:space="0"/>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7</w:t>
            </w:r>
          </w:p>
        </w:tc>
        <w:tc>
          <w:tcPr>
            <w:tcW w:w="1014"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陆家镇</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6</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2</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2</w:t>
            </w:r>
          </w:p>
        </w:tc>
        <w:tc>
          <w:tcPr>
            <w:tcW w:w="857"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2</w:t>
            </w:r>
          </w:p>
        </w:tc>
      </w:tr>
      <w:tr>
        <w:tblPrEx>
          <w:tblCellMar>
            <w:top w:w="0" w:type="dxa"/>
            <w:left w:w="108" w:type="dxa"/>
            <w:bottom w:w="0" w:type="dxa"/>
            <w:right w:w="108" w:type="dxa"/>
          </w:tblCellMar>
        </w:tblPrEx>
        <w:trPr>
          <w:wBefore w:w="0" w:type="dxa"/>
          <w:wAfter w:w="0" w:type="dxa"/>
        </w:trPr>
        <w:tc>
          <w:tcPr>
            <w:tcW w:w="573" w:type="pct"/>
            <w:tcBorders>
              <w:top w:val="nil"/>
              <w:left w:val="single" w:color="auto" w:sz="4" w:space="0"/>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8</w:t>
            </w:r>
          </w:p>
        </w:tc>
        <w:tc>
          <w:tcPr>
            <w:tcW w:w="1014"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巴城镇</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40</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17</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12</w:t>
            </w:r>
          </w:p>
        </w:tc>
        <w:tc>
          <w:tcPr>
            <w:tcW w:w="857"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11</w:t>
            </w:r>
          </w:p>
        </w:tc>
      </w:tr>
      <w:tr>
        <w:tblPrEx>
          <w:tblCellMar>
            <w:top w:w="0" w:type="dxa"/>
            <w:left w:w="108" w:type="dxa"/>
            <w:bottom w:w="0" w:type="dxa"/>
            <w:right w:w="108" w:type="dxa"/>
          </w:tblCellMar>
        </w:tblPrEx>
        <w:trPr>
          <w:wBefore w:w="0" w:type="dxa"/>
          <w:wAfter w:w="0" w:type="dxa"/>
        </w:trPr>
        <w:tc>
          <w:tcPr>
            <w:tcW w:w="573" w:type="pct"/>
            <w:tcBorders>
              <w:top w:val="nil"/>
              <w:left w:val="single" w:color="auto" w:sz="4" w:space="0"/>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9</w:t>
            </w:r>
          </w:p>
        </w:tc>
        <w:tc>
          <w:tcPr>
            <w:tcW w:w="1014"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千灯镇</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16</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16</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0</w:t>
            </w:r>
          </w:p>
        </w:tc>
        <w:tc>
          <w:tcPr>
            <w:tcW w:w="857"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0</w:t>
            </w:r>
          </w:p>
        </w:tc>
      </w:tr>
      <w:tr>
        <w:tblPrEx>
          <w:tblCellMar>
            <w:top w:w="0" w:type="dxa"/>
            <w:left w:w="108" w:type="dxa"/>
            <w:bottom w:w="0" w:type="dxa"/>
            <w:right w:w="108" w:type="dxa"/>
          </w:tblCellMar>
        </w:tblPrEx>
        <w:trPr>
          <w:wBefore w:w="0" w:type="dxa"/>
          <w:wAfter w:w="0" w:type="dxa"/>
        </w:trPr>
        <w:tc>
          <w:tcPr>
            <w:tcW w:w="573" w:type="pct"/>
            <w:tcBorders>
              <w:top w:val="nil"/>
              <w:left w:val="single" w:color="auto" w:sz="4" w:space="0"/>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10</w:t>
            </w:r>
          </w:p>
        </w:tc>
        <w:tc>
          <w:tcPr>
            <w:tcW w:w="1014"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淀山湖镇</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0</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0</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0</w:t>
            </w:r>
          </w:p>
        </w:tc>
        <w:tc>
          <w:tcPr>
            <w:tcW w:w="857"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0</w:t>
            </w:r>
          </w:p>
        </w:tc>
      </w:tr>
      <w:tr>
        <w:tblPrEx>
          <w:tblCellMar>
            <w:top w:w="0" w:type="dxa"/>
            <w:left w:w="108" w:type="dxa"/>
            <w:bottom w:w="0" w:type="dxa"/>
            <w:right w:w="108" w:type="dxa"/>
          </w:tblCellMar>
        </w:tblPrEx>
        <w:trPr>
          <w:wBefore w:w="0" w:type="dxa"/>
          <w:wAfter w:w="0" w:type="dxa"/>
        </w:trPr>
        <w:tc>
          <w:tcPr>
            <w:tcW w:w="573" w:type="pct"/>
            <w:tcBorders>
              <w:top w:val="nil"/>
              <w:left w:val="single" w:color="auto" w:sz="4" w:space="0"/>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11</w:t>
            </w:r>
          </w:p>
        </w:tc>
        <w:tc>
          <w:tcPr>
            <w:tcW w:w="1014"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周庄镇</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5</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5</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0</w:t>
            </w:r>
          </w:p>
        </w:tc>
        <w:tc>
          <w:tcPr>
            <w:tcW w:w="857"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0</w:t>
            </w:r>
          </w:p>
        </w:tc>
      </w:tr>
      <w:tr>
        <w:tblPrEx>
          <w:tblCellMar>
            <w:top w:w="0" w:type="dxa"/>
            <w:left w:w="108" w:type="dxa"/>
            <w:bottom w:w="0" w:type="dxa"/>
            <w:right w:w="108" w:type="dxa"/>
          </w:tblCellMar>
        </w:tblPrEx>
        <w:trPr>
          <w:wBefore w:w="0" w:type="dxa"/>
          <w:wAfter w:w="0" w:type="dxa"/>
        </w:trPr>
        <w:tc>
          <w:tcPr>
            <w:tcW w:w="573" w:type="pct"/>
            <w:tcBorders>
              <w:top w:val="nil"/>
              <w:left w:val="single" w:color="auto" w:sz="4" w:space="0"/>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12</w:t>
            </w:r>
          </w:p>
        </w:tc>
        <w:tc>
          <w:tcPr>
            <w:tcW w:w="1014"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锦溪镇</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21</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17</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0</w:t>
            </w:r>
          </w:p>
        </w:tc>
        <w:tc>
          <w:tcPr>
            <w:tcW w:w="857"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4</w:t>
            </w:r>
          </w:p>
        </w:tc>
      </w:tr>
      <w:tr>
        <w:tblPrEx>
          <w:tblCellMar>
            <w:top w:w="0" w:type="dxa"/>
            <w:left w:w="108" w:type="dxa"/>
            <w:bottom w:w="0" w:type="dxa"/>
            <w:right w:w="108" w:type="dxa"/>
          </w:tblCellMar>
        </w:tblPrEx>
        <w:trPr>
          <w:wBefore w:w="0" w:type="dxa"/>
          <w:wAfter w:w="0" w:type="dxa"/>
        </w:trPr>
        <w:tc>
          <w:tcPr>
            <w:tcW w:w="1587" w:type="pct"/>
            <w:gridSpan w:val="2"/>
            <w:tcBorders>
              <w:top w:val="nil"/>
              <w:left w:val="single" w:color="auto" w:sz="4" w:space="0"/>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合计</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386</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171</w:t>
            </w:r>
          </w:p>
        </w:tc>
        <w:tc>
          <w:tcPr>
            <w:tcW w:w="852"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106</w:t>
            </w:r>
          </w:p>
        </w:tc>
        <w:tc>
          <w:tcPr>
            <w:tcW w:w="857" w:type="pct"/>
            <w:tcBorders>
              <w:top w:val="nil"/>
              <w:left w:val="nil"/>
              <w:bottom w:val="single" w:color="auto" w:sz="4" w:space="0"/>
              <w:right w:val="single" w:color="auto" w:sz="4" w:space="0"/>
            </w:tcBorders>
            <w:shd w:val="clear" w:color="auto" w:fill="auto"/>
            <w:noWrap w:val="0"/>
            <w:vAlign w:val="center"/>
          </w:tcPr>
          <w:p>
            <w:pPr>
              <w:widowControl/>
              <w:adjustRightInd/>
              <w:snapToGrid/>
              <w:spacing w:line="240" w:lineRule="auto"/>
              <w:jc w:val="center"/>
              <w:rPr>
                <w:kern w:val="0"/>
                <w:sz w:val="21"/>
                <w:szCs w:val="21"/>
              </w:rPr>
            </w:pPr>
            <w:r>
              <w:rPr>
                <w:kern w:val="0"/>
                <w:sz w:val="21"/>
                <w:szCs w:val="21"/>
              </w:rPr>
              <w:t>109</w:t>
            </w:r>
          </w:p>
        </w:tc>
      </w:tr>
    </w:tbl>
    <w:p>
      <w:pPr>
        <w:jc w:val="center"/>
      </w:pPr>
    </w:p>
    <w:p>
      <w:pPr>
        <w:pStyle w:val="5"/>
        <w:ind w:left="0"/>
        <w:rPr>
          <w:rFonts w:eastAsia="仿宋_GB2312"/>
        </w:rPr>
      </w:pPr>
      <w:r>
        <w:rPr>
          <w:rFonts w:eastAsia="仿宋_GB2312"/>
        </w:rPr>
        <w:t>5.2.2.3 继续加强水源地保护，确保水质长期稳定达标</w:t>
      </w:r>
    </w:p>
    <w:p>
      <w:pPr>
        <w:adjustRightInd/>
        <w:snapToGrid/>
        <w:spacing w:line="500" w:lineRule="exact"/>
        <w:ind w:firstLine="584" w:firstLineChars="200"/>
        <w:rPr>
          <w:spacing w:val="6"/>
          <w:kern w:val="2"/>
          <w:szCs w:val="28"/>
        </w:rPr>
      </w:pPr>
      <w:r>
        <w:rPr>
          <w:spacing w:val="6"/>
          <w:kern w:val="2"/>
          <w:szCs w:val="28"/>
        </w:rPr>
        <w:t>昆山市已实现全市区域供水，2009年饮用水源地各项指标的年均值均能达到Ⅲ类标准，水质较好。根据昆山城市总体规划，阳澄湖傀儡湖是昆山的主要饮用水源，长江管道引水作为第二水源，地下水作为城市应急水源。严格保护引用水源，保障全市人民用水安全是工程管理的重中之重。</w:t>
      </w:r>
    </w:p>
    <w:p>
      <w:pPr>
        <w:adjustRightInd/>
        <w:snapToGrid/>
        <w:spacing w:line="500" w:lineRule="exact"/>
        <w:ind w:firstLine="584" w:firstLineChars="200"/>
        <w:rPr>
          <w:spacing w:val="6"/>
          <w:kern w:val="2"/>
          <w:szCs w:val="28"/>
        </w:rPr>
      </w:pPr>
      <w:r>
        <w:rPr>
          <w:rFonts w:hint="eastAsia"/>
          <w:spacing w:val="6"/>
          <w:kern w:val="2"/>
          <w:szCs w:val="28"/>
        </w:rPr>
        <w:t>“十二五”期间，</w:t>
      </w:r>
      <w:r>
        <w:rPr>
          <w:spacing w:val="6"/>
          <w:kern w:val="2"/>
          <w:szCs w:val="28"/>
        </w:rPr>
        <w:t>要继续加强饮用水源地环境保护，确保水质长期稳定达标，供水水质持续改善，确保区域供水安全。</w:t>
      </w:r>
    </w:p>
    <w:p>
      <w:pPr>
        <w:adjustRightInd/>
        <w:snapToGrid/>
        <w:spacing w:line="500" w:lineRule="exact"/>
        <w:ind w:firstLine="584" w:firstLineChars="200"/>
        <w:rPr>
          <w:spacing w:val="6"/>
          <w:kern w:val="2"/>
          <w:szCs w:val="28"/>
        </w:rPr>
      </w:pPr>
      <w:r>
        <w:rPr>
          <w:spacing w:val="6"/>
          <w:kern w:val="2"/>
          <w:szCs w:val="28"/>
        </w:rPr>
        <w:t>进一步加强饮用水源保护区的统筹划分，一级保护区建设隔离防护工程和水源地警示标志，增加渗滤层等技术手段改善取水口水质，禁止新建、扩建、扩建与供水设施和保护水源无关的建设项目。二级保护区加强非点源污染防治，控制城市径流污染，实施入湖支流水质保护工程，采取污水截排、河道及库底清淤、建设人工湿地人工快渗等手段，改善入湖支流的水质。严格执行对于水源保护区内土地的控制和管理，加强饮用水安全监察执法力度，建立全封闭防护和全天候监察体系。</w:t>
      </w:r>
    </w:p>
    <w:p>
      <w:pPr>
        <w:adjustRightInd/>
        <w:snapToGrid/>
        <w:spacing w:line="500" w:lineRule="exact"/>
        <w:ind w:firstLine="584" w:firstLineChars="200"/>
        <w:rPr>
          <w:spacing w:val="6"/>
          <w:kern w:val="2"/>
          <w:szCs w:val="28"/>
        </w:rPr>
      </w:pPr>
      <w:r>
        <w:rPr>
          <w:spacing w:val="6"/>
          <w:kern w:val="2"/>
          <w:szCs w:val="28"/>
        </w:rPr>
        <w:t>同时根据近几年蓝藻多发的趋势，切实抓好蓝藻防控，制定防控预案，加强巡查监测，增加蓝藻打捞机动船和设备，提高打捞效率，机械打捞与人工打捞相结合，确保水源安全；加大饮用水源地周边河道的清淤整治力度，减少河湖底泥对水体的二次污染；按批准的计划，实施城市地下水应急供水项目，平时作为地下水监测井，加强管理和维护；制定傀儡湖和庙泾河水源地污染应急调度措施。</w:t>
      </w:r>
    </w:p>
    <w:p>
      <w:pPr>
        <w:pStyle w:val="5"/>
        <w:ind w:left="0"/>
        <w:rPr>
          <w:rFonts w:eastAsia="仿宋_GB2312"/>
        </w:rPr>
      </w:pPr>
      <w:r>
        <w:rPr>
          <w:rFonts w:eastAsia="仿宋_GB2312"/>
        </w:rPr>
        <w:t>5.2.2.4 加强水环境整治工作，改善水体水质</w:t>
      </w:r>
    </w:p>
    <w:p>
      <w:pPr>
        <w:adjustRightInd/>
        <w:snapToGrid/>
        <w:spacing w:line="500" w:lineRule="exact"/>
        <w:ind w:firstLine="586" w:firstLineChars="200"/>
        <w:rPr>
          <w:b/>
          <w:spacing w:val="6"/>
          <w:kern w:val="2"/>
          <w:szCs w:val="28"/>
        </w:rPr>
      </w:pPr>
      <w:r>
        <w:rPr>
          <w:b/>
          <w:spacing w:val="6"/>
          <w:kern w:val="2"/>
          <w:szCs w:val="28"/>
        </w:rPr>
        <w:t>（1）开展黑臭河流整治</w:t>
      </w:r>
    </w:p>
    <w:p>
      <w:pPr>
        <w:adjustRightInd/>
        <w:snapToGrid/>
        <w:spacing w:line="500" w:lineRule="exact"/>
        <w:ind w:firstLine="584" w:firstLineChars="200"/>
        <w:rPr>
          <w:spacing w:val="6"/>
          <w:kern w:val="2"/>
          <w:szCs w:val="28"/>
        </w:rPr>
      </w:pPr>
      <w:r>
        <w:rPr>
          <w:spacing w:val="6"/>
          <w:kern w:val="2"/>
          <w:szCs w:val="28"/>
        </w:rPr>
        <w:t>黑臭河道主要是城区、镇区周边人口集中居住区的部分生活河道，为数不多，但对人居环境影响很大。生活污水的直接排放、河道的淤积、断头浜或水体流动性差等是造成河道黑臭的主要原因。</w:t>
      </w:r>
    </w:p>
    <w:p>
      <w:pPr>
        <w:adjustRightInd/>
        <w:snapToGrid/>
        <w:spacing w:line="500" w:lineRule="exact"/>
        <w:ind w:firstLine="560" w:firstLineChars="200"/>
        <w:rPr>
          <w:spacing w:val="6"/>
          <w:kern w:val="2"/>
          <w:szCs w:val="28"/>
        </w:rPr>
      </w:pPr>
      <w:r>
        <w:rPr>
          <w:szCs w:val="32"/>
        </w:rPr>
        <w:t xml:space="preserve"> “十二五”期间，全面开展黑臭河流整治工作，</w:t>
      </w:r>
      <w:r>
        <w:rPr>
          <w:spacing w:val="6"/>
          <w:kern w:val="2"/>
          <w:szCs w:val="28"/>
        </w:rPr>
        <w:t>需环保、建设、城管、水利等多个部门联合行动。一是加快雨污分流工程的建设，从源头上解决入河污染源的问题；二是加强水上、陆上保洁的联动，解决固体污染物入河的问题；三是定期对河道进行轮浚，解决河道底泥的二次污染问题；四是必要时利用水利工程调水换水，解决水体流动性差的问题。</w:t>
      </w:r>
    </w:p>
    <w:p>
      <w:pPr>
        <w:spacing w:line="500" w:lineRule="exact"/>
        <w:ind w:firstLine="630"/>
        <w:rPr>
          <w:rFonts w:hint="eastAsia"/>
          <w:szCs w:val="32"/>
        </w:rPr>
      </w:pPr>
      <w:r>
        <w:rPr>
          <w:szCs w:val="32"/>
        </w:rPr>
        <w:t>“十二五”期间，除针对</w:t>
      </w:r>
      <w:r>
        <w:rPr>
          <w:bCs/>
          <w:szCs w:val="32"/>
        </w:rPr>
        <w:t>后街河、致塘河、同心河和团结河四条黑臭河道进一步开展整治外，</w:t>
      </w:r>
      <w:r>
        <w:rPr>
          <w:szCs w:val="32"/>
        </w:rPr>
        <w:t>将针对昆山境内</w:t>
      </w:r>
      <w:r>
        <w:rPr>
          <w:rFonts w:hint="eastAsia"/>
          <w:szCs w:val="32"/>
        </w:rPr>
        <w:t>全部</w:t>
      </w:r>
      <w:r>
        <w:rPr>
          <w:szCs w:val="32"/>
        </w:rPr>
        <w:t>黑臭河道开展整治，</w:t>
      </w:r>
      <w:r>
        <w:rPr>
          <w:rFonts w:hint="eastAsia"/>
          <w:szCs w:val="32"/>
        </w:rPr>
        <w:t>“十一五”期间已经完成的部分河流将确保不再发生黑臭</w:t>
      </w:r>
      <w:r>
        <w:rPr>
          <w:szCs w:val="32"/>
        </w:rPr>
        <w:t>。</w:t>
      </w:r>
    </w:p>
    <w:p>
      <w:pPr>
        <w:adjustRightInd/>
        <w:snapToGrid/>
        <w:spacing w:line="500" w:lineRule="exact"/>
        <w:ind w:firstLine="586" w:firstLineChars="200"/>
        <w:rPr>
          <w:b/>
          <w:spacing w:val="6"/>
          <w:kern w:val="2"/>
          <w:szCs w:val="28"/>
        </w:rPr>
      </w:pPr>
      <w:r>
        <w:rPr>
          <w:b/>
          <w:spacing w:val="6"/>
          <w:kern w:val="2"/>
          <w:szCs w:val="28"/>
        </w:rPr>
        <w:t>（2）开展湖泊生态修复工程，恢复水体生态系统</w:t>
      </w:r>
    </w:p>
    <w:p>
      <w:pPr>
        <w:adjustRightInd/>
        <w:snapToGrid/>
        <w:spacing w:line="500" w:lineRule="exact"/>
        <w:ind w:firstLine="584" w:firstLineChars="200"/>
        <w:rPr>
          <w:spacing w:val="6"/>
          <w:kern w:val="2"/>
          <w:szCs w:val="28"/>
        </w:rPr>
      </w:pPr>
      <w:r>
        <w:rPr>
          <w:spacing w:val="6"/>
          <w:kern w:val="2"/>
          <w:szCs w:val="28"/>
        </w:rPr>
        <w:t>良好的河网生态系统对进入水体的低浓度污染物有较好的净化作用。修复河网生态系统是建立水环境自然还原体系的关键。由于河网区域堤岸的硬质化以及河滨湿地的破坏，水生生态系统严重退化，河网生态系统的自净能力大为降低。近年来，虽然河流湖滨加强景观建设，恢复了部分水生生物，但过于强调城市景观，水生生态系统生物多样性低，生态稳定性差。</w:t>
      </w:r>
    </w:p>
    <w:p>
      <w:pPr>
        <w:adjustRightInd/>
        <w:snapToGrid/>
        <w:spacing w:line="500" w:lineRule="exact"/>
        <w:ind w:firstLine="584" w:firstLineChars="200"/>
        <w:rPr>
          <w:spacing w:val="6"/>
          <w:kern w:val="2"/>
          <w:szCs w:val="28"/>
        </w:rPr>
      </w:pPr>
      <w:r>
        <w:rPr>
          <w:spacing w:val="6"/>
          <w:kern w:val="2"/>
          <w:szCs w:val="28"/>
        </w:rPr>
        <w:t>在严格控制水体污染的情况下，采取工程措施，修复河网生态系统，包括修复河流形态、基底结构、水生生物群落等，增强水环境自净能力以及水生生态系统抗冲击能力，提高环境容量和环境承载力。修复或部分修复河道蜿蜒形态，改造硬质堤岸，构建堤岸植物群落，加强河流水体与底质中物质循环，最终修复成为具有较强自然净化能力和良好景观效果的河流生态系统。</w:t>
      </w:r>
    </w:p>
    <w:p>
      <w:pPr>
        <w:adjustRightInd/>
        <w:snapToGrid/>
        <w:spacing w:line="500" w:lineRule="exact"/>
        <w:ind w:firstLine="584" w:firstLineChars="200"/>
        <w:rPr>
          <w:spacing w:val="6"/>
          <w:kern w:val="2"/>
          <w:szCs w:val="28"/>
        </w:rPr>
      </w:pPr>
      <w:r>
        <w:rPr>
          <w:spacing w:val="6"/>
          <w:kern w:val="2"/>
          <w:szCs w:val="28"/>
        </w:rPr>
        <w:t>水体泥水界面是水体中物理、化学反应最为活跃的区域，同时底栖生态也是水生生态最为重要的部分，水体缺氧会导致底栖生态严重退化。修复水体及底质表层氧环境，不但可以稳定河网水生生态系统，而且可以大大改善河流对污染物的净化能力。整治内河河道，防止底泥二次污染。并可结合内河整治，在合适的内河地段种植或放养一些耐污性的观赏型水生生物或花卉，既可净水又可成为城市的一大景观。充分利用社区地形和气候条件，将人工湿地污水处理系统与小区绿地系统进行综合设计，使人工湿地系统既是绿地系统，又是景观系统，达到净水节地美化环境的功能。</w:t>
      </w:r>
    </w:p>
    <w:p>
      <w:pPr>
        <w:adjustRightInd/>
        <w:snapToGrid/>
        <w:spacing w:line="500" w:lineRule="exact"/>
        <w:ind w:firstLine="584" w:firstLineChars="200"/>
        <w:rPr>
          <w:spacing w:val="6"/>
          <w:kern w:val="2"/>
          <w:szCs w:val="28"/>
        </w:rPr>
      </w:pPr>
      <w:r>
        <w:rPr>
          <w:spacing w:val="6"/>
          <w:kern w:val="2"/>
          <w:szCs w:val="28"/>
        </w:rPr>
        <w:t>阳澄湖、傀儡湖为目前昆山的主要饮用水源，应以重点保护。要大力削减污染物入湖量，实施退耕还湖、退养还湖，严格控制船餐、度假区等服务行业的污染，加强监管水产养殖，禁养区要坚决取缔，限养区要严格控制养殖规模和投饵量。</w:t>
      </w:r>
    </w:p>
    <w:p>
      <w:pPr>
        <w:adjustRightInd/>
        <w:snapToGrid/>
        <w:spacing w:line="500" w:lineRule="exact"/>
        <w:ind w:firstLine="584" w:firstLineChars="200"/>
        <w:rPr>
          <w:spacing w:val="6"/>
          <w:kern w:val="2"/>
          <w:szCs w:val="28"/>
        </w:rPr>
      </w:pPr>
      <w:r>
        <w:rPr>
          <w:spacing w:val="6"/>
          <w:kern w:val="2"/>
          <w:szCs w:val="28"/>
        </w:rPr>
        <w:t>采用生态清淤、生物修复等手段改善水体环境，逐步恢复生态系统，确保湖泊水环境满足功能区要求。</w:t>
      </w:r>
    </w:p>
    <w:p>
      <w:pPr>
        <w:adjustRightInd/>
        <w:snapToGrid/>
        <w:spacing w:line="500" w:lineRule="exact"/>
        <w:ind w:firstLine="584" w:firstLineChars="200"/>
        <w:rPr>
          <w:spacing w:val="6"/>
          <w:kern w:val="2"/>
          <w:szCs w:val="28"/>
        </w:rPr>
      </w:pPr>
      <w:r>
        <w:rPr>
          <w:spacing w:val="6"/>
          <w:kern w:val="2"/>
          <w:szCs w:val="28"/>
        </w:rPr>
        <w:t>对于其他湖荡要合理规划养殖业，推行生态养殖，保护岸边湿地，沟通湖荡水体，提高水体自净能力等。</w:t>
      </w:r>
    </w:p>
    <w:p>
      <w:pPr>
        <w:adjustRightInd/>
        <w:snapToGrid/>
        <w:spacing w:line="500" w:lineRule="exact"/>
        <w:ind w:firstLine="584" w:firstLineChars="200"/>
        <w:rPr>
          <w:spacing w:val="6"/>
          <w:kern w:val="2"/>
          <w:szCs w:val="28"/>
        </w:rPr>
      </w:pPr>
      <w:r>
        <w:rPr>
          <w:spacing w:val="6"/>
          <w:kern w:val="2"/>
          <w:szCs w:val="28"/>
        </w:rPr>
        <w:t>“十二五”期间，实施阳澄湖入湖河道生态修复工程：阳澄东湖周边入湖河道主要是北部7条，除庙泾港对湖区水质影响较小外，其余6条河流（外石潭、喇叭里港、武神潭、小白塘、白曲港和新开河）上游来水的水质极差，一般为V～劣V类水。从河道水质分析看，湖区东北部的河道水质较差，COD显著高于南部出湖的河道；总氮、总磷为北部及东北部的河道含量较高。现场调查表明，河道约一半以自然形态为主，除经过城镇或居住区外，在河岸的形态上较少有人工痕迹，总体表现为湿生生物或水生生物生长状况尚可，但经过居住区的河道，堤岸受损严重，植被萎缩。因此，有必要开展河道生态修复工程，提高河流水体自净能力，缓解阳澄东湖北部水污染压力。</w:t>
      </w:r>
    </w:p>
    <w:p>
      <w:pPr>
        <w:adjustRightInd/>
        <w:snapToGrid/>
        <w:spacing w:line="500" w:lineRule="exact"/>
        <w:ind w:firstLine="584" w:firstLineChars="200"/>
        <w:rPr>
          <w:spacing w:val="6"/>
          <w:kern w:val="2"/>
          <w:szCs w:val="28"/>
        </w:rPr>
      </w:pPr>
      <w:r>
        <w:rPr>
          <w:spacing w:val="6"/>
          <w:kern w:val="2"/>
          <w:szCs w:val="28"/>
        </w:rPr>
        <w:t>根据中国科学院南京地理与湖泊研究所编制的《阳澄东湖（昆山水域）水环境综合治理工程方案》，我市拟对6条阳澄湖入湖河道进行生态修复，主要工程内容为：河道疏浚4.17公里，生态护坡8.34公里，生态防护林62.5亩，水生植物种植41.7亩，景观植物种植28亩。</w:t>
      </w:r>
    </w:p>
    <w:p>
      <w:pPr>
        <w:adjustRightInd/>
        <w:snapToGrid/>
        <w:spacing w:line="500" w:lineRule="exact"/>
        <w:ind w:firstLine="586" w:firstLineChars="200"/>
        <w:rPr>
          <w:b/>
          <w:spacing w:val="6"/>
          <w:kern w:val="2"/>
          <w:szCs w:val="28"/>
        </w:rPr>
      </w:pPr>
      <w:r>
        <w:rPr>
          <w:b/>
          <w:spacing w:val="6"/>
          <w:kern w:val="2"/>
          <w:szCs w:val="28"/>
        </w:rPr>
        <w:t>（3）省界断面达标整治</w:t>
      </w:r>
    </w:p>
    <w:p>
      <w:pPr>
        <w:adjustRightInd/>
        <w:snapToGrid/>
        <w:spacing w:line="500" w:lineRule="exact"/>
        <w:ind w:firstLine="560" w:firstLineChars="200"/>
        <w:rPr>
          <w:szCs w:val="28"/>
        </w:rPr>
      </w:pPr>
      <w:r>
        <w:rPr>
          <w:rFonts w:hint="eastAsia"/>
          <w:szCs w:val="28"/>
        </w:rPr>
        <w:t>为确保</w:t>
      </w:r>
      <w:r>
        <w:rPr>
          <w:szCs w:val="28"/>
        </w:rPr>
        <w:t>急水港急水港大桥、千灯浦千灯浦口、朱厍港朱厍港口、吴淞江江里庄、吴淞江石浦5个断面</w:t>
      </w:r>
      <w:r>
        <w:rPr>
          <w:rFonts w:hint="eastAsia"/>
          <w:szCs w:val="28"/>
        </w:rPr>
        <w:t>达标</w:t>
      </w:r>
      <w:r>
        <w:rPr>
          <w:szCs w:val="28"/>
        </w:rPr>
        <w:t>，“十二五”期间，进一步实施点源治理工程，面源治理工程、生态修复工程和河道整治工程等五大类工程。</w:t>
      </w:r>
    </w:p>
    <w:p>
      <w:pPr>
        <w:adjustRightInd/>
        <w:snapToGrid/>
        <w:spacing w:line="500" w:lineRule="exact"/>
        <w:ind w:firstLine="586" w:firstLineChars="200"/>
        <w:rPr>
          <w:b/>
          <w:spacing w:val="6"/>
          <w:kern w:val="2"/>
          <w:szCs w:val="28"/>
        </w:rPr>
      </w:pPr>
      <w:r>
        <w:rPr>
          <w:b/>
          <w:spacing w:val="6"/>
          <w:kern w:val="2"/>
          <w:szCs w:val="28"/>
        </w:rPr>
        <w:t>（4）水污染物总量控制及COD、氮磷污染控制</w:t>
      </w:r>
    </w:p>
    <w:p>
      <w:pPr>
        <w:adjustRightInd/>
        <w:snapToGrid/>
        <w:spacing w:line="500" w:lineRule="exact"/>
        <w:ind w:firstLine="584" w:firstLineChars="200"/>
        <w:rPr>
          <w:spacing w:val="6"/>
          <w:kern w:val="2"/>
          <w:szCs w:val="28"/>
        </w:rPr>
      </w:pPr>
      <w:r>
        <w:rPr>
          <w:spacing w:val="6"/>
          <w:kern w:val="2"/>
          <w:szCs w:val="28"/>
        </w:rPr>
        <w:t>研究核定COD、氮磷主要污染物排污总量及减排潜力：分析昆山市COD、氮磷等主要污染物排放特征和规律，建立不同类型的污染源COD、氮磷等主要污染物负荷估算与总量核定技术方法，科学确定昆山主要污染物排放总量，并结合当前经济发展状况、污染控制技术水平，分析生活源、工业源、农业源COD、氮磷减排潜力。</w:t>
      </w:r>
    </w:p>
    <w:p>
      <w:pPr>
        <w:adjustRightInd/>
        <w:snapToGrid/>
        <w:spacing w:line="500" w:lineRule="exact"/>
        <w:ind w:firstLine="584" w:firstLineChars="200"/>
        <w:rPr>
          <w:spacing w:val="6"/>
          <w:kern w:val="2"/>
          <w:szCs w:val="28"/>
        </w:rPr>
      </w:pPr>
      <w:r>
        <w:rPr>
          <w:spacing w:val="6"/>
          <w:kern w:val="2"/>
          <w:szCs w:val="28"/>
        </w:rPr>
        <w:t>制定COD、氮磷污染物控制方案：结合区域污染源结构与时空特征，制定分区、分源并涵盖各类污染源控制包括以工业结构调整、重污染行业废水治理和清洁生产、城市污水和垃圾处理、地表径流污染高效阻断及面源污染治理、清淤疏浚等污染控制技术的创新和集成的污染物总量减排方案。</w:t>
      </w:r>
    </w:p>
    <w:p>
      <w:pPr>
        <w:adjustRightInd/>
        <w:snapToGrid/>
        <w:spacing w:line="500" w:lineRule="exact"/>
        <w:ind w:firstLine="584" w:firstLineChars="200"/>
        <w:rPr>
          <w:spacing w:val="6"/>
          <w:kern w:val="2"/>
          <w:szCs w:val="28"/>
        </w:rPr>
      </w:pPr>
      <w:r>
        <w:rPr>
          <w:spacing w:val="6"/>
          <w:kern w:val="2"/>
          <w:szCs w:val="28"/>
        </w:rPr>
        <w:t>建设完善COD、氮磷排放交易平台：通过建设和完善COD、氮磷排放交易平台，从而对排污权进行配置，在实现环境水质目标的同时使得污染控制总成本最小化，获得排污许可交易资格的双方当事人在平等、自愿的基础上进行合法的交易，排放源根据各自的边际治理成本高低和许可证的市场价格做出买卖许可证的决策。</w:t>
      </w:r>
    </w:p>
    <w:p>
      <w:pPr>
        <w:adjustRightInd/>
        <w:snapToGrid/>
        <w:spacing w:line="500" w:lineRule="exact"/>
        <w:ind w:firstLine="586" w:firstLineChars="200"/>
        <w:rPr>
          <w:b/>
          <w:spacing w:val="6"/>
          <w:kern w:val="2"/>
          <w:szCs w:val="28"/>
        </w:rPr>
      </w:pPr>
      <w:bookmarkStart w:id="87" w:name="OLE_LINK10"/>
      <w:bookmarkStart w:id="88" w:name="OLE_LINK11"/>
      <w:r>
        <w:rPr>
          <w:b/>
          <w:spacing w:val="6"/>
          <w:kern w:val="2"/>
          <w:szCs w:val="28"/>
        </w:rPr>
        <w:t>（5）</w:t>
      </w:r>
      <w:r>
        <w:rPr>
          <w:rFonts w:hint="eastAsia"/>
          <w:b/>
          <w:spacing w:val="6"/>
          <w:kern w:val="2"/>
          <w:szCs w:val="28"/>
        </w:rPr>
        <w:t>加强航运船舶污染物的处置和监管</w:t>
      </w:r>
    </w:p>
    <w:p>
      <w:pPr>
        <w:adjustRightInd/>
        <w:snapToGrid/>
        <w:spacing w:line="500" w:lineRule="exact"/>
        <w:ind w:firstLine="584" w:firstLineChars="200"/>
        <w:rPr>
          <w:rFonts w:hint="eastAsia"/>
          <w:spacing w:val="6"/>
          <w:kern w:val="2"/>
          <w:szCs w:val="28"/>
        </w:rPr>
      </w:pPr>
      <w:r>
        <w:rPr>
          <w:rFonts w:hint="eastAsia"/>
          <w:spacing w:val="6"/>
          <w:kern w:val="2"/>
          <w:szCs w:val="28"/>
        </w:rPr>
        <w:t>强化危险品运输管理，加强对船舶污染收集设施配备和使用情况的监督检查，座舱机船必须全部安装油水分离装置，挂桨机船加装接油盘等防污设施，所有船舶必须配备生活污水和生活垃圾的收集和贮存装置，并检查这些设施的正常使用情况。</w:t>
      </w:r>
    </w:p>
    <w:p>
      <w:pPr>
        <w:adjustRightInd/>
        <w:snapToGrid/>
        <w:spacing w:line="500" w:lineRule="exact"/>
        <w:ind w:firstLine="584" w:firstLineChars="200"/>
        <w:rPr>
          <w:spacing w:val="6"/>
          <w:kern w:val="2"/>
          <w:szCs w:val="28"/>
        </w:rPr>
      </w:pPr>
      <w:r>
        <w:rPr>
          <w:rFonts w:hint="eastAsia"/>
          <w:spacing w:val="6"/>
          <w:kern w:val="2"/>
          <w:szCs w:val="28"/>
        </w:rPr>
        <w:t>完善船舶污染物岸上接收和处理处置设施的建设，到2015年，重点航道码头必须建成船舶垃圾收集站，形成配套体系。对重点船舶（危险品船等）实现全天候动态监控，建设船舶污染事故应急救助体系。</w:t>
      </w:r>
    </w:p>
    <w:p>
      <w:pPr>
        <w:adjustRightInd/>
        <w:snapToGrid/>
        <w:spacing w:line="500" w:lineRule="exact"/>
        <w:ind w:firstLine="586" w:firstLineChars="200"/>
        <w:rPr>
          <w:b/>
          <w:spacing w:val="6"/>
          <w:kern w:val="2"/>
          <w:szCs w:val="28"/>
        </w:rPr>
      </w:pPr>
      <w:r>
        <w:rPr>
          <w:b/>
          <w:spacing w:val="6"/>
          <w:kern w:val="2"/>
          <w:szCs w:val="28"/>
        </w:rPr>
        <w:t>（</w:t>
      </w:r>
      <w:r>
        <w:rPr>
          <w:rFonts w:hint="eastAsia"/>
          <w:b/>
          <w:spacing w:val="6"/>
          <w:kern w:val="2"/>
          <w:szCs w:val="28"/>
        </w:rPr>
        <w:t>6</w:t>
      </w:r>
      <w:r>
        <w:rPr>
          <w:b/>
          <w:spacing w:val="6"/>
          <w:kern w:val="2"/>
          <w:szCs w:val="28"/>
        </w:rPr>
        <w:t>）建立水环境预警体系和长效管理机制</w:t>
      </w:r>
    </w:p>
    <w:p>
      <w:pPr>
        <w:adjustRightInd/>
        <w:snapToGrid/>
        <w:spacing w:line="500" w:lineRule="exact"/>
        <w:ind w:firstLine="584" w:firstLineChars="200"/>
        <w:rPr>
          <w:spacing w:val="6"/>
          <w:kern w:val="2"/>
          <w:szCs w:val="28"/>
        </w:rPr>
      </w:pPr>
      <w:r>
        <w:rPr>
          <w:spacing w:val="6"/>
          <w:kern w:val="2"/>
          <w:szCs w:val="28"/>
        </w:rPr>
        <w:t>以信息数字化为手段，进一步提升管理水平，并通过构建风险防范体系，完善水环境风险应急预警机制，保障昆山市水生态安全。一级饮用水源保护区建立环境监控视频系统，建立健全饮用水源安全预警制度和应急机制，完善水环境实时监测系统，定期发布饮用水源地水质监测信息。建立跨部门的有毒有害污染物监测与应急体系，制定有毒有害污染物应急预案，提高有毒有害污染物事故快速反应和处置能力。</w:t>
      </w:r>
    </w:p>
    <w:p>
      <w:pPr>
        <w:adjustRightInd/>
        <w:snapToGrid/>
        <w:spacing w:line="500" w:lineRule="exact"/>
        <w:ind w:firstLine="584" w:firstLineChars="200"/>
        <w:rPr>
          <w:spacing w:val="6"/>
          <w:kern w:val="2"/>
          <w:szCs w:val="28"/>
        </w:rPr>
      </w:pPr>
      <w:r>
        <w:rPr>
          <w:spacing w:val="6"/>
          <w:kern w:val="2"/>
          <w:szCs w:val="28"/>
        </w:rPr>
        <w:t>建立水质监测、通报制度，定期监测水质，通报所在镇（区）和有关部门，督促各单位采取有效措施，努力改善水质，切实消除水体水质不能满足功能区要求的现象。要建立河道环境管理长效管理机制，按辖区建立河长责任制，辖区领导任“河长”，负责河道环境保护，并由上级部门定期和不定期考核。</w:t>
      </w:r>
    </w:p>
    <w:bookmarkEnd w:id="87"/>
    <w:bookmarkEnd w:id="88"/>
    <w:p>
      <w:pPr>
        <w:pStyle w:val="3"/>
        <w:sectPr>
          <w:footerReference r:id="rId9" w:type="default"/>
          <w:endnotePr>
            <w:numFmt w:val="decimal"/>
          </w:endnotePr>
          <w:pgSz w:w="11906" w:h="16838"/>
          <w:pgMar w:top="1440" w:right="1797" w:bottom="1440" w:left="1797" w:header="851" w:footer="992" w:gutter="0"/>
          <w:cols w:space="425" w:num="1"/>
          <w:docGrid w:linePitch="312" w:charSpace="0"/>
        </w:sectPr>
      </w:pPr>
      <w:bookmarkStart w:id="89" w:name="_Toc263071877"/>
      <w:bookmarkStart w:id="90" w:name="_Toc109473442"/>
      <w:bookmarkStart w:id="91" w:name="_Toc265336529"/>
    </w:p>
    <w:p>
      <w:pPr>
        <w:pStyle w:val="3"/>
      </w:pPr>
      <w:bookmarkStart w:id="92" w:name="_Toc304379411"/>
      <w:r>
        <w:t>5.3大气环境治理与保护</w:t>
      </w:r>
      <w:bookmarkEnd w:id="89"/>
      <w:bookmarkEnd w:id="90"/>
      <w:bookmarkEnd w:id="91"/>
      <w:bookmarkEnd w:id="92"/>
    </w:p>
    <w:p>
      <w:pPr>
        <w:pStyle w:val="4"/>
        <w:rPr>
          <w:rFonts w:ascii="Times New Roman" w:hAnsi="Times New Roman"/>
        </w:rPr>
      </w:pPr>
      <w:bookmarkStart w:id="93" w:name="_Toc265336533"/>
      <w:r>
        <w:rPr>
          <w:rFonts w:ascii="Times New Roman" w:hAnsi="Times New Roman"/>
        </w:rPr>
        <w:t>5.3.</w:t>
      </w:r>
      <w:r>
        <w:rPr>
          <w:rFonts w:hint="eastAsia" w:ascii="Times New Roman" w:hAnsi="Times New Roman"/>
        </w:rPr>
        <w:t>1</w:t>
      </w:r>
      <w:r>
        <w:rPr>
          <w:rFonts w:ascii="Times New Roman" w:hAnsi="Times New Roman"/>
        </w:rPr>
        <w:t>大气环境治理与保护目标</w:t>
      </w:r>
      <w:bookmarkEnd w:id="93"/>
    </w:p>
    <w:p>
      <w:pPr>
        <w:spacing w:line="500" w:lineRule="exact"/>
        <w:ind w:firstLine="584" w:firstLineChars="200"/>
        <w:rPr>
          <w:rFonts w:hint="eastAsia"/>
          <w:spacing w:val="6"/>
          <w:szCs w:val="28"/>
        </w:rPr>
      </w:pPr>
      <w:r>
        <w:rPr>
          <w:spacing w:val="6"/>
          <w:szCs w:val="28"/>
        </w:rPr>
        <w:t>昆山市近年来空气质量良好，均能达到国家二级标准，但从空气污染指数来看，</w:t>
      </w:r>
      <w:r>
        <w:rPr>
          <w:spacing w:val="6"/>
          <w:kern w:val="0"/>
          <w:szCs w:val="28"/>
        </w:rPr>
        <w:t>从空气污染指数来看，2001-2009年昆山市空气质量污染指数呈增大趋势，表明昆山市的空气质量整体上呈恶化趋势。在主要的大气污染物中，可吸入颗粒物的污染负荷比最大；其次为二氧化硫；二氧化氮的污染负荷比最小</w:t>
      </w:r>
      <w:r>
        <w:rPr>
          <w:spacing w:val="6"/>
          <w:szCs w:val="28"/>
        </w:rPr>
        <w:t>。</w:t>
      </w:r>
    </w:p>
    <w:p>
      <w:pPr>
        <w:spacing w:line="500" w:lineRule="exact"/>
        <w:ind w:firstLine="584" w:firstLineChars="200"/>
        <w:rPr>
          <w:spacing w:val="6"/>
          <w:szCs w:val="28"/>
        </w:rPr>
      </w:pPr>
      <w:r>
        <w:rPr>
          <w:spacing w:val="6"/>
          <w:szCs w:val="28"/>
        </w:rPr>
        <w:t>为保持昆山良好的空气质量，确定如下规划目标：</w:t>
      </w:r>
    </w:p>
    <w:p>
      <w:pPr>
        <w:spacing w:line="500" w:lineRule="exact"/>
        <w:ind w:firstLine="576" w:firstLineChars="200"/>
        <w:rPr>
          <w:szCs w:val="28"/>
        </w:rPr>
      </w:pPr>
      <w:r>
        <w:rPr>
          <w:spacing w:val="4"/>
          <w:szCs w:val="28"/>
        </w:rPr>
        <w:t>改变传统的“就气治气”的思想，由末端治理变为源头与末端的综合治理，通过</w:t>
      </w:r>
      <w:r>
        <w:rPr>
          <w:rFonts w:hint="eastAsia"/>
          <w:spacing w:val="4"/>
          <w:szCs w:val="28"/>
        </w:rPr>
        <w:t>改善能源结构，从源头削减大气污染物产生量；通过</w:t>
      </w:r>
      <w:r>
        <w:rPr>
          <w:spacing w:val="4"/>
          <w:szCs w:val="28"/>
        </w:rPr>
        <w:t>改进能源结构和燃料中的硫分控制，降低大气中二氧化硫等污染物的含量；通过扬尘控制降低大气中有害固体颗粒的含量；通过机动车尾气控制减少汽车尾气污染；</w:t>
      </w:r>
      <w:r>
        <w:rPr>
          <w:rFonts w:hint="eastAsia"/>
          <w:spacing w:val="4"/>
          <w:szCs w:val="28"/>
        </w:rPr>
        <w:t>通过</w:t>
      </w:r>
      <w:r>
        <w:rPr>
          <w:spacing w:val="4"/>
          <w:szCs w:val="28"/>
        </w:rPr>
        <w:t>选取典型</w:t>
      </w:r>
      <w:r>
        <w:rPr>
          <w:rFonts w:hint="eastAsia"/>
          <w:spacing w:val="4"/>
          <w:szCs w:val="28"/>
        </w:rPr>
        <w:t>行业</w:t>
      </w:r>
      <w:r>
        <w:rPr>
          <w:spacing w:val="4"/>
          <w:szCs w:val="28"/>
        </w:rPr>
        <w:t>开展VOC治理示范工程建设，</w:t>
      </w:r>
      <w:r>
        <w:rPr>
          <w:rFonts w:hint="eastAsia"/>
          <w:spacing w:val="4"/>
          <w:szCs w:val="28"/>
        </w:rPr>
        <w:t>加强重点行业VOC污染排放控制</w:t>
      </w:r>
      <w:r>
        <w:rPr>
          <w:spacing w:val="4"/>
          <w:szCs w:val="28"/>
        </w:rPr>
        <w:t>。</w:t>
      </w:r>
    </w:p>
    <w:p>
      <w:pPr>
        <w:pStyle w:val="4"/>
        <w:rPr>
          <w:rFonts w:ascii="Times New Roman" w:hAnsi="Times New Roman"/>
        </w:rPr>
      </w:pPr>
      <w:bookmarkStart w:id="94" w:name="_Toc265336534"/>
      <w:r>
        <w:rPr>
          <w:rFonts w:ascii="Times New Roman" w:hAnsi="Times New Roman"/>
        </w:rPr>
        <w:t>5.3.</w:t>
      </w:r>
      <w:r>
        <w:rPr>
          <w:rFonts w:hint="eastAsia" w:ascii="Times New Roman" w:hAnsi="Times New Roman"/>
        </w:rPr>
        <w:t>2</w:t>
      </w:r>
      <w:r>
        <w:rPr>
          <w:rFonts w:ascii="Times New Roman" w:hAnsi="Times New Roman"/>
        </w:rPr>
        <w:t>大气污染控制规划及具体措施</w:t>
      </w:r>
      <w:bookmarkEnd w:id="94"/>
    </w:p>
    <w:p>
      <w:pPr>
        <w:spacing w:line="500" w:lineRule="exact"/>
        <w:ind w:firstLine="584" w:firstLineChars="200"/>
        <w:rPr>
          <w:spacing w:val="6"/>
          <w:szCs w:val="28"/>
        </w:rPr>
      </w:pPr>
      <w:r>
        <w:rPr>
          <w:spacing w:val="6"/>
          <w:szCs w:val="28"/>
        </w:rPr>
        <w:t>以持续改善大气环境质量和保护市民身体健康为切入点，通过优化能源结构、推进多污染物联合控制、加强重点行业和机动车污染防治为重点，从二氧化硫等单因子治理向多污染因子综合控制转变，加强对二氧化硫、氮氧化物、可吸入颗粒物和挥发性有机物的协同控制，全面推进大气污染综合防治。</w:t>
      </w:r>
    </w:p>
    <w:p>
      <w:pPr>
        <w:pStyle w:val="5"/>
        <w:ind w:left="0"/>
        <w:rPr>
          <w:rFonts w:eastAsia="仿宋_GB2312"/>
        </w:rPr>
      </w:pPr>
      <w:r>
        <w:rPr>
          <w:rFonts w:eastAsia="仿宋_GB2312"/>
        </w:rPr>
        <w:t>5.3.</w:t>
      </w:r>
      <w:r>
        <w:rPr>
          <w:rFonts w:hint="eastAsia" w:eastAsia="仿宋_GB2312"/>
        </w:rPr>
        <w:t>2</w:t>
      </w:r>
      <w:r>
        <w:rPr>
          <w:rFonts w:eastAsia="仿宋_GB2312"/>
        </w:rPr>
        <w:t>.1改善能源结构，从源头削减大气污染物产生量</w:t>
      </w:r>
    </w:p>
    <w:p>
      <w:pPr>
        <w:spacing w:line="500" w:lineRule="exact"/>
        <w:ind w:firstLine="584" w:firstLineChars="200"/>
        <w:rPr>
          <w:spacing w:val="6"/>
          <w:szCs w:val="28"/>
        </w:rPr>
      </w:pPr>
      <w:r>
        <w:rPr>
          <w:spacing w:val="6"/>
          <w:szCs w:val="28"/>
        </w:rPr>
        <w:t>分析昆山能源使用情况，借鉴国内外先进经验和技术，多渠道开发利用清洁能源，探索推广使用清洁能源方案，提高清洁能源普及率。结合“西气东输”工程，充分利用天然气、液化石油气、人工煤气等清洁能源，减少煤炭、重油等高污染燃料的使用。分析可再生能源在昆山市的推广应用的可行性及前景，以太阳能高效率利用为核心，制定可再生能源如生物质能、太阳能等推广应用的政策、建议等。</w:t>
      </w:r>
    </w:p>
    <w:p>
      <w:pPr>
        <w:spacing w:line="500" w:lineRule="exact"/>
        <w:ind w:firstLine="576" w:firstLineChars="200"/>
        <w:rPr>
          <w:spacing w:val="6"/>
          <w:szCs w:val="28"/>
        </w:rPr>
      </w:pPr>
      <w:r>
        <w:rPr>
          <w:spacing w:val="4"/>
          <w:szCs w:val="28"/>
        </w:rPr>
        <w:t>开展高污染燃料禁燃区和限燃区建设。在市域</w:t>
      </w:r>
      <w:r>
        <w:rPr>
          <w:rFonts w:hint="eastAsia"/>
          <w:spacing w:val="4"/>
          <w:szCs w:val="28"/>
        </w:rPr>
        <w:t>及集镇</w:t>
      </w:r>
      <w:r>
        <w:rPr>
          <w:spacing w:val="4"/>
          <w:szCs w:val="28"/>
        </w:rPr>
        <w:t>划分若干个小区，开展高污染燃料禁燃区的建设工作，禁止排放高污染的燃料进入“禁燃区”燃烧；在禁燃区内，禁上2.8MW（4蒸吨/时）以下的小型燃煤锅炉，对现有2.8MW（4蒸吨/时）以下的小型燃煤锅炉，2012年之前全部淘汰；在限燃区内，鼓励饮服娱乐业等三产行业推广使用天然气、液化气、电等清洁燃料，并逐步提高比例，2012年达到70%，2015年则达到90%以上。在主城区争建清洁区，清洁区内全部实行清洁能源，禁止使用原煤、柴油等高污染燃料。</w:t>
      </w:r>
    </w:p>
    <w:p>
      <w:pPr>
        <w:spacing w:line="500" w:lineRule="exact"/>
        <w:ind w:firstLine="576" w:firstLineChars="200"/>
        <w:rPr>
          <w:spacing w:val="6"/>
          <w:szCs w:val="28"/>
        </w:rPr>
      </w:pPr>
      <w:r>
        <w:rPr>
          <w:spacing w:val="4"/>
          <w:szCs w:val="28"/>
        </w:rPr>
        <w:t>加快城市能源结构调整。进一步发展城市燃气，提高城市民用汽化率，饮服娱乐服务等三产行业清洁能源使用率要达到70%以上，加快城市能源结构调整的步伐。</w:t>
      </w:r>
    </w:p>
    <w:p>
      <w:pPr>
        <w:pStyle w:val="5"/>
        <w:ind w:left="0"/>
        <w:rPr>
          <w:rFonts w:eastAsia="仿宋_GB2312"/>
        </w:rPr>
      </w:pPr>
      <w:r>
        <w:rPr>
          <w:rFonts w:eastAsia="仿宋_GB2312"/>
        </w:rPr>
        <w:t>5.3.</w:t>
      </w:r>
      <w:r>
        <w:rPr>
          <w:rFonts w:hint="eastAsia" w:eastAsia="仿宋_GB2312"/>
        </w:rPr>
        <w:t>2</w:t>
      </w:r>
      <w:r>
        <w:rPr>
          <w:rFonts w:eastAsia="仿宋_GB2312"/>
        </w:rPr>
        <w:t>.2继续推进二氧化硫减排</w:t>
      </w:r>
    </w:p>
    <w:p>
      <w:pPr>
        <w:spacing w:line="500" w:lineRule="exact"/>
        <w:ind w:firstLine="576" w:firstLineChars="200"/>
        <w:rPr>
          <w:spacing w:val="4"/>
          <w:szCs w:val="28"/>
        </w:rPr>
      </w:pPr>
      <w:r>
        <w:rPr>
          <w:spacing w:val="4"/>
          <w:szCs w:val="28"/>
        </w:rPr>
        <w:t>加强电厂燃煤含硫率控制和脱硫设施监管。采用检查进货单及现场抽样检查等手段确保电厂燃煤含硫率控制在0.7%以下，尽量采用含硫量较低的优质低硫煤。加强污染源头控制。制定地方性规章，限制城市工业锅炉、窑炉燃用高硫原煤。一是控制燃煤设施燃用的原煤含硫量。城市一般燃煤设施燃用的原煤含硫量控制在1%以内，燃煤电厂煤炭含硫量控制在0.8%以内；对城市燃用重油的燃烧设施，其硫分控制在0.6%以内。二是加强监督管理。加强对城市煤炭运输、销售、采购等环节的监督管理，对城市燃煤大户采取不定期硫分和灰份监测，控制燃煤大户高硫高灰份燃煤的使用。</w:t>
      </w:r>
    </w:p>
    <w:p>
      <w:pPr>
        <w:spacing w:line="500" w:lineRule="exact"/>
        <w:ind w:firstLine="576" w:firstLineChars="200"/>
        <w:rPr>
          <w:b/>
          <w:spacing w:val="6"/>
          <w:szCs w:val="28"/>
        </w:rPr>
      </w:pPr>
      <w:r>
        <w:rPr>
          <w:spacing w:val="4"/>
          <w:szCs w:val="28"/>
        </w:rPr>
        <w:t>加强对电厂脱硫设施监管，确保脱硫设施正常运转，逐步提高脱硫效率。对新建、扩建、改建的燃煤电厂、热电厂本着“以新带老”的原则，实施烟气脱硫。在各类电厂建设项目审批的同时，要求配套建设烟气脱硫设施；在实现达标排放的前提下，实行SO</w:t>
      </w:r>
      <w:r>
        <w:rPr>
          <w:spacing w:val="4"/>
          <w:szCs w:val="28"/>
          <w:vertAlign w:val="subscript"/>
        </w:rPr>
        <w:t>2</w:t>
      </w:r>
      <w:r>
        <w:rPr>
          <w:spacing w:val="4"/>
          <w:szCs w:val="28"/>
        </w:rPr>
        <w:t>排放总量控制。对已建的火电机组，实施“疏堵并举、区别对待”的方针，制订措施，扶强汰劣，控制城市SO</w:t>
      </w:r>
      <w:r>
        <w:rPr>
          <w:spacing w:val="4"/>
          <w:szCs w:val="28"/>
          <w:vertAlign w:val="subscript"/>
        </w:rPr>
        <w:t>2</w:t>
      </w:r>
      <w:r>
        <w:rPr>
          <w:spacing w:val="4"/>
          <w:szCs w:val="28"/>
        </w:rPr>
        <w:t>排放；对一般工业锅炉和窑炉，提倡使用工业型煤、低硫煤和洗选煤；对大中型燃煤工业锅炉，可根据具体条件采用低硫煤替代、循环流化床锅炉改造（加固硫剂）或采用烟气脱硫技术；对市区民用燃料，继续推广气化燃料，并在城市范围内的机关、企事业单位、服务行业推广使用管道煤气、液化气、油、电等清洁燃料。</w:t>
      </w:r>
    </w:p>
    <w:p>
      <w:pPr>
        <w:pStyle w:val="5"/>
        <w:ind w:left="0"/>
        <w:rPr>
          <w:rFonts w:eastAsia="仿宋_GB2312"/>
        </w:rPr>
      </w:pPr>
      <w:r>
        <w:rPr>
          <w:rFonts w:eastAsia="仿宋_GB2312"/>
        </w:rPr>
        <w:t>5.3.</w:t>
      </w:r>
      <w:r>
        <w:rPr>
          <w:rFonts w:hint="eastAsia" w:eastAsia="仿宋_GB2312"/>
        </w:rPr>
        <w:t>2</w:t>
      </w:r>
      <w:r>
        <w:rPr>
          <w:rFonts w:eastAsia="仿宋_GB2312"/>
        </w:rPr>
        <w:t>.3加强城市扬尘全过程控制，减少颗粒物排放</w:t>
      </w:r>
    </w:p>
    <w:p>
      <w:pPr>
        <w:spacing w:line="500" w:lineRule="exact"/>
        <w:ind w:firstLine="576" w:firstLineChars="200"/>
        <w:rPr>
          <w:b/>
          <w:spacing w:val="6"/>
          <w:szCs w:val="28"/>
        </w:rPr>
      </w:pPr>
      <w:r>
        <w:rPr>
          <w:spacing w:val="4"/>
          <w:szCs w:val="28"/>
        </w:rPr>
        <w:t>开展扬尘污染控制区创建工作，逐步扩大建成区扬尘污染控制范围。积极发挥部门联动作用，通过部门联动执法、加大宣传力度、扩大舆论等措施加强施工扬尘监管。督促施工单位落实施工现场封闭围挡、设置冲洗设施、道路硬地化等扬尘防治措施，做到施工现场100%围蔽、工地砂土100%覆盖、工地路面100%硬化、拆除工程100%洒水压尘、出土车辆100%冲净车身、暂不开发场地100%绿化。加强对建筑工地内的工程材料、沙石、土方、建筑垃圾等易产生扬尘物料的监督管理。加强市区内裸露土地的绿化或铺装，落实路面保洁、洒水防尘制度，减少道路扬尘污染。提高扬尘污染监控自动化水平，建立覆盖全市的扬尘监测网络，在施工工地设置视频监控系统，对全市和重点区域的扬尘污染情况进行密切的跟踪和严格监管。开展工地出口车辆自动喷淋设备示范工程建设。</w:t>
      </w:r>
    </w:p>
    <w:p>
      <w:pPr>
        <w:pStyle w:val="5"/>
        <w:ind w:left="0"/>
        <w:rPr>
          <w:rFonts w:eastAsia="仿宋_GB2312"/>
        </w:rPr>
      </w:pPr>
      <w:r>
        <w:rPr>
          <w:rFonts w:eastAsia="仿宋_GB2312"/>
        </w:rPr>
        <w:t>5.3.</w:t>
      </w:r>
      <w:r>
        <w:rPr>
          <w:rFonts w:hint="eastAsia" w:eastAsia="仿宋_GB2312"/>
        </w:rPr>
        <w:t>2</w:t>
      </w:r>
      <w:r>
        <w:rPr>
          <w:rFonts w:eastAsia="仿宋_GB2312"/>
        </w:rPr>
        <w:t>.4机动车尾气污染防治</w:t>
      </w:r>
    </w:p>
    <w:p>
      <w:pPr>
        <w:spacing w:line="500" w:lineRule="exact"/>
        <w:ind w:firstLine="576" w:firstLineChars="200"/>
        <w:rPr>
          <w:spacing w:val="4"/>
          <w:szCs w:val="28"/>
        </w:rPr>
      </w:pPr>
      <w:r>
        <w:rPr>
          <w:spacing w:val="4"/>
          <w:szCs w:val="28"/>
        </w:rPr>
        <w:t>积极推进油品升级，在全市范围内推广使用国</w:t>
      </w:r>
      <w:r>
        <w:rPr>
          <w:rFonts w:eastAsia="宋体"/>
          <w:spacing w:val="4"/>
          <w:szCs w:val="28"/>
        </w:rPr>
        <w:t>Ⅳ</w:t>
      </w:r>
      <w:r>
        <w:rPr>
          <w:spacing w:val="4"/>
          <w:szCs w:val="28"/>
        </w:rPr>
        <w:t>油；严格新车准入制度，对机动车登机执行国</w:t>
      </w:r>
      <w:r>
        <w:rPr>
          <w:rFonts w:eastAsia="宋体"/>
          <w:spacing w:val="4"/>
          <w:szCs w:val="28"/>
        </w:rPr>
        <w:t>Ⅳ</w:t>
      </w:r>
      <w:r>
        <w:rPr>
          <w:spacing w:val="4"/>
          <w:szCs w:val="28"/>
        </w:rPr>
        <w:t>排放标准；推广应用液化天然气公交大巴、混合动力公交大巴、双模电动车等新能源汽车，从源头削减污染物排放。推广使用简易工矿法排气检测、全面实施在用车检测与强制维护（I/M）制度，不断削减污染物存量。</w:t>
      </w:r>
    </w:p>
    <w:p>
      <w:pPr>
        <w:spacing w:line="500" w:lineRule="exact"/>
        <w:ind w:firstLine="576" w:firstLineChars="200"/>
        <w:rPr>
          <w:spacing w:val="4"/>
          <w:szCs w:val="28"/>
        </w:rPr>
      </w:pPr>
      <w:r>
        <w:rPr>
          <w:spacing w:val="4"/>
          <w:szCs w:val="28"/>
        </w:rPr>
        <w:t>加大污染物高排放车辆监管力度，强化机动车路检、抽检执法，加强举报冒黑烟车处理工作和监督处罚工作。实施机动车环保检验合格标志管理制度，采取经济鼓励政策，不断扩大黄标车限行范围，加快高排放车辆淘汰更新。完成油气污染治理改造，建设在线监控系统，加强日常监管力度。在主要交通路口、交通干道和重要环境保护目标建立移动与固定点相结合的机动车排气污染检测系统，加强机动车排气污染检控执法能力。</w:t>
      </w:r>
    </w:p>
    <w:p>
      <w:pPr>
        <w:spacing w:line="500" w:lineRule="exact"/>
        <w:ind w:firstLine="576" w:firstLineChars="200"/>
        <w:rPr>
          <w:rFonts w:hint="eastAsia"/>
          <w:spacing w:val="4"/>
          <w:szCs w:val="28"/>
        </w:rPr>
      </w:pPr>
      <w:r>
        <w:rPr>
          <w:spacing w:val="4"/>
          <w:szCs w:val="28"/>
        </w:rPr>
        <w:t>大力发展绿色公共交通。采取优化公交线网布局、科学安排车次、提高服务质量、提高公交车辆质量等措施，给公众提供方便、快捷、舒适的公交出行环境，倡导公众出行优先选择公交系统。完善快速公交和轨道交通，改善非机动车交通条件，鼓励公众更多地采取绿色出行的方式。</w:t>
      </w:r>
    </w:p>
    <w:p>
      <w:pPr>
        <w:spacing w:line="500" w:lineRule="exact"/>
        <w:ind w:firstLine="576" w:firstLineChars="200"/>
        <w:rPr>
          <w:rFonts w:hint="eastAsia"/>
          <w:spacing w:val="4"/>
          <w:szCs w:val="28"/>
        </w:rPr>
      </w:pPr>
      <w:r>
        <w:rPr>
          <w:spacing w:val="4"/>
          <w:szCs w:val="28"/>
        </w:rPr>
        <w:t>开展加油站油气回收系统安装工作，并定期对回收系统进行检修，及时维护和更换受损设备，使油气回收设备在运行中达到最佳的回收效果，2012年底前完成全市所有油库、油罐车、加油站油气回收治理工作。</w:t>
      </w:r>
    </w:p>
    <w:p>
      <w:pPr>
        <w:pStyle w:val="5"/>
        <w:ind w:left="0"/>
        <w:rPr>
          <w:rFonts w:eastAsia="仿宋_GB2312"/>
        </w:rPr>
      </w:pPr>
      <w:bookmarkStart w:id="95" w:name="_Toc263071878"/>
      <w:bookmarkStart w:id="96" w:name="_Toc265336535"/>
      <w:r>
        <w:rPr>
          <w:rFonts w:eastAsia="仿宋_GB2312"/>
        </w:rPr>
        <w:t>5.3.</w:t>
      </w:r>
      <w:r>
        <w:rPr>
          <w:rFonts w:hint="eastAsia" w:eastAsia="仿宋_GB2312"/>
        </w:rPr>
        <w:t>2</w:t>
      </w:r>
      <w:r>
        <w:rPr>
          <w:rFonts w:eastAsia="仿宋_GB2312"/>
        </w:rPr>
        <w:t>.5加强重点行业VOC污染排放控制</w:t>
      </w:r>
    </w:p>
    <w:p>
      <w:pPr>
        <w:spacing w:line="500" w:lineRule="exact"/>
        <w:ind w:firstLine="576" w:firstLineChars="200"/>
        <w:rPr>
          <w:b/>
          <w:spacing w:val="6"/>
          <w:szCs w:val="28"/>
        </w:rPr>
      </w:pPr>
      <w:r>
        <w:rPr>
          <w:spacing w:val="4"/>
          <w:szCs w:val="28"/>
        </w:rPr>
        <w:t>完成VOC重点排放行业调查工作，查清电子信息产业、机密机械等重点行业的VOC排放情况，建立重点管理企业名录，对纳入名录的企业实施有机溶剂使用及挥发性有机物污染控制登记报告制度。在重点行业选取典型生产企业开展VOC治理示范工程建设，对重点企业强制开展清洁生产审核，提出VOC减排措施，制订重点行业VOC污染整治行动计划。加强建设项目环评审批工作，对有VOC排放项目环评批复时应要求其落实VOC污染防治“三同时”措施，严格控制VOC排放增量。推广使用低VOC排放的涂料、油漆产品。对全市涂料、油漆产品销售、使用情况进行调研，提出低VOC产品推广计划，加大宣传普及，引导民众环保消费，逐步使用水性涂料等低VOC污染的产品。</w:t>
      </w:r>
    </w:p>
    <w:p>
      <w:pPr>
        <w:pStyle w:val="3"/>
        <w:sectPr>
          <w:endnotePr>
            <w:numFmt w:val="decimal"/>
          </w:endnotePr>
          <w:pgSz w:w="11906" w:h="16838"/>
          <w:pgMar w:top="1440" w:right="1797" w:bottom="1440" w:left="1797" w:header="851" w:footer="992" w:gutter="0"/>
          <w:cols w:space="425" w:num="1"/>
          <w:docGrid w:linePitch="312" w:charSpace="0"/>
        </w:sectPr>
      </w:pPr>
    </w:p>
    <w:p>
      <w:pPr>
        <w:pStyle w:val="3"/>
      </w:pPr>
      <w:bookmarkStart w:id="97" w:name="_Toc304379412"/>
      <w:r>
        <w:t>5.4固体废弃物污染防治</w:t>
      </w:r>
      <w:bookmarkEnd w:id="95"/>
      <w:bookmarkEnd w:id="96"/>
      <w:bookmarkEnd w:id="97"/>
    </w:p>
    <w:p>
      <w:pPr>
        <w:pStyle w:val="4"/>
        <w:rPr>
          <w:rFonts w:ascii="Times New Roman" w:hAnsi="Times New Roman"/>
        </w:rPr>
      </w:pPr>
      <w:bookmarkStart w:id="98" w:name="_Toc242673338"/>
      <w:bookmarkStart w:id="99" w:name="_Toc233707254"/>
      <w:bookmarkStart w:id="100" w:name="_Toc265336536"/>
      <w:r>
        <w:rPr>
          <w:rFonts w:ascii="Times New Roman" w:hAnsi="Times New Roman"/>
        </w:rPr>
        <w:t>5.4.1规划目标</w:t>
      </w:r>
      <w:bookmarkEnd w:id="98"/>
      <w:bookmarkEnd w:id="99"/>
      <w:bookmarkEnd w:id="100"/>
    </w:p>
    <w:p>
      <w:pPr>
        <w:spacing w:line="500" w:lineRule="exact"/>
        <w:ind w:firstLine="584" w:firstLineChars="200"/>
        <w:rPr>
          <w:spacing w:val="6"/>
          <w:szCs w:val="28"/>
        </w:rPr>
      </w:pPr>
      <w:r>
        <w:rPr>
          <w:rFonts w:hint="eastAsia"/>
          <w:spacing w:val="6"/>
          <w:szCs w:val="28"/>
        </w:rPr>
        <w:t>2015年</w:t>
      </w:r>
      <w:r>
        <w:rPr>
          <w:spacing w:val="6"/>
          <w:szCs w:val="28"/>
        </w:rPr>
        <w:t>城镇建成区生活垃圾分类收集率达45%，农村垃圾收集和集中无害化处理处置率达100%，其中25%以上实现分类收集。风景名胜区和历史古迹处垃圾100%实现安全处理与处置。</w:t>
      </w:r>
    </w:p>
    <w:p>
      <w:pPr>
        <w:pStyle w:val="4"/>
        <w:rPr>
          <w:rFonts w:ascii="Times New Roman" w:hAnsi="Times New Roman"/>
        </w:rPr>
      </w:pPr>
      <w:bookmarkStart w:id="101" w:name="_Toc265336537"/>
      <w:bookmarkStart w:id="102" w:name="_Toc242673339"/>
      <w:bookmarkStart w:id="103" w:name="_Toc233707255"/>
      <w:r>
        <w:rPr>
          <w:rFonts w:ascii="Times New Roman" w:hAnsi="Times New Roman"/>
        </w:rPr>
        <w:t>5.4.2规划内容</w:t>
      </w:r>
      <w:bookmarkEnd w:id="101"/>
      <w:bookmarkEnd w:id="102"/>
      <w:bookmarkEnd w:id="103"/>
    </w:p>
    <w:p>
      <w:pPr>
        <w:pStyle w:val="5"/>
        <w:ind w:left="0"/>
        <w:rPr>
          <w:rFonts w:eastAsia="仿宋_GB2312"/>
        </w:rPr>
      </w:pPr>
      <w:r>
        <w:rPr>
          <w:rFonts w:hint="eastAsia" w:eastAsia="仿宋_GB2312"/>
        </w:rPr>
        <w:t>5.4.2.1</w:t>
      </w:r>
      <w:r>
        <w:rPr>
          <w:rFonts w:eastAsia="仿宋_GB2312"/>
        </w:rPr>
        <w:t>逐步推进垃圾分类收集和资源回收利用工作</w:t>
      </w:r>
    </w:p>
    <w:p>
      <w:pPr>
        <w:spacing w:line="500" w:lineRule="exact"/>
        <w:ind w:firstLine="584" w:firstLineChars="200"/>
        <w:rPr>
          <w:spacing w:val="6"/>
          <w:szCs w:val="28"/>
        </w:rPr>
      </w:pPr>
      <w:r>
        <w:rPr>
          <w:spacing w:val="6"/>
          <w:szCs w:val="28"/>
        </w:rPr>
        <w:t>建成较为完善的城市垃圾分类收集、运输、处置和资源回收利用系统。结合昆山市实际，针对不同的功能区，制定不同的分类标准，采取不同的措施：</w:t>
      </w:r>
    </w:p>
    <w:p>
      <w:pPr>
        <w:spacing w:line="500" w:lineRule="exact"/>
        <w:ind w:firstLine="584" w:firstLineChars="200"/>
        <w:rPr>
          <w:spacing w:val="6"/>
          <w:szCs w:val="28"/>
        </w:rPr>
      </w:pPr>
      <w:r>
        <w:rPr>
          <w:spacing w:val="6"/>
          <w:szCs w:val="28"/>
        </w:rPr>
        <w:t>居民住宅区：分为厨余垃圾、非厨余垃圾、大件垃圾、有毒有害垃圾，厨余垃圾建设生物垃圾处理厂集中处理；非厨余垃圾近期在源头或收集环节将可回收物直接回收后，其余的运往焚烧厂处理，远期建设垃圾分选中心集中处理；大件垃圾破碎后，可回收物进入废物回收系统，高热值垃圾运往焚烧厂处理，其余的运往填埋场处理；有毒有害垃圾运往</w:t>
      </w:r>
      <w:r>
        <w:rPr>
          <w:rFonts w:hint="eastAsia"/>
          <w:spacing w:val="6"/>
          <w:szCs w:val="28"/>
        </w:rPr>
        <w:t>昆山市</w:t>
      </w:r>
      <w:r>
        <w:rPr>
          <w:spacing w:val="6"/>
          <w:szCs w:val="28"/>
        </w:rPr>
        <w:t>危险废物处理</w:t>
      </w:r>
      <w:r>
        <w:rPr>
          <w:rFonts w:hint="eastAsia"/>
          <w:spacing w:val="6"/>
          <w:szCs w:val="28"/>
        </w:rPr>
        <w:t>单位</w:t>
      </w:r>
      <w:r>
        <w:rPr>
          <w:spacing w:val="6"/>
          <w:szCs w:val="28"/>
        </w:rPr>
        <w:t>处理。</w:t>
      </w:r>
    </w:p>
    <w:p>
      <w:pPr>
        <w:spacing w:line="500" w:lineRule="exact"/>
        <w:ind w:firstLine="584" w:firstLineChars="200"/>
        <w:rPr>
          <w:spacing w:val="6"/>
          <w:szCs w:val="28"/>
        </w:rPr>
      </w:pPr>
      <w:r>
        <w:rPr>
          <w:spacing w:val="6"/>
          <w:szCs w:val="28"/>
        </w:rPr>
        <w:t>商业办公区、公共场所和道路：分为可回收垃圾、不可回收垃圾、大件垃圾、有毒有害垃圾。可回收垃圾进入废品回收系统；不可回收垃圾运往焚烧厂。大件垃圾、有毒有害垃圾处理同上。</w:t>
      </w:r>
    </w:p>
    <w:p>
      <w:pPr>
        <w:spacing w:line="500" w:lineRule="exact"/>
        <w:ind w:firstLine="584" w:firstLineChars="200"/>
        <w:rPr>
          <w:spacing w:val="6"/>
          <w:szCs w:val="28"/>
        </w:rPr>
      </w:pPr>
      <w:r>
        <w:rPr>
          <w:spacing w:val="6"/>
          <w:szCs w:val="28"/>
        </w:rPr>
        <w:t>工业区：分为普通工业垃圾和有毒有害垃圾。普通工业垃圾运往焚烧厂处理，有毒有害垃圾处理同上。</w:t>
      </w:r>
    </w:p>
    <w:p>
      <w:pPr>
        <w:spacing w:line="500" w:lineRule="exact"/>
        <w:ind w:firstLine="584" w:firstLineChars="200"/>
        <w:rPr>
          <w:spacing w:val="6"/>
          <w:szCs w:val="28"/>
        </w:rPr>
      </w:pPr>
      <w:r>
        <w:rPr>
          <w:spacing w:val="6"/>
          <w:szCs w:val="28"/>
        </w:rPr>
        <w:t>宾馆、酒楼、饭店和单位食堂的厨余垃圾单独收集、运输，实行源头处理和集中处理相结合的原则。</w:t>
      </w:r>
    </w:p>
    <w:p>
      <w:pPr>
        <w:pStyle w:val="5"/>
        <w:ind w:left="0"/>
        <w:rPr>
          <w:rFonts w:eastAsia="仿宋_GB2312"/>
        </w:rPr>
      </w:pPr>
      <w:r>
        <w:rPr>
          <w:rFonts w:hint="eastAsia" w:eastAsia="仿宋_GB2312"/>
        </w:rPr>
        <w:t>5.4.2.2</w:t>
      </w:r>
      <w:r>
        <w:rPr>
          <w:rFonts w:eastAsia="仿宋_GB2312"/>
        </w:rPr>
        <w:t>提高生活垃圾资源化比例</w:t>
      </w:r>
    </w:p>
    <w:p>
      <w:pPr>
        <w:spacing w:line="500" w:lineRule="exact"/>
        <w:ind w:firstLine="584" w:firstLineChars="200"/>
        <w:rPr>
          <w:spacing w:val="6"/>
          <w:szCs w:val="28"/>
        </w:rPr>
      </w:pPr>
      <w:r>
        <w:rPr>
          <w:spacing w:val="6"/>
          <w:szCs w:val="28"/>
        </w:rPr>
        <w:t>在垃圾分类工作的基础上，可回收废物纳入全市资源回收系统综合利用，餐饮业泔脚与食品加工有机废物和部分有机垃圾送堆肥厂资源化利用，其余可焚烧生活垃圾送至垃圾发电厂焚烧发电。</w:t>
      </w:r>
    </w:p>
    <w:p>
      <w:pPr>
        <w:spacing w:line="500" w:lineRule="exact"/>
        <w:ind w:firstLine="584" w:firstLineChars="200"/>
        <w:rPr>
          <w:spacing w:val="6"/>
          <w:szCs w:val="28"/>
        </w:rPr>
      </w:pPr>
      <w:r>
        <w:rPr>
          <w:spacing w:val="6"/>
          <w:szCs w:val="28"/>
        </w:rPr>
        <w:t>规划建立与有机垃圾处理配套的生物处理中心——近期为</w:t>
      </w:r>
      <w:r>
        <w:rPr>
          <w:rFonts w:hint="eastAsia"/>
          <w:spacing w:val="6"/>
          <w:szCs w:val="28"/>
        </w:rPr>
        <w:t>2</w:t>
      </w:r>
      <w:r>
        <w:rPr>
          <w:spacing w:val="6"/>
          <w:szCs w:val="28"/>
        </w:rPr>
        <w:t>00吨/日餐厨垃圾处理设施，中远期大范围实施生活垃圾分流和分类收集后，可以达成处理有机垃圾300吨/日以上的能力，实现有机垃圾的多种形式资源化利用。</w:t>
      </w:r>
    </w:p>
    <w:p>
      <w:pPr>
        <w:pStyle w:val="5"/>
        <w:ind w:left="0"/>
        <w:rPr>
          <w:rFonts w:eastAsia="仿宋_GB2312"/>
        </w:rPr>
      </w:pPr>
      <w:r>
        <w:rPr>
          <w:rFonts w:hint="eastAsia" w:eastAsia="仿宋_GB2312"/>
        </w:rPr>
        <w:t>5.4.2.3</w:t>
      </w:r>
      <w:r>
        <w:rPr>
          <w:rFonts w:eastAsia="仿宋_GB2312"/>
        </w:rPr>
        <w:t>提高危险废弃物处理全过程控制水平</w:t>
      </w:r>
    </w:p>
    <w:p>
      <w:pPr>
        <w:spacing w:line="500" w:lineRule="exact"/>
        <w:ind w:firstLine="560" w:firstLineChars="200"/>
        <w:rPr>
          <w:spacing w:val="6"/>
          <w:szCs w:val="28"/>
        </w:rPr>
      </w:pPr>
      <w:r>
        <w:rPr>
          <w:szCs w:val="28"/>
        </w:rPr>
        <w:t>提高现有危废处理设施的技术水平，到“十二五”末期基本达到国际标准水平，从而控制并减少危险废物的二次污染。合理规划危废处理用地，遵循布局集中、用地集约的原则，为未来危废处理预留足够的空间。继续高标准建设医疗废物焚烧设施，完善医疗废物收集体系，以确保医疗废物100%得到处理。加快推进各污泥处理厂的建设，确保污泥的无害化处理，并开展相应的污泥资源化技术研究，提高污泥资源化水平。严格执行危废处理处置收费制度。完善危废管理的相关法律法规，加强加管力度，杜绝瞒报偷排。采取相应的鼓励性政策，建立健全危险废物处理处置技术研发体制。</w:t>
      </w:r>
    </w:p>
    <w:p>
      <w:pPr>
        <w:pStyle w:val="5"/>
        <w:ind w:left="0"/>
        <w:rPr>
          <w:rFonts w:eastAsia="仿宋_GB2312"/>
        </w:rPr>
      </w:pPr>
      <w:r>
        <w:rPr>
          <w:rFonts w:hint="eastAsia" w:eastAsia="仿宋_GB2312"/>
        </w:rPr>
        <w:t>5.4.2.4</w:t>
      </w:r>
      <w:r>
        <w:rPr>
          <w:rFonts w:eastAsia="仿宋_GB2312"/>
        </w:rPr>
        <w:t>强化建筑垃圾处理能力建设</w:t>
      </w:r>
    </w:p>
    <w:p>
      <w:pPr>
        <w:spacing w:line="500" w:lineRule="exact"/>
        <w:ind w:firstLine="584" w:firstLineChars="200"/>
        <w:rPr>
          <w:spacing w:val="6"/>
          <w:szCs w:val="28"/>
        </w:rPr>
      </w:pPr>
      <w:r>
        <w:rPr>
          <w:spacing w:val="6"/>
          <w:szCs w:val="28"/>
        </w:rPr>
        <w:t>合理规划布局，完善建筑垃圾综合利用设施建设，将为城市配套相应的建筑垃圾综合利用设施，“十二五”期间，建筑垃圾收纳及综合利用设施处理能力达到</w:t>
      </w:r>
      <w:r>
        <w:rPr>
          <w:rFonts w:hint="eastAsia"/>
          <w:spacing w:val="6"/>
          <w:szCs w:val="28"/>
        </w:rPr>
        <w:t>18.25</w:t>
      </w:r>
      <w:r>
        <w:rPr>
          <w:spacing w:val="6"/>
          <w:szCs w:val="28"/>
        </w:rPr>
        <w:t>万吨/年</w:t>
      </w:r>
      <w:r>
        <w:rPr>
          <w:rFonts w:hint="eastAsia"/>
          <w:spacing w:val="6"/>
          <w:szCs w:val="28"/>
        </w:rPr>
        <w:t>，同时保留扩建余地</w:t>
      </w:r>
      <w:r>
        <w:rPr>
          <w:spacing w:val="6"/>
          <w:szCs w:val="28"/>
        </w:rPr>
        <w:t>。</w:t>
      </w:r>
    </w:p>
    <w:p>
      <w:pPr>
        <w:pStyle w:val="5"/>
        <w:ind w:left="0"/>
        <w:rPr>
          <w:rFonts w:eastAsia="仿宋_GB2312"/>
        </w:rPr>
      </w:pPr>
      <w:r>
        <w:rPr>
          <w:rFonts w:hint="eastAsia" w:eastAsia="仿宋_GB2312"/>
        </w:rPr>
        <w:t>5.4.2.5</w:t>
      </w:r>
      <w:r>
        <w:rPr>
          <w:rFonts w:eastAsia="仿宋_GB2312"/>
        </w:rPr>
        <w:t>重视电子废弃物污染防治</w:t>
      </w:r>
    </w:p>
    <w:p>
      <w:pPr>
        <w:spacing w:line="500" w:lineRule="exact"/>
        <w:ind w:firstLine="560" w:firstLineChars="200"/>
        <w:rPr>
          <w:szCs w:val="28"/>
        </w:rPr>
      </w:pPr>
      <w:r>
        <w:rPr>
          <w:szCs w:val="28"/>
        </w:rPr>
        <w:t>完善“生产者延伸责任”制度，建立科学的电子废弃物回收体系。选择合适的场地，在昆山市建立综合性的废旧电子产品拆解和利用中心，建立相应的激励制度，鼓励专业的处理机构入驻，并培养专业的废旧电子产品处理及回收利用龙头企业。</w:t>
      </w:r>
    </w:p>
    <w:p>
      <w:pPr>
        <w:spacing w:line="500" w:lineRule="exact"/>
        <w:ind w:firstLine="560" w:firstLineChars="200"/>
        <w:rPr>
          <w:b/>
          <w:spacing w:val="6"/>
          <w:szCs w:val="28"/>
        </w:rPr>
      </w:pPr>
      <w:r>
        <w:rPr>
          <w:szCs w:val="28"/>
        </w:rPr>
        <w:t>建立电子废弃物回收处理技术研发中心，鼓励环保企业、高校及其他研究机构开展相应的技术开发工作，引进并学习国外先进处理技术，加强本地化应用尝试，由政府出面建立相应的技术孵化机制，为各种电子废弃物处理及资源化利用技术的应用提供必要的支持。加强行政管理, 杜绝电子废弃物的非法回收，以确保电子废弃物能够通过正规的渠道回收并利用。加大对没有经营资质回收商贩和处置企业的查处力度,确保电子废弃物回收的合法化、规范化。</w:t>
      </w:r>
    </w:p>
    <w:p>
      <w:pPr>
        <w:pStyle w:val="5"/>
        <w:ind w:left="0"/>
        <w:rPr>
          <w:rFonts w:eastAsia="仿宋_GB2312"/>
        </w:rPr>
      </w:pPr>
      <w:r>
        <w:rPr>
          <w:rFonts w:hint="eastAsia" w:eastAsia="仿宋_GB2312"/>
        </w:rPr>
        <w:t>5.4.2.6</w:t>
      </w:r>
      <w:r>
        <w:rPr>
          <w:rFonts w:eastAsia="仿宋_GB2312"/>
        </w:rPr>
        <w:t>加快固体废物处理处置市场化</w:t>
      </w:r>
    </w:p>
    <w:p>
      <w:pPr>
        <w:spacing w:line="500" w:lineRule="exact"/>
        <w:ind w:firstLine="584" w:firstLineChars="200"/>
        <w:rPr>
          <w:spacing w:val="6"/>
          <w:szCs w:val="28"/>
        </w:rPr>
      </w:pPr>
      <w:r>
        <w:rPr>
          <w:spacing w:val="6"/>
          <w:szCs w:val="28"/>
        </w:rPr>
        <w:t>深化固体废物管理体制改革，打破垄断，鼓励竞争。实现市容环卫政事、政企、事企及管理与作业服务彻底分离，推动市场运作机制和多元竞争格局的建立。积极发展固废作业服务市场，建立固废作业有偿收集、运输和处置的机制。进一步规范市场，按公平、公正、公开原则组织招标，促进各类经济成分进入固废作业服务市场。鼓励不同经济成分的企业和社会资本介入固废产业，固废处理处置基础设施实现BOT（Build-Operate-Transfer）模式运转。</w:t>
      </w:r>
    </w:p>
    <w:p>
      <w:pPr>
        <w:pStyle w:val="3"/>
        <w:sectPr>
          <w:endnotePr>
            <w:numFmt w:val="decimal"/>
          </w:endnotePr>
          <w:pgSz w:w="11906" w:h="16838"/>
          <w:pgMar w:top="1440" w:right="1797" w:bottom="1440" w:left="1797" w:header="851" w:footer="992" w:gutter="0"/>
          <w:cols w:space="425" w:num="1"/>
          <w:docGrid w:linePitch="312" w:charSpace="0"/>
        </w:sectPr>
      </w:pPr>
      <w:bookmarkStart w:id="104" w:name="_Toc263071879"/>
      <w:bookmarkStart w:id="105" w:name="_Toc265336538"/>
    </w:p>
    <w:p>
      <w:pPr>
        <w:pStyle w:val="3"/>
      </w:pPr>
      <w:bookmarkStart w:id="106" w:name="_Toc304379413"/>
      <w:r>
        <w:t>5.5工业污染防治</w:t>
      </w:r>
      <w:bookmarkEnd w:id="104"/>
      <w:bookmarkEnd w:id="105"/>
      <w:bookmarkEnd w:id="106"/>
    </w:p>
    <w:p>
      <w:pPr>
        <w:pStyle w:val="4"/>
        <w:rPr>
          <w:rFonts w:ascii="Times New Roman" w:hAnsi="Times New Roman"/>
        </w:rPr>
      </w:pPr>
      <w:bookmarkStart w:id="107" w:name="_Toc265336540"/>
      <w:bookmarkStart w:id="108" w:name="_Toc242673318"/>
      <w:r>
        <w:rPr>
          <w:rFonts w:ascii="Times New Roman" w:hAnsi="Times New Roman"/>
        </w:rPr>
        <w:t>5.5.</w:t>
      </w:r>
      <w:r>
        <w:rPr>
          <w:rFonts w:hint="eastAsia" w:ascii="Times New Roman" w:hAnsi="Times New Roman"/>
        </w:rPr>
        <w:t>1</w:t>
      </w:r>
      <w:r>
        <w:rPr>
          <w:rFonts w:ascii="Times New Roman" w:hAnsi="Times New Roman"/>
        </w:rPr>
        <w:t>发展目标</w:t>
      </w:r>
      <w:bookmarkEnd w:id="107"/>
      <w:bookmarkEnd w:id="108"/>
    </w:p>
    <w:p>
      <w:pPr>
        <w:adjustRightInd/>
        <w:snapToGrid/>
        <w:spacing w:line="500" w:lineRule="exact"/>
        <w:ind w:firstLine="584" w:firstLineChars="200"/>
        <w:rPr>
          <w:spacing w:val="6"/>
          <w:kern w:val="2"/>
          <w:szCs w:val="28"/>
        </w:rPr>
      </w:pPr>
      <w:r>
        <w:rPr>
          <w:spacing w:val="6"/>
          <w:kern w:val="2"/>
          <w:szCs w:val="28"/>
        </w:rPr>
        <w:t>近期目标（2015年）：以产业生态转型和结构升级为主线，以技术创新为支撑，综合考虑区域资源、环境和生态承载力，优化和调整工业结构，按照主体功能区要求推动工业集聚和错位发展，大力发展循环经济，进一步完善主导产业链网结构，初步构建具有区域特色和比较优势的集约节约文明工业体系。</w:t>
      </w:r>
    </w:p>
    <w:p>
      <w:pPr>
        <w:adjustRightInd/>
        <w:snapToGrid/>
        <w:spacing w:line="500" w:lineRule="exact"/>
        <w:ind w:firstLine="584" w:firstLineChars="200"/>
        <w:rPr>
          <w:spacing w:val="6"/>
          <w:kern w:val="2"/>
          <w:szCs w:val="28"/>
        </w:rPr>
      </w:pPr>
      <w:r>
        <w:rPr>
          <w:spacing w:val="6"/>
          <w:kern w:val="2"/>
          <w:szCs w:val="28"/>
        </w:rPr>
        <w:t>中远期目标（2020年）：工业布局进一步优化，工业结构全面升级，实施清洁生产比例达到100%；主导工业行业资源利用率、能源效率和主要污染物排放强度指标整体上达到国际先进水平，形成以生态工业园区为载体，低消耗、低排放、高效益的文明工业体系。</w:t>
      </w:r>
    </w:p>
    <w:p>
      <w:pPr>
        <w:pStyle w:val="4"/>
        <w:rPr>
          <w:rFonts w:ascii="Times New Roman" w:hAnsi="Times New Roman"/>
        </w:rPr>
      </w:pPr>
      <w:bookmarkStart w:id="109" w:name="_Toc242673319"/>
      <w:bookmarkStart w:id="110" w:name="_Toc265336541"/>
      <w:r>
        <w:rPr>
          <w:rFonts w:ascii="Times New Roman" w:hAnsi="Times New Roman"/>
        </w:rPr>
        <w:t>5.5.</w:t>
      </w:r>
      <w:r>
        <w:rPr>
          <w:rFonts w:hint="eastAsia" w:ascii="Times New Roman" w:hAnsi="Times New Roman"/>
        </w:rPr>
        <w:t>2</w:t>
      </w:r>
      <w:r>
        <w:rPr>
          <w:rFonts w:ascii="Times New Roman" w:hAnsi="Times New Roman"/>
        </w:rPr>
        <w:t>建设任务</w:t>
      </w:r>
      <w:bookmarkEnd w:id="109"/>
      <w:bookmarkEnd w:id="110"/>
    </w:p>
    <w:p>
      <w:pPr>
        <w:pStyle w:val="5"/>
        <w:ind w:left="0"/>
        <w:rPr>
          <w:rFonts w:eastAsia="仿宋_GB2312"/>
        </w:rPr>
      </w:pPr>
      <w:r>
        <w:rPr>
          <w:rFonts w:eastAsia="仿宋_GB2312"/>
        </w:rPr>
        <w:t>5.5.</w:t>
      </w:r>
      <w:r>
        <w:rPr>
          <w:rFonts w:hint="eastAsia" w:eastAsia="仿宋_GB2312"/>
        </w:rPr>
        <w:t>2</w:t>
      </w:r>
      <w:r>
        <w:rPr>
          <w:rFonts w:eastAsia="仿宋_GB2312"/>
        </w:rPr>
        <w:t>.1产业布局</w:t>
      </w:r>
    </w:p>
    <w:p>
      <w:pPr>
        <w:adjustRightInd/>
        <w:snapToGrid/>
        <w:spacing w:line="500" w:lineRule="exact"/>
        <w:ind w:firstLine="584" w:firstLineChars="200"/>
        <w:rPr>
          <w:spacing w:val="6"/>
          <w:kern w:val="2"/>
          <w:szCs w:val="28"/>
        </w:rPr>
      </w:pPr>
      <w:r>
        <w:rPr>
          <w:spacing w:val="6"/>
          <w:kern w:val="2"/>
          <w:szCs w:val="28"/>
        </w:rPr>
        <w:t>按照产业集聚与土地集约利用的原则，建立和完善“一带四区十基地”的空间格局，形成既分工又协作的空间体系，实现</w:t>
      </w:r>
      <w:r>
        <w:rPr>
          <w:rFonts w:hint="eastAsia"/>
          <w:spacing w:val="6"/>
          <w:kern w:val="2"/>
          <w:szCs w:val="28"/>
        </w:rPr>
        <w:t>以</w:t>
      </w:r>
      <w:r>
        <w:rPr>
          <w:spacing w:val="6"/>
          <w:kern w:val="2"/>
          <w:szCs w:val="28"/>
        </w:rPr>
        <w:t>空间布局合理、定位明确、错位发展为特征的产业布局体系。</w:t>
      </w:r>
    </w:p>
    <w:p>
      <w:pPr>
        <w:adjustRightInd/>
        <w:snapToGrid/>
        <w:spacing w:line="500" w:lineRule="exact"/>
        <w:ind w:firstLine="584" w:firstLineChars="200"/>
        <w:rPr>
          <w:spacing w:val="6"/>
          <w:kern w:val="2"/>
          <w:szCs w:val="28"/>
        </w:rPr>
      </w:pPr>
      <w:r>
        <w:rPr>
          <w:rFonts w:hint="eastAsia"/>
          <w:spacing w:val="6"/>
          <w:kern w:val="2"/>
          <w:szCs w:val="28"/>
        </w:rPr>
        <w:t>1、</w:t>
      </w:r>
      <w:r>
        <w:rPr>
          <w:spacing w:val="6"/>
          <w:kern w:val="2"/>
          <w:szCs w:val="28"/>
        </w:rPr>
        <w:t>一带：东起花桥，沿沪宁线展开，西至巴城软件园。产业带以开发区和高新区为核心，重点发展电子信息、光电产业、装备制造等先进制造业。以花桥经济开发区和陆家、千灯部分区域为东端，重点发展服务外包、总部经济、软件信息等现代服务业。以昆山高新区和巴城、周市部分区域为西端，重点发展生物、新能源等战略性新兴产业，形成先进制造业与现代服务业融合互动发展格局，整体形状与“微笑曲线”一致，是昆山产业发展的“微笑产业带”。</w:t>
      </w:r>
    </w:p>
    <w:p>
      <w:pPr>
        <w:adjustRightInd/>
        <w:snapToGrid/>
        <w:spacing w:line="500" w:lineRule="exact"/>
        <w:ind w:firstLine="584" w:firstLineChars="200"/>
        <w:rPr>
          <w:spacing w:val="6"/>
          <w:kern w:val="2"/>
          <w:szCs w:val="28"/>
        </w:rPr>
      </w:pPr>
      <w:r>
        <w:rPr>
          <w:rFonts w:hint="eastAsia"/>
          <w:spacing w:val="6"/>
          <w:kern w:val="2"/>
          <w:szCs w:val="28"/>
        </w:rPr>
        <w:t>2、</w:t>
      </w:r>
      <w:r>
        <w:rPr>
          <w:spacing w:val="6"/>
          <w:kern w:val="2"/>
          <w:szCs w:val="28"/>
        </w:rPr>
        <w:t>四区：沿核心产业带南北两端的辐射地区，包括主导产业配套区、现代装备产业区、科教软件产业区、现代休闲产业区四大功能区。主导产业配套区包括张浦和千灯、陆家部分区域，重点依托电子信息、装备制造、新兴科技等主导产业，发展配套产业；现代装备产业区包括周市和高新区、巴城部分区域，重点发展工程机械、特种汽车、大型机床、大型专用机器设备制造等现代装备产业。科教软件产业区包括巴城和高新区部分区域，重点发展信息技术外包和知识流程外包；现代休闲产业区包括淀山湖、锦溪、千灯、周庄和巴城，重点发展观光旅游、康体养生、影视和房地产等服务业。</w:t>
      </w:r>
    </w:p>
    <w:p>
      <w:pPr>
        <w:adjustRightInd/>
        <w:snapToGrid/>
        <w:spacing w:line="500" w:lineRule="exact"/>
        <w:ind w:firstLine="584" w:firstLineChars="200"/>
        <w:rPr>
          <w:spacing w:val="6"/>
          <w:kern w:val="2"/>
          <w:szCs w:val="28"/>
        </w:rPr>
      </w:pPr>
      <w:r>
        <w:rPr>
          <w:rFonts w:hint="eastAsia"/>
          <w:spacing w:val="6"/>
          <w:kern w:val="2"/>
          <w:szCs w:val="28"/>
        </w:rPr>
        <w:t>3、</w:t>
      </w:r>
      <w:r>
        <w:rPr>
          <w:spacing w:val="6"/>
          <w:kern w:val="2"/>
          <w:szCs w:val="28"/>
        </w:rPr>
        <w:t>十基地：加快光电产业基地、服务外包基地、软件产业基地、科教基地、可再生能源产业基地、模具产业基地、传感器产业基地、先进制造产业基地、电路板产业基地、海峡两岸（昆山）农业合作实验区等十个特色产业基地建设。</w:t>
      </w:r>
    </w:p>
    <w:p>
      <w:pPr>
        <w:pStyle w:val="5"/>
        <w:spacing w:before="0" w:after="0" w:line="500" w:lineRule="exact"/>
        <w:ind w:left="0"/>
        <w:rPr>
          <w:rFonts w:eastAsia="仿宋_GB2312"/>
          <w:szCs w:val="28"/>
        </w:rPr>
      </w:pPr>
      <w:r>
        <w:rPr>
          <w:rFonts w:eastAsia="仿宋_GB2312"/>
          <w:szCs w:val="28"/>
        </w:rPr>
        <w:t>5.5.</w:t>
      </w:r>
      <w:r>
        <w:rPr>
          <w:rFonts w:hint="eastAsia" w:eastAsia="仿宋_GB2312"/>
          <w:szCs w:val="28"/>
        </w:rPr>
        <w:t>2</w:t>
      </w:r>
      <w:r>
        <w:rPr>
          <w:rFonts w:eastAsia="仿宋_GB2312"/>
          <w:szCs w:val="28"/>
        </w:rPr>
        <w:t>.2产业转型</w:t>
      </w:r>
    </w:p>
    <w:p>
      <w:pPr>
        <w:adjustRightInd/>
        <w:snapToGrid/>
        <w:spacing w:line="500" w:lineRule="exact"/>
        <w:ind w:firstLine="586" w:firstLineChars="200"/>
        <w:rPr>
          <w:b/>
          <w:spacing w:val="6"/>
          <w:kern w:val="2"/>
          <w:szCs w:val="28"/>
        </w:rPr>
      </w:pPr>
      <w:bookmarkStart w:id="111" w:name="_Toc271033007"/>
      <w:r>
        <w:rPr>
          <w:rFonts w:hint="eastAsia"/>
          <w:b/>
          <w:spacing w:val="6"/>
          <w:kern w:val="2"/>
          <w:szCs w:val="28"/>
        </w:rPr>
        <w:t>（1）</w:t>
      </w:r>
      <w:r>
        <w:rPr>
          <w:b/>
          <w:spacing w:val="6"/>
          <w:kern w:val="2"/>
          <w:szCs w:val="28"/>
        </w:rPr>
        <w:t>大力培育新兴产业集群</w:t>
      </w:r>
      <w:bookmarkEnd w:id="111"/>
    </w:p>
    <w:p>
      <w:pPr>
        <w:adjustRightInd/>
        <w:snapToGrid/>
        <w:spacing w:line="500" w:lineRule="exact"/>
        <w:ind w:firstLine="584" w:firstLineChars="200"/>
        <w:rPr>
          <w:spacing w:val="6"/>
          <w:kern w:val="2"/>
          <w:szCs w:val="28"/>
        </w:rPr>
      </w:pPr>
      <w:r>
        <w:rPr>
          <w:spacing w:val="6"/>
          <w:kern w:val="2"/>
          <w:szCs w:val="28"/>
        </w:rPr>
        <w:t>以新显示、新材料、新能源、新医药、新网络、新环保为方向，大力发展新兴产业，重点培育新显示、新整车、新装备和新概念</w:t>
      </w:r>
      <w:r>
        <w:rPr>
          <w:rFonts w:hint="eastAsia"/>
          <w:spacing w:val="6"/>
          <w:kern w:val="2"/>
          <w:szCs w:val="28"/>
        </w:rPr>
        <w:t>“</w:t>
      </w:r>
      <w:r>
        <w:rPr>
          <w:spacing w:val="6"/>
          <w:kern w:val="2"/>
          <w:szCs w:val="28"/>
        </w:rPr>
        <w:t>四大</w:t>
      </w:r>
      <w:r>
        <w:rPr>
          <w:rFonts w:hint="eastAsia"/>
          <w:spacing w:val="6"/>
          <w:kern w:val="2"/>
          <w:szCs w:val="28"/>
        </w:rPr>
        <w:t>新兴</w:t>
      </w:r>
      <w:r>
        <w:rPr>
          <w:spacing w:val="6"/>
          <w:kern w:val="2"/>
          <w:szCs w:val="28"/>
        </w:rPr>
        <w:t>产业集群</w:t>
      </w:r>
      <w:r>
        <w:rPr>
          <w:rFonts w:hint="eastAsia"/>
          <w:spacing w:val="6"/>
          <w:kern w:val="2"/>
          <w:szCs w:val="28"/>
        </w:rPr>
        <w:t>”</w:t>
      </w:r>
      <w:r>
        <w:rPr>
          <w:spacing w:val="6"/>
          <w:kern w:val="2"/>
          <w:szCs w:val="28"/>
        </w:rPr>
        <w:t>。</w:t>
      </w:r>
    </w:p>
    <w:p>
      <w:pPr>
        <w:adjustRightInd/>
        <w:snapToGrid/>
        <w:spacing w:line="500" w:lineRule="exact"/>
        <w:ind w:firstLine="584" w:firstLineChars="200"/>
        <w:rPr>
          <w:spacing w:val="6"/>
          <w:kern w:val="2"/>
          <w:szCs w:val="28"/>
        </w:rPr>
      </w:pPr>
      <w:r>
        <w:rPr>
          <w:spacing w:val="6"/>
          <w:kern w:val="2"/>
          <w:szCs w:val="28"/>
        </w:rPr>
        <w:fldChar w:fldCharType="begin"/>
      </w:r>
      <w:r>
        <w:rPr>
          <w:spacing w:val="6"/>
          <w:kern w:val="2"/>
          <w:szCs w:val="28"/>
        </w:rPr>
        <w:instrText xml:space="preserve"> </w:instrText>
      </w:r>
      <w:r>
        <w:rPr>
          <w:rFonts w:hint="eastAsia"/>
          <w:spacing w:val="6"/>
          <w:kern w:val="2"/>
          <w:szCs w:val="28"/>
        </w:rPr>
        <w:instrText xml:space="preserve">= 1 \* GB3</w:instrText>
      </w:r>
      <w:r>
        <w:rPr>
          <w:spacing w:val="6"/>
          <w:kern w:val="2"/>
          <w:szCs w:val="28"/>
        </w:rPr>
        <w:instrText xml:space="preserve"> </w:instrText>
      </w:r>
      <w:r>
        <w:rPr>
          <w:spacing w:val="6"/>
          <w:kern w:val="2"/>
          <w:szCs w:val="28"/>
        </w:rPr>
        <w:fldChar w:fldCharType="separate"/>
      </w:r>
      <w:r>
        <w:rPr>
          <w:rFonts w:hint="eastAsia"/>
          <w:spacing w:val="6"/>
          <w:kern w:val="2"/>
          <w:szCs w:val="28"/>
        </w:rPr>
        <w:t>①</w:t>
      </w:r>
      <w:r>
        <w:rPr>
          <w:spacing w:val="6"/>
          <w:kern w:val="2"/>
          <w:szCs w:val="28"/>
        </w:rPr>
        <w:fldChar w:fldCharType="end"/>
      </w:r>
      <w:r>
        <w:rPr>
          <w:spacing w:val="6"/>
          <w:kern w:val="2"/>
          <w:szCs w:val="28"/>
        </w:rPr>
        <w:t>新显示产业集群。围绕笔记本电脑、多媒体、电视机、大屏幕显示，集成电路和液晶模组，重点以龙腾、龙飞为龙头，整合集聚上下游产业，使昆山为全国最大的先进平面显示中心和基地。</w:t>
      </w:r>
    </w:p>
    <w:p>
      <w:pPr>
        <w:adjustRightInd/>
        <w:snapToGrid/>
        <w:spacing w:line="500" w:lineRule="exact"/>
        <w:ind w:firstLine="584" w:firstLineChars="200"/>
        <w:rPr>
          <w:spacing w:val="6"/>
          <w:kern w:val="2"/>
          <w:szCs w:val="28"/>
        </w:rPr>
      </w:pPr>
      <w:r>
        <w:rPr>
          <w:spacing w:val="6"/>
          <w:kern w:val="2"/>
          <w:szCs w:val="28"/>
        </w:rPr>
        <w:fldChar w:fldCharType="begin"/>
      </w:r>
      <w:r>
        <w:rPr>
          <w:spacing w:val="6"/>
          <w:kern w:val="2"/>
          <w:szCs w:val="28"/>
        </w:rPr>
        <w:instrText xml:space="preserve"> </w:instrText>
      </w:r>
      <w:r>
        <w:rPr>
          <w:rFonts w:hint="eastAsia"/>
          <w:spacing w:val="6"/>
          <w:kern w:val="2"/>
          <w:szCs w:val="28"/>
        </w:rPr>
        <w:instrText xml:space="preserve">= 2 \* GB3</w:instrText>
      </w:r>
      <w:r>
        <w:rPr>
          <w:spacing w:val="6"/>
          <w:kern w:val="2"/>
          <w:szCs w:val="28"/>
        </w:rPr>
        <w:instrText xml:space="preserve"> </w:instrText>
      </w:r>
      <w:r>
        <w:rPr>
          <w:spacing w:val="6"/>
          <w:kern w:val="2"/>
          <w:szCs w:val="28"/>
        </w:rPr>
        <w:fldChar w:fldCharType="separate"/>
      </w:r>
      <w:r>
        <w:rPr>
          <w:rFonts w:hint="eastAsia"/>
          <w:spacing w:val="6"/>
          <w:kern w:val="2"/>
          <w:szCs w:val="28"/>
        </w:rPr>
        <w:t>②</w:t>
      </w:r>
      <w:r>
        <w:rPr>
          <w:spacing w:val="6"/>
          <w:kern w:val="2"/>
          <w:szCs w:val="28"/>
        </w:rPr>
        <w:fldChar w:fldCharType="end"/>
      </w:r>
      <w:r>
        <w:rPr>
          <w:spacing w:val="6"/>
          <w:kern w:val="2"/>
          <w:szCs w:val="28"/>
        </w:rPr>
        <w:t>新整车产业集群。重点发展仪表、电控系统、新能源汽车发动机和动力模块等汽车关键零部件，提高系统化、专业化和集成化制造水平，同时加快发展汽车工业组合冲裁模、工程机械车辆、现代城市交通设备（盾构设备）产业，使昆山成为全国有影响力的新整车生产基地。</w:t>
      </w:r>
    </w:p>
    <w:p>
      <w:pPr>
        <w:adjustRightInd/>
        <w:snapToGrid/>
        <w:spacing w:line="500" w:lineRule="exact"/>
        <w:ind w:firstLine="584" w:firstLineChars="200"/>
        <w:rPr>
          <w:spacing w:val="6"/>
          <w:kern w:val="2"/>
          <w:szCs w:val="28"/>
        </w:rPr>
      </w:pPr>
      <w:r>
        <w:rPr>
          <w:spacing w:val="6"/>
          <w:kern w:val="2"/>
          <w:szCs w:val="28"/>
        </w:rPr>
        <w:fldChar w:fldCharType="begin"/>
      </w:r>
      <w:r>
        <w:rPr>
          <w:spacing w:val="6"/>
          <w:kern w:val="2"/>
          <w:szCs w:val="28"/>
        </w:rPr>
        <w:instrText xml:space="preserve"> </w:instrText>
      </w:r>
      <w:r>
        <w:rPr>
          <w:rFonts w:hint="eastAsia"/>
          <w:spacing w:val="6"/>
          <w:kern w:val="2"/>
          <w:szCs w:val="28"/>
        </w:rPr>
        <w:instrText xml:space="preserve">= 3 \* GB3</w:instrText>
      </w:r>
      <w:r>
        <w:rPr>
          <w:spacing w:val="6"/>
          <w:kern w:val="2"/>
          <w:szCs w:val="28"/>
        </w:rPr>
        <w:instrText xml:space="preserve"> </w:instrText>
      </w:r>
      <w:r>
        <w:rPr>
          <w:spacing w:val="6"/>
          <w:kern w:val="2"/>
          <w:szCs w:val="28"/>
        </w:rPr>
        <w:fldChar w:fldCharType="separate"/>
      </w:r>
      <w:r>
        <w:rPr>
          <w:rFonts w:hint="eastAsia"/>
          <w:spacing w:val="6"/>
          <w:kern w:val="2"/>
          <w:szCs w:val="28"/>
        </w:rPr>
        <w:t>③</w:t>
      </w:r>
      <w:r>
        <w:rPr>
          <w:spacing w:val="6"/>
          <w:kern w:val="2"/>
          <w:szCs w:val="28"/>
        </w:rPr>
        <w:fldChar w:fldCharType="end"/>
      </w:r>
      <w:r>
        <w:rPr>
          <w:spacing w:val="6"/>
          <w:kern w:val="2"/>
          <w:szCs w:val="28"/>
        </w:rPr>
        <w:t>新装备产业集群。重点围绕核电设备、机床设备、航空装备配套设备，着力加强多功能复合模具、热流道模具、气辅模具、高压注射成型模具的自主化设计，提高生产能力。积极发展高精度、智能化、数字化仪器仪表，新兴色谱仪、光谱仪、元素分析仪、无损检测仪器及设备和食品卫生安全检测仪器等，使昆山成为全国重要的先进装备制造基地。</w:t>
      </w:r>
    </w:p>
    <w:p>
      <w:pPr>
        <w:adjustRightInd/>
        <w:snapToGrid/>
        <w:spacing w:line="500" w:lineRule="exact"/>
        <w:ind w:firstLine="584" w:firstLineChars="200"/>
        <w:rPr>
          <w:spacing w:val="6"/>
          <w:kern w:val="2"/>
          <w:szCs w:val="28"/>
        </w:rPr>
      </w:pPr>
      <w:r>
        <w:rPr>
          <w:spacing w:val="6"/>
          <w:kern w:val="2"/>
          <w:szCs w:val="28"/>
        </w:rPr>
        <w:fldChar w:fldCharType="begin"/>
      </w:r>
      <w:r>
        <w:rPr>
          <w:spacing w:val="6"/>
          <w:kern w:val="2"/>
          <w:szCs w:val="28"/>
        </w:rPr>
        <w:instrText xml:space="preserve"> </w:instrText>
      </w:r>
      <w:r>
        <w:rPr>
          <w:rFonts w:hint="eastAsia"/>
          <w:spacing w:val="6"/>
          <w:kern w:val="2"/>
          <w:szCs w:val="28"/>
        </w:rPr>
        <w:instrText xml:space="preserve">= 4 \* GB3</w:instrText>
      </w:r>
      <w:r>
        <w:rPr>
          <w:spacing w:val="6"/>
          <w:kern w:val="2"/>
          <w:szCs w:val="28"/>
        </w:rPr>
        <w:instrText xml:space="preserve"> </w:instrText>
      </w:r>
      <w:r>
        <w:rPr>
          <w:spacing w:val="6"/>
          <w:kern w:val="2"/>
          <w:szCs w:val="28"/>
        </w:rPr>
        <w:fldChar w:fldCharType="separate"/>
      </w:r>
      <w:r>
        <w:rPr>
          <w:rFonts w:hint="eastAsia"/>
          <w:spacing w:val="6"/>
          <w:kern w:val="2"/>
          <w:szCs w:val="28"/>
        </w:rPr>
        <w:t>④</w:t>
      </w:r>
      <w:r>
        <w:rPr>
          <w:spacing w:val="6"/>
          <w:kern w:val="2"/>
          <w:szCs w:val="28"/>
        </w:rPr>
        <w:fldChar w:fldCharType="end"/>
      </w:r>
      <w:r>
        <w:rPr>
          <w:spacing w:val="6"/>
          <w:kern w:val="2"/>
          <w:szCs w:val="28"/>
        </w:rPr>
        <w:t>新概念产业集群。围绕分子技术、智慧概念、小核酸制药（重点发展真核细胞表达系统、疾病诊断、缓释递送制剂、细胞治疗等重点技术和医疗器械）、新网络（重点发展物联网设备产业，如传感器）</w:t>
      </w:r>
      <w:r>
        <w:rPr>
          <w:rFonts w:hint="eastAsia"/>
          <w:spacing w:val="6"/>
          <w:kern w:val="2"/>
          <w:szCs w:val="28"/>
        </w:rPr>
        <w:t>、</w:t>
      </w:r>
      <w:r>
        <w:rPr>
          <w:spacing w:val="6"/>
          <w:kern w:val="2"/>
          <w:szCs w:val="28"/>
        </w:rPr>
        <w:t>新环保（重点发展垃圾处理、减污、分类、再生、能源等先进设备）</w:t>
      </w:r>
      <w:r>
        <w:rPr>
          <w:rFonts w:hint="eastAsia"/>
          <w:spacing w:val="6"/>
          <w:kern w:val="2"/>
          <w:szCs w:val="28"/>
        </w:rPr>
        <w:t>，使昆山成为全国新兴产业的前沿基地</w:t>
      </w:r>
      <w:r>
        <w:rPr>
          <w:spacing w:val="6"/>
          <w:kern w:val="2"/>
          <w:szCs w:val="28"/>
        </w:rPr>
        <w:t>。</w:t>
      </w:r>
    </w:p>
    <w:p>
      <w:pPr>
        <w:adjustRightInd/>
        <w:snapToGrid/>
        <w:spacing w:line="500" w:lineRule="exact"/>
        <w:ind w:firstLine="586" w:firstLineChars="200"/>
        <w:rPr>
          <w:b/>
          <w:spacing w:val="6"/>
          <w:kern w:val="2"/>
          <w:szCs w:val="28"/>
        </w:rPr>
      </w:pPr>
      <w:bookmarkStart w:id="112" w:name="_Toc271033008"/>
      <w:r>
        <w:rPr>
          <w:rFonts w:hint="eastAsia"/>
          <w:b/>
          <w:spacing w:val="6"/>
          <w:kern w:val="2"/>
          <w:szCs w:val="28"/>
        </w:rPr>
        <w:t>（2）</w:t>
      </w:r>
      <w:r>
        <w:rPr>
          <w:b/>
          <w:spacing w:val="6"/>
          <w:kern w:val="2"/>
          <w:szCs w:val="28"/>
        </w:rPr>
        <w:t>加快促进电子信息产业高端化</w:t>
      </w:r>
      <w:bookmarkEnd w:id="112"/>
    </w:p>
    <w:p>
      <w:pPr>
        <w:adjustRightInd/>
        <w:snapToGrid/>
        <w:spacing w:line="500" w:lineRule="exact"/>
        <w:ind w:firstLine="584" w:firstLineChars="200"/>
        <w:rPr>
          <w:spacing w:val="6"/>
          <w:kern w:val="2"/>
          <w:szCs w:val="28"/>
        </w:rPr>
      </w:pPr>
      <w:r>
        <w:rPr>
          <w:spacing w:val="6"/>
          <w:kern w:val="2"/>
          <w:szCs w:val="28"/>
        </w:rPr>
        <w:t>充分发挥电子信息产业链优势和市场影响，以标准战略，通过“四个一批”计划，继续做大做高做强，进一步增强产业规模优势，提升产业层级及在国际市场的竞争力，进一步争取在全球市场中的产业话语权，将昆山打造成国内最大、世界一流，集生产、研发和交易为一体的IT产业主导区，成为全球IT产业发展增长极。</w:t>
      </w:r>
    </w:p>
    <w:p>
      <w:pPr>
        <w:adjustRightInd/>
        <w:snapToGrid/>
        <w:spacing w:line="500" w:lineRule="exact"/>
        <w:ind w:firstLine="584" w:firstLineChars="200"/>
        <w:rPr>
          <w:spacing w:val="6"/>
          <w:kern w:val="2"/>
          <w:szCs w:val="28"/>
        </w:rPr>
      </w:pPr>
      <w:r>
        <w:rPr>
          <w:spacing w:val="6"/>
          <w:kern w:val="2"/>
          <w:szCs w:val="28"/>
        </w:rPr>
        <w:fldChar w:fldCharType="begin"/>
      </w:r>
      <w:r>
        <w:rPr>
          <w:spacing w:val="6"/>
          <w:kern w:val="2"/>
          <w:szCs w:val="28"/>
        </w:rPr>
        <w:instrText xml:space="preserve"> </w:instrText>
      </w:r>
      <w:r>
        <w:rPr>
          <w:rFonts w:hint="eastAsia"/>
          <w:spacing w:val="6"/>
          <w:kern w:val="2"/>
          <w:szCs w:val="28"/>
        </w:rPr>
        <w:instrText xml:space="preserve">= 1 \* GB3</w:instrText>
      </w:r>
      <w:r>
        <w:rPr>
          <w:spacing w:val="6"/>
          <w:kern w:val="2"/>
          <w:szCs w:val="28"/>
        </w:rPr>
        <w:instrText xml:space="preserve"> </w:instrText>
      </w:r>
      <w:r>
        <w:rPr>
          <w:spacing w:val="6"/>
          <w:kern w:val="2"/>
          <w:szCs w:val="28"/>
        </w:rPr>
        <w:fldChar w:fldCharType="separate"/>
      </w:r>
      <w:r>
        <w:rPr>
          <w:rFonts w:hint="eastAsia"/>
          <w:spacing w:val="6"/>
          <w:kern w:val="2"/>
          <w:szCs w:val="28"/>
        </w:rPr>
        <w:t>①</w:t>
      </w:r>
      <w:r>
        <w:rPr>
          <w:spacing w:val="6"/>
          <w:kern w:val="2"/>
          <w:szCs w:val="28"/>
        </w:rPr>
        <w:fldChar w:fldCharType="end"/>
      </w:r>
      <w:r>
        <w:rPr>
          <w:spacing w:val="6"/>
          <w:kern w:val="2"/>
          <w:szCs w:val="28"/>
        </w:rPr>
        <w:t>加快建设一批前沿产业研发中心。通过联合科研院所</w:t>
      </w:r>
      <w:r>
        <w:rPr>
          <w:rFonts w:hint="eastAsia"/>
          <w:spacing w:val="6"/>
          <w:kern w:val="2"/>
          <w:szCs w:val="28"/>
        </w:rPr>
        <w:t>、</w:t>
      </w:r>
      <w:r>
        <w:rPr>
          <w:spacing w:val="6"/>
          <w:kern w:val="2"/>
          <w:szCs w:val="28"/>
        </w:rPr>
        <w:t>企业联合组建、争取国家有关部门支持、动员社会力量等多种途径，依托工业研究院等载体，积极组建电子信息个人用品创意设计中心、汽车电子开发设计中心、光电显示技术发展中心、家用环保设备开发中心、家用机器人研发中心、体育休闲产品设计开发中心等与IT产业紧密相关的产业研发中心。</w:t>
      </w:r>
    </w:p>
    <w:p>
      <w:pPr>
        <w:adjustRightInd/>
        <w:snapToGrid/>
        <w:spacing w:line="500" w:lineRule="exact"/>
        <w:ind w:firstLine="584" w:firstLineChars="200"/>
        <w:rPr>
          <w:spacing w:val="6"/>
          <w:kern w:val="2"/>
          <w:szCs w:val="28"/>
        </w:rPr>
      </w:pPr>
      <w:r>
        <w:rPr>
          <w:spacing w:val="6"/>
          <w:kern w:val="2"/>
          <w:szCs w:val="28"/>
        </w:rPr>
        <w:fldChar w:fldCharType="begin"/>
      </w:r>
      <w:r>
        <w:rPr>
          <w:spacing w:val="6"/>
          <w:kern w:val="2"/>
          <w:szCs w:val="28"/>
        </w:rPr>
        <w:instrText xml:space="preserve"> </w:instrText>
      </w:r>
      <w:r>
        <w:rPr>
          <w:rFonts w:hint="eastAsia"/>
          <w:spacing w:val="6"/>
          <w:kern w:val="2"/>
          <w:szCs w:val="28"/>
        </w:rPr>
        <w:instrText xml:space="preserve">= 2 \* GB3</w:instrText>
      </w:r>
      <w:r>
        <w:rPr>
          <w:spacing w:val="6"/>
          <w:kern w:val="2"/>
          <w:szCs w:val="28"/>
        </w:rPr>
        <w:instrText xml:space="preserve"> </w:instrText>
      </w:r>
      <w:r>
        <w:rPr>
          <w:spacing w:val="6"/>
          <w:kern w:val="2"/>
          <w:szCs w:val="28"/>
        </w:rPr>
        <w:fldChar w:fldCharType="separate"/>
      </w:r>
      <w:r>
        <w:rPr>
          <w:rFonts w:hint="eastAsia"/>
          <w:spacing w:val="6"/>
          <w:kern w:val="2"/>
          <w:szCs w:val="28"/>
        </w:rPr>
        <w:t>②</w:t>
      </w:r>
      <w:r>
        <w:rPr>
          <w:spacing w:val="6"/>
          <w:kern w:val="2"/>
          <w:szCs w:val="28"/>
        </w:rPr>
        <w:fldChar w:fldCharType="end"/>
      </w:r>
      <w:r>
        <w:rPr>
          <w:spacing w:val="6"/>
          <w:kern w:val="2"/>
          <w:szCs w:val="28"/>
        </w:rPr>
        <w:t>加快建设一批市场营销研究中心。</w:t>
      </w:r>
      <w:r>
        <w:rPr>
          <w:rFonts w:hint="eastAsia"/>
          <w:spacing w:val="6"/>
          <w:kern w:val="2"/>
          <w:szCs w:val="28"/>
        </w:rPr>
        <w:t>结合现有主导产业优势，</w:t>
      </w:r>
      <w:r>
        <w:rPr>
          <w:spacing w:val="6"/>
          <w:kern w:val="2"/>
          <w:szCs w:val="28"/>
        </w:rPr>
        <w:t>重点建设电子信息产品交易展示中心、电子信息产业物流网络中心、信息电子产品价格发布中心、联合组建市场研究机构等。</w:t>
      </w:r>
    </w:p>
    <w:p>
      <w:pPr>
        <w:adjustRightInd/>
        <w:snapToGrid/>
        <w:spacing w:line="500" w:lineRule="exact"/>
        <w:ind w:firstLine="584" w:firstLineChars="200"/>
        <w:rPr>
          <w:spacing w:val="6"/>
          <w:kern w:val="2"/>
          <w:szCs w:val="28"/>
        </w:rPr>
      </w:pPr>
      <w:r>
        <w:rPr>
          <w:spacing w:val="6"/>
          <w:kern w:val="2"/>
          <w:szCs w:val="28"/>
        </w:rPr>
        <w:fldChar w:fldCharType="begin"/>
      </w:r>
      <w:r>
        <w:rPr>
          <w:spacing w:val="6"/>
          <w:kern w:val="2"/>
          <w:szCs w:val="28"/>
        </w:rPr>
        <w:instrText xml:space="preserve"> </w:instrText>
      </w:r>
      <w:r>
        <w:rPr>
          <w:rFonts w:hint="eastAsia"/>
          <w:spacing w:val="6"/>
          <w:kern w:val="2"/>
          <w:szCs w:val="28"/>
        </w:rPr>
        <w:instrText xml:space="preserve">= 3 \* GB3</w:instrText>
      </w:r>
      <w:r>
        <w:rPr>
          <w:spacing w:val="6"/>
          <w:kern w:val="2"/>
          <w:szCs w:val="28"/>
        </w:rPr>
        <w:instrText xml:space="preserve"> </w:instrText>
      </w:r>
      <w:r>
        <w:rPr>
          <w:spacing w:val="6"/>
          <w:kern w:val="2"/>
          <w:szCs w:val="28"/>
        </w:rPr>
        <w:fldChar w:fldCharType="separate"/>
      </w:r>
      <w:r>
        <w:rPr>
          <w:rFonts w:hint="eastAsia"/>
          <w:spacing w:val="6"/>
          <w:kern w:val="2"/>
          <w:szCs w:val="28"/>
        </w:rPr>
        <w:t>③</w:t>
      </w:r>
      <w:r>
        <w:rPr>
          <w:spacing w:val="6"/>
          <w:kern w:val="2"/>
          <w:szCs w:val="28"/>
        </w:rPr>
        <w:fldChar w:fldCharType="end"/>
      </w:r>
      <w:r>
        <w:rPr>
          <w:spacing w:val="6"/>
          <w:kern w:val="2"/>
          <w:szCs w:val="28"/>
        </w:rPr>
        <w:t>加快建立一批产业产品规范、规则、标准设计中心。</w:t>
      </w:r>
      <w:r>
        <w:rPr>
          <w:rFonts w:hint="eastAsia"/>
          <w:spacing w:val="6"/>
          <w:kern w:val="2"/>
          <w:szCs w:val="28"/>
        </w:rPr>
        <w:t>引导和扶持企业积极参与国际标准、国家标准和行业标准的制定，在部分领域占据核心技术和技术标准高地，</w:t>
      </w:r>
      <w:r>
        <w:rPr>
          <w:spacing w:val="6"/>
          <w:kern w:val="2"/>
          <w:szCs w:val="28"/>
        </w:rPr>
        <w:t>争取成为对全球IT产业标准的制定中心。</w:t>
      </w:r>
    </w:p>
    <w:p>
      <w:pPr>
        <w:adjustRightInd/>
        <w:snapToGrid/>
        <w:spacing w:line="500" w:lineRule="exact"/>
        <w:ind w:firstLine="584" w:firstLineChars="200"/>
        <w:rPr>
          <w:spacing w:val="6"/>
          <w:kern w:val="2"/>
          <w:szCs w:val="28"/>
        </w:rPr>
      </w:pPr>
      <w:r>
        <w:rPr>
          <w:spacing w:val="6"/>
          <w:kern w:val="2"/>
          <w:szCs w:val="28"/>
        </w:rPr>
        <w:fldChar w:fldCharType="begin"/>
      </w:r>
      <w:r>
        <w:rPr>
          <w:spacing w:val="6"/>
          <w:kern w:val="2"/>
          <w:szCs w:val="28"/>
        </w:rPr>
        <w:instrText xml:space="preserve"> </w:instrText>
      </w:r>
      <w:r>
        <w:rPr>
          <w:rFonts w:hint="eastAsia"/>
          <w:spacing w:val="6"/>
          <w:kern w:val="2"/>
          <w:szCs w:val="28"/>
        </w:rPr>
        <w:instrText xml:space="preserve">= 4 \* GB3</w:instrText>
      </w:r>
      <w:r>
        <w:rPr>
          <w:spacing w:val="6"/>
          <w:kern w:val="2"/>
          <w:szCs w:val="28"/>
        </w:rPr>
        <w:instrText xml:space="preserve"> </w:instrText>
      </w:r>
      <w:r>
        <w:rPr>
          <w:spacing w:val="6"/>
          <w:kern w:val="2"/>
          <w:szCs w:val="28"/>
        </w:rPr>
        <w:fldChar w:fldCharType="separate"/>
      </w:r>
      <w:r>
        <w:rPr>
          <w:rFonts w:hint="eastAsia"/>
          <w:spacing w:val="6"/>
          <w:kern w:val="2"/>
          <w:szCs w:val="28"/>
        </w:rPr>
        <w:t>④</w:t>
      </w:r>
      <w:r>
        <w:rPr>
          <w:spacing w:val="6"/>
          <w:kern w:val="2"/>
          <w:szCs w:val="28"/>
        </w:rPr>
        <w:fldChar w:fldCharType="end"/>
      </w:r>
      <w:r>
        <w:rPr>
          <w:spacing w:val="6"/>
          <w:kern w:val="2"/>
          <w:szCs w:val="28"/>
        </w:rPr>
        <w:t>加快建立一批产业国际论坛。</w:t>
      </w:r>
      <w:r>
        <w:rPr>
          <w:rFonts w:hint="eastAsia"/>
          <w:spacing w:val="6"/>
          <w:kern w:val="2"/>
          <w:szCs w:val="28"/>
        </w:rPr>
        <w:t>结合现代产业体系的构建，加快开展产业体系</w:t>
      </w:r>
      <w:r>
        <w:rPr>
          <w:spacing w:val="6"/>
          <w:kern w:val="2"/>
          <w:szCs w:val="28"/>
        </w:rPr>
        <w:t>前瞻性</w:t>
      </w:r>
      <w:r>
        <w:rPr>
          <w:rFonts w:hint="eastAsia"/>
          <w:spacing w:val="6"/>
          <w:kern w:val="2"/>
          <w:szCs w:val="28"/>
        </w:rPr>
        <w:t>、</w:t>
      </w:r>
      <w:r>
        <w:rPr>
          <w:spacing w:val="6"/>
          <w:kern w:val="2"/>
          <w:szCs w:val="28"/>
        </w:rPr>
        <w:t>导向性</w:t>
      </w:r>
      <w:r>
        <w:rPr>
          <w:rFonts w:hint="eastAsia"/>
          <w:spacing w:val="6"/>
          <w:kern w:val="2"/>
          <w:szCs w:val="28"/>
        </w:rPr>
        <w:t>研究，举办高水平产业国际论坛，</w:t>
      </w:r>
      <w:r>
        <w:rPr>
          <w:spacing w:val="6"/>
          <w:kern w:val="2"/>
          <w:szCs w:val="28"/>
        </w:rPr>
        <w:t>争取成为全球有影响的产业理论、产业实践、产业展望和产业信息高地。</w:t>
      </w:r>
    </w:p>
    <w:p>
      <w:pPr>
        <w:pStyle w:val="5"/>
        <w:ind w:left="0"/>
        <w:rPr>
          <w:rFonts w:eastAsia="仿宋_GB2312"/>
        </w:rPr>
      </w:pPr>
      <w:r>
        <w:rPr>
          <w:rFonts w:eastAsia="仿宋_GB2312"/>
        </w:rPr>
        <w:t>5.5.</w:t>
      </w:r>
      <w:r>
        <w:rPr>
          <w:rFonts w:hint="eastAsia" w:eastAsia="仿宋_GB2312"/>
        </w:rPr>
        <w:t>2</w:t>
      </w:r>
      <w:r>
        <w:rPr>
          <w:rFonts w:eastAsia="仿宋_GB2312"/>
        </w:rPr>
        <w:t>.3产业园区发展</w:t>
      </w:r>
    </w:p>
    <w:p>
      <w:pPr>
        <w:adjustRightInd/>
        <w:snapToGrid/>
        <w:spacing w:line="500" w:lineRule="exact"/>
        <w:ind w:firstLine="584" w:firstLineChars="200"/>
        <w:rPr>
          <w:spacing w:val="6"/>
          <w:kern w:val="2"/>
          <w:szCs w:val="28"/>
        </w:rPr>
      </w:pPr>
      <w:r>
        <w:rPr>
          <w:spacing w:val="6"/>
          <w:kern w:val="2"/>
          <w:szCs w:val="28"/>
        </w:rPr>
        <w:t>（1）昆山经济技术开发区</w:t>
      </w:r>
    </w:p>
    <w:p>
      <w:pPr>
        <w:adjustRightInd/>
        <w:snapToGrid/>
        <w:spacing w:line="500" w:lineRule="exact"/>
        <w:ind w:firstLine="584" w:firstLineChars="200"/>
        <w:rPr>
          <w:rFonts w:hint="eastAsia"/>
          <w:spacing w:val="6"/>
          <w:kern w:val="2"/>
          <w:szCs w:val="28"/>
        </w:rPr>
      </w:pPr>
      <w:r>
        <w:rPr>
          <w:spacing w:val="6"/>
          <w:kern w:val="2"/>
          <w:szCs w:val="28"/>
        </w:rPr>
        <w:t>提高引资门槛，提高产业层次:着重引进技术含量高、关联强、对区域经济增长带动作用大的大项目，积极引进企业研发中心、分销中心和采购中心。加强对新兴产业发展趋势的跟踪研究，大力引进新兴高科技产业的旗舰型项目。</w:t>
      </w:r>
    </w:p>
    <w:p>
      <w:pPr>
        <w:adjustRightInd/>
        <w:snapToGrid/>
        <w:spacing w:line="500" w:lineRule="exact"/>
        <w:ind w:firstLine="584" w:firstLineChars="200"/>
        <w:rPr>
          <w:rFonts w:hint="eastAsia"/>
          <w:spacing w:val="6"/>
          <w:kern w:val="2"/>
          <w:szCs w:val="28"/>
        </w:rPr>
      </w:pPr>
      <w:r>
        <w:rPr>
          <w:spacing w:val="6"/>
          <w:kern w:val="2"/>
          <w:szCs w:val="28"/>
        </w:rPr>
        <w:t>提高资源要素的集约利用水平:坚持“整合、扩容、提升”策略，以建设资源节约型、环境优质型、质量效益型、产业引领型开发区为目标，大力提倡节约土地、水、电等资源和能源。</w:t>
      </w:r>
    </w:p>
    <w:p>
      <w:pPr>
        <w:adjustRightInd/>
        <w:snapToGrid/>
        <w:spacing w:line="500" w:lineRule="exact"/>
        <w:ind w:firstLine="584" w:firstLineChars="200"/>
        <w:rPr>
          <w:rFonts w:hint="eastAsia"/>
          <w:spacing w:val="6"/>
          <w:kern w:val="2"/>
          <w:szCs w:val="28"/>
        </w:rPr>
      </w:pPr>
      <w:r>
        <w:rPr>
          <w:spacing w:val="6"/>
          <w:kern w:val="2"/>
          <w:szCs w:val="28"/>
        </w:rPr>
        <w:t>提高产业聚集度:围绕区域特色和产业定位，有意识地引进产业关联度大、成长性好的项目，帮助本区域的企业建立协作牌套关系，延伸产业链条，形成产业配套。</w:t>
      </w:r>
    </w:p>
    <w:p>
      <w:pPr>
        <w:adjustRightInd/>
        <w:snapToGrid/>
        <w:spacing w:line="500" w:lineRule="exact"/>
        <w:ind w:firstLine="584" w:firstLineChars="200"/>
        <w:rPr>
          <w:rFonts w:hint="eastAsia"/>
          <w:spacing w:val="6"/>
          <w:kern w:val="2"/>
          <w:szCs w:val="28"/>
        </w:rPr>
      </w:pPr>
      <w:r>
        <w:rPr>
          <w:spacing w:val="6"/>
          <w:kern w:val="2"/>
          <w:szCs w:val="28"/>
        </w:rPr>
        <w:t>加强制度建设，优化投资与工作环境:科学构建开发区的政府管理模式，按照“小政府、大社会”要求，构筑精简高效与富有生机活力的开发区政府管理模式。</w:t>
      </w:r>
    </w:p>
    <w:p>
      <w:pPr>
        <w:adjustRightInd/>
        <w:snapToGrid/>
        <w:spacing w:line="500" w:lineRule="exact"/>
        <w:ind w:firstLine="584" w:firstLineChars="200"/>
        <w:rPr>
          <w:spacing w:val="6"/>
          <w:kern w:val="2"/>
          <w:szCs w:val="28"/>
        </w:rPr>
      </w:pPr>
      <w:r>
        <w:rPr>
          <w:spacing w:val="6"/>
          <w:kern w:val="2"/>
          <w:szCs w:val="28"/>
        </w:rPr>
        <w:t>（2）昆山高新技术开发区</w:t>
      </w:r>
    </w:p>
    <w:p>
      <w:pPr>
        <w:adjustRightInd/>
        <w:snapToGrid/>
        <w:spacing w:line="500" w:lineRule="exact"/>
        <w:ind w:firstLine="584" w:firstLineChars="200"/>
        <w:rPr>
          <w:rFonts w:hint="eastAsia"/>
          <w:spacing w:val="6"/>
          <w:kern w:val="2"/>
          <w:szCs w:val="28"/>
        </w:rPr>
      </w:pPr>
      <w:r>
        <w:rPr>
          <w:spacing w:val="6"/>
          <w:kern w:val="2"/>
          <w:szCs w:val="28"/>
        </w:rPr>
        <w:t>发挥政府的引导与推动作用，营造适宜高新技术产业发展的环境:实行“一栋楼办公、一站式服务、一支笔审批、一个窗口对外”，实行“一条龙”服务，减少办事环节，提高办事效率，使企业进区所需办理的事项得到简化。</w:t>
      </w:r>
    </w:p>
    <w:p>
      <w:pPr>
        <w:adjustRightInd/>
        <w:snapToGrid/>
        <w:spacing w:line="500" w:lineRule="exact"/>
        <w:ind w:firstLine="584" w:firstLineChars="200"/>
        <w:rPr>
          <w:rFonts w:hint="eastAsia"/>
          <w:spacing w:val="6"/>
          <w:kern w:val="2"/>
          <w:szCs w:val="28"/>
        </w:rPr>
      </w:pPr>
      <w:r>
        <w:rPr>
          <w:spacing w:val="6"/>
          <w:kern w:val="2"/>
          <w:szCs w:val="28"/>
        </w:rPr>
        <w:t>提高开发区的“孵化”功能，建设多元化与多渠道的投融资体制:在吸引科技型中小企业方面，加强完善开发区的“孵化”功能。充分利用创业服务中心，降低孵化企业的营运成本，创造融资条件，为创业阶段的企业提供良好的创业环境与发展条件。</w:t>
      </w:r>
    </w:p>
    <w:p>
      <w:pPr>
        <w:adjustRightInd/>
        <w:snapToGrid/>
        <w:spacing w:line="500" w:lineRule="exact"/>
        <w:ind w:firstLine="584" w:firstLineChars="200"/>
        <w:rPr>
          <w:spacing w:val="6"/>
          <w:kern w:val="2"/>
          <w:szCs w:val="28"/>
        </w:rPr>
      </w:pPr>
      <w:r>
        <w:rPr>
          <w:spacing w:val="6"/>
          <w:kern w:val="2"/>
          <w:szCs w:val="28"/>
        </w:rPr>
        <w:t>促进高技术科研成果向企业转移，实现科技链与产业链有机结合:开展信息服务，搜集和处理国内外市场行情与前景，为中小企业提供产品、项目、人才等服务。</w:t>
      </w:r>
    </w:p>
    <w:p>
      <w:pPr>
        <w:pStyle w:val="5"/>
        <w:spacing w:before="0" w:after="0" w:line="500" w:lineRule="exact"/>
        <w:ind w:left="0"/>
        <w:rPr>
          <w:rFonts w:eastAsia="仿宋_GB2312"/>
          <w:szCs w:val="28"/>
        </w:rPr>
      </w:pPr>
      <w:r>
        <w:rPr>
          <w:rFonts w:eastAsia="仿宋_GB2312"/>
          <w:szCs w:val="28"/>
        </w:rPr>
        <w:t>5.5.</w:t>
      </w:r>
      <w:r>
        <w:rPr>
          <w:rFonts w:hint="eastAsia" w:eastAsia="仿宋_GB2312"/>
          <w:szCs w:val="28"/>
        </w:rPr>
        <w:t>2</w:t>
      </w:r>
      <w:r>
        <w:rPr>
          <w:rFonts w:eastAsia="仿宋_GB2312"/>
          <w:szCs w:val="28"/>
        </w:rPr>
        <w:t>.4循环型工业</w:t>
      </w:r>
    </w:p>
    <w:p>
      <w:pPr>
        <w:adjustRightInd/>
        <w:snapToGrid/>
        <w:spacing w:line="500" w:lineRule="exact"/>
        <w:ind w:firstLine="584" w:firstLineChars="200"/>
        <w:rPr>
          <w:spacing w:val="6"/>
          <w:kern w:val="2"/>
          <w:szCs w:val="28"/>
        </w:rPr>
      </w:pPr>
      <w:r>
        <w:rPr>
          <w:spacing w:val="6"/>
          <w:kern w:val="2"/>
          <w:szCs w:val="28"/>
        </w:rPr>
        <w:t>继续巩固做好IT产业废弃物综合回收利用，避免发生二次污染。</w:t>
      </w:r>
    </w:p>
    <w:p>
      <w:pPr>
        <w:adjustRightInd/>
        <w:snapToGrid/>
        <w:spacing w:line="500" w:lineRule="exact"/>
        <w:ind w:firstLine="584" w:firstLineChars="200"/>
        <w:rPr>
          <w:spacing w:val="6"/>
          <w:kern w:val="2"/>
          <w:szCs w:val="28"/>
        </w:rPr>
      </w:pPr>
      <w:r>
        <w:rPr>
          <w:spacing w:val="6"/>
          <w:kern w:val="2"/>
          <w:szCs w:val="28"/>
        </w:rPr>
        <w:t>推广建材行业封闭循环。建材行业需有“质量效益型”向“环境协调型”方向发展。实现的关键要尽可能减少原料、能源的使用，尽可能减少废物的排放。</w:t>
      </w:r>
    </w:p>
    <w:p>
      <w:pPr>
        <w:adjustRightInd/>
        <w:snapToGrid/>
        <w:spacing w:line="500" w:lineRule="exact"/>
        <w:ind w:firstLine="584" w:firstLineChars="200"/>
        <w:rPr>
          <w:spacing w:val="6"/>
          <w:kern w:val="2"/>
          <w:szCs w:val="28"/>
        </w:rPr>
      </w:pPr>
      <w:r>
        <w:rPr>
          <w:spacing w:val="6"/>
          <w:kern w:val="2"/>
          <w:szCs w:val="28"/>
        </w:rPr>
        <w:t>建立循环型工业园。目标是减少废物，将园区内一个工厂或企业产生的副产品用作另一个企业的投入或原材料，通过废物交换、循环利用、清洁生产等手段，最终实现园区的污染物零排放。</w:t>
      </w:r>
    </w:p>
    <w:p>
      <w:pPr>
        <w:adjustRightInd/>
        <w:snapToGrid/>
        <w:spacing w:line="500" w:lineRule="exact"/>
        <w:ind w:firstLine="584" w:firstLineChars="200"/>
        <w:rPr>
          <w:spacing w:val="6"/>
          <w:kern w:val="2"/>
          <w:szCs w:val="28"/>
        </w:rPr>
      </w:pPr>
      <w:r>
        <w:rPr>
          <w:spacing w:val="6"/>
          <w:kern w:val="2"/>
          <w:szCs w:val="28"/>
        </w:rPr>
        <w:t>加大高耗能企业节能减排技改力度，实施节能工程。重点围绕化工、建材、电力、纺织、电子等五大重点耗能企业，组织化学原料生产工艺中节能改造、能量系统优化、电机系统节能改造、工业锅炉（窑炉）节能改造等，推进实施一批节能改造项目。</w:t>
      </w:r>
    </w:p>
    <w:p>
      <w:pPr>
        <w:adjustRightInd/>
        <w:snapToGrid/>
        <w:spacing w:line="500" w:lineRule="exact"/>
        <w:ind w:firstLine="584" w:firstLineChars="200"/>
        <w:rPr>
          <w:b/>
          <w:spacing w:val="6"/>
          <w:kern w:val="2"/>
          <w:szCs w:val="28"/>
        </w:rPr>
      </w:pPr>
      <w:r>
        <w:rPr>
          <w:spacing w:val="6"/>
          <w:kern w:val="2"/>
          <w:szCs w:val="28"/>
        </w:rPr>
        <w:t>发展工业旅游。重点选择基础好、有条件的昆山开发区、软件园、吴淞江工业集中区、沿沪产业带、中科传感器基地，遵循循环经济理念对产业实施调整和优化，区内企业严格执行ISO14000环境管理系列标准，积极推行清洁生产，实施集中供热，发展工业旅游。</w:t>
      </w:r>
    </w:p>
    <w:p>
      <w:pPr>
        <w:adjustRightInd/>
        <w:snapToGrid/>
        <w:spacing w:line="500" w:lineRule="exact"/>
        <w:ind w:firstLine="584" w:firstLineChars="200"/>
        <w:rPr>
          <w:spacing w:val="6"/>
          <w:kern w:val="2"/>
          <w:szCs w:val="28"/>
        </w:rPr>
      </w:pPr>
      <w:r>
        <w:rPr>
          <w:spacing w:val="6"/>
          <w:kern w:val="2"/>
          <w:szCs w:val="28"/>
        </w:rPr>
        <w:t>（1）信息电子产业</w:t>
      </w:r>
    </w:p>
    <w:p>
      <w:pPr>
        <w:adjustRightInd/>
        <w:snapToGrid/>
        <w:spacing w:line="500" w:lineRule="exact"/>
        <w:ind w:firstLine="584" w:firstLineChars="200"/>
        <w:rPr>
          <w:spacing w:val="6"/>
          <w:kern w:val="2"/>
          <w:szCs w:val="28"/>
        </w:rPr>
      </w:pPr>
      <w:r>
        <w:rPr>
          <w:spacing w:val="6"/>
          <w:kern w:val="2"/>
          <w:szCs w:val="28"/>
        </w:rPr>
        <w:t>研制新型材料，进行绿色替代产品和清洁生产工艺开发，尽可能不使用和少使用生产过程中的电镀环节。同时，研究中水的适当处理回用技术和电子垃圾的资源化技术，尽可能减少物质消耗和废物产生量。建立市场化的废旧电子产品分类回收和循环利用体系，以法律的形式确立“商品制造者负责，消费者付费”的制度，要求制造商收集、回收和处理其报废的产品，为电子产品中有毒物质含量较高的材料制定淘汰时间表。发展软件业，提高电子信息产业的非物质化水平，降低物质消耗和污染排放。</w:t>
      </w:r>
    </w:p>
    <w:p>
      <w:pPr>
        <w:adjustRightInd/>
        <w:snapToGrid/>
        <w:spacing w:line="500" w:lineRule="exact"/>
        <w:ind w:firstLine="584" w:firstLineChars="200"/>
        <w:rPr>
          <w:spacing w:val="6"/>
          <w:kern w:val="2"/>
          <w:szCs w:val="28"/>
        </w:rPr>
      </w:pPr>
      <w:r>
        <w:rPr>
          <w:spacing w:val="6"/>
          <w:kern w:val="2"/>
          <w:szCs w:val="28"/>
        </w:rPr>
        <w:t>（2）印制电路板（PCB）行业</w:t>
      </w:r>
    </w:p>
    <w:p>
      <w:pPr>
        <w:adjustRightInd/>
        <w:snapToGrid/>
        <w:spacing w:line="500" w:lineRule="exact"/>
        <w:ind w:firstLine="584" w:firstLineChars="200"/>
        <w:rPr>
          <w:spacing w:val="6"/>
          <w:kern w:val="2"/>
          <w:szCs w:val="28"/>
        </w:rPr>
      </w:pPr>
      <w:r>
        <w:rPr>
          <w:spacing w:val="6"/>
          <w:kern w:val="2"/>
          <w:szCs w:val="28"/>
        </w:rPr>
        <w:t>信息电子业是昆山经济的支柱产业之一，与之紧密相关的印制电路板（PCB）工业得到了快速发展，相应产生了大量的PCB废弃物（主要成分是蚀刻废液和边角料）</w:t>
      </w:r>
      <w:r>
        <w:rPr>
          <w:rFonts w:hint="eastAsia"/>
          <w:spacing w:val="6"/>
          <w:kern w:val="2"/>
          <w:szCs w:val="28"/>
        </w:rPr>
        <w:t>，应</w:t>
      </w:r>
      <w:r>
        <w:rPr>
          <w:spacing w:val="6"/>
          <w:kern w:val="2"/>
          <w:szCs w:val="28"/>
        </w:rPr>
        <w:t>对PCB蚀刻废液进行回收处理。</w:t>
      </w:r>
    </w:p>
    <w:p>
      <w:pPr>
        <w:adjustRightInd/>
        <w:snapToGrid/>
        <w:spacing w:line="500" w:lineRule="exact"/>
        <w:ind w:firstLine="584" w:firstLineChars="200"/>
        <w:rPr>
          <w:spacing w:val="6"/>
          <w:kern w:val="2"/>
          <w:szCs w:val="28"/>
        </w:rPr>
      </w:pPr>
      <w:r>
        <w:rPr>
          <w:spacing w:val="6"/>
          <w:kern w:val="2"/>
          <w:szCs w:val="28"/>
        </w:rPr>
        <w:t>从循环经济角度出发，建议以臭氧作为氧化剂，对PCB的蚀刻废液进行再生化处理，再生后重新返回PCB厂家使用，从而形成闭合循环工艺流程。</w:t>
      </w:r>
    </w:p>
    <w:p>
      <w:pPr>
        <w:adjustRightInd/>
        <w:snapToGrid/>
        <w:spacing w:line="500" w:lineRule="exact"/>
        <w:ind w:firstLine="584" w:firstLineChars="200"/>
        <w:rPr>
          <w:spacing w:val="6"/>
          <w:kern w:val="2"/>
          <w:szCs w:val="28"/>
        </w:rPr>
      </w:pPr>
      <w:r>
        <w:rPr>
          <w:spacing w:val="6"/>
          <w:kern w:val="2"/>
          <w:szCs w:val="28"/>
        </w:rPr>
        <w:t>（3）化工行业</w:t>
      </w:r>
    </w:p>
    <w:p>
      <w:pPr>
        <w:adjustRightInd/>
        <w:snapToGrid/>
        <w:spacing w:line="500" w:lineRule="exact"/>
        <w:ind w:firstLine="584" w:firstLineChars="200"/>
        <w:rPr>
          <w:spacing w:val="6"/>
          <w:kern w:val="2"/>
          <w:szCs w:val="28"/>
        </w:rPr>
      </w:pPr>
      <w:r>
        <w:rPr>
          <w:spacing w:val="6"/>
          <w:kern w:val="2"/>
          <w:szCs w:val="28"/>
        </w:rPr>
        <w:t>针对昆山化学工业的特点，建议积极采取节能、降耗的先进生产工艺，设计化学工业废弃物循环利用的技术途径。主要有碱液吸收法吸收煤锅炉废气中二氧化硫制取亚硫酸钠工艺、常温干法粉碎法回收废旧橡胶工艺、氮肥及纯碱工业废弃物回收处理工艺、磷石膏的综合利用工艺等。</w:t>
      </w:r>
    </w:p>
    <w:p>
      <w:pPr>
        <w:adjustRightInd/>
        <w:snapToGrid/>
        <w:spacing w:line="500" w:lineRule="exact"/>
        <w:ind w:firstLine="584" w:firstLineChars="200"/>
        <w:rPr>
          <w:spacing w:val="6"/>
          <w:kern w:val="2"/>
          <w:szCs w:val="28"/>
        </w:rPr>
      </w:pPr>
      <w:r>
        <w:rPr>
          <w:spacing w:val="6"/>
          <w:kern w:val="2"/>
          <w:szCs w:val="28"/>
        </w:rPr>
        <w:t>（4）建材行业</w:t>
      </w:r>
    </w:p>
    <w:p>
      <w:pPr>
        <w:adjustRightInd/>
        <w:snapToGrid/>
        <w:spacing w:line="500" w:lineRule="exact"/>
        <w:ind w:firstLine="584" w:firstLineChars="200"/>
        <w:rPr>
          <w:szCs w:val="28"/>
        </w:rPr>
      </w:pPr>
      <w:r>
        <w:rPr>
          <w:spacing w:val="6"/>
          <w:kern w:val="2"/>
          <w:szCs w:val="28"/>
        </w:rPr>
        <w:t>昆山建材行业产值占工业总产值的比重很小，但其对环境造成的污染以及能耗、物耗的“贡献率”却远远高于其产值的贡献率。昆山应该限制和调整建材工业的发展，分阶段提出调整方案，逐步压缩建材工业的规模，发展新型墙体材料和化学建材。另一方面，建材行业能够消纳其他行业的尾矿、废渣等固体废弃物和生活垃圾，处理和固封有害物并使其资源化，这样建材行业在某种意义上已经成为环境协调型产业。根据建材行业的这种特点，可以在不同行业之间实现废物循环利用，建议其循环产业设计的重点放在建材行业对其他行业废弃物的消纳与回收工艺上。</w:t>
      </w:r>
    </w:p>
    <w:p>
      <w:pPr>
        <w:pStyle w:val="3"/>
        <w:sectPr>
          <w:endnotePr>
            <w:numFmt w:val="decimal"/>
          </w:endnotePr>
          <w:pgSz w:w="11906" w:h="16838"/>
          <w:pgMar w:top="1440" w:right="1797" w:bottom="1440" w:left="1797" w:header="851" w:footer="992" w:gutter="0"/>
          <w:cols w:space="425" w:num="1"/>
          <w:docGrid w:linePitch="312" w:charSpace="0"/>
        </w:sectPr>
      </w:pPr>
    </w:p>
    <w:bookmarkEnd w:id="80"/>
    <w:bookmarkEnd w:id="81"/>
    <w:p>
      <w:pPr>
        <w:pStyle w:val="3"/>
      </w:pPr>
      <w:bookmarkStart w:id="113" w:name="_Toc109473445"/>
      <w:bookmarkStart w:id="114" w:name="_Toc263071880"/>
      <w:bookmarkStart w:id="115" w:name="_Toc265336542"/>
      <w:bookmarkStart w:id="116" w:name="_Toc304379414"/>
      <w:r>
        <w:t>5.</w:t>
      </w:r>
      <w:bookmarkEnd w:id="113"/>
      <w:r>
        <w:t>6</w:t>
      </w:r>
      <w:bookmarkEnd w:id="114"/>
      <w:bookmarkEnd w:id="115"/>
      <w:r>
        <w:t>城乡环境保护</w:t>
      </w:r>
      <w:bookmarkEnd w:id="116"/>
    </w:p>
    <w:p>
      <w:pPr>
        <w:pStyle w:val="4"/>
        <w:rPr>
          <w:rFonts w:ascii="Times New Roman" w:hAnsi="Times New Roman"/>
        </w:rPr>
      </w:pPr>
      <w:bookmarkStart w:id="117" w:name="_Toc265336543"/>
      <w:r>
        <w:rPr>
          <w:rFonts w:ascii="Times New Roman" w:hAnsi="Times New Roman"/>
        </w:rPr>
        <w:t>5.6.1加强农村生活污水处理</w:t>
      </w:r>
      <w:bookmarkEnd w:id="117"/>
    </w:p>
    <w:p>
      <w:pPr>
        <w:adjustRightInd/>
        <w:snapToGrid/>
        <w:spacing w:line="500" w:lineRule="exact"/>
        <w:ind w:firstLine="584" w:firstLineChars="200"/>
        <w:rPr>
          <w:spacing w:val="6"/>
          <w:kern w:val="2"/>
          <w:szCs w:val="28"/>
        </w:rPr>
      </w:pPr>
      <w:r>
        <w:rPr>
          <w:spacing w:val="6"/>
          <w:kern w:val="2"/>
          <w:szCs w:val="28"/>
        </w:rPr>
        <w:t>农村生活污水处理工程是昆山市为了加快落实《太湖水污染治理工作方案》的一项重要举措，是推进社会主义新农村建设的一项重要工作，必须相关部门协调配合，共同努力。</w:t>
      </w:r>
    </w:p>
    <w:p>
      <w:pPr>
        <w:spacing w:line="500" w:lineRule="exact"/>
        <w:ind w:firstLine="560" w:firstLineChars="200"/>
        <w:rPr>
          <w:rFonts w:hint="eastAsia"/>
        </w:rPr>
      </w:pPr>
      <w:r>
        <w:t>积极推进农村生活污水</w:t>
      </w:r>
      <w:r>
        <w:rPr>
          <w:rFonts w:hint="eastAsia"/>
        </w:rPr>
        <w:t>连片</w:t>
      </w:r>
      <w:r>
        <w:t>整治试点工程，</w:t>
      </w:r>
      <w:r>
        <w:rPr>
          <w:rFonts w:hint="eastAsia"/>
        </w:rPr>
        <w:t>积极争取国家级、省级农村环境连片整治资金，全面</w:t>
      </w:r>
      <w:r>
        <w:t>推动全市农村环境综合整治工作。</w:t>
      </w:r>
    </w:p>
    <w:p>
      <w:pPr>
        <w:adjustRightInd/>
        <w:snapToGrid/>
        <w:spacing w:line="500" w:lineRule="exact"/>
        <w:ind w:firstLine="584" w:firstLineChars="200"/>
        <w:rPr>
          <w:spacing w:val="6"/>
          <w:kern w:val="2"/>
          <w:szCs w:val="28"/>
        </w:rPr>
      </w:pPr>
      <w:r>
        <w:rPr>
          <w:spacing w:val="6"/>
          <w:kern w:val="2"/>
          <w:szCs w:val="28"/>
        </w:rPr>
        <w:t>（1）对于已建成的43座生活污水处理设施，相关职能部门要抓紧督促施工单位进行整改补救，使设施能够尽快正常运转，发挥应有的作用，同时，对于已正常运转的生活污水处理设施要抓紧办理交接手续，并建立完善长效管理机制。</w:t>
      </w:r>
    </w:p>
    <w:p>
      <w:pPr>
        <w:adjustRightInd/>
        <w:snapToGrid/>
        <w:spacing w:line="500" w:lineRule="exact"/>
        <w:ind w:firstLine="584" w:firstLineChars="200"/>
        <w:rPr>
          <w:spacing w:val="6"/>
          <w:kern w:val="2"/>
          <w:szCs w:val="28"/>
        </w:rPr>
      </w:pPr>
      <w:r>
        <w:rPr>
          <w:spacing w:val="6"/>
          <w:kern w:val="2"/>
          <w:szCs w:val="28"/>
        </w:rPr>
        <w:t>（2）对于规划建设的农村生活污水处理设施，应从下列六方面进行严格要求：</w:t>
      </w:r>
    </w:p>
    <w:p>
      <w:pPr>
        <w:adjustRightInd/>
        <w:snapToGrid/>
        <w:spacing w:line="500" w:lineRule="exact"/>
        <w:ind w:firstLine="584" w:firstLineChars="200"/>
        <w:rPr>
          <w:spacing w:val="6"/>
          <w:kern w:val="2"/>
          <w:szCs w:val="28"/>
        </w:rPr>
      </w:pPr>
      <w:r>
        <w:rPr>
          <w:spacing w:val="6"/>
          <w:kern w:val="2"/>
          <w:szCs w:val="28"/>
        </w:rPr>
        <w:fldChar w:fldCharType="begin"/>
      </w:r>
      <w:r>
        <w:rPr>
          <w:spacing w:val="6"/>
          <w:kern w:val="2"/>
          <w:szCs w:val="28"/>
        </w:rPr>
        <w:instrText xml:space="preserve"> = 1 \* GB3 </w:instrText>
      </w:r>
      <w:r>
        <w:rPr>
          <w:spacing w:val="6"/>
          <w:kern w:val="2"/>
          <w:szCs w:val="28"/>
        </w:rPr>
        <w:fldChar w:fldCharType="separate"/>
      </w:r>
      <w:r>
        <w:rPr>
          <w:spacing w:val="6"/>
          <w:kern w:val="2"/>
          <w:szCs w:val="28"/>
          <w:lang/>
        </w:rPr>
        <w:t>①</w:t>
      </w:r>
      <w:r>
        <w:rPr>
          <w:spacing w:val="6"/>
          <w:kern w:val="2"/>
          <w:szCs w:val="28"/>
        </w:rPr>
        <w:fldChar w:fldCharType="end"/>
      </w:r>
      <w:r>
        <w:rPr>
          <w:spacing w:val="6"/>
          <w:kern w:val="2"/>
          <w:szCs w:val="28"/>
        </w:rPr>
        <w:t>合理选址。应优先考虑在省界国控断面和阳澄湖水源保护区周边的自然村进行选址，选址确定前应征求相关部门的意见。</w:t>
      </w:r>
    </w:p>
    <w:p>
      <w:pPr>
        <w:adjustRightInd/>
        <w:snapToGrid/>
        <w:spacing w:line="500" w:lineRule="exact"/>
        <w:ind w:firstLine="584" w:firstLineChars="200"/>
        <w:rPr>
          <w:spacing w:val="6"/>
          <w:kern w:val="2"/>
          <w:szCs w:val="28"/>
        </w:rPr>
      </w:pPr>
      <w:r>
        <w:rPr>
          <w:spacing w:val="6"/>
          <w:kern w:val="2"/>
          <w:szCs w:val="28"/>
        </w:rPr>
        <w:fldChar w:fldCharType="begin"/>
      </w:r>
      <w:r>
        <w:rPr>
          <w:spacing w:val="6"/>
          <w:kern w:val="2"/>
          <w:szCs w:val="28"/>
        </w:rPr>
        <w:instrText xml:space="preserve"> = 2 \* GB3 </w:instrText>
      </w:r>
      <w:r>
        <w:rPr>
          <w:spacing w:val="6"/>
          <w:kern w:val="2"/>
          <w:szCs w:val="28"/>
        </w:rPr>
        <w:fldChar w:fldCharType="separate"/>
      </w:r>
      <w:r>
        <w:rPr>
          <w:spacing w:val="6"/>
          <w:kern w:val="2"/>
          <w:szCs w:val="28"/>
          <w:lang/>
        </w:rPr>
        <w:t>②</w:t>
      </w:r>
      <w:r>
        <w:rPr>
          <w:spacing w:val="6"/>
          <w:kern w:val="2"/>
          <w:szCs w:val="28"/>
        </w:rPr>
        <w:fldChar w:fldCharType="end"/>
      </w:r>
      <w:r>
        <w:rPr>
          <w:spacing w:val="6"/>
          <w:kern w:val="2"/>
          <w:szCs w:val="28"/>
        </w:rPr>
        <w:t>科学规划。应针对农村农民用水特点，计算日均污水排量，合理规划，避免造成设施投资浪费，管理成本高。</w:t>
      </w:r>
    </w:p>
    <w:p>
      <w:pPr>
        <w:adjustRightInd/>
        <w:snapToGrid/>
        <w:spacing w:line="500" w:lineRule="exact"/>
        <w:ind w:firstLine="584" w:firstLineChars="200"/>
        <w:rPr>
          <w:spacing w:val="6"/>
          <w:kern w:val="2"/>
          <w:szCs w:val="28"/>
        </w:rPr>
      </w:pPr>
      <w:r>
        <w:rPr>
          <w:spacing w:val="6"/>
          <w:kern w:val="2"/>
          <w:szCs w:val="28"/>
        </w:rPr>
        <w:fldChar w:fldCharType="begin"/>
      </w:r>
      <w:r>
        <w:rPr>
          <w:spacing w:val="6"/>
          <w:kern w:val="2"/>
          <w:szCs w:val="28"/>
        </w:rPr>
        <w:instrText xml:space="preserve"> = 3 \* GB3 </w:instrText>
      </w:r>
      <w:r>
        <w:rPr>
          <w:spacing w:val="6"/>
          <w:kern w:val="2"/>
          <w:szCs w:val="28"/>
        </w:rPr>
        <w:fldChar w:fldCharType="separate"/>
      </w:r>
      <w:r>
        <w:rPr>
          <w:spacing w:val="6"/>
          <w:kern w:val="2"/>
          <w:szCs w:val="28"/>
          <w:lang/>
        </w:rPr>
        <w:t>③</w:t>
      </w:r>
      <w:r>
        <w:rPr>
          <w:spacing w:val="6"/>
          <w:kern w:val="2"/>
          <w:szCs w:val="28"/>
        </w:rPr>
        <w:fldChar w:fldCharType="end"/>
      </w:r>
      <w:r>
        <w:rPr>
          <w:spacing w:val="6"/>
          <w:kern w:val="2"/>
          <w:szCs w:val="28"/>
        </w:rPr>
        <w:t>公开招标。在招标过程中，除了强调市政资质外，应考虑施工的特殊性，管网的接通率，污水出水率，特别应增加环保方面的要求，对污水处理工艺、污水处理设备、污水达标率等提出明确要求。招标时，应邀请相关部门一起参加。</w:t>
      </w:r>
    </w:p>
    <w:p>
      <w:pPr>
        <w:adjustRightInd/>
        <w:snapToGrid/>
        <w:spacing w:line="500" w:lineRule="exact"/>
        <w:ind w:firstLine="584" w:firstLineChars="200"/>
        <w:rPr>
          <w:spacing w:val="6"/>
          <w:kern w:val="2"/>
          <w:szCs w:val="28"/>
        </w:rPr>
      </w:pPr>
      <w:r>
        <w:rPr>
          <w:spacing w:val="6"/>
          <w:kern w:val="2"/>
          <w:szCs w:val="28"/>
        </w:rPr>
        <w:fldChar w:fldCharType="begin"/>
      </w:r>
      <w:r>
        <w:rPr>
          <w:spacing w:val="6"/>
          <w:kern w:val="2"/>
          <w:szCs w:val="28"/>
        </w:rPr>
        <w:instrText xml:space="preserve"> = 4 \* GB3 </w:instrText>
      </w:r>
      <w:r>
        <w:rPr>
          <w:spacing w:val="6"/>
          <w:kern w:val="2"/>
          <w:szCs w:val="28"/>
        </w:rPr>
        <w:fldChar w:fldCharType="separate"/>
      </w:r>
      <w:r>
        <w:rPr>
          <w:spacing w:val="6"/>
          <w:kern w:val="2"/>
          <w:szCs w:val="28"/>
          <w:lang/>
        </w:rPr>
        <w:t>④</w:t>
      </w:r>
      <w:r>
        <w:rPr>
          <w:spacing w:val="6"/>
          <w:kern w:val="2"/>
          <w:szCs w:val="28"/>
        </w:rPr>
        <w:fldChar w:fldCharType="end"/>
      </w:r>
      <w:r>
        <w:rPr>
          <w:spacing w:val="6"/>
          <w:kern w:val="2"/>
          <w:szCs w:val="28"/>
        </w:rPr>
        <w:t>认真施工。在施工过程中，应严格按图施工，认真监理，确保化粪池和厨房用水全部接入设施管网，确保污水出水率。同时，加大对污水处理设备安装的监督，确保污水处理设备正常运转，提高污水处理排放达标率。</w:t>
      </w:r>
    </w:p>
    <w:p>
      <w:pPr>
        <w:adjustRightInd/>
        <w:snapToGrid/>
        <w:spacing w:line="500" w:lineRule="exact"/>
        <w:ind w:firstLine="584" w:firstLineChars="200"/>
        <w:rPr>
          <w:spacing w:val="6"/>
          <w:kern w:val="2"/>
          <w:szCs w:val="28"/>
        </w:rPr>
      </w:pPr>
      <w:r>
        <w:rPr>
          <w:spacing w:val="6"/>
          <w:kern w:val="2"/>
          <w:szCs w:val="28"/>
        </w:rPr>
        <w:fldChar w:fldCharType="begin"/>
      </w:r>
      <w:r>
        <w:rPr>
          <w:spacing w:val="6"/>
          <w:kern w:val="2"/>
          <w:szCs w:val="28"/>
        </w:rPr>
        <w:instrText xml:space="preserve"> = 5 \* GB3 </w:instrText>
      </w:r>
      <w:r>
        <w:rPr>
          <w:spacing w:val="6"/>
          <w:kern w:val="2"/>
          <w:szCs w:val="28"/>
        </w:rPr>
        <w:fldChar w:fldCharType="separate"/>
      </w:r>
      <w:r>
        <w:rPr>
          <w:spacing w:val="6"/>
          <w:kern w:val="2"/>
          <w:szCs w:val="28"/>
          <w:lang/>
        </w:rPr>
        <w:t>⑤</w:t>
      </w:r>
      <w:r>
        <w:rPr>
          <w:spacing w:val="6"/>
          <w:kern w:val="2"/>
          <w:szCs w:val="28"/>
        </w:rPr>
        <w:fldChar w:fldCharType="end"/>
      </w:r>
      <w:r>
        <w:rPr>
          <w:spacing w:val="6"/>
          <w:kern w:val="2"/>
          <w:szCs w:val="28"/>
        </w:rPr>
        <w:t>严格验收。工程结束后，才能组织验收，验收时，应组织相关部门一起参加，按图检查验收，明确污水出水率。除了验收建筑工程外，应重点验收环保设备的运转状况，明确污水处理排放达标率。验收合格后，工程款才能有序拨付。</w:t>
      </w:r>
    </w:p>
    <w:p>
      <w:pPr>
        <w:adjustRightInd/>
        <w:snapToGrid/>
        <w:spacing w:line="500" w:lineRule="exact"/>
        <w:ind w:firstLine="584" w:firstLineChars="200"/>
        <w:rPr>
          <w:spacing w:val="6"/>
          <w:kern w:val="2"/>
          <w:szCs w:val="28"/>
        </w:rPr>
      </w:pPr>
      <w:r>
        <w:rPr>
          <w:spacing w:val="6"/>
          <w:kern w:val="2"/>
          <w:szCs w:val="28"/>
        </w:rPr>
        <w:fldChar w:fldCharType="begin"/>
      </w:r>
      <w:r>
        <w:rPr>
          <w:spacing w:val="6"/>
          <w:kern w:val="2"/>
          <w:szCs w:val="28"/>
        </w:rPr>
        <w:instrText xml:space="preserve"> = 6 \* GB3 </w:instrText>
      </w:r>
      <w:r>
        <w:rPr>
          <w:spacing w:val="6"/>
          <w:kern w:val="2"/>
          <w:szCs w:val="28"/>
        </w:rPr>
        <w:fldChar w:fldCharType="separate"/>
      </w:r>
      <w:r>
        <w:rPr>
          <w:spacing w:val="6"/>
          <w:kern w:val="2"/>
          <w:szCs w:val="28"/>
          <w:lang/>
        </w:rPr>
        <w:t>⑥</w:t>
      </w:r>
      <w:r>
        <w:rPr>
          <w:spacing w:val="6"/>
          <w:kern w:val="2"/>
          <w:szCs w:val="28"/>
        </w:rPr>
        <w:fldChar w:fldCharType="end"/>
      </w:r>
      <w:r>
        <w:rPr>
          <w:spacing w:val="6"/>
          <w:kern w:val="2"/>
          <w:szCs w:val="28"/>
        </w:rPr>
        <w:t>维护管理。设施运转正常后，应及时申请污水排放达标监测，经监测，污水排放稳定达标后，应妥善移交地方政府，地方政府应指派专门部门、专人负责设施的维护管理，确保设施正常运转，确保污水稳定达标排放。市财政每年应预算一定数量的资金用于设施的正常运转。</w:t>
      </w:r>
    </w:p>
    <w:p>
      <w:pPr>
        <w:pStyle w:val="4"/>
        <w:rPr>
          <w:rFonts w:ascii="Times New Roman" w:hAnsi="Times New Roman"/>
        </w:rPr>
      </w:pPr>
      <w:bookmarkStart w:id="118" w:name="_Toc265336544"/>
      <w:r>
        <w:rPr>
          <w:rFonts w:ascii="Times New Roman" w:hAnsi="Times New Roman"/>
        </w:rPr>
        <w:t>5.6.2生活垃圾无害化处理处置</w:t>
      </w:r>
      <w:bookmarkEnd w:id="118"/>
    </w:p>
    <w:p>
      <w:pPr>
        <w:pStyle w:val="8"/>
        <w:spacing w:before="48" w:beforeLines="20" w:line="500" w:lineRule="exact"/>
        <w:ind w:firstLine="560"/>
        <w:rPr>
          <w:rFonts w:eastAsia="仿宋_GB2312"/>
          <w:sz w:val="28"/>
        </w:rPr>
      </w:pPr>
      <w:r>
        <w:rPr>
          <w:rFonts w:eastAsia="仿宋_GB2312"/>
          <w:sz w:val="28"/>
        </w:rPr>
        <w:t>依照昆山市垃圾处理管理体系规划，昆山市要设置垃圾处理设施“村收集、镇运输、市处理”的三级管理机构。即各自然村或小组自行安排和开展垃圾清扫和道路保洁工作，村属机构将清扫、保洁产生的垃圾集中收集，送往镇属转运站，由镇属机构统一安排运往市属垃圾末端处理设施进行处理处置。因此，昆山市各农村环卫管理机构主要负责垃圾的前期清扫、收集工作，并配合镇属环卫管理机构将垃圾运送至镇属转运站。</w:t>
      </w:r>
    </w:p>
    <w:p>
      <w:pPr>
        <w:pStyle w:val="8"/>
        <w:spacing w:before="48" w:beforeLines="20" w:line="500" w:lineRule="exact"/>
        <w:ind w:firstLine="560"/>
        <w:rPr>
          <w:rFonts w:eastAsia="仿宋_GB2312"/>
          <w:sz w:val="28"/>
        </w:rPr>
      </w:pPr>
      <w:r>
        <w:rPr>
          <w:rFonts w:eastAsia="仿宋_GB2312"/>
          <w:sz w:val="28"/>
        </w:rPr>
        <w:t>应配备足够数量的专业人员，对村镇道路进行垃圾清扫、保洁作业；清扫保洁作业可参照《城市环境卫生质量标准》（建城［1997］21号）的要求进行。</w:t>
      </w:r>
    </w:p>
    <w:p>
      <w:pPr>
        <w:pStyle w:val="4"/>
        <w:rPr>
          <w:rFonts w:ascii="Times New Roman" w:hAnsi="Times New Roman"/>
        </w:rPr>
      </w:pPr>
      <w:bookmarkStart w:id="119" w:name="_Toc265336545"/>
      <w:r>
        <w:rPr>
          <w:rFonts w:ascii="Times New Roman" w:hAnsi="Times New Roman"/>
        </w:rPr>
        <w:t>5.6.3加强畜禽养殖污染防治</w:t>
      </w:r>
      <w:bookmarkEnd w:id="119"/>
    </w:p>
    <w:p>
      <w:pPr>
        <w:pStyle w:val="5"/>
        <w:spacing w:line="500" w:lineRule="exact"/>
        <w:ind w:left="0"/>
        <w:rPr>
          <w:rFonts w:eastAsia="仿宋_GB2312"/>
          <w:szCs w:val="28"/>
        </w:rPr>
      </w:pPr>
      <w:bookmarkStart w:id="120" w:name="_Toc264905561"/>
      <w:r>
        <w:rPr>
          <w:rFonts w:eastAsia="仿宋_GB2312"/>
          <w:szCs w:val="28"/>
        </w:rPr>
        <w:t>5.6.3.</w:t>
      </w:r>
      <w:bookmarkEnd w:id="120"/>
      <w:r>
        <w:rPr>
          <w:rFonts w:hint="eastAsia" w:eastAsia="仿宋_GB2312"/>
          <w:szCs w:val="28"/>
        </w:rPr>
        <w:t>1畜禽养殖区域划分</w:t>
      </w:r>
    </w:p>
    <w:p>
      <w:pPr>
        <w:spacing w:line="500" w:lineRule="exact"/>
        <w:ind w:firstLine="560" w:firstLineChars="200"/>
        <w:rPr>
          <w:rFonts w:hint="eastAsia" w:ascii="仿宋_GB2312" w:hAnsi="宋体" w:cs="宋体"/>
          <w:kern w:val="0"/>
          <w:szCs w:val="28"/>
        </w:rPr>
      </w:pPr>
      <w:r>
        <w:rPr>
          <w:rFonts w:hint="eastAsia" w:ascii="仿宋_GB2312" w:hAnsi="宋体"/>
          <w:szCs w:val="28"/>
        </w:rPr>
        <w:t>根据《畜禽养殖业污染防治技术规范》（HJ/T81-2001）、《江苏省太湖水污染防治条例》、</w:t>
      </w:r>
      <w:r>
        <w:rPr>
          <w:rFonts w:hint="eastAsia" w:ascii="仿宋_GB2312" w:hAnsi="宋体" w:cs="宋体"/>
          <w:kern w:val="0"/>
          <w:szCs w:val="28"/>
        </w:rPr>
        <w:t>《昆山市城市总体规划纲要（2009-2030）》，、《昆山市畜禽养殖管理暂行办法》（昆政办发[2006]32号），并参照《吴中区关于开展沿太湖畜禽规模养殖综合整治工作的意见》、《无锡市畜禽养殖污染防治管理办法》，对昆山市的畜禽养殖区域进行划分。</w:t>
      </w:r>
    </w:p>
    <w:p>
      <w:pPr>
        <w:spacing w:line="500" w:lineRule="exact"/>
        <w:rPr>
          <w:rFonts w:hint="eastAsia" w:ascii="仿宋_GB2312" w:hAnsi="宋体" w:cs="宋体"/>
          <w:szCs w:val="28"/>
        </w:rPr>
      </w:pPr>
      <w:r>
        <w:rPr>
          <w:rFonts w:hint="eastAsia" w:ascii="仿宋_GB2312" w:hAnsi="宋体" w:cs="宋体"/>
          <w:szCs w:val="28"/>
        </w:rPr>
        <w:t>（1）禁养区</w:t>
      </w:r>
    </w:p>
    <w:p>
      <w:pPr>
        <w:spacing w:line="500" w:lineRule="exact"/>
        <w:ind w:firstLine="560" w:firstLineChars="200"/>
        <w:rPr>
          <w:rFonts w:hint="eastAsia" w:ascii="仿宋_GB2312" w:hAnsi="宋体" w:cs="宋体"/>
          <w:szCs w:val="28"/>
        </w:rPr>
      </w:pPr>
      <w:r>
        <w:rPr>
          <w:rFonts w:ascii="仿宋_GB2312" w:hAnsi="宋体" w:cs="宋体"/>
          <w:szCs w:val="28"/>
        </w:rPr>
        <w:fldChar w:fldCharType="begin"/>
      </w:r>
      <w:r>
        <w:rPr>
          <w:rFonts w:ascii="仿宋_GB2312" w:hAnsi="宋体" w:cs="宋体"/>
          <w:szCs w:val="28"/>
        </w:rPr>
        <w:instrText xml:space="preserve"> </w:instrText>
      </w:r>
      <w:r>
        <w:rPr>
          <w:rFonts w:hint="eastAsia" w:ascii="仿宋_GB2312" w:hAnsi="宋体" w:cs="宋体"/>
          <w:szCs w:val="28"/>
        </w:rPr>
        <w:instrText xml:space="preserve">= 1 \* GB3</w:instrText>
      </w:r>
      <w:r>
        <w:rPr>
          <w:rFonts w:ascii="仿宋_GB2312" w:hAnsi="宋体" w:cs="宋体"/>
          <w:szCs w:val="28"/>
        </w:rPr>
        <w:instrText xml:space="preserve"> </w:instrText>
      </w:r>
      <w:r>
        <w:rPr>
          <w:rFonts w:ascii="仿宋_GB2312" w:hAnsi="宋体" w:cs="宋体"/>
          <w:szCs w:val="28"/>
        </w:rPr>
        <w:fldChar w:fldCharType="separate"/>
      </w:r>
      <w:r>
        <w:rPr>
          <w:rFonts w:hint="eastAsia" w:ascii="仿宋_GB2312" w:hAnsi="宋体" w:cs="宋体"/>
          <w:szCs w:val="28"/>
          <w:lang/>
        </w:rPr>
        <w:t>①</w:t>
      </w:r>
      <w:r>
        <w:rPr>
          <w:rFonts w:ascii="仿宋_GB2312" w:hAnsi="宋体" w:cs="宋体"/>
          <w:szCs w:val="28"/>
        </w:rPr>
        <w:fldChar w:fldCharType="end"/>
      </w:r>
      <w:r>
        <w:rPr>
          <w:rFonts w:hint="eastAsia" w:ascii="仿宋_GB2312" w:hAnsi="宋体" w:cs="宋体"/>
          <w:szCs w:val="28"/>
        </w:rPr>
        <w:t>生活饮用水水源保护区3公里范围</w:t>
      </w:r>
    </w:p>
    <w:p>
      <w:pPr>
        <w:spacing w:line="500" w:lineRule="exact"/>
        <w:ind w:firstLine="560" w:firstLineChars="200"/>
        <w:rPr>
          <w:rFonts w:hint="eastAsia" w:ascii="仿宋_GB2312" w:hAnsi="宋体"/>
          <w:szCs w:val="28"/>
        </w:rPr>
      </w:pPr>
      <w:r>
        <w:rPr>
          <w:rFonts w:hint="eastAsia" w:ascii="仿宋_GB2312" w:hAnsi="宋体"/>
          <w:szCs w:val="28"/>
        </w:rPr>
        <w:t>昆山集中式生活饮用水源保护区：</w:t>
      </w:r>
      <w:r>
        <w:rPr>
          <w:rFonts w:hint="eastAsia" w:ascii="仿宋_GB2312" w:hAnsi="宋体"/>
          <w:spacing w:val="6"/>
          <w:szCs w:val="28"/>
        </w:rPr>
        <w:t>庙泾河饮用水源地、傀儡湖饮用水源地</w:t>
      </w:r>
      <w:r>
        <w:rPr>
          <w:rFonts w:hint="eastAsia" w:ascii="仿宋_GB2312" w:hAnsi="宋体"/>
          <w:szCs w:val="28"/>
        </w:rPr>
        <w:t>。</w:t>
      </w:r>
    </w:p>
    <w:p>
      <w:pPr>
        <w:spacing w:line="500" w:lineRule="exact"/>
        <w:ind w:firstLine="560" w:firstLineChars="200"/>
        <w:rPr>
          <w:rFonts w:hint="eastAsia" w:ascii="仿宋_GB2312" w:hAnsi="宋体"/>
          <w:szCs w:val="28"/>
        </w:rPr>
      </w:pPr>
      <w:r>
        <w:rPr>
          <w:rFonts w:ascii="仿宋_GB2312" w:hAnsi="宋体" w:cs="宋体"/>
          <w:szCs w:val="28"/>
        </w:rPr>
        <w:fldChar w:fldCharType="begin"/>
      </w:r>
      <w:r>
        <w:rPr>
          <w:rFonts w:ascii="仿宋_GB2312" w:hAnsi="宋体" w:cs="宋体"/>
          <w:szCs w:val="28"/>
        </w:rPr>
        <w:instrText xml:space="preserve"> </w:instrText>
      </w:r>
      <w:r>
        <w:rPr>
          <w:rFonts w:hint="eastAsia" w:ascii="仿宋_GB2312" w:hAnsi="宋体" w:cs="宋体"/>
          <w:szCs w:val="28"/>
        </w:rPr>
        <w:instrText xml:space="preserve">= 2 \* GB3</w:instrText>
      </w:r>
      <w:r>
        <w:rPr>
          <w:rFonts w:ascii="仿宋_GB2312" w:hAnsi="宋体" w:cs="宋体"/>
          <w:szCs w:val="28"/>
        </w:rPr>
        <w:instrText xml:space="preserve"> </w:instrText>
      </w:r>
      <w:r>
        <w:rPr>
          <w:rFonts w:ascii="仿宋_GB2312" w:hAnsi="宋体" w:cs="宋体"/>
          <w:szCs w:val="28"/>
        </w:rPr>
        <w:fldChar w:fldCharType="separate"/>
      </w:r>
      <w:r>
        <w:rPr>
          <w:rFonts w:hint="eastAsia" w:ascii="仿宋_GB2312" w:hAnsi="宋体" w:cs="宋体"/>
          <w:szCs w:val="28"/>
          <w:lang/>
        </w:rPr>
        <w:t>②</w:t>
      </w:r>
      <w:r>
        <w:rPr>
          <w:rFonts w:ascii="仿宋_GB2312" w:hAnsi="宋体" w:cs="宋体"/>
          <w:szCs w:val="28"/>
        </w:rPr>
        <w:fldChar w:fldCharType="end"/>
      </w:r>
      <w:r>
        <w:rPr>
          <w:rFonts w:hint="eastAsia" w:ascii="仿宋_GB2312" w:hAnsi="宋体" w:cs="宋体"/>
          <w:szCs w:val="28"/>
        </w:rPr>
        <w:t>重要</w:t>
      </w:r>
      <w:r>
        <w:rPr>
          <w:rFonts w:hint="eastAsia" w:ascii="仿宋_GB2312" w:hAnsi="宋体"/>
          <w:szCs w:val="28"/>
        </w:rPr>
        <w:t>生态功能保护区</w:t>
      </w:r>
    </w:p>
    <w:p>
      <w:pPr>
        <w:tabs>
          <w:tab w:val="left" w:pos="4500"/>
        </w:tabs>
        <w:spacing w:line="500" w:lineRule="exact"/>
        <w:jc w:val="center"/>
        <w:rPr>
          <w:rFonts w:hint="eastAsia" w:ascii="仿宋_GB2312" w:hAnsi="宋体"/>
          <w:b/>
          <w:bCs/>
          <w:spacing w:val="6"/>
          <w:szCs w:val="28"/>
        </w:rPr>
      </w:pPr>
      <w:r>
        <w:rPr>
          <w:rFonts w:hint="eastAsia" w:ascii="仿宋_GB2312" w:hAnsi="宋体"/>
          <w:b/>
          <w:bCs/>
          <w:spacing w:val="6"/>
          <w:szCs w:val="28"/>
        </w:rPr>
        <w:t>表5.6-1  昆山市重要生态功能保护区分布表</w:t>
      </w:r>
    </w:p>
    <w:tbl>
      <w:tblPr>
        <w:tblStyle w:val="33"/>
        <w:tblW w:w="5000" w:type="pct"/>
        <w:tblInd w:w="-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0" w:type="dxa"/>
          <w:bottom w:w="0" w:type="dxa"/>
          <w:right w:w="0" w:type="dxa"/>
        </w:tblCellMar>
      </w:tblPr>
      <w:tblGrid>
        <w:gridCol w:w="4662"/>
        <w:gridCol w:w="3666"/>
        <w:tblGridChange w:id="0">
          <w:tblGrid>
            <w:gridCol w:w="4662"/>
            <w:gridCol w:w="3666"/>
          </w:tblGrid>
        </w:tblGridChange>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cantSplit/>
          <w:tblHeader/>
        </w:trPr>
        <w:tc>
          <w:tcPr>
            <w:tcW w:w="2799" w:type="pct"/>
            <w:noWrap w:val="0"/>
            <w:vAlign w:val="center"/>
          </w:tcPr>
          <w:p>
            <w:pPr>
              <w:spacing w:line="240" w:lineRule="auto"/>
              <w:jc w:val="center"/>
              <w:rPr>
                <w:rFonts w:hint="eastAsia" w:ascii="仿宋_GB2312" w:hAnsi="宋体"/>
                <w:b/>
                <w:spacing w:val="6"/>
                <w:sz w:val="21"/>
                <w:szCs w:val="21"/>
              </w:rPr>
            </w:pPr>
            <w:r>
              <w:rPr>
                <w:rFonts w:hint="eastAsia" w:ascii="仿宋_GB2312" w:hAnsi="宋体"/>
                <w:b/>
                <w:spacing w:val="6"/>
                <w:sz w:val="21"/>
                <w:szCs w:val="21"/>
              </w:rPr>
              <w:t>名称</w:t>
            </w:r>
          </w:p>
        </w:tc>
        <w:tc>
          <w:tcPr>
            <w:tcW w:w="2201" w:type="pct"/>
            <w:noWrap w:val="0"/>
            <w:vAlign w:val="center"/>
          </w:tcPr>
          <w:p>
            <w:pPr>
              <w:spacing w:line="240" w:lineRule="auto"/>
              <w:jc w:val="center"/>
              <w:rPr>
                <w:rFonts w:hint="eastAsia" w:ascii="仿宋_GB2312" w:hAnsi="宋体"/>
                <w:b/>
                <w:spacing w:val="6"/>
                <w:sz w:val="21"/>
                <w:szCs w:val="21"/>
              </w:rPr>
            </w:pPr>
            <w:r>
              <w:rPr>
                <w:rFonts w:hint="eastAsia" w:ascii="仿宋_GB2312" w:hAnsi="宋体"/>
                <w:b/>
                <w:spacing w:val="6"/>
                <w:sz w:val="21"/>
                <w:szCs w:val="21"/>
              </w:rPr>
              <w:t>主导生态功能</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cantSplit/>
        </w:trPr>
        <w:tc>
          <w:tcPr>
            <w:tcW w:w="2799" w:type="pct"/>
            <w:noWrap w:val="0"/>
            <w:vAlign w:val="center"/>
          </w:tcPr>
          <w:p>
            <w:pPr>
              <w:spacing w:line="240" w:lineRule="auto"/>
              <w:jc w:val="center"/>
              <w:rPr>
                <w:rFonts w:hint="eastAsia" w:ascii="仿宋_GB2312" w:hAnsi="宋体"/>
                <w:spacing w:val="6"/>
                <w:sz w:val="21"/>
                <w:szCs w:val="21"/>
              </w:rPr>
            </w:pPr>
            <w:r>
              <w:rPr>
                <w:rFonts w:hint="eastAsia" w:ascii="仿宋_GB2312" w:hAnsi="宋体"/>
                <w:spacing w:val="6"/>
                <w:sz w:val="21"/>
                <w:szCs w:val="21"/>
              </w:rPr>
              <w:t>昆山市森林公园</w:t>
            </w:r>
          </w:p>
        </w:tc>
        <w:tc>
          <w:tcPr>
            <w:tcW w:w="2201" w:type="pct"/>
            <w:noWrap w:val="0"/>
            <w:vAlign w:val="center"/>
          </w:tcPr>
          <w:p>
            <w:pPr>
              <w:spacing w:line="240" w:lineRule="auto"/>
              <w:jc w:val="center"/>
              <w:rPr>
                <w:rFonts w:hint="eastAsia" w:ascii="仿宋_GB2312" w:hAnsi="宋体"/>
                <w:spacing w:val="6"/>
                <w:sz w:val="21"/>
                <w:szCs w:val="21"/>
              </w:rPr>
            </w:pPr>
            <w:r>
              <w:rPr>
                <w:rFonts w:hint="eastAsia" w:ascii="仿宋_GB2312" w:hAnsi="宋体"/>
                <w:spacing w:val="6"/>
                <w:sz w:val="21"/>
                <w:szCs w:val="21"/>
              </w:rPr>
              <w:t>自然与人文景观保护</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cantSplit/>
        </w:trPr>
        <w:tc>
          <w:tcPr>
            <w:tcW w:w="2799" w:type="pct"/>
            <w:noWrap w:val="0"/>
            <w:vAlign w:val="center"/>
          </w:tcPr>
          <w:p>
            <w:pPr>
              <w:spacing w:line="240" w:lineRule="auto"/>
              <w:jc w:val="center"/>
              <w:rPr>
                <w:rFonts w:hint="eastAsia" w:ascii="仿宋_GB2312" w:hAnsi="宋体"/>
                <w:spacing w:val="6"/>
                <w:sz w:val="21"/>
                <w:szCs w:val="21"/>
              </w:rPr>
            </w:pPr>
            <w:r>
              <w:rPr>
                <w:rFonts w:hint="eastAsia" w:ascii="仿宋_GB2312" w:hAnsi="宋体"/>
                <w:spacing w:val="6"/>
                <w:sz w:val="21"/>
                <w:szCs w:val="21"/>
              </w:rPr>
              <w:t>丹桂园风景名胜区</w:t>
            </w:r>
          </w:p>
        </w:tc>
        <w:tc>
          <w:tcPr>
            <w:tcW w:w="2201" w:type="pct"/>
            <w:noWrap w:val="0"/>
            <w:vAlign w:val="center"/>
          </w:tcPr>
          <w:p>
            <w:pPr>
              <w:spacing w:line="240" w:lineRule="auto"/>
              <w:jc w:val="center"/>
              <w:rPr>
                <w:rFonts w:hint="eastAsia" w:ascii="仿宋_GB2312" w:hAnsi="宋体"/>
                <w:spacing w:val="6"/>
                <w:sz w:val="21"/>
                <w:szCs w:val="21"/>
              </w:rPr>
            </w:pPr>
            <w:r>
              <w:rPr>
                <w:rFonts w:hint="eastAsia" w:ascii="仿宋_GB2312" w:hAnsi="宋体"/>
                <w:spacing w:val="6"/>
                <w:sz w:val="21"/>
                <w:szCs w:val="21"/>
              </w:rPr>
              <w:t>自然与人文景观保护</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cantSplit/>
        </w:trPr>
        <w:tc>
          <w:tcPr>
            <w:tcW w:w="2799" w:type="pct"/>
            <w:noWrap w:val="0"/>
            <w:vAlign w:val="center"/>
          </w:tcPr>
          <w:p>
            <w:pPr>
              <w:spacing w:line="240" w:lineRule="auto"/>
              <w:jc w:val="center"/>
              <w:rPr>
                <w:rFonts w:hint="eastAsia" w:ascii="仿宋_GB2312" w:hAnsi="宋体"/>
                <w:spacing w:val="6"/>
                <w:sz w:val="21"/>
                <w:szCs w:val="21"/>
              </w:rPr>
            </w:pPr>
            <w:r>
              <w:rPr>
                <w:rFonts w:hint="eastAsia" w:ascii="仿宋_GB2312" w:hAnsi="宋体"/>
                <w:spacing w:val="6"/>
                <w:sz w:val="21"/>
                <w:szCs w:val="21"/>
              </w:rPr>
              <w:t>庙泾河饮用水源保护区</w:t>
            </w:r>
          </w:p>
        </w:tc>
        <w:tc>
          <w:tcPr>
            <w:tcW w:w="2201" w:type="pct"/>
            <w:noWrap w:val="0"/>
            <w:vAlign w:val="center"/>
          </w:tcPr>
          <w:p>
            <w:pPr>
              <w:spacing w:line="240" w:lineRule="auto"/>
              <w:jc w:val="center"/>
              <w:rPr>
                <w:rFonts w:hint="eastAsia" w:ascii="仿宋_GB2312" w:hAnsi="宋体"/>
                <w:spacing w:val="6"/>
                <w:sz w:val="21"/>
                <w:szCs w:val="21"/>
              </w:rPr>
            </w:pPr>
            <w:r>
              <w:rPr>
                <w:rFonts w:hint="eastAsia" w:ascii="仿宋_GB2312" w:hAnsi="宋体"/>
                <w:spacing w:val="6"/>
                <w:sz w:val="21"/>
                <w:szCs w:val="21"/>
              </w:rPr>
              <w:t>水源水质保护</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cantSplit/>
        </w:trPr>
        <w:tc>
          <w:tcPr>
            <w:tcW w:w="2799" w:type="pct"/>
            <w:noWrap w:val="0"/>
            <w:vAlign w:val="center"/>
          </w:tcPr>
          <w:p>
            <w:pPr>
              <w:spacing w:line="240" w:lineRule="auto"/>
              <w:jc w:val="center"/>
              <w:rPr>
                <w:rFonts w:hint="eastAsia" w:ascii="仿宋_GB2312" w:hAnsi="宋体"/>
                <w:spacing w:val="6"/>
                <w:sz w:val="21"/>
                <w:szCs w:val="21"/>
              </w:rPr>
            </w:pPr>
            <w:r>
              <w:rPr>
                <w:rFonts w:hint="eastAsia" w:ascii="仿宋_GB2312" w:hAnsi="宋体"/>
                <w:spacing w:val="6"/>
                <w:sz w:val="21"/>
                <w:szCs w:val="21"/>
              </w:rPr>
              <w:t>傀儡湖饮用水源保护区</w:t>
            </w:r>
          </w:p>
        </w:tc>
        <w:tc>
          <w:tcPr>
            <w:tcW w:w="2201" w:type="pct"/>
            <w:noWrap w:val="0"/>
            <w:vAlign w:val="center"/>
          </w:tcPr>
          <w:p>
            <w:pPr>
              <w:spacing w:line="240" w:lineRule="auto"/>
              <w:jc w:val="center"/>
              <w:rPr>
                <w:rFonts w:hint="eastAsia" w:ascii="仿宋_GB2312" w:hAnsi="宋体"/>
                <w:spacing w:val="6"/>
                <w:sz w:val="21"/>
                <w:szCs w:val="21"/>
              </w:rPr>
            </w:pPr>
            <w:r>
              <w:rPr>
                <w:rFonts w:hint="eastAsia" w:ascii="仿宋_GB2312" w:hAnsi="宋体"/>
                <w:spacing w:val="6"/>
                <w:sz w:val="21"/>
                <w:szCs w:val="21"/>
              </w:rPr>
              <w:t>水源水质保护</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cantSplit/>
        </w:trPr>
        <w:tc>
          <w:tcPr>
            <w:tcW w:w="2799" w:type="pct"/>
            <w:noWrap w:val="0"/>
            <w:vAlign w:val="center"/>
          </w:tcPr>
          <w:p>
            <w:pPr>
              <w:spacing w:line="240" w:lineRule="auto"/>
              <w:jc w:val="center"/>
              <w:rPr>
                <w:rFonts w:hint="eastAsia" w:ascii="仿宋_GB2312" w:hAnsi="宋体"/>
                <w:spacing w:val="6"/>
                <w:sz w:val="21"/>
                <w:szCs w:val="21"/>
              </w:rPr>
            </w:pPr>
            <w:r>
              <w:rPr>
                <w:rFonts w:hint="eastAsia" w:ascii="仿宋_GB2312" w:hAnsi="宋体"/>
                <w:spacing w:val="6"/>
                <w:sz w:val="21"/>
                <w:szCs w:val="21"/>
              </w:rPr>
              <w:t>阳澄湖(昆山市)重要湿地</w:t>
            </w:r>
          </w:p>
        </w:tc>
        <w:tc>
          <w:tcPr>
            <w:tcW w:w="2201" w:type="pct"/>
            <w:noWrap w:val="0"/>
            <w:vAlign w:val="center"/>
          </w:tcPr>
          <w:p>
            <w:pPr>
              <w:spacing w:line="240" w:lineRule="auto"/>
              <w:jc w:val="center"/>
              <w:rPr>
                <w:rFonts w:hint="eastAsia" w:ascii="仿宋_GB2312" w:hAnsi="宋体"/>
                <w:spacing w:val="6"/>
                <w:sz w:val="21"/>
                <w:szCs w:val="21"/>
              </w:rPr>
            </w:pPr>
            <w:r>
              <w:rPr>
                <w:rFonts w:hint="eastAsia" w:ascii="仿宋_GB2312" w:hAnsi="宋体"/>
                <w:spacing w:val="6"/>
                <w:sz w:val="21"/>
                <w:szCs w:val="21"/>
              </w:rPr>
              <w:t>湿地生态系统维护</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cantSplit/>
        </w:trPr>
        <w:tc>
          <w:tcPr>
            <w:tcW w:w="2799" w:type="pct"/>
            <w:noWrap w:val="0"/>
            <w:vAlign w:val="center"/>
          </w:tcPr>
          <w:p>
            <w:pPr>
              <w:spacing w:line="240" w:lineRule="auto"/>
              <w:jc w:val="center"/>
              <w:rPr>
                <w:rFonts w:hint="eastAsia" w:ascii="仿宋_GB2312" w:hAnsi="宋体"/>
                <w:spacing w:val="6"/>
                <w:sz w:val="21"/>
                <w:szCs w:val="21"/>
              </w:rPr>
            </w:pPr>
            <w:r>
              <w:rPr>
                <w:rFonts w:hint="eastAsia" w:ascii="仿宋_GB2312" w:hAnsi="宋体"/>
                <w:spacing w:val="6"/>
                <w:sz w:val="21"/>
                <w:szCs w:val="21"/>
              </w:rPr>
              <w:t>淀山湖(昆山市)重要湿地</w:t>
            </w:r>
          </w:p>
        </w:tc>
        <w:tc>
          <w:tcPr>
            <w:tcW w:w="2201" w:type="pct"/>
            <w:noWrap w:val="0"/>
            <w:vAlign w:val="center"/>
          </w:tcPr>
          <w:p>
            <w:pPr>
              <w:spacing w:line="240" w:lineRule="auto"/>
              <w:jc w:val="center"/>
              <w:rPr>
                <w:rFonts w:hint="eastAsia" w:ascii="仿宋_GB2312" w:hAnsi="宋体"/>
                <w:spacing w:val="6"/>
                <w:sz w:val="21"/>
                <w:szCs w:val="21"/>
              </w:rPr>
            </w:pPr>
            <w:r>
              <w:rPr>
                <w:rFonts w:hint="eastAsia" w:ascii="仿宋_GB2312" w:hAnsi="宋体"/>
                <w:spacing w:val="6"/>
                <w:sz w:val="21"/>
                <w:szCs w:val="21"/>
              </w:rPr>
              <w:t>湿地生态系统维护</w:t>
            </w:r>
          </w:p>
        </w:tc>
      </w:tr>
    </w:tbl>
    <w:p>
      <w:pPr>
        <w:spacing w:line="500" w:lineRule="exact"/>
        <w:ind w:firstLine="560" w:firstLineChars="200"/>
        <w:rPr>
          <w:rFonts w:hint="eastAsia" w:ascii="仿宋_GB2312" w:hAnsi="宋体"/>
          <w:szCs w:val="28"/>
        </w:rPr>
      </w:pPr>
      <w:r>
        <w:rPr>
          <w:rFonts w:ascii="仿宋_GB2312" w:hAnsi="宋体" w:cs="宋体"/>
          <w:szCs w:val="28"/>
        </w:rPr>
        <w:fldChar w:fldCharType="begin"/>
      </w:r>
      <w:r>
        <w:rPr>
          <w:rFonts w:ascii="仿宋_GB2312" w:hAnsi="宋体" w:cs="宋体"/>
          <w:szCs w:val="28"/>
        </w:rPr>
        <w:instrText xml:space="preserve"> </w:instrText>
      </w:r>
      <w:r>
        <w:rPr>
          <w:rFonts w:hint="eastAsia" w:ascii="仿宋_GB2312" w:hAnsi="宋体" w:cs="宋体"/>
          <w:szCs w:val="28"/>
        </w:rPr>
        <w:instrText xml:space="preserve">= 3 \* GB3</w:instrText>
      </w:r>
      <w:r>
        <w:rPr>
          <w:rFonts w:ascii="仿宋_GB2312" w:hAnsi="宋体" w:cs="宋体"/>
          <w:szCs w:val="28"/>
        </w:rPr>
        <w:instrText xml:space="preserve"> </w:instrText>
      </w:r>
      <w:r>
        <w:rPr>
          <w:rFonts w:ascii="仿宋_GB2312" w:hAnsi="宋体" w:cs="宋体"/>
          <w:szCs w:val="28"/>
        </w:rPr>
        <w:fldChar w:fldCharType="separate"/>
      </w:r>
      <w:r>
        <w:rPr>
          <w:rFonts w:hint="eastAsia" w:ascii="仿宋_GB2312" w:hAnsi="宋体" w:cs="宋体"/>
          <w:szCs w:val="28"/>
          <w:lang/>
        </w:rPr>
        <w:t>③</w:t>
      </w:r>
      <w:r>
        <w:rPr>
          <w:rFonts w:ascii="仿宋_GB2312" w:hAnsi="宋体" w:cs="宋体"/>
          <w:szCs w:val="28"/>
        </w:rPr>
        <w:fldChar w:fldCharType="end"/>
      </w:r>
      <w:r>
        <w:rPr>
          <w:rFonts w:hint="eastAsia" w:ascii="仿宋_GB2312" w:cs="宋体"/>
          <w:kern w:val="0"/>
          <w:szCs w:val="28"/>
        </w:rPr>
        <w:t>城镇居民区、商业区、工业区、旅游区等人口集中区</w:t>
      </w:r>
      <w:r>
        <w:rPr>
          <w:rFonts w:hint="eastAsia" w:ascii="仿宋_GB2312" w:hAnsi="宋体" w:cs="宋体"/>
          <w:kern w:val="0"/>
          <w:szCs w:val="28"/>
        </w:rPr>
        <w:t>1</w:t>
      </w:r>
      <w:r>
        <w:rPr>
          <w:rFonts w:hint="eastAsia" w:ascii="仿宋_GB2312" w:cs="宋体"/>
          <w:kern w:val="0"/>
          <w:szCs w:val="28"/>
        </w:rPr>
        <w:t>公里范围内</w:t>
      </w:r>
      <w:r>
        <w:rPr>
          <w:rFonts w:hint="eastAsia" w:ascii="仿宋_GB2312" w:hAnsi="宋体"/>
          <w:szCs w:val="28"/>
        </w:rPr>
        <w:t>；</w:t>
      </w:r>
    </w:p>
    <w:p>
      <w:pPr>
        <w:spacing w:line="500" w:lineRule="exact"/>
        <w:ind w:firstLine="560" w:firstLineChars="200"/>
        <w:rPr>
          <w:rFonts w:hint="eastAsia" w:ascii="仿宋_GB2312" w:hAnsi="宋体" w:cs="宋体"/>
          <w:szCs w:val="28"/>
        </w:rPr>
      </w:pPr>
      <w:r>
        <w:rPr>
          <w:rFonts w:ascii="仿宋_GB2312" w:hAnsi="宋体" w:cs="宋体"/>
          <w:szCs w:val="28"/>
        </w:rPr>
        <w:fldChar w:fldCharType="begin"/>
      </w:r>
      <w:r>
        <w:rPr>
          <w:rFonts w:ascii="仿宋_GB2312" w:hAnsi="宋体" w:cs="宋体"/>
          <w:szCs w:val="28"/>
        </w:rPr>
        <w:instrText xml:space="preserve"> </w:instrText>
      </w:r>
      <w:r>
        <w:rPr>
          <w:rFonts w:hint="eastAsia" w:ascii="仿宋_GB2312" w:hAnsi="宋体" w:cs="宋体"/>
          <w:szCs w:val="28"/>
        </w:rPr>
        <w:instrText xml:space="preserve">= 4 \* GB3</w:instrText>
      </w:r>
      <w:r>
        <w:rPr>
          <w:rFonts w:ascii="仿宋_GB2312" w:hAnsi="宋体" w:cs="宋体"/>
          <w:szCs w:val="28"/>
        </w:rPr>
        <w:instrText xml:space="preserve"> </w:instrText>
      </w:r>
      <w:r>
        <w:rPr>
          <w:rFonts w:ascii="仿宋_GB2312" w:hAnsi="宋体" w:cs="宋体"/>
          <w:szCs w:val="28"/>
        </w:rPr>
        <w:fldChar w:fldCharType="separate"/>
      </w:r>
      <w:r>
        <w:rPr>
          <w:rFonts w:hint="eastAsia" w:ascii="仿宋_GB2312" w:hAnsi="宋体" w:cs="宋体"/>
          <w:szCs w:val="28"/>
          <w:lang/>
        </w:rPr>
        <w:t>④</w:t>
      </w:r>
      <w:r>
        <w:rPr>
          <w:rFonts w:ascii="仿宋_GB2312" w:hAnsi="宋体" w:cs="宋体"/>
          <w:szCs w:val="28"/>
        </w:rPr>
        <w:fldChar w:fldCharType="end"/>
      </w:r>
      <w:r>
        <w:rPr>
          <w:rFonts w:ascii="仿宋_GB2312" w:hAnsi="宋体" w:cs="宋体"/>
          <w:szCs w:val="28"/>
        </w:rPr>
        <w:t>急水港、千灯浦、朱厍港</w:t>
      </w:r>
      <w:r>
        <w:rPr>
          <w:rFonts w:hint="eastAsia" w:ascii="仿宋_GB2312" w:hAnsi="宋体" w:cs="宋体"/>
          <w:szCs w:val="28"/>
        </w:rPr>
        <w:t>、吴淞江、庙泾河、张家港、娄江、杨林塘、七浦塘河道两侧500米范围内；</w:t>
      </w:r>
    </w:p>
    <w:p>
      <w:pPr>
        <w:spacing w:line="500" w:lineRule="exact"/>
        <w:ind w:firstLine="560" w:firstLineChars="200"/>
        <w:rPr>
          <w:rFonts w:hint="eastAsia" w:ascii="仿宋_GB2312" w:hAnsi="宋体" w:cs="宋体"/>
          <w:szCs w:val="28"/>
        </w:rPr>
      </w:pPr>
      <w:r>
        <w:rPr>
          <w:rFonts w:ascii="仿宋_GB2312" w:hAnsi="宋体" w:cs="宋体"/>
          <w:szCs w:val="28"/>
        </w:rPr>
        <w:fldChar w:fldCharType="begin"/>
      </w:r>
      <w:r>
        <w:rPr>
          <w:rFonts w:ascii="仿宋_GB2312" w:hAnsi="宋体" w:cs="宋体"/>
          <w:szCs w:val="28"/>
        </w:rPr>
        <w:instrText xml:space="preserve"> </w:instrText>
      </w:r>
      <w:r>
        <w:rPr>
          <w:rFonts w:hint="eastAsia" w:ascii="仿宋_GB2312" w:hAnsi="宋体" w:cs="宋体"/>
          <w:szCs w:val="28"/>
        </w:rPr>
        <w:instrText xml:space="preserve">= 5 \* GB3</w:instrText>
      </w:r>
      <w:r>
        <w:rPr>
          <w:rFonts w:ascii="仿宋_GB2312" w:hAnsi="宋体" w:cs="宋体"/>
          <w:szCs w:val="28"/>
        </w:rPr>
        <w:instrText xml:space="preserve"> </w:instrText>
      </w:r>
      <w:r>
        <w:rPr>
          <w:rFonts w:ascii="仿宋_GB2312" w:hAnsi="宋体" w:cs="宋体"/>
          <w:szCs w:val="28"/>
        </w:rPr>
        <w:fldChar w:fldCharType="separate"/>
      </w:r>
      <w:r>
        <w:rPr>
          <w:rFonts w:hint="eastAsia" w:ascii="仿宋_GB2312" w:hAnsi="宋体" w:cs="宋体"/>
          <w:szCs w:val="28"/>
          <w:lang/>
        </w:rPr>
        <w:t>⑤</w:t>
      </w:r>
      <w:r>
        <w:rPr>
          <w:rFonts w:ascii="仿宋_GB2312" w:hAnsi="宋体" w:cs="宋体"/>
          <w:szCs w:val="28"/>
        </w:rPr>
        <w:fldChar w:fldCharType="end"/>
      </w:r>
      <w:r>
        <w:rPr>
          <w:rFonts w:hint="eastAsia" w:ascii="仿宋_GB2312" w:hAnsi="宋体" w:cs="宋体"/>
          <w:szCs w:val="28"/>
        </w:rPr>
        <w:t>交通主干道500米范围内，具体为沪宁高速、苏昆太高速、苏沪高速、苏州东绕城高速、规划京沪高铁、沪宁城际铁路、沪宁铁路；</w:t>
      </w:r>
    </w:p>
    <w:p>
      <w:pPr>
        <w:spacing w:line="500" w:lineRule="exact"/>
        <w:ind w:firstLine="560" w:firstLineChars="200"/>
        <w:rPr>
          <w:rFonts w:hint="eastAsia" w:ascii="仿宋_GB2312" w:hAnsi="宋体" w:cs="宋体"/>
          <w:szCs w:val="28"/>
        </w:rPr>
      </w:pPr>
      <w:r>
        <w:rPr>
          <w:rFonts w:ascii="仿宋_GB2312" w:hAnsi="宋体" w:cs="宋体"/>
          <w:szCs w:val="28"/>
        </w:rPr>
        <w:fldChar w:fldCharType="begin"/>
      </w:r>
      <w:r>
        <w:rPr>
          <w:rFonts w:ascii="仿宋_GB2312" w:hAnsi="宋体" w:cs="宋体"/>
          <w:szCs w:val="28"/>
        </w:rPr>
        <w:instrText xml:space="preserve"> </w:instrText>
      </w:r>
      <w:r>
        <w:rPr>
          <w:rFonts w:hint="eastAsia" w:ascii="仿宋_GB2312" w:hAnsi="宋体" w:cs="宋体"/>
          <w:szCs w:val="28"/>
        </w:rPr>
        <w:instrText xml:space="preserve">= 6 \* GB3</w:instrText>
      </w:r>
      <w:r>
        <w:rPr>
          <w:rFonts w:ascii="仿宋_GB2312" w:hAnsi="宋体" w:cs="宋体"/>
          <w:szCs w:val="28"/>
        </w:rPr>
        <w:instrText xml:space="preserve"> </w:instrText>
      </w:r>
      <w:r>
        <w:rPr>
          <w:rFonts w:ascii="仿宋_GB2312" w:hAnsi="宋体" w:cs="宋体"/>
          <w:szCs w:val="28"/>
        </w:rPr>
        <w:fldChar w:fldCharType="separate"/>
      </w:r>
      <w:r>
        <w:rPr>
          <w:rFonts w:hint="eastAsia" w:ascii="仿宋_GB2312" w:hAnsi="宋体" w:cs="宋体"/>
          <w:szCs w:val="28"/>
          <w:lang/>
        </w:rPr>
        <w:t>⑥</w:t>
      </w:r>
      <w:r>
        <w:rPr>
          <w:rFonts w:ascii="仿宋_GB2312" w:hAnsi="宋体" w:cs="宋体"/>
          <w:szCs w:val="28"/>
        </w:rPr>
        <w:fldChar w:fldCharType="end"/>
      </w:r>
      <w:r>
        <w:rPr>
          <w:rFonts w:hint="eastAsia" w:ascii="仿宋_GB2312" w:hAnsi="宋体"/>
          <w:szCs w:val="28"/>
        </w:rPr>
        <w:t>著名旅游景点景区和历史文物保护单位；</w:t>
      </w:r>
    </w:p>
    <w:p>
      <w:pPr>
        <w:spacing w:line="500" w:lineRule="exact"/>
        <w:ind w:firstLine="560" w:firstLineChars="200"/>
        <w:rPr>
          <w:rFonts w:hint="eastAsia" w:ascii="仿宋_GB2312" w:hAnsi="宋体"/>
          <w:szCs w:val="28"/>
        </w:rPr>
      </w:pPr>
      <w:r>
        <w:rPr>
          <w:rFonts w:ascii="仿宋_GB2312" w:hAnsi="宋体" w:cs="宋体"/>
          <w:szCs w:val="28"/>
        </w:rPr>
        <w:fldChar w:fldCharType="begin"/>
      </w:r>
      <w:r>
        <w:rPr>
          <w:rFonts w:ascii="仿宋_GB2312" w:hAnsi="宋体" w:cs="宋体"/>
          <w:szCs w:val="28"/>
        </w:rPr>
        <w:instrText xml:space="preserve"> </w:instrText>
      </w:r>
      <w:r>
        <w:rPr>
          <w:rFonts w:hint="eastAsia" w:ascii="仿宋_GB2312" w:hAnsi="宋体" w:cs="宋体"/>
          <w:szCs w:val="28"/>
        </w:rPr>
        <w:instrText xml:space="preserve">= 7 \* GB3</w:instrText>
      </w:r>
      <w:r>
        <w:rPr>
          <w:rFonts w:ascii="仿宋_GB2312" w:hAnsi="宋体" w:cs="宋体"/>
          <w:szCs w:val="28"/>
        </w:rPr>
        <w:instrText xml:space="preserve"> </w:instrText>
      </w:r>
      <w:r>
        <w:rPr>
          <w:rFonts w:ascii="仿宋_GB2312" w:hAnsi="宋体" w:cs="宋体"/>
          <w:szCs w:val="28"/>
        </w:rPr>
        <w:fldChar w:fldCharType="separate"/>
      </w:r>
      <w:r>
        <w:rPr>
          <w:rFonts w:hint="eastAsia" w:ascii="仿宋_GB2312" w:hAnsi="宋体" w:cs="宋体"/>
          <w:szCs w:val="28"/>
          <w:lang/>
        </w:rPr>
        <w:t>⑦</w:t>
      </w:r>
      <w:r>
        <w:rPr>
          <w:rFonts w:ascii="仿宋_GB2312" w:hAnsi="宋体" w:cs="宋体"/>
          <w:szCs w:val="28"/>
        </w:rPr>
        <w:fldChar w:fldCharType="end"/>
      </w:r>
      <w:r>
        <w:rPr>
          <w:rFonts w:hint="eastAsia" w:ascii="仿宋_GB2312" w:hAnsi="宋体"/>
          <w:szCs w:val="28"/>
        </w:rPr>
        <w:t>国家或地方法律、法规规定需要特殊保护的其它区域。</w:t>
      </w:r>
    </w:p>
    <w:p>
      <w:pPr>
        <w:spacing w:line="500" w:lineRule="exact"/>
        <w:rPr>
          <w:rFonts w:hint="eastAsia" w:hAnsi="宋体"/>
        </w:rPr>
      </w:pPr>
      <w:r>
        <w:rPr>
          <w:rFonts w:hint="eastAsia" w:hAnsi="宋体"/>
        </w:rPr>
        <w:t>（2）限养区</w:t>
      </w:r>
    </w:p>
    <w:p>
      <w:pPr>
        <w:spacing w:line="500" w:lineRule="exact"/>
        <w:ind w:firstLine="560" w:firstLineChars="200"/>
        <w:rPr>
          <w:rFonts w:hint="eastAsia" w:ascii="仿宋_GB2312" w:hAnsi="宋体" w:cs="宋体"/>
          <w:szCs w:val="28"/>
        </w:rPr>
      </w:pPr>
      <w:r>
        <w:rPr>
          <w:rFonts w:hint="eastAsia" w:ascii="仿宋_GB2312" w:hAnsi="宋体" w:cs="宋体"/>
          <w:szCs w:val="28"/>
        </w:rPr>
        <w:t>以下区域划定为限养区：</w:t>
      </w:r>
    </w:p>
    <w:p>
      <w:pPr>
        <w:spacing w:line="500" w:lineRule="exact"/>
        <w:ind w:firstLine="560" w:firstLineChars="200"/>
        <w:rPr>
          <w:rFonts w:hint="eastAsia" w:ascii="仿宋_GB2312" w:hAnsi="宋体" w:cs="宋体"/>
          <w:szCs w:val="28"/>
        </w:rPr>
      </w:pPr>
      <w:r>
        <w:rPr>
          <w:rFonts w:ascii="仿宋_GB2312" w:hAnsi="宋体" w:cs="宋体"/>
          <w:szCs w:val="28"/>
        </w:rPr>
        <w:fldChar w:fldCharType="begin"/>
      </w:r>
      <w:r>
        <w:rPr>
          <w:rFonts w:ascii="仿宋_GB2312" w:hAnsi="宋体" w:cs="宋体"/>
          <w:szCs w:val="28"/>
        </w:rPr>
        <w:instrText xml:space="preserve"> </w:instrText>
      </w:r>
      <w:r>
        <w:rPr>
          <w:rFonts w:hint="eastAsia" w:ascii="仿宋_GB2312" w:hAnsi="宋体" w:cs="宋体"/>
          <w:szCs w:val="28"/>
        </w:rPr>
        <w:instrText xml:space="preserve">= 1 \* GB3</w:instrText>
      </w:r>
      <w:r>
        <w:rPr>
          <w:rFonts w:ascii="仿宋_GB2312" w:hAnsi="宋体" w:cs="宋体"/>
          <w:szCs w:val="28"/>
        </w:rPr>
        <w:instrText xml:space="preserve"> </w:instrText>
      </w:r>
      <w:r>
        <w:rPr>
          <w:rFonts w:ascii="仿宋_GB2312" w:hAnsi="宋体" w:cs="宋体"/>
          <w:szCs w:val="28"/>
        </w:rPr>
        <w:fldChar w:fldCharType="separate"/>
      </w:r>
      <w:r>
        <w:rPr>
          <w:rFonts w:hint="eastAsia" w:ascii="仿宋_GB2312" w:hAnsi="宋体" w:cs="宋体"/>
          <w:szCs w:val="28"/>
          <w:lang/>
        </w:rPr>
        <w:t>①</w:t>
      </w:r>
      <w:r>
        <w:rPr>
          <w:rFonts w:ascii="仿宋_GB2312" w:hAnsi="宋体" w:cs="宋体"/>
          <w:szCs w:val="28"/>
        </w:rPr>
        <w:fldChar w:fldCharType="end"/>
      </w:r>
      <w:r>
        <w:rPr>
          <w:rFonts w:hint="eastAsia" w:ascii="仿宋_GB2312" w:hAnsi="宋体"/>
          <w:spacing w:val="6"/>
          <w:szCs w:val="28"/>
        </w:rPr>
        <w:t>庙泾河饮用水源地、傀儡湖饮用水源地</w:t>
      </w:r>
      <w:r>
        <w:rPr>
          <w:rFonts w:hint="eastAsia" w:ascii="仿宋_GB2312" w:hAnsi="宋体" w:cs="宋体"/>
          <w:szCs w:val="28"/>
        </w:rPr>
        <w:t>保护区3－5公里范围；</w:t>
      </w:r>
    </w:p>
    <w:p>
      <w:pPr>
        <w:spacing w:line="500" w:lineRule="exact"/>
        <w:ind w:firstLine="560" w:firstLineChars="200"/>
        <w:rPr>
          <w:rFonts w:hint="eastAsia" w:ascii="仿宋_GB2312" w:hAnsi="宋体" w:cs="宋体"/>
          <w:szCs w:val="28"/>
        </w:rPr>
      </w:pPr>
      <w:r>
        <w:rPr>
          <w:rFonts w:ascii="仿宋_GB2312" w:hAnsi="宋体" w:cs="宋体"/>
          <w:szCs w:val="28"/>
        </w:rPr>
        <w:fldChar w:fldCharType="begin"/>
      </w:r>
      <w:r>
        <w:rPr>
          <w:rFonts w:ascii="仿宋_GB2312" w:hAnsi="宋体" w:cs="宋体"/>
          <w:szCs w:val="28"/>
        </w:rPr>
        <w:instrText xml:space="preserve"> </w:instrText>
      </w:r>
      <w:r>
        <w:rPr>
          <w:rFonts w:hint="eastAsia" w:ascii="仿宋_GB2312" w:hAnsi="宋体" w:cs="宋体"/>
          <w:szCs w:val="28"/>
        </w:rPr>
        <w:instrText xml:space="preserve">= 2 \* GB3</w:instrText>
      </w:r>
      <w:r>
        <w:rPr>
          <w:rFonts w:ascii="仿宋_GB2312" w:hAnsi="宋体" w:cs="宋体"/>
          <w:szCs w:val="28"/>
        </w:rPr>
        <w:instrText xml:space="preserve"> </w:instrText>
      </w:r>
      <w:r>
        <w:rPr>
          <w:rFonts w:ascii="仿宋_GB2312" w:hAnsi="宋体" w:cs="宋体"/>
          <w:szCs w:val="28"/>
        </w:rPr>
        <w:fldChar w:fldCharType="separate"/>
      </w:r>
      <w:r>
        <w:rPr>
          <w:rFonts w:hint="eastAsia" w:ascii="仿宋_GB2312" w:hAnsi="宋体" w:cs="宋体"/>
          <w:szCs w:val="28"/>
          <w:lang/>
        </w:rPr>
        <w:t>②</w:t>
      </w:r>
      <w:r>
        <w:rPr>
          <w:rFonts w:ascii="仿宋_GB2312" w:hAnsi="宋体" w:cs="宋体"/>
          <w:szCs w:val="28"/>
        </w:rPr>
        <w:fldChar w:fldCharType="end"/>
      </w:r>
      <w:r>
        <w:rPr>
          <w:rFonts w:ascii="仿宋_GB2312" w:hAnsi="宋体" w:cs="宋体"/>
          <w:szCs w:val="28"/>
        </w:rPr>
        <w:t>急水港、千灯浦、朱厍港</w:t>
      </w:r>
      <w:r>
        <w:rPr>
          <w:rFonts w:hint="eastAsia" w:ascii="仿宋_GB2312" w:hAnsi="宋体" w:cs="宋体"/>
          <w:szCs w:val="28"/>
        </w:rPr>
        <w:t>、吴淞江、庙泾河、张家港、娄江、杨林塘、七浦塘河道两侧500-1000米范围内；</w:t>
      </w:r>
    </w:p>
    <w:p>
      <w:pPr>
        <w:spacing w:line="500" w:lineRule="exact"/>
        <w:ind w:firstLine="560" w:firstLineChars="200"/>
        <w:rPr>
          <w:rFonts w:hint="eastAsia" w:ascii="仿宋_GB2312" w:hAnsi="宋体" w:cs="宋体"/>
          <w:szCs w:val="28"/>
        </w:rPr>
      </w:pPr>
      <w:r>
        <w:rPr>
          <w:rFonts w:ascii="仿宋_GB2312" w:hAnsi="宋体" w:cs="宋体"/>
          <w:szCs w:val="28"/>
        </w:rPr>
        <w:fldChar w:fldCharType="begin"/>
      </w:r>
      <w:r>
        <w:rPr>
          <w:rFonts w:ascii="仿宋_GB2312" w:hAnsi="宋体" w:cs="宋体"/>
          <w:szCs w:val="28"/>
        </w:rPr>
        <w:instrText xml:space="preserve"> </w:instrText>
      </w:r>
      <w:r>
        <w:rPr>
          <w:rFonts w:hint="eastAsia" w:ascii="仿宋_GB2312" w:hAnsi="宋体" w:cs="宋体"/>
          <w:szCs w:val="28"/>
        </w:rPr>
        <w:instrText xml:space="preserve">= 3 \* GB3</w:instrText>
      </w:r>
      <w:r>
        <w:rPr>
          <w:rFonts w:ascii="仿宋_GB2312" w:hAnsi="宋体" w:cs="宋体"/>
          <w:szCs w:val="28"/>
        </w:rPr>
        <w:instrText xml:space="preserve"> </w:instrText>
      </w:r>
      <w:r>
        <w:rPr>
          <w:rFonts w:ascii="仿宋_GB2312" w:hAnsi="宋体" w:cs="宋体"/>
          <w:szCs w:val="28"/>
        </w:rPr>
        <w:fldChar w:fldCharType="separate"/>
      </w:r>
      <w:r>
        <w:rPr>
          <w:rFonts w:hint="eastAsia" w:ascii="仿宋_GB2312" w:hAnsi="宋体" w:cs="宋体"/>
          <w:szCs w:val="28"/>
          <w:lang/>
        </w:rPr>
        <w:t>③</w:t>
      </w:r>
      <w:r>
        <w:rPr>
          <w:rFonts w:ascii="仿宋_GB2312" w:hAnsi="宋体" w:cs="宋体"/>
          <w:szCs w:val="28"/>
        </w:rPr>
        <w:fldChar w:fldCharType="end"/>
      </w:r>
      <w:r>
        <w:rPr>
          <w:rFonts w:hint="eastAsia" w:ascii="仿宋_GB2312" w:hAnsi="宋体" w:cs="宋体"/>
          <w:szCs w:val="28"/>
        </w:rPr>
        <w:t>交通主干道500-1000米范围内，具体为沪宁高速、苏昆太高速、苏沪高速、苏州东绕城高速、规划京沪高铁、沪宁城际铁路、沪宁铁路；</w:t>
      </w:r>
    </w:p>
    <w:p>
      <w:pPr>
        <w:spacing w:line="500" w:lineRule="exact"/>
        <w:ind w:firstLine="560" w:firstLineChars="200"/>
        <w:rPr>
          <w:rFonts w:hint="eastAsia" w:ascii="仿宋_GB2312" w:hAnsi="宋体" w:cs="宋体"/>
          <w:szCs w:val="28"/>
        </w:rPr>
      </w:pPr>
      <w:r>
        <w:rPr>
          <w:rFonts w:ascii="仿宋_GB2312" w:hAnsi="宋体" w:cs="宋体"/>
          <w:szCs w:val="28"/>
        </w:rPr>
        <w:fldChar w:fldCharType="begin"/>
      </w:r>
      <w:r>
        <w:rPr>
          <w:rFonts w:ascii="仿宋_GB2312" w:hAnsi="宋体" w:cs="宋体"/>
          <w:szCs w:val="28"/>
        </w:rPr>
        <w:instrText xml:space="preserve"> </w:instrText>
      </w:r>
      <w:r>
        <w:rPr>
          <w:rFonts w:hint="eastAsia" w:ascii="仿宋_GB2312" w:hAnsi="宋体" w:cs="宋体"/>
          <w:szCs w:val="28"/>
        </w:rPr>
        <w:instrText xml:space="preserve">= 4 \* GB3</w:instrText>
      </w:r>
      <w:r>
        <w:rPr>
          <w:rFonts w:ascii="仿宋_GB2312" w:hAnsi="宋体" w:cs="宋体"/>
          <w:szCs w:val="28"/>
        </w:rPr>
        <w:instrText xml:space="preserve"> </w:instrText>
      </w:r>
      <w:r>
        <w:rPr>
          <w:rFonts w:ascii="仿宋_GB2312" w:hAnsi="宋体" w:cs="宋体"/>
          <w:szCs w:val="28"/>
        </w:rPr>
        <w:fldChar w:fldCharType="separate"/>
      </w:r>
      <w:r>
        <w:rPr>
          <w:rFonts w:hint="eastAsia" w:ascii="仿宋_GB2312" w:hAnsi="宋体" w:cs="宋体"/>
          <w:szCs w:val="28"/>
          <w:lang/>
        </w:rPr>
        <w:t>④</w:t>
      </w:r>
      <w:r>
        <w:rPr>
          <w:rFonts w:ascii="仿宋_GB2312" w:hAnsi="宋体" w:cs="宋体"/>
          <w:szCs w:val="28"/>
        </w:rPr>
        <w:fldChar w:fldCharType="end"/>
      </w:r>
      <w:r>
        <w:rPr>
          <w:rFonts w:hint="eastAsia" w:ascii="仿宋_GB2312" w:hAnsi="宋体" w:cs="宋体"/>
          <w:szCs w:val="28"/>
        </w:rPr>
        <w:t>城镇上风向2公里范围；</w:t>
      </w:r>
    </w:p>
    <w:p>
      <w:pPr>
        <w:spacing w:line="500" w:lineRule="exact"/>
        <w:ind w:firstLine="560" w:firstLineChars="200"/>
        <w:rPr>
          <w:rFonts w:hint="eastAsia" w:ascii="仿宋_GB2312" w:hAnsi="宋体" w:cs="宋体"/>
          <w:szCs w:val="28"/>
        </w:rPr>
      </w:pPr>
      <w:r>
        <w:rPr>
          <w:rFonts w:ascii="仿宋_GB2312" w:hAnsi="宋体" w:cs="宋体"/>
          <w:szCs w:val="28"/>
        </w:rPr>
        <w:fldChar w:fldCharType="begin"/>
      </w:r>
      <w:r>
        <w:rPr>
          <w:rFonts w:ascii="仿宋_GB2312" w:hAnsi="宋体" w:cs="宋体"/>
          <w:szCs w:val="28"/>
        </w:rPr>
        <w:instrText xml:space="preserve"> </w:instrText>
      </w:r>
      <w:r>
        <w:rPr>
          <w:rFonts w:hint="eastAsia" w:ascii="仿宋_GB2312" w:hAnsi="宋体" w:cs="宋体"/>
          <w:szCs w:val="28"/>
        </w:rPr>
        <w:instrText xml:space="preserve">= 5 \* GB3</w:instrText>
      </w:r>
      <w:r>
        <w:rPr>
          <w:rFonts w:ascii="仿宋_GB2312" w:hAnsi="宋体" w:cs="宋体"/>
          <w:szCs w:val="28"/>
        </w:rPr>
        <w:instrText xml:space="preserve"> </w:instrText>
      </w:r>
      <w:r>
        <w:rPr>
          <w:rFonts w:ascii="仿宋_GB2312" w:hAnsi="宋体" w:cs="宋体"/>
          <w:szCs w:val="28"/>
        </w:rPr>
        <w:fldChar w:fldCharType="separate"/>
      </w:r>
      <w:r>
        <w:rPr>
          <w:rFonts w:hint="eastAsia" w:ascii="仿宋_GB2312" w:hAnsi="宋体" w:cs="宋体"/>
          <w:szCs w:val="28"/>
          <w:lang/>
        </w:rPr>
        <w:t>⑤</w:t>
      </w:r>
      <w:r>
        <w:rPr>
          <w:rFonts w:ascii="仿宋_GB2312" w:hAnsi="宋体" w:cs="宋体"/>
          <w:szCs w:val="28"/>
        </w:rPr>
        <w:fldChar w:fldCharType="end"/>
      </w:r>
      <w:r>
        <w:rPr>
          <w:rFonts w:hint="eastAsia" w:ascii="仿宋_GB2312" w:hAnsi="宋体" w:cs="宋体"/>
          <w:szCs w:val="28"/>
        </w:rPr>
        <w:t>自然保护区的缓冲区；</w:t>
      </w:r>
    </w:p>
    <w:p>
      <w:pPr>
        <w:spacing w:line="500" w:lineRule="exact"/>
        <w:ind w:firstLine="560" w:firstLineChars="200"/>
        <w:rPr>
          <w:rFonts w:hint="eastAsia" w:ascii="仿宋_GB2312" w:hAnsi="宋体" w:cs="宋体"/>
          <w:szCs w:val="28"/>
        </w:rPr>
      </w:pPr>
      <w:r>
        <w:rPr>
          <w:rFonts w:ascii="仿宋_GB2312" w:hAnsi="宋体" w:cs="宋体"/>
          <w:szCs w:val="28"/>
        </w:rPr>
        <w:fldChar w:fldCharType="begin"/>
      </w:r>
      <w:r>
        <w:rPr>
          <w:rFonts w:ascii="仿宋_GB2312" w:hAnsi="宋体" w:cs="宋体"/>
          <w:szCs w:val="28"/>
        </w:rPr>
        <w:instrText xml:space="preserve"> </w:instrText>
      </w:r>
      <w:r>
        <w:rPr>
          <w:rFonts w:hint="eastAsia" w:ascii="仿宋_GB2312" w:hAnsi="宋体" w:cs="宋体"/>
          <w:szCs w:val="28"/>
        </w:rPr>
        <w:instrText xml:space="preserve">= 6 \* GB3</w:instrText>
      </w:r>
      <w:r>
        <w:rPr>
          <w:rFonts w:ascii="仿宋_GB2312" w:hAnsi="宋体" w:cs="宋体"/>
          <w:szCs w:val="28"/>
        </w:rPr>
        <w:instrText xml:space="preserve"> </w:instrText>
      </w:r>
      <w:r>
        <w:rPr>
          <w:rFonts w:ascii="仿宋_GB2312" w:hAnsi="宋体" w:cs="宋体"/>
          <w:szCs w:val="28"/>
        </w:rPr>
        <w:fldChar w:fldCharType="separate"/>
      </w:r>
      <w:r>
        <w:rPr>
          <w:rFonts w:hint="eastAsia" w:ascii="仿宋_GB2312" w:hAnsi="宋体" w:cs="宋体"/>
          <w:szCs w:val="28"/>
          <w:lang/>
        </w:rPr>
        <w:t>⑥</w:t>
      </w:r>
      <w:r>
        <w:rPr>
          <w:rFonts w:ascii="仿宋_GB2312" w:hAnsi="宋体" w:cs="宋体"/>
          <w:szCs w:val="28"/>
        </w:rPr>
        <w:fldChar w:fldCharType="end"/>
      </w:r>
      <w:r>
        <w:rPr>
          <w:rFonts w:hint="eastAsia" w:ascii="仿宋_GB2312" w:hAnsi="宋体" w:cs="宋体"/>
          <w:szCs w:val="28"/>
        </w:rPr>
        <w:t>城市周边规划区范围。</w:t>
      </w:r>
    </w:p>
    <w:p>
      <w:pPr>
        <w:spacing w:line="500" w:lineRule="exact"/>
        <w:rPr>
          <w:rFonts w:hint="eastAsia" w:ascii="仿宋_GB2312" w:hAnsi="宋体" w:cs="宋体"/>
          <w:szCs w:val="28"/>
        </w:rPr>
      </w:pPr>
      <w:r>
        <w:rPr>
          <w:rFonts w:hint="eastAsia" w:ascii="仿宋_GB2312" w:hAnsi="宋体" w:cs="宋体"/>
          <w:szCs w:val="28"/>
        </w:rPr>
        <w:t>（3） 非禁养区</w:t>
      </w:r>
    </w:p>
    <w:p>
      <w:pPr>
        <w:spacing w:line="500" w:lineRule="exact"/>
        <w:ind w:firstLine="560" w:firstLineChars="200"/>
        <w:rPr>
          <w:rFonts w:hint="eastAsia" w:ascii="仿宋_GB2312" w:hAnsi="宋体" w:cs="宋体"/>
          <w:szCs w:val="28"/>
        </w:rPr>
      </w:pPr>
      <w:r>
        <w:rPr>
          <w:rFonts w:hint="eastAsia" w:ascii="仿宋_GB2312" w:hAnsi="宋体" w:cs="宋体"/>
          <w:szCs w:val="28"/>
        </w:rPr>
        <w:t>行政区域范围内除禁养区和限养区以外的其它区域。</w:t>
      </w:r>
    </w:p>
    <w:p>
      <w:pPr>
        <w:pStyle w:val="5"/>
        <w:spacing w:line="500" w:lineRule="exact"/>
        <w:ind w:left="0"/>
        <w:rPr>
          <w:rFonts w:eastAsia="仿宋_GB2312"/>
          <w:szCs w:val="28"/>
        </w:rPr>
      </w:pPr>
      <w:bookmarkStart w:id="121" w:name="_Toc264905562"/>
      <w:r>
        <w:rPr>
          <w:rFonts w:eastAsia="仿宋_GB2312"/>
          <w:szCs w:val="28"/>
        </w:rPr>
        <w:t>5.6.3.</w:t>
      </w:r>
      <w:bookmarkEnd w:id="121"/>
      <w:r>
        <w:rPr>
          <w:rFonts w:hint="eastAsia" w:eastAsia="仿宋_GB2312"/>
          <w:szCs w:val="28"/>
        </w:rPr>
        <w:t>2禁养区畜禽养殖关闭整治工程</w:t>
      </w:r>
    </w:p>
    <w:p>
      <w:pPr>
        <w:tabs>
          <w:tab w:val="left" w:pos="5580"/>
        </w:tabs>
        <w:spacing w:line="500" w:lineRule="exact"/>
        <w:ind w:firstLine="560" w:firstLineChars="200"/>
        <w:rPr>
          <w:rFonts w:hint="eastAsia" w:ascii="仿宋_GB2312"/>
          <w:szCs w:val="28"/>
        </w:rPr>
      </w:pPr>
      <w:r>
        <w:rPr>
          <w:rFonts w:hint="eastAsia" w:ascii="仿宋_GB2312"/>
          <w:szCs w:val="28"/>
        </w:rPr>
        <w:t>根据昆山市畜禽养殖区域划分结果，通过对区内所有的畜禽养殖场进行全面排查，禁养区内需要关闭的养殖场合计293户，通过关、停、转、迁等手段，关闭禁养区内所有的畜禽养殖场。</w:t>
      </w:r>
    </w:p>
    <w:p>
      <w:pPr>
        <w:pStyle w:val="5"/>
        <w:spacing w:line="500" w:lineRule="exact"/>
        <w:ind w:left="0"/>
        <w:rPr>
          <w:rFonts w:eastAsia="仿宋_GB2312"/>
          <w:szCs w:val="28"/>
        </w:rPr>
      </w:pPr>
      <w:r>
        <w:rPr>
          <w:rFonts w:eastAsia="仿宋_GB2312"/>
          <w:szCs w:val="28"/>
        </w:rPr>
        <w:t>5.6.3.</w:t>
      </w:r>
      <w:r>
        <w:rPr>
          <w:rFonts w:hint="eastAsia" w:eastAsia="仿宋_GB2312"/>
          <w:szCs w:val="28"/>
        </w:rPr>
        <w:t>3</w:t>
      </w:r>
      <w:r>
        <w:rPr>
          <w:rFonts w:hint="eastAsia" w:ascii="仿宋_GB2312" w:eastAsia="仿宋_GB2312"/>
        </w:rPr>
        <w:t>限养区畜禽养殖污染治理工程</w:t>
      </w:r>
    </w:p>
    <w:p>
      <w:pPr>
        <w:spacing w:line="500" w:lineRule="exact"/>
        <w:ind w:firstLine="560" w:firstLineChars="200"/>
        <w:rPr>
          <w:szCs w:val="28"/>
        </w:rPr>
      </w:pPr>
      <w:r>
        <w:rPr>
          <w:rFonts w:hint="eastAsia" w:ascii="仿宋_GB2312"/>
          <w:szCs w:val="28"/>
        </w:rPr>
        <w:t>针对限养区内畜禽养殖场，进行污染设施整治工程，具体包括建干粪库、砌污水回收池、化粪池、填埋井等。</w:t>
      </w:r>
    </w:p>
    <w:p>
      <w:pPr>
        <w:pStyle w:val="5"/>
        <w:spacing w:line="500" w:lineRule="exact"/>
        <w:ind w:left="0"/>
        <w:rPr>
          <w:rFonts w:eastAsia="仿宋_GB2312"/>
          <w:szCs w:val="28"/>
        </w:rPr>
      </w:pPr>
      <w:r>
        <w:rPr>
          <w:rFonts w:eastAsia="仿宋_GB2312"/>
          <w:szCs w:val="28"/>
        </w:rPr>
        <w:t>5.6.3.</w:t>
      </w:r>
      <w:r>
        <w:rPr>
          <w:rFonts w:hint="eastAsia" w:eastAsia="仿宋_GB2312"/>
          <w:szCs w:val="28"/>
        </w:rPr>
        <w:t>4可养区畜禽养殖建设工程</w:t>
      </w:r>
    </w:p>
    <w:p>
      <w:pPr>
        <w:tabs>
          <w:tab w:val="left" w:pos="5580"/>
        </w:tabs>
        <w:spacing w:line="500" w:lineRule="exact"/>
        <w:ind w:firstLine="560" w:firstLineChars="200"/>
        <w:rPr>
          <w:rFonts w:hint="eastAsia"/>
          <w:szCs w:val="28"/>
        </w:rPr>
      </w:pPr>
      <w:r>
        <w:rPr>
          <w:rFonts w:hint="eastAsia"/>
          <w:szCs w:val="28"/>
        </w:rPr>
        <w:t>（1）改扩建现有规模化养猪场及污染治理设施</w:t>
      </w:r>
    </w:p>
    <w:p>
      <w:pPr>
        <w:tabs>
          <w:tab w:val="left" w:pos="5580"/>
        </w:tabs>
        <w:spacing w:line="500" w:lineRule="exact"/>
        <w:ind w:firstLine="560" w:firstLineChars="200"/>
        <w:rPr>
          <w:rFonts w:hint="eastAsia"/>
          <w:szCs w:val="28"/>
        </w:rPr>
      </w:pPr>
      <w:r>
        <w:rPr>
          <w:rFonts w:hint="eastAsia"/>
          <w:szCs w:val="28"/>
        </w:rPr>
        <w:t>规划改造现有养猪规模场，年出栏生猪15万头，改造和完善市级以上规模猪场标准化基础设施，使猪场生产性能得到明显提高，猪粪污染治理能力得到明显提高。对县级以上规模猪场推广“基地+农户”种养结合模式，畜禽粪便就近还田。</w:t>
      </w:r>
    </w:p>
    <w:p>
      <w:pPr>
        <w:tabs>
          <w:tab w:val="left" w:pos="5580"/>
        </w:tabs>
        <w:spacing w:line="500" w:lineRule="exact"/>
        <w:ind w:firstLine="560" w:firstLineChars="200"/>
        <w:rPr>
          <w:rFonts w:hint="eastAsia"/>
          <w:szCs w:val="28"/>
        </w:rPr>
      </w:pPr>
      <w:r>
        <w:rPr>
          <w:rFonts w:hint="eastAsia"/>
          <w:szCs w:val="28"/>
        </w:rPr>
        <w:t>（2）改扩建现有规模化奶牛场污染设施规划</w:t>
      </w:r>
    </w:p>
    <w:p>
      <w:pPr>
        <w:tabs>
          <w:tab w:val="left" w:pos="5580"/>
        </w:tabs>
        <w:spacing w:line="500" w:lineRule="exact"/>
        <w:ind w:firstLine="560" w:firstLineChars="200"/>
        <w:rPr>
          <w:rFonts w:hint="eastAsia"/>
          <w:szCs w:val="28"/>
        </w:rPr>
      </w:pPr>
      <w:r>
        <w:rPr>
          <w:rFonts w:hint="eastAsia"/>
          <w:szCs w:val="28"/>
        </w:rPr>
        <w:t>改造市级以上规模奶牛场标准化基础设施，进一步完善基础设施建设，加强粪污综合利用，牛粪污染治理能力明显提高。</w:t>
      </w:r>
    </w:p>
    <w:p>
      <w:pPr>
        <w:tabs>
          <w:tab w:val="left" w:pos="5580"/>
        </w:tabs>
        <w:spacing w:line="500" w:lineRule="exact"/>
        <w:ind w:firstLine="560" w:firstLineChars="200"/>
        <w:rPr>
          <w:rFonts w:hint="eastAsia"/>
          <w:szCs w:val="28"/>
        </w:rPr>
      </w:pPr>
      <w:r>
        <w:rPr>
          <w:rFonts w:hint="eastAsia"/>
          <w:szCs w:val="28"/>
        </w:rPr>
        <w:t>（3）家禽养殖及污染治理规划</w:t>
      </w:r>
    </w:p>
    <w:p>
      <w:pPr>
        <w:tabs>
          <w:tab w:val="left" w:pos="5580"/>
        </w:tabs>
        <w:spacing w:line="500" w:lineRule="exact"/>
        <w:ind w:firstLine="560" w:firstLineChars="200"/>
        <w:rPr>
          <w:rFonts w:hint="eastAsia"/>
          <w:szCs w:val="28"/>
        </w:rPr>
      </w:pPr>
      <w:r>
        <w:rPr>
          <w:rFonts w:hint="eastAsia"/>
          <w:szCs w:val="28"/>
        </w:rPr>
        <w:t>加强对县级肉禽规模场，县级蛋禽规模场的标准化设施改造，按照生产标准化、产品优质化、生态优良化的要求，坚持农牧循环经营与养殖污染治理相结合，通过完善基础设施建设，规范饲养管理，加强粪污综合利用，发展种养循环经济，在养殖过程中采取生态、无污染、可持续发展的养殖措施，以达到生产无公害产品的目标。</w:t>
      </w:r>
    </w:p>
    <w:p>
      <w:pPr>
        <w:tabs>
          <w:tab w:val="left" w:pos="5580"/>
        </w:tabs>
        <w:spacing w:line="500" w:lineRule="exact"/>
        <w:ind w:firstLine="560" w:firstLineChars="200"/>
        <w:rPr>
          <w:rFonts w:hint="eastAsia"/>
          <w:szCs w:val="28"/>
        </w:rPr>
      </w:pPr>
      <w:r>
        <w:rPr>
          <w:rFonts w:hint="eastAsia"/>
          <w:szCs w:val="28"/>
        </w:rPr>
        <w:t>（4）新建种养结合养猪生态农场规划</w:t>
      </w:r>
    </w:p>
    <w:p>
      <w:pPr>
        <w:tabs>
          <w:tab w:val="left" w:pos="5580"/>
        </w:tabs>
        <w:spacing w:line="500" w:lineRule="exact"/>
        <w:ind w:firstLine="560" w:firstLineChars="200"/>
        <w:rPr>
          <w:rFonts w:hint="eastAsia"/>
          <w:szCs w:val="28"/>
        </w:rPr>
      </w:pPr>
      <w:r>
        <w:rPr>
          <w:rFonts w:hint="eastAsia"/>
          <w:szCs w:val="28"/>
        </w:rPr>
        <w:t>为了促进畜禽生产，保障生猪活体储备，减少畜禽养殖污染和化肥用量，采取政策扶持，鼓励种田大户和农场开展种养结合，充分利用配套农田消化养殖污染物，大力开展种养结合生态养殖，建设种养结合家庭生态养猪农场。具备一定规模农场主，由政府投资养猪场建设，配以现代的通风、降温等饲养设施和粪尿收集利用设施。猪粪尿经收集，储存发酵，利用管网施用于粮田。种养结合家庭生态养猪农场解决了种植与养殖生产经营分离，粪尿还田利用难协调的问题，真正实现了“种”、“养”结合。</w:t>
      </w:r>
    </w:p>
    <w:p>
      <w:pPr>
        <w:tabs>
          <w:tab w:val="left" w:pos="5580"/>
        </w:tabs>
        <w:spacing w:line="500" w:lineRule="exact"/>
        <w:ind w:firstLine="560" w:firstLineChars="200"/>
        <w:rPr>
          <w:rFonts w:hint="eastAsia"/>
          <w:szCs w:val="28"/>
        </w:rPr>
      </w:pPr>
      <w:r>
        <w:rPr>
          <w:rFonts w:hint="eastAsia"/>
          <w:szCs w:val="28"/>
        </w:rPr>
        <w:t>政府鼓励农场兼办猪场，新建和迁移的规模养殖场应规划在有成片农田的区域，实行农牧循环废物综合利用。</w:t>
      </w:r>
    </w:p>
    <w:p>
      <w:pPr>
        <w:tabs>
          <w:tab w:val="left" w:pos="5580"/>
        </w:tabs>
        <w:spacing w:line="500" w:lineRule="exact"/>
        <w:ind w:firstLine="560" w:firstLineChars="200"/>
        <w:rPr>
          <w:rFonts w:hint="eastAsia"/>
          <w:szCs w:val="28"/>
        </w:rPr>
      </w:pPr>
      <w:r>
        <w:rPr>
          <w:rFonts w:hint="eastAsia"/>
          <w:szCs w:val="28"/>
        </w:rPr>
        <w:t>（5）建设有机肥制造加工中心</w:t>
      </w:r>
    </w:p>
    <w:p>
      <w:pPr>
        <w:tabs>
          <w:tab w:val="left" w:pos="5580"/>
        </w:tabs>
        <w:spacing w:line="500" w:lineRule="exact"/>
        <w:ind w:firstLine="560" w:firstLineChars="200"/>
        <w:rPr>
          <w:rFonts w:hint="eastAsia"/>
          <w:szCs w:val="28"/>
        </w:rPr>
      </w:pPr>
      <w:r>
        <w:rPr>
          <w:rFonts w:hint="eastAsia"/>
          <w:szCs w:val="28"/>
        </w:rPr>
        <w:t>随着养殖业发展和养殖小区建设，集中产生的粪尿量将会进一步增加，因此应发展区域性畜禽粪尿集中收集和处理设施(有机肥厂)。根据昆山各县(区)规模养殖场的数量和畜禽粪便产生量，建议市政府给予资金扶持建设有机肥生产企业。</w:t>
      </w:r>
    </w:p>
    <w:p>
      <w:pPr>
        <w:tabs>
          <w:tab w:val="left" w:pos="5580"/>
        </w:tabs>
        <w:spacing w:line="500" w:lineRule="exact"/>
        <w:ind w:firstLine="560" w:firstLineChars="200"/>
        <w:rPr>
          <w:rFonts w:hint="eastAsia"/>
          <w:szCs w:val="28"/>
        </w:rPr>
      </w:pPr>
      <w:r>
        <w:rPr>
          <w:rFonts w:hint="eastAsia"/>
          <w:szCs w:val="28"/>
        </w:rPr>
        <w:t>规划在畜禽养殖比较集中的区域和在大中型畜禽养殖场内建立生物有机肥料厂，政府在用地、拨款等方面采取扶持或奖励政策。规划在可养区内建设3家有机肥制造加工中心，生产规模在2万吨。</w:t>
      </w:r>
    </w:p>
    <w:p>
      <w:pPr>
        <w:tabs>
          <w:tab w:val="left" w:pos="5580"/>
        </w:tabs>
        <w:spacing w:line="500" w:lineRule="exact"/>
        <w:ind w:firstLine="560" w:firstLineChars="200"/>
        <w:rPr>
          <w:rFonts w:hint="eastAsia"/>
          <w:szCs w:val="28"/>
        </w:rPr>
      </w:pPr>
      <w:r>
        <w:rPr>
          <w:rFonts w:hint="eastAsia"/>
          <w:szCs w:val="28"/>
        </w:rPr>
        <w:t>（6）良种保护工程</w:t>
      </w:r>
    </w:p>
    <w:p>
      <w:pPr>
        <w:tabs>
          <w:tab w:val="left" w:pos="5580"/>
        </w:tabs>
        <w:spacing w:line="500" w:lineRule="exact"/>
        <w:ind w:firstLine="560" w:firstLineChars="200"/>
        <w:rPr>
          <w:rFonts w:hint="eastAsia"/>
          <w:szCs w:val="28"/>
        </w:rPr>
      </w:pPr>
      <w:r>
        <w:rPr>
          <w:rFonts w:hint="eastAsia"/>
          <w:szCs w:val="28"/>
        </w:rPr>
        <w:t>建设好昆山麻鸭原种场，以昆山麻鸭繁育为重点加快地方良种推广步伐，在保种区内建立昆山麻鸭繁殖群。</w:t>
      </w:r>
    </w:p>
    <w:p>
      <w:pPr>
        <w:tabs>
          <w:tab w:val="left" w:pos="5580"/>
        </w:tabs>
        <w:spacing w:line="500" w:lineRule="exact"/>
        <w:ind w:firstLine="560" w:firstLineChars="200"/>
        <w:rPr>
          <w:szCs w:val="28"/>
        </w:rPr>
      </w:pPr>
      <w:r>
        <w:rPr>
          <w:rFonts w:hint="eastAsia"/>
          <w:szCs w:val="28"/>
        </w:rPr>
        <w:t>建立起以梅山猪保种场为核心，以生猪生产基地为网络的良种繁育体系，按照一级原种场、三级繁育场、三级商品猪场的模式，推广“大长梅”三元杂交猪，发展优质瘦肉型猪，适应市场需求。种植者与养殖者为一个经营者，真正意义上的种养结合，解决了养猪的环境问题。形成母猪繁殖、苗猪培育、肉猪饲养的产业链条，最终在本地区形成自繁、自育、自养的格局。</w:t>
      </w:r>
    </w:p>
    <w:p>
      <w:pPr>
        <w:pStyle w:val="4"/>
        <w:rPr>
          <w:rFonts w:ascii="Times New Roman" w:hAnsi="Times New Roman"/>
        </w:rPr>
      </w:pPr>
      <w:bookmarkStart w:id="122" w:name="_Toc265336546"/>
      <w:r>
        <w:rPr>
          <w:rFonts w:ascii="Times New Roman" w:hAnsi="Times New Roman"/>
        </w:rPr>
        <w:t>5.6.4开展农村环境综合整治，构建舒适优美的江南村居文明</w:t>
      </w:r>
      <w:bookmarkEnd w:id="122"/>
    </w:p>
    <w:p>
      <w:pPr>
        <w:pStyle w:val="5"/>
        <w:spacing w:line="500" w:lineRule="exact"/>
        <w:ind w:left="0"/>
        <w:rPr>
          <w:rFonts w:eastAsia="仿宋_GB2312"/>
          <w:szCs w:val="28"/>
        </w:rPr>
      </w:pPr>
      <w:bookmarkStart w:id="123" w:name="_Toc233707289"/>
      <w:bookmarkStart w:id="124" w:name="_Toc242673356"/>
      <w:r>
        <w:rPr>
          <w:rFonts w:eastAsia="仿宋_GB2312"/>
          <w:szCs w:val="28"/>
        </w:rPr>
        <w:t>5.6.4.1规划目标</w:t>
      </w:r>
      <w:bookmarkEnd w:id="123"/>
      <w:bookmarkEnd w:id="124"/>
    </w:p>
    <w:p>
      <w:pPr>
        <w:spacing w:line="500" w:lineRule="exact"/>
        <w:ind w:firstLine="584" w:firstLineChars="200"/>
        <w:rPr>
          <w:spacing w:val="6"/>
          <w:szCs w:val="28"/>
        </w:rPr>
      </w:pPr>
      <w:r>
        <w:rPr>
          <w:spacing w:val="6"/>
          <w:szCs w:val="28"/>
        </w:rPr>
        <w:t>生态观原则：以生态发展和维持可持续的生态资源为基础，尊重当地的自然地形地貌、水系和天然植被等，因地制宜。</w:t>
      </w:r>
    </w:p>
    <w:p>
      <w:pPr>
        <w:spacing w:line="500" w:lineRule="exact"/>
        <w:ind w:firstLine="584" w:firstLineChars="200"/>
        <w:rPr>
          <w:spacing w:val="6"/>
          <w:szCs w:val="28"/>
        </w:rPr>
      </w:pPr>
      <w:r>
        <w:rPr>
          <w:spacing w:val="6"/>
          <w:szCs w:val="28"/>
        </w:rPr>
        <w:t>乡土观原则：保持乡土特色，保护独特的乡土景观遗产，避免盲目照抄大众城市建设式样，保留苏南传统建筑风格和乡村传统特色。保持原有和睦互助的村民友好邻里关系。</w:t>
      </w:r>
    </w:p>
    <w:p>
      <w:pPr>
        <w:spacing w:line="500" w:lineRule="exact"/>
        <w:ind w:firstLine="584" w:firstLineChars="200"/>
        <w:rPr>
          <w:spacing w:val="6"/>
          <w:szCs w:val="28"/>
        </w:rPr>
      </w:pPr>
      <w:r>
        <w:rPr>
          <w:spacing w:val="6"/>
          <w:szCs w:val="28"/>
        </w:rPr>
        <w:t>人本观原则：以人为本，从村民实际需要出发，充分考虑广大村民对于农村人居环境的优化建设的意见，关注村民收入水平和生活质量的提高。</w:t>
      </w:r>
    </w:p>
    <w:p>
      <w:pPr>
        <w:spacing w:line="500" w:lineRule="exact"/>
        <w:ind w:firstLine="584" w:firstLineChars="200"/>
        <w:rPr>
          <w:spacing w:val="6"/>
          <w:szCs w:val="28"/>
        </w:rPr>
      </w:pPr>
      <w:r>
        <w:rPr>
          <w:spacing w:val="6"/>
          <w:szCs w:val="28"/>
        </w:rPr>
        <w:t>系统论原则：充分运用系统优化的思想，全面整体推动经济发展、社会繁荣和生态保持平衡，增强农村的综合承载能力。</w:t>
      </w:r>
    </w:p>
    <w:p>
      <w:pPr>
        <w:pStyle w:val="5"/>
        <w:spacing w:line="500" w:lineRule="exact"/>
        <w:ind w:left="0"/>
        <w:rPr>
          <w:rFonts w:eastAsia="仿宋_GB2312"/>
          <w:szCs w:val="28"/>
        </w:rPr>
      </w:pPr>
      <w:bookmarkStart w:id="125" w:name="_Toc233707290"/>
      <w:bookmarkStart w:id="126" w:name="_Toc242673357"/>
      <w:r>
        <w:rPr>
          <w:rFonts w:eastAsia="仿宋_GB2312"/>
          <w:szCs w:val="28"/>
        </w:rPr>
        <w:t>5.6.4.2规划内容</w:t>
      </w:r>
      <w:bookmarkEnd w:id="125"/>
      <w:bookmarkEnd w:id="126"/>
    </w:p>
    <w:p>
      <w:pPr>
        <w:spacing w:line="500" w:lineRule="exact"/>
        <w:ind w:firstLine="584" w:firstLineChars="200"/>
        <w:rPr>
          <w:spacing w:val="6"/>
          <w:szCs w:val="28"/>
        </w:rPr>
      </w:pPr>
      <w:r>
        <w:rPr>
          <w:spacing w:val="6"/>
          <w:szCs w:val="28"/>
        </w:rPr>
        <w:t>（1）完善村庄户级污水处理系统</w:t>
      </w:r>
    </w:p>
    <w:p>
      <w:pPr>
        <w:spacing w:line="500" w:lineRule="exact"/>
        <w:ind w:firstLine="584" w:firstLineChars="200"/>
        <w:rPr>
          <w:spacing w:val="6"/>
          <w:szCs w:val="28"/>
        </w:rPr>
      </w:pPr>
      <w:r>
        <w:rPr>
          <w:spacing w:val="6"/>
          <w:szCs w:val="28"/>
        </w:rPr>
        <w:t>①加大卫生改厕力度，建设无害化卫生公厕</w:t>
      </w:r>
    </w:p>
    <w:p>
      <w:pPr>
        <w:spacing w:line="500" w:lineRule="exact"/>
        <w:ind w:firstLine="584" w:firstLineChars="200"/>
        <w:rPr>
          <w:spacing w:val="6"/>
          <w:szCs w:val="28"/>
        </w:rPr>
      </w:pPr>
      <w:r>
        <w:rPr>
          <w:spacing w:val="6"/>
          <w:szCs w:val="28"/>
        </w:rPr>
        <w:t>②加大人工绿地系统建设，有效处理杂排水</w:t>
      </w:r>
    </w:p>
    <w:p>
      <w:pPr>
        <w:spacing w:line="500" w:lineRule="exact"/>
        <w:ind w:firstLine="584" w:firstLineChars="200"/>
        <w:rPr>
          <w:spacing w:val="6"/>
          <w:szCs w:val="28"/>
        </w:rPr>
      </w:pPr>
      <w:r>
        <w:rPr>
          <w:spacing w:val="6"/>
          <w:szCs w:val="28"/>
        </w:rPr>
        <w:t>（2）完善村庄垃圾集中清运与资源化处理系统</w:t>
      </w:r>
    </w:p>
    <w:p>
      <w:pPr>
        <w:spacing w:line="500" w:lineRule="exact"/>
        <w:ind w:firstLine="584" w:firstLineChars="200"/>
        <w:rPr>
          <w:spacing w:val="6"/>
          <w:szCs w:val="28"/>
        </w:rPr>
      </w:pPr>
      <w:r>
        <w:rPr>
          <w:spacing w:val="6"/>
          <w:szCs w:val="28"/>
        </w:rPr>
        <w:t>按照“村收集、镇中转、市处理”管理模式，加快村庄垃圾集中清运系统建设。</w:t>
      </w:r>
    </w:p>
    <w:p>
      <w:pPr>
        <w:spacing w:line="500" w:lineRule="exact"/>
        <w:ind w:firstLine="584" w:firstLineChars="200"/>
        <w:rPr>
          <w:spacing w:val="6"/>
          <w:szCs w:val="28"/>
        </w:rPr>
      </w:pPr>
      <w:r>
        <w:rPr>
          <w:spacing w:val="6"/>
          <w:szCs w:val="28"/>
        </w:rPr>
        <w:t>（3）建设村庄社区卫生服务站</w:t>
      </w:r>
    </w:p>
    <w:p>
      <w:pPr>
        <w:spacing w:line="500" w:lineRule="exact"/>
        <w:ind w:firstLine="584" w:firstLineChars="200"/>
        <w:rPr>
          <w:spacing w:val="6"/>
          <w:szCs w:val="28"/>
        </w:rPr>
      </w:pPr>
      <w:r>
        <w:rPr>
          <w:spacing w:val="6"/>
          <w:szCs w:val="28"/>
        </w:rPr>
        <w:t>结合“江苏省农民健康工程”规划目标，推进农村卫生现代化试点建设。以社区服务中心为载体，进一步加强农村卫生服务体系建设，提高农村医疗服务水平，使全市农村社区卫生服务站覆盖率100%。</w:t>
      </w:r>
    </w:p>
    <w:p>
      <w:pPr>
        <w:spacing w:line="500" w:lineRule="exact"/>
        <w:ind w:firstLine="584" w:firstLineChars="200"/>
        <w:rPr>
          <w:spacing w:val="6"/>
          <w:szCs w:val="28"/>
        </w:rPr>
      </w:pPr>
      <w:r>
        <w:rPr>
          <w:spacing w:val="6"/>
          <w:szCs w:val="28"/>
        </w:rPr>
        <w:t>（4）以乡土文化为背景，打造苏南特色农村精品示范带</w:t>
      </w:r>
    </w:p>
    <w:p>
      <w:pPr>
        <w:spacing w:line="500" w:lineRule="exact"/>
        <w:ind w:firstLine="584" w:firstLineChars="200"/>
        <w:rPr>
          <w:spacing w:val="6"/>
          <w:szCs w:val="28"/>
        </w:rPr>
      </w:pPr>
      <w:r>
        <w:rPr>
          <w:spacing w:val="6"/>
          <w:szCs w:val="28"/>
        </w:rPr>
        <w:t>以市辖玉山、巴城、周市、陆家、锦溪、周庄、淀山、张浦、千灯镇以及开发区各选出一个农村社区，打造出具有农村地域特色的农村精品示范带。</w:t>
      </w:r>
    </w:p>
    <w:p>
      <w:pPr>
        <w:spacing w:line="500" w:lineRule="exact"/>
        <w:ind w:firstLine="584" w:firstLineChars="200"/>
        <w:rPr>
          <w:spacing w:val="6"/>
          <w:szCs w:val="28"/>
        </w:rPr>
      </w:pPr>
      <w:r>
        <w:rPr>
          <w:spacing w:val="6"/>
          <w:szCs w:val="28"/>
        </w:rPr>
        <w:t>（5）建立长效管理机制</w:t>
      </w:r>
    </w:p>
    <w:p>
      <w:pPr>
        <w:spacing w:line="500" w:lineRule="exact"/>
        <w:ind w:firstLine="584" w:firstLineChars="200"/>
        <w:rPr>
          <w:spacing w:val="6"/>
          <w:szCs w:val="28"/>
        </w:rPr>
      </w:pPr>
      <w:r>
        <w:rPr>
          <w:spacing w:val="6"/>
          <w:szCs w:val="28"/>
        </w:rPr>
        <w:t>①制定“环境保护和卫生保洁制度”</w:t>
      </w:r>
    </w:p>
    <w:p>
      <w:pPr>
        <w:spacing w:line="500" w:lineRule="exact"/>
        <w:ind w:firstLine="584" w:firstLineChars="200"/>
        <w:rPr>
          <w:spacing w:val="6"/>
          <w:szCs w:val="28"/>
        </w:rPr>
      </w:pPr>
      <w:r>
        <w:rPr>
          <w:spacing w:val="6"/>
          <w:szCs w:val="28"/>
        </w:rPr>
        <w:t>通过建章立制，使村庄环境保护和经常性的卫生保洁成为村民人人遵守的村民公约。在村内形成家家讲卫生、户户爱清洁，保护环境人人有责的良好氛围。</w:t>
      </w:r>
    </w:p>
    <w:p>
      <w:pPr>
        <w:spacing w:line="500" w:lineRule="exact"/>
        <w:ind w:firstLine="584" w:firstLineChars="200"/>
        <w:rPr>
          <w:spacing w:val="6"/>
          <w:szCs w:val="28"/>
        </w:rPr>
      </w:pPr>
      <w:r>
        <w:rPr>
          <w:spacing w:val="6"/>
          <w:szCs w:val="28"/>
        </w:rPr>
        <w:t>②设置保洁员管理公共卫生</w:t>
      </w:r>
    </w:p>
    <w:p>
      <w:pPr>
        <w:spacing w:line="500" w:lineRule="exact"/>
        <w:ind w:firstLine="584" w:firstLineChars="200"/>
        <w:rPr>
          <w:spacing w:val="6"/>
          <w:szCs w:val="28"/>
        </w:rPr>
      </w:pPr>
      <w:r>
        <w:rPr>
          <w:spacing w:val="6"/>
          <w:szCs w:val="28"/>
        </w:rPr>
        <w:t>根据村庄大小和人口多少，各自然村设置1-2名保洁员，负责道路和公共场所的卫生保洁工作，定期运送垃圾。</w:t>
      </w:r>
    </w:p>
    <w:p>
      <w:pPr>
        <w:spacing w:line="500" w:lineRule="exact"/>
        <w:ind w:firstLine="584" w:firstLineChars="200"/>
        <w:rPr>
          <w:spacing w:val="6"/>
          <w:szCs w:val="28"/>
        </w:rPr>
      </w:pPr>
      <w:r>
        <w:rPr>
          <w:spacing w:val="6"/>
          <w:szCs w:val="28"/>
        </w:rPr>
        <w:t>③加强经常性检查监督</w:t>
      </w:r>
    </w:p>
    <w:p>
      <w:pPr>
        <w:spacing w:line="500" w:lineRule="exact"/>
        <w:ind w:firstLine="584" w:firstLineChars="200"/>
        <w:rPr>
          <w:spacing w:val="6"/>
          <w:szCs w:val="28"/>
        </w:rPr>
      </w:pPr>
      <w:r>
        <w:rPr>
          <w:spacing w:val="6"/>
          <w:szCs w:val="28"/>
        </w:rPr>
        <w:t>做好补缺和扫尾工程，在完成阶段性任务的基础上，各村结合爱国卫生运动，采取定期和突击检查的方法加强对各自然村的环境保护和卫生保洁工作的检查和监督。</w:t>
      </w:r>
    </w:p>
    <w:p>
      <w:pPr>
        <w:pStyle w:val="4"/>
        <w:rPr>
          <w:rFonts w:ascii="Times New Roman" w:hAnsi="Times New Roman"/>
        </w:rPr>
      </w:pPr>
      <w:r>
        <w:rPr>
          <w:rFonts w:ascii="Times New Roman" w:hAnsi="Times New Roman"/>
        </w:rPr>
        <w:t>5.6.</w:t>
      </w:r>
      <w:r>
        <w:rPr>
          <w:rFonts w:hint="eastAsia" w:ascii="Times New Roman" w:hAnsi="Times New Roman"/>
        </w:rPr>
        <w:t xml:space="preserve">5 </w:t>
      </w:r>
      <w:r>
        <w:rPr>
          <w:rFonts w:ascii="Times New Roman" w:hAnsi="Times New Roman"/>
        </w:rPr>
        <w:t>加强城市噪声污染防治</w:t>
      </w:r>
    </w:p>
    <w:p>
      <w:pPr>
        <w:spacing w:line="500" w:lineRule="exact"/>
        <w:ind w:firstLine="584" w:firstLineChars="200"/>
        <w:rPr>
          <w:rFonts w:hint="eastAsia"/>
          <w:spacing w:val="6"/>
          <w:szCs w:val="28"/>
        </w:rPr>
      </w:pPr>
      <w:r>
        <w:rPr>
          <w:rFonts w:hint="eastAsia"/>
          <w:spacing w:val="6"/>
          <w:szCs w:val="28"/>
        </w:rPr>
        <w:t>根据城市总体规划、土地利用总体规划等相关规划</w:t>
      </w:r>
      <w:r>
        <w:rPr>
          <w:spacing w:val="6"/>
          <w:szCs w:val="28"/>
        </w:rPr>
        <w:t>进一步完善城市声环境功能区的划分工作，基本解决原有声环境功能区相互交错，相互影响和制约的突出问题。</w:t>
      </w:r>
    </w:p>
    <w:p>
      <w:pPr>
        <w:spacing w:line="500" w:lineRule="exact"/>
        <w:ind w:firstLine="584" w:firstLineChars="200"/>
        <w:rPr>
          <w:rFonts w:hint="eastAsia"/>
          <w:spacing w:val="6"/>
          <w:szCs w:val="28"/>
        </w:rPr>
      </w:pPr>
      <w:r>
        <w:rPr>
          <w:spacing w:val="6"/>
          <w:szCs w:val="28"/>
        </w:rPr>
        <w:t>加强</w:t>
      </w:r>
      <w:r>
        <w:rPr>
          <w:rFonts w:hint="eastAsia"/>
          <w:spacing w:val="6"/>
          <w:szCs w:val="28"/>
        </w:rPr>
        <w:t>城区工业</w:t>
      </w:r>
      <w:r>
        <w:rPr>
          <w:spacing w:val="6"/>
          <w:szCs w:val="28"/>
        </w:rPr>
        <w:t>噪声</w:t>
      </w:r>
      <w:r>
        <w:rPr>
          <w:rFonts w:hint="eastAsia"/>
          <w:spacing w:val="6"/>
          <w:szCs w:val="28"/>
        </w:rPr>
        <w:t>污染源</w:t>
      </w:r>
      <w:r>
        <w:rPr>
          <w:spacing w:val="6"/>
          <w:szCs w:val="28"/>
        </w:rPr>
        <w:t>监测，排查影响声环境质量的噪声源，责令超标单位制定治理方案，明确治理行动计划，积极推进污染源整改进程，逐步消除工业企业噪声污染</w:t>
      </w:r>
      <w:r>
        <w:rPr>
          <w:rFonts w:hint="eastAsia"/>
          <w:spacing w:val="6"/>
          <w:szCs w:val="28"/>
        </w:rPr>
        <w:t>。</w:t>
      </w:r>
    </w:p>
    <w:p>
      <w:pPr>
        <w:spacing w:line="500" w:lineRule="exact"/>
        <w:ind w:firstLine="584" w:firstLineChars="200"/>
        <w:rPr>
          <w:rFonts w:hint="eastAsia"/>
          <w:spacing w:val="6"/>
          <w:szCs w:val="28"/>
        </w:rPr>
      </w:pPr>
      <w:r>
        <w:rPr>
          <w:spacing w:val="6"/>
          <w:szCs w:val="28"/>
        </w:rPr>
        <w:t>加快背街小巷的改造力度，增强道路通行能力，疏导车辆分流</w:t>
      </w:r>
      <w:r>
        <w:rPr>
          <w:rFonts w:hint="eastAsia"/>
          <w:spacing w:val="6"/>
          <w:szCs w:val="28"/>
        </w:rPr>
        <w:t>。</w:t>
      </w:r>
      <w:r>
        <w:rPr>
          <w:spacing w:val="6"/>
          <w:szCs w:val="28"/>
        </w:rPr>
        <w:t>整顿道路交通秩序，加密道路巡查频次，增强车辆乱停乱放的监管力度，合理设置停车站点，确保交通畅通</w:t>
      </w:r>
      <w:r>
        <w:rPr>
          <w:rFonts w:hint="eastAsia"/>
          <w:spacing w:val="6"/>
          <w:szCs w:val="28"/>
        </w:rPr>
        <w:t>。</w:t>
      </w:r>
      <w:r>
        <w:rPr>
          <w:spacing w:val="6"/>
          <w:szCs w:val="28"/>
        </w:rPr>
        <w:t>严格实施城区车辆行驶禁鸣管理</w:t>
      </w:r>
      <w:r>
        <w:rPr>
          <w:rFonts w:hint="eastAsia"/>
          <w:spacing w:val="6"/>
          <w:szCs w:val="28"/>
        </w:rPr>
        <w:t>，</w:t>
      </w:r>
      <w:r>
        <w:rPr>
          <w:spacing w:val="6"/>
          <w:szCs w:val="28"/>
        </w:rPr>
        <w:t>控制交通干线的车辆流量和行车速度，巩固、提高环境噪声达标区建设成果，确保各功能区特别是居民文教区环境噪声达标。</w:t>
      </w:r>
    </w:p>
    <w:p>
      <w:pPr>
        <w:spacing w:line="500" w:lineRule="exact"/>
        <w:ind w:firstLine="584" w:firstLineChars="200"/>
        <w:rPr>
          <w:rFonts w:hint="eastAsia"/>
          <w:spacing w:val="6"/>
          <w:szCs w:val="28"/>
        </w:rPr>
      </w:pPr>
      <w:r>
        <w:rPr>
          <w:spacing w:val="6"/>
          <w:szCs w:val="28"/>
        </w:rPr>
        <w:t>加强对农贸市场、娱乐场所、商场</w:t>
      </w:r>
      <w:r>
        <w:rPr>
          <w:rFonts w:hint="eastAsia"/>
          <w:spacing w:val="6"/>
          <w:szCs w:val="28"/>
        </w:rPr>
        <w:t>、餐饮等第三产业</w:t>
      </w:r>
      <w:r>
        <w:rPr>
          <w:spacing w:val="6"/>
          <w:szCs w:val="28"/>
        </w:rPr>
        <w:t>的噪声控制</w:t>
      </w:r>
      <w:r>
        <w:rPr>
          <w:rFonts w:hint="eastAsia"/>
          <w:spacing w:val="6"/>
          <w:szCs w:val="28"/>
        </w:rPr>
        <w:t>，</w:t>
      </w:r>
      <w:r>
        <w:rPr>
          <w:spacing w:val="6"/>
          <w:szCs w:val="28"/>
        </w:rPr>
        <w:t>规范社会生活噪声排放行为，进一步改善城市声环境质量</w:t>
      </w:r>
      <w:r>
        <w:rPr>
          <w:rFonts w:hint="eastAsia"/>
          <w:spacing w:val="6"/>
          <w:szCs w:val="28"/>
        </w:rPr>
        <w:t>。</w:t>
      </w:r>
      <w:r>
        <w:rPr>
          <w:spacing w:val="6"/>
          <w:szCs w:val="28"/>
        </w:rPr>
        <w:t>加强引导，禁止群众性自发娱乐活动使用高音喇叭</w:t>
      </w:r>
      <w:r>
        <w:rPr>
          <w:rFonts w:hint="eastAsia"/>
          <w:spacing w:val="6"/>
          <w:szCs w:val="28"/>
        </w:rPr>
        <w:t>，</w:t>
      </w:r>
      <w:r>
        <w:rPr>
          <w:spacing w:val="6"/>
          <w:szCs w:val="28"/>
        </w:rPr>
        <w:t>及时制止商业企业使用高音喇叭招揽顾客行为</w:t>
      </w:r>
      <w:r>
        <w:rPr>
          <w:rFonts w:hint="eastAsia"/>
          <w:spacing w:val="6"/>
          <w:szCs w:val="28"/>
        </w:rPr>
        <w:t>。</w:t>
      </w:r>
      <w:r>
        <w:rPr>
          <w:spacing w:val="6"/>
          <w:szCs w:val="28"/>
        </w:rPr>
        <w:t>加强文化娱乐场所噪声控制，完善消声措施，对达不到环保要求的小歌舞厅、音乐茶座予以取缔；加大噪声管理的宣传，严格控制，杜绝超时经营活动。</w:t>
      </w:r>
    </w:p>
    <w:p>
      <w:pPr>
        <w:spacing w:line="500" w:lineRule="exact"/>
        <w:ind w:firstLine="584" w:firstLineChars="200"/>
        <w:rPr>
          <w:rFonts w:hint="eastAsia"/>
          <w:spacing w:val="6"/>
          <w:szCs w:val="28"/>
        </w:rPr>
      </w:pPr>
      <w:r>
        <w:rPr>
          <w:spacing w:val="6"/>
          <w:szCs w:val="28"/>
        </w:rPr>
        <w:t>进一步规范建筑施工噪声管理，建筑施工要采用先进的低噪声建筑机械，并对作业场所采取隔声和消声措施。引导施工企业合理安排工程节点，尽量避免工艺性夜间施工；严格控制夜间施工许可证发放，非抢险工程、特殊工艺需要，禁止夜间施工。</w:t>
      </w:r>
    </w:p>
    <w:p>
      <w:pPr>
        <w:pStyle w:val="4"/>
        <w:rPr>
          <w:rFonts w:hint="eastAsia" w:ascii="Times New Roman" w:hAnsi="Times New Roman"/>
        </w:rPr>
      </w:pPr>
      <w:r>
        <w:rPr>
          <w:rFonts w:hint="eastAsia" w:ascii="Times New Roman" w:hAnsi="Times New Roman"/>
        </w:rPr>
        <w:t>5.6.6 强化重金属污染防治</w:t>
      </w:r>
    </w:p>
    <w:p>
      <w:pPr>
        <w:spacing w:line="500" w:lineRule="exact"/>
        <w:ind w:firstLine="584" w:firstLineChars="200"/>
        <w:rPr>
          <w:rFonts w:hint="eastAsia"/>
          <w:spacing w:val="6"/>
          <w:szCs w:val="28"/>
        </w:rPr>
      </w:pPr>
      <w:r>
        <w:rPr>
          <w:rFonts w:hint="eastAsia"/>
          <w:spacing w:val="6"/>
          <w:szCs w:val="28"/>
        </w:rPr>
        <w:t>实施全市重金属污染综合防治规划，以铅、镉、汞、铬和类金属砷等为重点，综合整治电子元器件制造、蓄电池加工回收行业，开展重金属污染场地治理与修复示范。</w:t>
      </w:r>
      <w:r>
        <w:rPr>
          <w:spacing w:val="6"/>
          <w:szCs w:val="28"/>
        </w:rPr>
        <w:t>到2015年，</w:t>
      </w:r>
      <w:r>
        <w:rPr>
          <w:rFonts w:hint="eastAsia"/>
          <w:spacing w:val="6"/>
          <w:szCs w:val="28"/>
        </w:rPr>
        <w:t>基本解决重点区域重金属污染问题。</w:t>
      </w:r>
    </w:p>
    <w:p>
      <w:pPr>
        <w:spacing w:line="500" w:lineRule="exact"/>
        <w:ind w:firstLine="584" w:firstLineChars="200"/>
        <w:rPr>
          <w:rFonts w:hint="eastAsia"/>
          <w:spacing w:val="6"/>
          <w:szCs w:val="28"/>
        </w:rPr>
      </w:pPr>
      <w:r>
        <w:rPr>
          <w:rFonts w:hint="eastAsia"/>
          <w:spacing w:val="6"/>
          <w:szCs w:val="28"/>
        </w:rPr>
        <w:t>——加强重点行业管理。</w:t>
      </w:r>
      <w:r>
        <w:rPr>
          <w:spacing w:val="6"/>
          <w:szCs w:val="28"/>
        </w:rPr>
        <w:t>加强含铅蓄电池制造</w:t>
      </w:r>
      <w:r>
        <w:rPr>
          <w:rFonts w:hint="eastAsia"/>
          <w:spacing w:val="6"/>
          <w:szCs w:val="28"/>
        </w:rPr>
        <w:t>、</w:t>
      </w:r>
      <w:r>
        <w:rPr>
          <w:spacing w:val="6"/>
          <w:szCs w:val="28"/>
        </w:rPr>
        <w:t>化学原料及化学品制造业、电子器件制造等行业环境监管</w:t>
      </w:r>
      <w:r>
        <w:rPr>
          <w:rFonts w:hint="eastAsia"/>
          <w:spacing w:val="6"/>
          <w:szCs w:val="28"/>
        </w:rPr>
        <w:t>，每年开展1次重金属企业排查，</w:t>
      </w:r>
      <w:r>
        <w:rPr>
          <w:spacing w:val="6"/>
          <w:szCs w:val="28"/>
        </w:rPr>
        <w:t>凡产生和排放重金属的企业全部纳入省控重点污染源管理，并逐步实现在线自动监控、动态管理</w:t>
      </w:r>
      <w:r>
        <w:rPr>
          <w:rFonts w:hint="eastAsia"/>
          <w:spacing w:val="6"/>
          <w:szCs w:val="28"/>
        </w:rPr>
        <w:t>。实施涉重金属产业准入公告制度，禁止在重要生态保护区、环境敏感区和已无环境容量的河流、湖泊流域新建排放主要重金属污染物项目。</w:t>
      </w:r>
    </w:p>
    <w:p>
      <w:pPr>
        <w:spacing w:line="500" w:lineRule="exact"/>
        <w:ind w:firstLine="584" w:firstLineChars="200"/>
        <w:rPr>
          <w:rFonts w:hint="eastAsia"/>
          <w:spacing w:val="6"/>
          <w:szCs w:val="28"/>
        </w:rPr>
      </w:pPr>
      <w:r>
        <w:rPr>
          <w:rFonts w:hint="eastAsia"/>
          <w:spacing w:val="6"/>
          <w:szCs w:val="28"/>
        </w:rPr>
        <w:t>——开展重点地区污染整治。在污染产业密集、历史遗留问题突出、风险隐患较大的重金属重点防控区开展专项整治，现有涉重金属企业实施同类整合、园区化集中管理，含重金属废水、废气</w:t>
      </w:r>
      <w:r>
        <w:rPr>
          <w:spacing w:val="6"/>
          <w:szCs w:val="28"/>
        </w:rPr>
        <w:t>必须做到车间</w:t>
      </w:r>
      <w:r>
        <w:rPr>
          <w:rFonts w:hint="eastAsia"/>
          <w:spacing w:val="6"/>
          <w:szCs w:val="28"/>
        </w:rPr>
        <w:t>排口</w:t>
      </w:r>
      <w:r>
        <w:rPr>
          <w:spacing w:val="6"/>
          <w:szCs w:val="28"/>
        </w:rPr>
        <w:t>稳定达标排放</w:t>
      </w:r>
      <w:r>
        <w:rPr>
          <w:rFonts w:hint="eastAsia"/>
          <w:spacing w:val="6"/>
          <w:szCs w:val="28"/>
        </w:rPr>
        <w:t>。</w:t>
      </w:r>
    </w:p>
    <w:p>
      <w:pPr>
        <w:spacing w:line="500" w:lineRule="exact"/>
        <w:ind w:firstLine="584" w:firstLineChars="200"/>
        <w:rPr>
          <w:rFonts w:hint="eastAsia"/>
          <w:spacing w:val="6"/>
          <w:szCs w:val="28"/>
        </w:rPr>
      </w:pPr>
      <w:r>
        <w:rPr>
          <w:rFonts w:hint="eastAsia"/>
          <w:spacing w:val="6"/>
          <w:szCs w:val="28"/>
        </w:rPr>
        <w:t>——启动污染场地治理与修复示范。开展全市重金属污染场地调查与评价，</w:t>
      </w:r>
      <w:r>
        <w:rPr>
          <w:spacing w:val="6"/>
          <w:szCs w:val="28"/>
        </w:rPr>
        <w:t>对重金属历史遗留问题进行健康风险评估</w:t>
      </w:r>
      <w:r>
        <w:rPr>
          <w:rFonts w:hint="eastAsia"/>
          <w:spacing w:val="6"/>
          <w:szCs w:val="28"/>
        </w:rPr>
        <w:t>，建立重金属污染场地基本资料数据库和信息管理系统。开展工矿企业重金属污染场地修复、重点河段底泥污染治理等试点示范工程。</w:t>
      </w:r>
    </w:p>
    <w:p>
      <w:pPr>
        <w:spacing w:line="500" w:lineRule="exact"/>
        <w:ind w:firstLine="504" w:firstLineChars="200"/>
        <w:rPr>
          <w:spacing w:val="6"/>
          <w:sz w:val="24"/>
        </w:rPr>
        <w:sectPr>
          <w:endnotePr>
            <w:numFmt w:val="decimal"/>
          </w:endnotePr>
          <w:pgSz w:w="11906" w:h="16838"/>
          <w:pgMar w:top="1440" w:right="1797" w:bottom="1440" w:left="1797" w:header="851" w:footer="992" w:gutter="0"/>
          <w:cols w:space="425" w:num="1"/>
          <w:docGrid w:linePitch="312" w:charSpace="0"/>
        </w:sectPr>
      </w:pPr>
      <w:bookmarkStart w:id="127" w:name="_Toc109473447"/>
    </w:p>
    <w:p>
      <w:pPr>
        <w:pStyle w:val="3"/>
      </w:pPr>
      <w:bookmarkStart w:id="128" w:name="_Toc109473446"/>
      <w:bookmarkStart w:id="129" w:name="_Toc263071772"/>
      <w:bookmarkStart w:id="130" w:name="_Toc265336547"/>
      <w:bookmarkStart w:id="131" w:name="_Toc304379415"/>
      <w:r>
        <w:t xml:space="preserve">5.7 </w:t>
      </w:r>
      <w:bookmarkEnd w:id="128"/>
      <w:r>
        <w:t>生态环境保护</w:t>
      </w:r>
      <w:bookmarkEnd w:id="129"/>
      <w:bookmarkEnd w:id="130"/>
      <w:bookmarkEnd w:id="131"/>
    </w:p>
    <w:p>
      <w:pPr>
        <w:spacing w:line="500" w:lineRule="exact"/>
        <w:ind w:firstLine="584" w:firstLineChars="200"/>
        <w:rPr>
          <w:spacing w:val="6"/>
          <w:szCs w:val="28"/>
        </w:rPr>
      </w:pPr>
      <w:r>
        <w:rPr>
          <w:spacing w:val="6"/>
          <w:szCs w:val="28"/>
        </w:rPr>
        <w:t>根据2006年苏州市生态景观遥感解译结果，昆山市的生物丰度指数为36.6，低于苏州全市平均水平（43.2）；植被覆盖指数为33，与苏州市平均水平相当（32.6），低于常熟（43.2）、张家港（19.8）、太仓（44）和吴江（43.5）；生态环境质量指数为66.8，略低于苏州全市平均水平（67.1），表明昆山生态环境质量较好，但距苏州全市整体水平还有一定差距。</w:t>
      </w:r>
    </w:p>
    <w:p>
      <w:pPr>
        <w:pStyle w:val="4"/>
        <w:rPr>
          <w:rFonts w:ascii="Times New Roman" w:hAnsi="Times New Roman"/>
        </w:rPr>
      </w:pPr>
      <w:bookmarkStart w:id="132" w:name="_Toc233707257"/>
      <w:bookmarkStart w:id="133" w:name="_Toc265336548"/>
      <w:bookmarkStart w:id="134" w:name="_Toc242673341"/>
      <w:r>
        <w:rPr>
          <w:rFonts w:ascii="Times New Roman" w:hAnsi="Times New Roman"/>
        </w:rPr>
        <w:t>5.7.1规划目标</w:t>
      </w:r>
      <w:bookmarkEnd w:id="132"/>
      <w:bookmarkEnd w:id="133"/>
      <w:bookmarkEnd w:id="134"/>
    </w:p>
    <w:p>
      <w:pPr>
        <w:spacing w:line="500" w:lineRule="exact"/>
        <w:ind w:firstLine="584" w:firstLineChars="200"/>
        <w:rPr>
          <w:spacing w:val="6"/>
          <w:szCs w:val="28"/>
        </w:rPr>
      </w:pPr>
      <w:r>
        <w:rPr>
          <w:spacing w:val="6"/>
          <w:szCs w:val="28"/>
        </w:rPr>
        <w:t>（1）通过分析区域生态环境特点和人类经济、社会活动，以及二者相互作用的规律，提出生态环境重点保护目标，确定昆山市禁止开发区、限制开发区、优化开发区和重点开发区四类主导功能区。</w:t>
      </w:r>
    </w:p>
    <w:p>
      <w:pPr>
        <w:spacing w:line="500" w:lineRule="exact"/>
        <w:ind w:firstLine="584" w:firstLineChars="200"/>
        <w:rPr>
          <w:spacing w:val="6"/>
          <w:szCs w:val="28"/>
        </w:rPr>
      </w:pPr>
      <w:r>
        <w:rPr>
          <w:spacing w:val="6"/>
          <w:szCs w:val="28"/>
        </w:rPr>
        <w:t>（2）以阳澄湖和傀儡湖保护为核心，为实现人与自然和谐共处，制定湿地保护、生态廊道、城市自然保护小区建设、生物多样性保护与土壤污染控制方案。</w:t>
      </w:r>
    </w:p>
    <w:p>
      <w:pPr>
        <w:pStyle w:val="4"/>
        <w:rPr>
          <w:rFonts w:ascii="Times New Roman" w:hAnsi="Times New Roman"/>
        </w:rPr>
      </w:pPr>
      <w:bookmarkStart w:id="135" w:name="_Toc233707259"/>
      <w:bookmarkStart w:id="136" w:name="_Toc265336549"/>
      <w:bookmarkStart w:id="137" w:name="_Toc242673343"/>
      <w:r>
        <w:rPr>
          <w:rFonts w:ascii="Times New Roman" w:hAnsi="Times New Roman"/>
        </w:rPr>
        <w:t>5.7.2规划内容</w:t>
      </w:r>
      <w:bookmarkEnd w:id="135"/>
      <w:bookmarkEnd w:id="136"/>
      <w:bookmarkEnd w:id="137"/>
    </w:p>
    <w:p>
      <w:pPr>
        <w:pStyle w:val="5"/>
        <w:spacing w:line="500" w:lineRule="exact"/>
        <w:ind w:left="0"/>
        <w:rPr>
          <w:rFonts w:eastAsia="仿宋_GB2312"/>
          <w:szCs w:val="28"/>
        </w:rPr>
      </w:pPr>
      <w:r>
        <w:rPr>
          <w:rFonts w:eastAsia="仿宋_GB2312"/>
          <w:szCs w:val="28"/>
        </w:rPr>
        <w:t>5.7.2.1生态功能分区控制规划</w:t>
      </w:r>
    </w:p>
    <w:p>
      <w:pPr>
        <w:spacing w:line="500" w:lineRule="exact"/>
        <w:ind w:firstLine="584" w:firstLineChars="200"/>
        <w:rPr>
          <w:spacing w:val="6"/>
          <w:szCs w:val="28"/>
        </w:rPr>
      </w:pPr>
      <w:r>
        <w:rPr>
          <w:spacing w:val="6"/>
          <w:szCs w:val="28"/>
        </w:rPr>
        <w:t>昆山属长江三角洲太湖平原。境内河网密布，地势平坦，自西南向东北略呈倾斜，自然坡度较小。北部为低洼圩区,中部为半高田地区，南部为濒湖高田地区。 昆山河道密布，湖泊众多，全境河流总长1056.32公里，其中主要干支河流62条，长457.51公里；湖泊41个，水面10余万亩。昆山市域自然资源丰富、生态环境优越。其中，主要的绿色生态区域包括昆山市森林公园、丹桂园风景名胜区、阳澄湖（昆山市）、傀儡湖、淀山湖（昆山市）及50公顷以上湖荡地区。</w:t>
      </w:r>
    </w:p>
    <w:p>
      <w:pPr>
        <w:spacing w:line="500" w:lineRule="exact"/>
        <w:ind w:firstLine="584" w:firstLineChars="200"/>
        <w:rPr>
          <w:spacing w:val="6"/>
          <w:szCs w:val="28"/>
        </w:rPr>
      </w:pPr>
      <w:r>
        <w:rPr>
          <w:spacing w:val="6"/>
          <w:szCs w:val="28"/>
        </w:rPr>
        <w:t>在《国务院关于落实科学发展观加强环境保护的决定》中明确指出，要按照优化开发、重点开发、限制开发、禁止开发的原则，分析和明确不同区域的功能定位和发展方向，将区域经济规划和环境保护目标有机结合起来。在生态功能分区控制规划中将根据生态功能区划、资源与环境的自然与经济属性，确定昆山市的生态主导功能区，将行政区域划分为禁止开发区、限制开发区、优化开发区和重点开发区四类主导功能区，合理确定保护土地面积，合理划定与布局重要生态功能保护区、水源涵养区、备用水源地。</w:t>
      </w:r>
    </w:p>
    <w:p>
      <w:pPr>
        <w:spacing w:line="500" w:lineRule="exact"/>
        <w:ind w:firstLine="584" w:firstLineChars="200"/>
        <w:rPr>
          <w:spacing w:val="6"/>
          <w:szCs w:val="28"/>
        </w:rPr>
      </w:pPr>
      <w:r>
        <w:rPr>
          <w:spacing w:val="6"/>
          <w:szCs w:val="28"/>
        </w:rPr>
        <w:t>（1）禁止开发区</w:t>
      </w:r>
    </w:p>
    <w:p>
      <w:pPr>
        <w:spacing w:line="500" w:lineRule="exact"/>
        <w:ind w:firstLine="584" w:firstLineChars="200"/>
        <w:rPr>
          <w:spacing w:val="6"/>
          <w:szCs w:val="28"/>
        </w:rPr>
      </w:pPr>
      <w:r>
        <w:rPr>
          <w:spacing w:val="6"/>
          <w:szCs w:val="28"/>
        </w:rPr>
        <w:t>禁止开发区是根据昆山的生态敏感性、生境脆弱性而划分出来，需要重点保护的区域。在禁止开发区域，要坚持强制性保护，依据法律法规和相关规划严格监管。开发区中严禁任何开发、种植等人为活动。</w:t>
      </w:r>
    </w:p>
    <w:p>
      <w:pPr>
        <w:spacing w:line="500" w:lineRule="exact"/>
        <w:ind w:firstLine="584" w:firstLineChars="200"/>
        <w:rPr>
          <w:spacing w:val="6"/>
          <w:szCs w:val="28"/>
        </w:rPr>
      </w:pPr>
      <w:r>
        <w:rPr>
          <w:spacing w:val="6"/>
          <w:szCs w:val="28"/>
        </w:rPr>
        <w:t>确定庙泾河饮用水源地一级保护区、傀儡湖饮用水源地一级保护区为禁止开发区，具体范围见表5.7-1。</w:t>
      </w:r>
    </w:p>
    <w:p>
      <w:pPr>
        <w:spacing w:line="500" w:lineRule="exact"/>
        <w:ind w:firstLine="584" w:firstLineChars="200"/>
        <w:rPr>
          <w:spacing w:val="6"/>
          <w:szCs w:val="28"/>
        </w:rPr>
      </w:pPr>
      <w:r>
        <w:rPr>
          <w:spacing w:val="6"/>
          <w:szCs w:val="28"/>
        </w:rPr>
        <w:t>（2）限制开发区</w:t>
      </w:r>
    </w:p>
    <w:p>
      <w:pPr>
        <w:spacing w:line="500" w:lineRule="exact"/>
        <w:ind w:firstLine="584" w:firstLineChars="200"/>
        <w:rPr>
          <w:spacing w:val="6"/>
          <w:szCs w:val="28"/>
        </w:rPr>
      </w:pPr>
      <w:r>
        <w:rPr>
          <w:spacing w:val="6"/>
          <w:szCs w:val="28"/>
        </w:rPr>
        <w:t>在限制开发区域，要坚持环保为主，合理选择发展方向，积极发展特色优势产业，加快建设重点生态功能保护区，确保生态功能的回复和保育，逐步恢复生态平衡。</w:t>
      </w:r>
    </w:p>
    <w:p>
      <w:pPr>
        <w:spacing w:line="500" w:lineRule="exact"/>
        <w:ind w:firstLine="584" w:firstLineChars="200"/>
        <w:rPr>
          <w:spacing w:val="6"/>
          <w:szCs w:val="28"/>
        </w:rPr>
      </w:pPr>
      <w:r>
        <w:rPr>
          <w:spacing w:val="6"/>
          <w:szCs w:val="28"/>
        </w:rPr>
        <w:t>限制开发的重要功能区主要包括昆山市森林公园、丹桂园风景名胜区、阳澄湖（昆山）重要湿地、淀山湖（昆山）重要湿地、庙泾河饮用水源地二级保护区和傀儡湖饮用水源地二级保护区，具体见表5.7-1，这类区域具有较高的生态敏感性，不再新增建设用地，有限制地发展旅游、休闲、生态农业等产业。</w:t>
      </w:r>
    </w:p>
    <w:p>
      <w:pPr>
        <w:tabs>
          <w:tab w:val="left" w:pos="4500"/>
        </w:tabs>
        <w:spacing w:line="500" w:lineRule="exact"/>
        <w:jc w:val="center"/>
        <w:rPr>
          <w:b/>
          <w:bCs/>
          <w:spacing w:val="6"/>
          <w:szCs w:val="28"/>
        </w:rPr>
        <w:sectPr>
          <w:endnotePr>
            <w:numFmt w:val="decimal"/>
          </w:endnotePr>
          <w:pgSz w:w="11906" w:h="16838"/>
          <w:pgMar w:top="1440" w:right="1797" w:bottom="1440" w:left="1797" w:header="851" w:footer="992" w:gutter="0"/>
          <w:cols w:space="425" w:num="1"/>
          <w:docGrid w:linePitch="312" w:charSpace="0"/>
        </w:sectPr>
      </w:pPr>
    </w:p>
    <w:p>
      <w:pPr>
        <w:tabs>
          <w:tab w:val="left" w:pos="4500"/>
        </w:tabs>
        <w:spacing w:line="500" w:lineRule="exact"/>
        <w:jc w:val="center"/>
        <w:rPr>
          <w:b/>
          <w:bCs/>
          <w:spacing w:val="6"/>
          <w:szCs w:val="28"/>
        </w:rPr>
      </w:pPr>
      <w:r>
        <w:rPr>
          <w:b/>
          <w:bCs/>
          <w:spacing w:val="6"/>
          <w:szCs w:val="28"/>
        </w:rPr>
        <w:t>表5.7-1  昆山市重要生态功能保护区分布表</w:t>
      </w:r>
    </w:p>
    <w:tbl>
      <w:tblPr>
        <w:tblStyle w:val="33"/>
        <w:tblW w:w="5366"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0" w:type="dxa"/>
          <w:bottom w:w="0" w:type="dxa"/>
          <w:right w:w="0" w:type="dxa"/>
        </w:tblCellMar>
      </w:tblPr>
      <w:tblGrid>
        <w:gridCol w:w="2552"/>
        <w:gridCol w:w="2178"/>
        <w:gridCol w:w="10267"/>
        <w:tblGridChange w:id="1">
          <w:tblGrid>
            <w:gridCol w:w="2552"/>
            <w:gridCol w:w="2178"/>
            <w:gridCol w:w="10267"/>
          </w:tblGrid>
        </w:tblGridChange>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cantSplit/>
          <w:jc w:val="center"/>
        </w:trPr>
        <w:tc>
          <w:tcPr>
            <w:tcW w:w="851" w:type="pct"/>
            <w:noWrap w:val="0"/>
            <w:vAlign w:val="center"/>
          </w:tcPr>
          <w:p>
            <w:pPr>
              <w:spacing w:line="240" w:lineRule="auto"/>
              <w:jc w:val="center"/>
              <w:rPr>
                <w:b/>
                <w:spacing w:val="6"/>
                <w:sz w:val="21"/>
                <w:szCs w:val="21"/>
              </w:rPr>
            </w:pPr>
            <w:r>
              <w:rPr>
                <w:b/>
                <w:spacing w:val="6"/>
                <w:sz w:val="21"/>
                <w:szCs w:val="21"/>
              </w:rPr>
              <w:t>名称</w:t>
            </w:r>
          </w:p>
        </w:tc>
        <w:tc>
          <w:tcPr>
            <w:tcW w:w="726" w:type="pct"/>
            <w:noWrap w:val="0"/>
            <w:vAlign w:val="center"/>
          </w:tcPr>
          <w:p>
            <w:pPr>
              <w:spacing w:line="240" w:lineRule="auto"/>
              <w:jc w:val="center"/>
              <w:rPr>
                <w:b/>
                <w:spacing w:val="6"/>
                <w:sz w:val="21"/>
                <w:szCs w:val="21"/>
              </w:rPr>
            </w:pPr>
            <w:r>
              <w:rPr>
                <w:b/>
                <w:spacing w:val="6"/>
                <w:sz w:val="21"/>
                <w:szCs w:val="21"/>
              </w:rPr>
              <w:t>主导生态功能</w:t>
            </w:r>
          </w:p>
        </w:tc>
        <w:tc>
          <w:tcPr>
            <w:tcW w:w="3423" w:type="pct"/>
            <w:noWrap w:val="0"/>
            <w:vAlign w:val="center"/>
          </w:tcPr>
          <w:p>
            <w:pPr>
              <w:spacing w:line="240" w:lineRule="auto"/>
              <w:jc w:val="center"/>
              <w:rPr>
                <w:b/>
                <w:spacing w:val="6"/>
                <w:sz w:val="21"/>
                <w:szCs w:val="21"/>
              </w:rPr>
            </w:pPr>
            <w:r>
              <w:rPr>
                <w:b/>
                <w:spacing w:val="6"/>
                <w:sz w:val="21"/>
                <w:szCs w:val="21"/>
              </w:rPr>
              <w:t>范围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cantSplit/>
          <w:jc w:val="center"/>
        </w:trPr>
        <w:tc>
          <w:tcPr>
            <w:tcW w:w="851" w:type="pct"/>
            <w:noWrap w:val="0"/>
            <w:vAlign w:val="center"/>
          </w:tcPr>
          <w:p>
            <w:pPr>
              <w:spacing w:line="240" w:lineRule="auto"/>
              <w:rPr>
                <w:spacing w:val="6"/>
                <w:sz w:val="21"/>
                <w:szCs w:val="21"/>
              </w:rPr>
            </w:pPr>
            <w:r>
              <w:rPr>
                <w:spacing w:val="6"/>
                <w:sz w:val="21"/>
                <w:szCs w:val="21"/>
              </w:rPr>
              <w:t>昆山市森林公园</w:t>
            </w:r>
          </w:p>
        </w:tc>
        <w:tc>
          <w:tcPr>
            <w:tcW w:w="726" w:type="pct"/>
            <w:noWrap w:val="0"/>
            <w:vAlign w:val="center"/>
          </w:tcPr>
          <w:p>
            <w:pPr>
              <w:spacing w:line="240" w:lineRule="auto"/>
              <w:rPr>
                <w:spacing w:val="6"/>
                <w:sz w:val="21"/>
                <w:szCs w:val="21"/>
              </w:rPr>
            </w:pPr>
            <w:r>
              <w:rPr>
                <w:spacing w:val="6"/>
                <w:sz w:val="21"/>
                <w:szCs w:val="21"/>
              </w:rPr>
              <w:t>自然与人文景观保护</w:t>
            </w:r>
          </w:p>
        </w:tc>
        <w:tc>
          <w:tcPr>
            <w:tcW w:w="3423" w:type="pct"/>
            <w:noWrap w:val="0"/>
            <w:vAlign w:val="center"/>
          </w:tcPr>
          <w:p>
            <w:pPr>
              <w:spacing w:line="240" w:lineRule="auto"/>
              <w:rPr>
                <w:spacing w:val="6"/>
                <w:sz w:val="21"/>
                <w:szCs w:val="21"/>
              </w:rPr>
            </w:pPr>
            <w:r>
              <w:rPr>
                <w:spacing w:val="6"/>
                <w:sz w:val="21"/>
                <w:szCs w:val="21"/>
              </w:rPr>
              <w:t>限制开发区位于昆山市西北部，占地1.94平方公里，南至马鞍山路，北接庙泾河；东邻西荡河（红旗路），西毗竖长巷河，南北长1.2公里，东西宽1.8公里，在玉山境内。</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cantSplit/>
          <w:jc w:val="center"/>
        </w:trPr>
        <w:tc>
          <w:tcPr>
            <w:tcW w:w="851" w:type="pct"/>
            <w:noWrap w:val="0"/>
            <w:vAlign w:val="center"/>
          </w:tcPr>
          <w:p>
            <w:pPr>
              <w:spacing w:line="240" w:lineRule="auto"/>
              <w:rPr>
                <w:spacing w:val="6"/>
                <w:sz w:val="21"/>
                <w:szCs w:val="21"/>
              </w:rPr>
            </w:pPr>
            <w:r>
              <w:rPr>
                <w:spacing w:val="6"/>
                <w:sz w:val="21"/>
                <w:szCs w:val="21"/>
              </w:rPr>
              <w:t>丹桂园风景名胜区</w:t>
            </w:r>
          </w:p>
        </w:tc>
        <w:tc>
          <w:tcPr>
            <w:tcW w:w="726" w:type="pct"/>
            <w:noWrap w:val="0"/>
            <w:vAlign w:val="center"/>
          </w:tcPr>
          <w:p>
            <w:pPr>
              <w:spacing w:line="240" w:lineRule="auto"/>
              <w:rPr>
                <w:spacing w:val="6"/>
                <w:sz w:val="21"/>
                <w:szCs w:val="21"/>
              </w:rPr>
            </w:pPr>
            <w:r>
              <w:rPr>
                <w:spacing w:val="6"/>
                <w:sz w:val="21"/>
                <w:szCs w:val="21"/>
              </w:rPr>
              <w:t>自然与人文景观保护</w:t>
            </w:r>
          </w:p>
        </w:tc>
        <w:tc>
          <w:tcPr>
            <w:tcW w:w="3423" w:type="pct"/>
            <w:noWrap w:val="0"/>
            <w:vAlign w:val="center"/>
          </w:tcPr>
          <w:p>
            <w:pPr>
              <w:spacing w:line="240" w:lineRule="auto"/>
              <w:rPr>
                <w:spacing w:val="6"/>
                <w:sz w:val="21"/>
                <w:szCs w:val="21"/>
              </w:rPr>
            </w:pPr>
            <w:r>
              <w:rPr>
                <w:spacing w:val="6"/>
                <w:sz w:val="21"/>
                <w:szCs w:val="21"/>
              </w:rPr>
              <w:t>限制开发区位于张浦镇境内的林庄村和新龙村，东至大直港、南至甪直港、西至巍塔路、北至苏虹机场路，占地1.46平方公里 。东西长1公里，南北宽1.5公里。</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cantSplit/>
          <w:jc w:val="center"/>
        </w:trPr>
        <w:tc>
          <w:tcPr>
            <w:tcW w:w="851" w:type="pct"/>
            <w:noWrap w:val="0"/>
            <w:vAlign w:val="center"/>
          </w:tcPr>
          <w:p>
            <w:pPr>
              <w:spacing w:line="240" w:lineRule="auto"/>
              <w:rPr>
                <w:spacing w:val="6"/>
                <w:sz w:val="21"/>
                <w:szCs w:val="21"/>
              </w:rPr>
            </w:pPr>
            <w:r>
              <w:rPr>
                <w:spacing w:val="6"/>
                <w:sz w:val="21"/>
                <w:szCs w:val="21"/>
              </w:rPr>
              <w:t>庙泾河饮用水源保护区</w:t>
            </w:r>
          </w:p>
        </w:tc>
        <w:tc>
          <w:tcPr>
            <w:tcW w:w="726" w:type="pct"/>
            <w:noWrap w:val="0"/>
            <w:vAlign w:val="center"/>
          </w:tcPr>
          <w:p>
            <w:pPr>
              <w:spacing w:line="240" w:lineRule="auto"/>
              <w:rPr>
                <w:spacing w:val="6"/>
                <w:sz w:val="21"/>
                <w:szCs w:val="21"/>
              </w:rPr>
            </w:pPr>
            <w:r>
              <w:rPr>
                <w:spacing w:val="6"/>
                <w:sz w:val="21"/>
                <w:szCs w:val="21"/>
              </w:rPr>
              <w:t>水源水质保护</w:t>
            </w:r>
          </w:p>
        </w:tc>
        <w:tc>
          <w:tcPr>
            <w:tcW w:w="3423" w:type="pct"/>
            <w:noWrap w:val="0"/>
            <w:vAlign w:val="center"/>
          </w:tcPr>
          <w:p>
            <w:pPr>
              <w:spacing w:line="240" w:lineRule="auto"/>
              <w:rPr>
                <w:spacing w:val="6"/>
                <w:sz w:val="21"/>
                <w:szCs w:val="21"/>
              </w:rPr>
            </w:pPr>
            <w:r>
              <w:rPr>
                <w:spacing w:val="6"/>
                <w:sz w:val="21"/>
                <w:szCs w:val="21"/>
              </w:rPr>
              <w:t>禁止开发区为一级保护区：以集中式供水取水口为中心、半径500米范围内的水域；庙泾河水域及其沿岸纵深100米的水域和以集中式供水取水口为中心、半径500米范围内的陆域；庙泾河沿岸纵深100米的陆域； 限制开发区为二级保护区: 庙泾河沿岸纵深500米的水域；以庙泾河取水口为中心、半径1000米范围内的水域。上述范围内已划为一级保护区的除外和庙泾河沿岸纵深500米的陆域；以庙泾河取水口为中心、半径1000米范围内的陆域。上述范围内已划为一级保护区的除外。</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cantSplit/>
          <w:jc w:val="center"/>
        </w:trPr>
        <w:tc>
          <w:tcPr>
            <w:tcW w:w="851" w:type="pct"/>
            <w:noWrap w:val="0"/>
            <w:vAlign w:val="center"/>
          </w:tcPr>
          <w:p>
            <w:pPr>
              <w:spacing w:line="240" w:lineRule="auto"/>
              <w:rPr>
                <w:spacing w:val="6"/>
                <w:sz w:val="21"/>
                <w:szCs w:val="21"/>
              </w:rPr>
            </w:pPr>
            <w:r>
              <w:rPr>
                <w:spacing w:val="6"/>
                <w:sz w:val="21"/>
                <w:szCs w:val="21"/>
              </w:rPr>
              <w:t>傀儡湖饮用水源保护区</w:t>
            </w:r>
          </w:p>
        </w:tc>
        <w:tc>
          <w:tcPr>
            <w:tcW w:w="726" w:type="pct"/>
            <w:noWrap w:val="0"/>
            <w:vAlign w:val="center"/>
          </w:tcPr>
          <w:p>
            <w:pPr>
              <w:spacing w:line="240" w:lineRule="auto"/>
              <w:rPr>
                <w:spacing w:val="6"/>
                <w:sz w:val="21"/>
                <w:szCs w:val="21"/>
              </w:rPr>
            </w:pPr>
            <w:r>
              <w:rPr>
                <w:spacing w:val="6"/>
                <w:sz w:val="21"/>
                <w:szCs w:val="21"/>
              </w:rPr>
              <w:t>水源水质保护</w:t>
            </w:r>
          </w:p>
        </w:tc>
        <w:tc>
          <w:tcPr>
            <w:tcW w:w="3423" w:type="pct"/>
            <w:noWrap w:val="0"/>
            <w:vAlign w:val="center"/>
          </w:tcPr>
          <w:p>
            <w:pPr>
              <w:spacing w:line="240" w:lineRule="auto"/>
              <w:rPr>
                <w:spacing w:val="6"/>
                <w:sz w:val="21"/>
                <w:szCs w:val="21"/>
              </w:rPr>
            </w:pPr>
            <w:r>
              <w:rPr>
                <w:spacing w:val="6"/>
                <w:sz w:val="21"/>
                <w:szCs w:val="21"/>
              </w:rPr>
              <w:t>禁止开发区为一级保护区：傀儡湖、野尤泾整个水域及其沿岸纵深100米的水域和以取水口为中心，半径500米范围内的陆域，傀儡湖、野尤泾沿岸纵深100米的陆域； 限制开发区为二级保护区: 傀儡湖沿岸纵深1000米的水域；野尤泾及沿岸纵深500米的水域；上述范围内已划为一级保护区的除外和傀儡湖沿岸纵深1000米的陆域；庙泾河及沿岸纵深500米的陆域；上述范围内已划为一级保护区的除外。</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cantSplit/>
          <w:jc w:val="center"/>
        </w:trPr>
        <w:tc>
          <w:tcPr>
            <w:tcW w:w="851" w:type="pct"/>
            <w:noWrap w:val="0"/>
            <w:vAlign w:val="center"/>
          </w:tcPr>
          <w:p>
            <w:pPr>
              <w:spacing w:line="240" w:lineRule="auto"/>
              <w:rPr>
                <w:spacing w:val="6"/>
                <w:sz w:val="21"/>
                <w:szCs w:val="21"/>
              </w:rPr>
            </w:pPr>
            <w:r>
              <w:rPr>
                <w:spacing w:val="6"/>
                <w:sz w:val="21"/>
                <w:szCs w:val="21"/>
              </w:rPr>
              <w:t>阳澄湖(昆山市)重要湿地</w:t>
            </w:r>
          </w:p>
        </w:tc>
        <w:tc>
          <w:tcPr>
            <w:tcW w:w="726" w:type="pct"/>
            <w:noWrap w:val="0"/>
            <w:vAlign w:val="center"/>
          </w:tcPr>
          <w:p>
            <w:pPr>
              <w:spacing w:line="240" w:lineRule="auto"/>
              <w:rPr>
                <w:spacing w:val="6"/>
                <w:sz w:val="21"/>
                <w:szCs w:val="21"/>
              </w:rPr>
            </w:pPr>
            <w:r>
              <w:rPr>
                <w:spacing w:val="6"/>
                <w:sz w:val="21"/>
                <w:szCs w:val="21"/>
              </w:rPr>
              <w:t>湿地生态系统维护</w:t>
            </w:r>
          </w:p>
        </w:tc>
        <w:tc>
          <w:tcPr>
            <w:tcW w:w="3423" w:type="pct"/>
            <w:noWrap w:val="0"/>
            <w:vAlign w:val="center"/>
          </w:tcPr>
          <w:p>
            <w:pPr>
              <w:spacing w:line="240" w:lineRule="auto"/>
              <w:rPr>
                <w:spacing w:val="6"/>
                <w:sz w:val="21"/>
                <w:szCs w:val="21"/>
              </w:rPr>
            </w:pPr>
            <w:r>
              <w:rPr>
                <w:spacing w:val="6"/>
                <w:sz w:val="21"/>
                <w:szCs w:val="21"/>
              </w:rPr>
              <w:t>限制开发区位于昆山市西北角，占地53平方公里，南至沪宁铁路，北至七浦塘，南北长13公里，东西宽4.5公里，在巴城境内。</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wBefore w:w="0" w:type="dxa"/>
          <w:wAfter w:w="0" w:type="dxa"/>
          <w:cantSplit/>
          <w:jc w:val="center"/>
        </w:trPr>
        <w:tc>
          <w:tcPr>
            <w:tcW w:w="851" w:type="pct"/>
            <w:noWrap w:val="0"/>
            <w:vAlign w:val="center"/>
          </w:tcPr>
          <w:p>
            <w:pPr>
              <w:spacing w:line="240" w:lineRule="auto"/>
              <w:rPr>
                <w:spacing w:val="6"/>
                <w:sz w:val="21"/>
                <w:szCs w:val="21"/>
              </w:rPr>
            </w:pPr>
            <w:r>
              <w:rPr>
                <w:spacing w:val="6"/>
                <w:sz w:val="21"/>
                <w:szCs w:val="21"/>
              </w:rPr>
              <w:t>淀山湖(昆山市)重要湿地</w:t>
            </w:r>
          </w:p>
        </w:tc>
        <w:tc>
          <w:tcPr>
            <w:tcW w:w="726" w:type="pct"/>
            <w:noWrap w:val="0"/>
            <w:vAlign w:val="center"/>
          </w:tcPr>
          <w:p>
            <w:pPr>
              <w:spacing w:line="240" w:lineRule="auto"/>
              <w:rPr>
                <w:spacing w:val="6"/>
                <w:sz w:val="21"/>
                <w:szCs w:val="21"/>
              </w:rPr>
            </w:pPr>
            <w:r>
              <w:rPr>
                <w:spacing w:val="6"/>
                <w:sz w:val="21"/>
                <w:szCs w:val="21"/>
              </w:rPr>
              <w:t>湿地生态系统维护</w:t>
            </w:r>
          </w:p>
        </w:tc>
        <w:tc>
          <w:tcPr>
            <w:tcW w:w="3423" w:type="pct"/>
            <w:noWrap w:val="0"/>
            <w:vAlign w:val="center"/>
          </w:tcPr>
          <w:p>
            <w:pPr>
              <w:spacing w:line="240" w:lineRule="auto"/>
              <w:rPr>
                <w:spacing w:val="6"/>
                <w:sz w:val="21"/>
                <w:szCs w:val="21"/>
              </w:rPr>
            </w:pPr>
            <w:r>
              <w:rPr>
                <w:spacing w:val="6"/>
                <w:sz w:val="21"/>
                <w:szCs w:val="21"/>
              </w:rPr>
              <w:t>限制开发区位于昆山市南部，涉及到淀山湖镇、张浦镇、周庄镇、锦溪镇，以淀山湖为主体，由淀山湖、明镜荡、白莲湖、白蚬湖、商秧潭、 杨氏田湖 、陈墓荡 、汪洋湖、急水荡、澄湖等湖泊湿地组成。</w:t>
            </w:r>
          </w:p>
        </w:tc>
      </w:tr>
    </w:tbl>
    <w:p>
      <w:pPr>
        <w:rPr>
          <w:sz w:val="21"/>
          <w:szCs w:val="21"/>
        </w:rPr>
      </w:pPr>
      <w:r>
        <w:rPr>
          <w:rFonts w:hint="eastAsia"/>
          <w:spacing w:val="6"/>
          <w:sz w:val="21"/>
          <w:szCs w:val="21"/>
        </w:rPr>
        <w:t>注：引自《</w:t>
      </w:r>
      <w:r>
        <w:rPr>
          <w:rFonts w:hint="eastAsia"/>
          <w:sz w:val="21"/>
          <w:szCs w:val="21"/>
        </w:rPr>
        <w:t>江苏省重要生态功能保护区区域规划》（江苏省环境保护厅2009.2）</w:t>
      </w:r>
    </w:p>
    <w:p>
      <w:pPr>
        <w:spacing w:line="500" w:lineRule="exact"/>
        <w:ind w:firstLine="586" w:firstLineChars="200"/>
        <w:rPr>
          <w:rFonts w:hint="eastAsia"/>
          <w:b/>
          <w:spacing w:val="6"/>
          <w:szCs w:val="28"/>
        </w:rPr>
      </w:pPr>
    </w:p>
    <w:p>
      <w:pPr>
        <w:spacing w:line="500" w:lineRule="exact"/>
        <w:ind w:firstLine="584" w:firstLineChars="200"/>
        <w:rPr>
          <w:rFonts w:hint="eastAsia"/>
          <w:spacing w:val="6"/>
          <w:szCs w:val="28"/>
        </w:rPr>
      </w:pPr>
    </w:p>
    <w:p>
      <w:pPr>
        <w:spacing w:line="500" w:lineRule="exact"/>
        <w:ind w:firstLine="584" w:firstLineChars="200"/>
        <w:rPr>
          <w:rFonts w:hint="eastAsia"/>
          <w:spacing w:val="6"/>
          <w:szCs w:val="28"/>
        </w:rPr>
        <w:sectPr>
          <w:endnotePr>
            <w:numFmt w:val="decimal"/>
          </w:endnotePr>
          <w:pgSz w:w="16838" w:h="11906" w:orient="landscape"/>
          <w:pgMar w:top="1797" w:right="1440" w:bottom="1797" w:left="1440" w:header="851" w:footer="992" w:gutter="0"/>
          <w:cols w:space="425" w:num="1"/>
          <w:docGrid w:linePitch="312" w:charSpace="0"/>
        </w:sectPr>
      </w:pPr>
    </w:p>
    <w:p>
      <w:pPr>
        <w:spacing w:line="500" w:lineRule="exact"/>
        <w:ind w:firstLine="584" w:firstLineChars="200"/>
        <w:rPr>
          <w:spacing w:val="6"/>
          <w:szCs w:val="28"/>
        </w:rPr>
      </w:pPr>
      <w:r>
        <w:rPr>
          <w:spacing w:val="6"/>
          <w:szCs w:val="28"/>
        </w:rPr>
        <w:t>（3）优化开发区</w:t>
      </w:r>
    </w:p>
    <w:p>
      <w:pPr>
        <w:spacing w:line="500" w:lineRule="exact"/>
        <w:ind w:firstLine="584" w:firstLineChars="200"/>
        <w:rPr>
          <w:spacing w:val="6"/>
          <w:szCs w:val="28"/>
        </w:rPr>
      </w:pPr>
      <w:r>
        <w:rPr>
          <w:spacing w:val="6"/>
          <w:szCs w:val="28"/>
        </w:rPr>
        <w:t>在优化开发区域，要坚持环境优先，优化产业结构和布局，大力发展高新技术，加快传统产业技术升级，实行严格的建设项目准入制度，率先完成排污总量削减任务，做到增产减污，切实解决一批突出的环境问题，努力改善环境质量。优化开发区域包括玉山镇为中心的昆山城市中心区、中心镇、昆山经济开发区和花桥经济开发区。该类区域是昆山城市化的主要载体，是工业发展的主体空间，应加大该类区域的基础设施和公共服务设施投资力度，改善投资环境，注重提高土地的利用效率，充分发挥交通优越条件，推行昆山新型工业化和新型城市化，推动区域经济统筹协调发展。</w:t>
      </w:r>
    </w:p>
    <w:p>
      <w:pPr>
        <w:spacing w:line="500" w:lineRule="exact"/>
        <w:ind w:firstLine="584" w:firstLineChars="200"/>
        <w:rPr>
          <w:spacing w:val="6"/>
          <w:szCs w:val="28"/>
        </w:rPr>
      </w:pPr>
      <w:r>
        <w:rPr>
          <w:spacing w:val="6"/>
          <w:szCs w:val="28"/>
        </w:rPr>
        <w:t>（4）重点开发区</w:t>
      </w:r>
    </w:p>
    <w:p>
      <w:pPr>
        <w:spacing w:line="500" w:lineRule="exact"/>
        <w:ind w:firstLine="584" w:firstLineChars="200"/>
        <w:rPr>
          <w:spacing w:val="6"/>
          <w:szCs w:val="28"/>
        </w:rPr>
      </w:pPr>
      <w:r>
        <w:rPr>
          <w:spacing w:val="6"/>
          <w:szCs w:val="28"/>
        </w:rPr>
        <w:t>在重点开发区域，要坚持环境与经济协调发展，科学合理利用环境承载力，推进工业化和城镇化，加快环保基础设施建设，严格控制污染物排放总量，做到增产不增污，基本遏制生态环境恶化趋势。这类区域包括一般建制镇和农村居民点。该类区域要重点调整优化用地结构，促进农民集中居住，置换出的土地及时复垦耕种。开发建设过程要注意自然生态和人文建筑的保护，根据各地特色适度发展旅游、服务业等。严格保护基本农田，除用于重大基础设施项目外，不得进行其他建设。</w:t>
      </w:r>
    </w:p>
    <w:p>
      <w:pPr>
        <w:pStyle w:val="5"/>
        <w:spacing w:line="500" w:lineRule="exact"/>
        <w:ind w:left="0"/>
        <w:rPr>
          <w:rFonts w:eastAsia="仿宋_GB2312"/>
          <w:szCs w:val="28"/>
        </w:rPr>
      </w:pPr>
      <w:r>
        <w:rPr>
          <w:rFonts w:eastAsia="仿宋_GB2312"/>
          <w:szCs w:val="28"/>
        </w:rPr>
        <w:t>5.7.2.2湿地保护</w:t>
      </w:r>
    </w:p>
    <w:p>
      <w:pPr>
        <w:spacing w:line="500" w:lineRule="exact"/>
        <w:ind w:firstLine="584" w:firstLineChars="200"/>
        <w:rPr>
          <w:spacing w:val="6"/>
          <w:szCs w:val="28"/>
        </w:rPr>
      </w:pPr>
      <w:r>
        <w:rPr>
          <w:spacing w:val="6"/>
          <w:szCs w:val="28"/>
        </w:rPr>
        <w:t>昆山河道密布、湖荡众多，河滨湿地资源丰富。河滨湿地是河网生态系统中能量和物质循环最为活跃的区域，也是污染物净化最为突出的区域。为充分发挥湿地生态系统的服务功能，对阳澄湖（昆山）、傀儡湖、淀山湖、澄湖等重要湿地进行重点保护。改造堤岸的硬质结构，进行堤岸基质修复，创造堤岸植物的生境条件是湖滨湿地修复的关键。充分依托水乡特色和自然地理条件，根据水环境治理需求及生态景观要求，依据城乡规划和水环境治方案，在现场调查和分析的基础上，规划建设防污主导型、景观与防污结合型、净化与蓄洪结合型等不同类型的人工湿地，促进昆山水环境治理的进一步深化。</w:t>
      </w:r>
    </w:p>
    <w:p>
      <w:pPr>
        <w:pStyle w:val="5"/>
        <w:spacing w:line="500" w:lineRule="exact"/>
        <w:ind w:left="0"/>
        <w:rPr>
          <w:rFonts w:eastAsia="仿宋_GB2312"/>
          <w:szCs w:val="28"/>
        </w:rPr>
      </w:pPr>
      <w:r>
        <w:rPr>
          <w:rFonts w:eastAsia="仿宋_GB2312"/>
          <w:szCs w:val="28"/>
        </w:rPr>
        <w:t>5.7.2.3生态廊道建设</w:t>
      </w:r>
    </w:p>
    <w:p>
      <w:pPr>
        <w:spacing w:line="500" w:lineRule="exact"/>
        <w:ind w:firstLine="584" w:firstLineChars="200"/>
        <w:rPr>
          <w:spacing w:val="6"/>
          <w:szCs w:val="28"/>
        </w:rPr>
      </w:pPr>
      <w:r>
        <w:rPr>
          <w:spacing w:val="6"/>
          <w:szCs w:val="28"/>
        </w:rPr>
        <w:t>生态廊道是联系自然生态空间和城镇发展空间的纽带，发挥着加强生态系统间的联系、提高生态系统的稳定性、控制城镇空间无序蔓延的功能。根据昆山的自然和地理特点，规划昆山市的生态廊道建设以河流水系和道路交通为主。水系廊道建设吴淞江和娄江以及沟通这两条河流的青阳港三大主要生态廊道，将昆山的主要河流沟通起来，保证水生生态系统的完整性。道路生态廊道以市域内的交通网络为基础，以东西走向的沪宁高速公路、沪宁铁路、苏沪高速、苏昆太高速，以及南北走向的苏州环城高速、224省道为重点，在道路两侧设置50-100m的绿化带，在低等级公路两侧设置10-30m的绿化隔离带，在乡村公路两侧设置5-10m的绿化隔离带，并由此扩大农田林网面积。此外，城市铁路、高速公路等交通设施的建设往往会阻碍陆地动物的正常迁徙，因此要在动物迁徙频繁经过的地区设置迁徙通道，保证各重要生态功能区的相通和交流。</w:t>
      </w:r>
    </w:p>
    <w:p>
      <w:pPr>
        <w:pStyle w:val="5"/>
        <w:spacing w:line="500" w:lineRule="exact"/>
        <w:ind w:left="0"/>
        <w:rPr>
          <w:rFonts w:eastAsia="仿宋_GB2312"/>
          <w:szCs w:val="28"/>
        </w:rPr>
      </w:pPr>
      <w:r>
        <w:rPr>
          <w:rFonts w:eastAsia="仿宋_GB2312"/>
          <w:szCs w:val="28"/>
        </w:rPr>
        <w:t>5.7.2.</w:t>
      </w:r>
      <w:r>
        <w:rPr>
          <w:rFonts w:hint="eastAsia" w:eastAsia="仿宋_GB2312"/>
          <w:szCs w:val="28"/>
        </w:rPr>
        <w:t>4</w:t>
      </w:r>
      <w:r>
        <w:rPr>
          <w:rFonts w:eastAsia="仿宋_GB2312"/>
          <w:szCs w:val="28"/>
        </w:rPr>
        <w:t>生物多样性保护</w:t>
      </w:r>
    </w:p>
    <w:p>
      <w:pPr>
        <w:spacing w:line="500" w:lineRule="exact"/>
        <w:ind w:firstLine="584" w:firstLineChars="200"/>
        <w:rPr>
          <w:spacing w:val="6"/>
          <w:szCs w:val="28"/>
        </w:rPr>
      </w:pPr>
      <w:r>
        <w:rPr>
          <w:spacing w:val="6"/>
          <w:szCs w:val="28"/>
        </w:rPr>
        <w:t>生物多样性是生物及其环境形成的生态复合体以及与此相关的各种生态过程的总和，包括动物、植物、微生物和它们所拥有的基因以及它们与其生存环境形成的复杂的生态系统。生物多样性是生命系统的基本特征，存在一个等级的层次，即：基因多样性、种内多样性、物种多样性和生态系统多样性。基因多样性决定其他层次的生物多样性，物种多样性是遗传多样性存在的必要条件，生态系统多样性是生物多样性得以维持的时间和空间基础。</w:t>
      </w:r>
    </w:p>
    <w:p>
      <w:pPr>
        <w:spacing w:line="500" w:lineRule="exact"/>
        <w:ind w:firstLine="584" w:firstLineChars="200"/>
        <w:rPr>
          <w:spacing w:val="6"/>
          <w:szCs w:val="28"/>
        </w:rPr>
      </w:pPr>
      <w:r>
        <w:rPr>
          <w:spacing w:val="6"/>
          <w:szCs w:val="28"/>
        </w:rPr>
        <w:t>昆山市地貌总体上呈平原分布，生境相对单调。区内原生植被类型包括陆生和湿地两种类型，陆生植被为常绿阔叶和落叶阔叶混交林，湿地植被为大面积的湖荡芦苇、狐草、荻草和蒲草等群丛，没有特殊种。野生动物资源丰富，根据生境类型和生活行为习惯，野生动物可分为六类：水生动物、陆生兽类、林鸟、水鸟、土壤底栖动物和昆虫。</w:t>
      </w:r>
    </w:p>
    <w:p>
      <w:pPr>
        <w:spacing w:line="500" w:lineRule="exact"/>
        <w:ind w:firstLine="584" w:firstLineChars="200"/>
        <w:rPr>
          <w:spacing w:val="6"/>
          <w:szCs w:val="28"/>
        </w:rPr>
      </w:pPr>
      <w:r>
        <w:rPr>
          <w:spacing w:val="6"/>
          <w:szCs w:val="28"/>
        </w:rPr>
        <w:t>对于生物多样性的保护，首要是维持其生境不受到干扰和破坏，保持种群内正常的交流和沟通。因此，对于划定的重要生态功能区要严格保护，并保证生态廊道的建设，避免出现生物孤岛现象。对于种群数量较少的物种，加大科学研究和人工培育力度，恢复种群数量。同时，要加强生物检测和外来物种监控，避免外来物种入侵。</w:t>
      </w:r>
    </w:p>
    <w:p>
      <w:pPr>
        <w:pStyle w:val="5"/>
        <w:spacing w:line="500" w:lineRule="exact"/>
        <w:ind w:left="0"/>
        <w:rPr>
          <w:rFonts w:eastAsia="仿宋_GB2312"/>
          <w:szCs w:val="28"/>
        </w:rPr>
      </w:pPr>
      <w:r>
        <w:rPr>
          <w:rFonts w:eastAsia="仿宋_GB2312"/>
          <w:szCs w:val="28"/>
        </w:rPr>
        <w:t>5.7.2.</w:t>
      </w:r>
      <w:r>
        <w:rPr>
          <w:rFonts w:hint="eastAsia" w:eastAsia="仿宋_GB2312"/>
          <w:szCs w:val="28"/>
        </w:rPr>
        <w:t>5</w:t>
      </w:r>
      <w:r>
        <w:rPr>
          <w:rFonts w:eastAsia="仿宋_GB2312"/>
          <w:szCs w:val="28"/>
        </w:rPr>
        <w:t>土壤环境污染控制</w:t>
      </w:r>
    </w:p>
    <w:p>
      <w:pPr>
        <w:spacing w:line="500" w:lineRule="exact"/>
        <w:ind w:firstLine="584" w:firstLineChars="200"/>
        <w:rPr>
          <w:spacing w:val="6"/>
          <w:szCs w:val="28"/>
        </w:rPr>
      </w:pPr>
      <w:r>
        <w:rPr>
          <w:spacing w:val="6"/>
          <w:szCs w:val="28"/>
        </w:rPr>
        <w:t>（1）建立土壤环境质量信息数据库</w:t>
      </w:r>
    </w:p>
    <w:p>
      <w:pPr>
        <w:spacing w:line="500" w:lineRule="exact"/>
        <w:ind w:firstLine="584" w:firstLineChars="200"/>
        <w:rPr>
          <w:spacing w:val="6"/>
          <w:szCs w:val="28"/>
        </w:rPr>
      </w:pPr>
      <w:r>
        <w:rPr>
          <w:spacing w:val="6"/>
          <w:szCs w:val="28"/>
        </w:rPr>
        <w:t>开展城市土壤环境污染普查工作，掌握全市土壤环境质量整体状况，重点分析工业区、城中村等城市重点区域土壤重金属、毒害有机污染物污染情况、污染来源与污染变化过程，完善污染行业企业有毒有害废物登记制度、重点区域污染源登记制度，从源头掌握土壤污染途径变化情况，结合3S技术建立土壤环境质量信息数据库。</w:t>
      </w:r>
    </w:p>
    <w:p>
      <w:pPr>
        <w:spacing w:line="500" w:lineRule="exact"/>
        <w:ind w:firstLine="584" w:firstLineChars="200"/>
        <w:rPr>
          <w:spacing w:val="6"/>
          <w:szCs w:val="28"/>
        </w:rPr>
      </w:pPr>
      <w:r>
        <w:rPr>
          <w:spacing w:val="6"/>
          <w:szCs w:val="28"/>
        </w:rPr>
        <w:t>土壤环境质量信息库建设工程包括：</w:t>
      </w:r>
    </w:p>
    <w:p>
      <w:pPr>
        <w:spacing w:line="500" w:lineRule="exact"/>
        <w:ind w:firstLine="584" w:firstLineChars="200"/>
        <w:rPr>
          <w:spacing w:val="6"/>
          <w:szCs w:val="28"/>
        </w:rPr>
      </w:pPr>
      <w:r>
        <w:rPr>
          <w:spacing w:val="6"/>
          <w:szCs w:val="28"/>
        </w:rPr>
        <w:fldChar w:fldCharType="begin"/>
      </w:r>
      <w:r>
        <w:rPr>
          <w:spacing w:val="6"/>
          <w:szCs w:val="28"/>
        </w:rPr>
        <w:instrText xml:space="preserve"> = 1 \* GB3 </w:instrText>
      </w:r>
      <w:r>
        <w:rPr>
          <w:spacing w:val="6"/>
          <w:szCs w:val="28"/>
        </w:rPr>
        <w:fldChar w:fldCharType="separate"/>
      </w:r>
      <w:r>
        <w:rPr>
          <w:spacing w:val="6"/>
          <w:szCs w:val="28"/>
          <w:lang/>
        </w:rPr>
        <w:t>①</w:t>
      </w:r>
      <w:r>
        <w:rPr>
          <w:spacing w:val="6"/>
          <w:szCs w:val="28"/>
        </w:rPr>
        <w:fldChar w:fldCharType="end"/>
      </w:r>
      <w:r>
        <w:rPr>
          <w:spacing w:val="6"/>
          <w:szCs w:val="28"/>
        </w:rPr>
        <w:t>重金属排放企业专项排查整治，掌握重金属排放企业生产工艺、重金属污染点位与数量，减少重金属排放污染行为。</w:t>
      </w:r>
    </w:p>
    <w:p>
      <w:pPr>
        <w:spacing w:line="500" w:lineRule="exact"/>
        <w:ind w:firstLine="584" w:firstLineChars="200"/>
        <w:rPr>
          <w:spacing w:val="6"/>
          <w:szCs w:val="28"/>
        </w:rPr>
      </w:pPr>
      <w:r>
        <w:rPr>
          <w:spacing w:val="6"/>
          <w:szCs w:val="28"/>
        </w:rPr>
        <w:fldChar w:fldCharType="begin"/>
      </w:r>
      <w:r>
        <w:rPr>
          <w:spacing w:val="6"/>
          <w:szCs w:val="28"/>
        </w:rPr>
        <w:instrText xml:space="preserve"> = 2 \* GB3 </w:instrText>
      </w:r>
      <w:r>
        <w:rPr>
          <w:spacing w:val="6"/>
          <w:szCs w:val="28"/>
        </w:rPr>
        <w:fldChar w:fldCharType="separate"/>
      </w:r>
      <w:r>
        <w:rPr>
          <w:spacing w:val="6"/>
          <w:szCs w:val="28"/>
          <w:lang/>
        </w:rPr>
        <w:t>②</w:t>
      </w:r>
      <w:r>
        <w:rPr>
          <w:spacing w:val="6"/>
          <w:szCs w:val="28"/>
        </w:rPr>
        <w:fldChar w:fldCharType="end"/>
      </w:r>
      <w:r>
        <w:rPr>
          <w:spacing w:val="6"/>
          <w:szCs w:val="28"/>
        </w:rPr>
        <w:t>重点区域土壤污染防治信息系统：</w:t>
      </w:r>
      <w:r>
        <w:rPr>
          <w:rFonts w:hint="eastAsia"/>
          <w:spacing w:val="6"/>
          <w:szCs w:val="28"/>
        </w:rPr>
        <w:t>“</w:t>
      </w:r>
      <w:r>
        <w:rPr>
          <w:spacing w:val="6"/>
          <w:szCs w:val="28"/>
        </w:rPr>
        <w:t>十二五</w:t>
      </w:r>
      <w:r>
        <w:rPr>
          <w:rFonts w:hint="eastAsia"/>
          <w:spacing w:val="6"/>
          <w:szCs w:val="28"/>
        </w:rPr>
        <w:t>”</w:t>
      </w:r>
      <w:r>
        <w:rPr>
          <w:spacing w:val="6"/>
          <w:szCs w:val="28"/>
        </w:rPr>
        <w:t>期间完成污染现状调查、企业污染物登记，掌握全市土壤环境质量动态变化、场地使用功能置换记录、行业企业有毒有害废物变化情况等基础信息系统建立。</w:t>
      </w:r>
    </w:p>
    <w:p>
      <w:pPr>
        <w:spacing w:line="500" w:lineRule="exact"/>
        <w:ind w:firstLine="584" w:firstLineChars="200"/>
        <w:rPr>
          <w:spacing w:val="6"/>
          <w:szCs w:val="28"/>
        </w:rPr>
      </w:pPr>
      <w:r>
        <w:rPr>
          <w:spacing w:val="6"/>
          <w:szCs w:val="28"/>
        </w:rPr>
        <w:t>（2）加强土壤环境监管能力建设</w:t>
      </w:r>
    </w:p>
    <w:p>
      <w:pPr>
        <w:spacing w:line="500" w:lineRule="exact"/>
        <w:ind w:firstLine="584" w:firstLineChars="200"/>
        <w:rPr>
          <w:spacing w:val="6"/>
          <w:szCs w:val="28"/>
        </w:rPr>
      </w:pPr>
      <w:r>
        <w:rPr>
          <w:spacing w:val="6"/>
          <w:szCs w:val="28"/>
        </w:rPr>
        <w:t>制定并颁布实施昆山市土壤污染防治条例、重点区域土壤风险评估技术导则、以保护人体健康为目标的城市土壤环境质量标准等一系列条例、标准和技术规范，将土壤环境质量监测纳入常规监测项目，着力推进土壤环境监测标准化建设，配套完善土壤环境监测人才、设备及检测仪器，加强对重点区域场地使用功能置换全过程监测，对重要敏感区和浓度高值区须进行加密监测、跟踪监测。</w:t>
      </w:r>
    </w:p>
    <w:p>
      <w:pPr>
        <w:spacing w:line="500" w:lineRule="exact"/>
        <w:ind w:firstLine="584" w:firstLineChars="200"/>
        <w:rPr>
          <w:spacing w:val="6"/>
          <w:szCs w:val="28"/>
        </w:rPr>
      </w:pPr>
      <w:r>
        <w:rPr>
          <w:spacing w:val="6"/>
          <w:szCs w:val="28"/>
        </w:rPr>
        <w:t>（3）加强土壤污染风险防范能力建设</w:t>
      </w:r>
    </w:p>
    <w:p>
      <w:pPr>
        <w:spacing w:line="500" w:lineRule="exact"/>
        <w:ind w:firstLine="584" w:firstLineChars="200"/>
        <w:rPr>
          <w:spacing w:val="6"/>
          <w:szCs w:val="28"/>
        </w:rPr>
      </w:pPr>
      <w:r>
        <w:rPr>
          <w:spacing w:val="6"/>
          <w:szCs w:val="28"/>
        </w:rPr>
        <w:t>加强土壤环境保护队伍建设，把土壤环境质量监测纳入环境监测预警体系建设中，制定土壤污染事故应急处理处置预案；完善企业搬迁场地风险评估信息服务平台和重点区域场地功能置换登记制度建设，明确污染场地风险评估责任主体与技术要求，加强对重点区域土地功能置换过程中的环境风险防范能力建设，防止风险评估后产生的二次污染，初步研究重点区域更新改造的环境影响评价技术方法。</w:t>
      </w:r>
    </w:p>
    <w:p>
      <w:pPr>
        <w:spacing w:line="500" w:lineRule="exact"/>
        <w:ind w:firstLine="584" w:firstLineChars="200"/>
        <w:rPr>
          <w:spacing w:val="6"/>
          <w:szCs w:val="28"/>
        </w:rPr>
      </w:pPr>
      <w:r>
        <w:rPr>
          <w:spacing w:val="6"/>
          <w:szCs w:val="28"/>
        </w:rPr>
        <w:t>（4）开展土壤污染修复示范工程建设</w:t>
      </w:r>
    </w:p>
    <w:p>
      <w:pPr>
        <w:spacing w:line="500" w:lineRule="exact"/>
        <w:ind w:firstLine="584" w:firstLineChars="200"/>
      </w:pPr>
      <w:r>
        <w:rPr>
          <w:spacing w:val="6"/>
          <w:szCs w:val="28"/>
        </w:rPr>
        <w:t>加大土壤污染防治资金投入，保证投入每年有所增长，设立专项资金重点资助土壤污染防治科学研究和技术开发、污染土壤修复与综合治理示范工程建设，建立土壤污染修复的技术支撑体系，明确污染防治的责任主体。选择一批有代表性的污染土壤，优先开展土壤重金属土壤污染防治与修复，重点支持一批重点区域重点治理与修复示范工程，为在更大范围内开展土壤污染修复提供示范、积累经验。</w:t>
      </w:r>
    </w:p>
    <w:p>
      <w:pPr>
        <w:ind w:firstLine="560" w:firstLineChars="200"/>
        <w:sectPr>
          <w:endnotePr>
            <w:numFmt w:val="decimal"/>
          </w:endnotePr>
          <w:pgSz w:w="11906" w:h="16838"/>
          <w:pgMar w:top="1440" w:right="1797" w:bottom="1440" w:left="1797" w:header="851" w:footer="992" w:gutter="0"/>
          <w:cols w:space="425" w:num="1"/>
          <w:docGrid w:linePitch="312" w:charSpace="0"/>
        </w:sectPr>
      </w:pPr>
    </w:p>
    <w:p>
      <w:pPr>
        <w:pStyle w:val="3"/>
        <w:rPr>
          <w:rFonts w:hint="eastAsia"/>
        </w:rPr>
      </w:pPr>
      <w:bookmarkStart w:id="138" w:name="_Toc263071774"/>
      <w:bookmarkStart w:id="139" w:name="_Toc304379416"/>
      <w:bookmarkStart w:id="140" w:name="_Toc265336550"/>
      <w:r>
        <w:t>5.8核与辐射安全监管</w:t>
      </w:r>
      <w:bookmarkEnd w:id="138"/>
      <w:bookmarkEnd w:id="139"/>
      <w:bookmarkEnd w:id="140"/>
    </w:p>
    <w:p>
      <w:pPr>
        <w:pStyle w:val="4"/>
        <w:rPr>
          <w:rFonts w:hint="eastAsia" w:ascii="Times New Roman" w:hAnsi="Times New Roman"/>
        </w:rPr>
      </w:pPr>
      <w:r>
        <w:rPr>
          <w:rFonts w:ascii="Times New Roman" w:hAnsi="Times New Roman"/>
        </w:rPr>
        <w:t>5.8.1</w:t>
      </w:r>
      <w:r>
        <w:rPr>
          <w:rFonts w:hint="eastAsia" w:ascii="Times New Roman" w:hAnsi="Times New Roman"/>
        </w:rPr>
        <w:t xml:space="preserve"> </w:t>
      </w:r>
      <w:r>
        <w:rPr>
          <w:rFonts w:ascii="Times New Roman" w:hAnsi="Times New Roman"/>
        </w:rPr>
        <w:t>加强核与辐射监管能力建设</w:t>
      </w:r>
    </w:p>
    <w:p>
      <w:pPr>
        <w:pStyle w:val="32"/>
        <w:spacing w:before="0" w:beforeAutospacing="0" w:after="0" w:afterAutospacing="0" w:line="500" w:lineRule="exact"/>
        <w:ind w:firstLine="584" w:firstLineChars="200"/>
        <w:jc w:val="both"/>
        <w:rPr>
          <w:rFonts w:ascii="Times New Roman" w:hAnsi="Times New Roman" w:eastAsia="仿宋_GB2312"/>
          <w:spacing w:val="6"/>
          <w:sz w:val="28"/>
          <w:szCs w:val="28"/>
        </w:rPr>
      </w:pPr>
      <w:r>
        <w:rPr>
          <w:rFonts w:ascii="Times New Roman" w:hAnsi="Times New Roman" w:eastAsia="仿宋_GB2312"/>
          <w:spacing w:val="6"/>
          <w:sz w:val="28"/>
          <w:szCs w:val="28"/>
        </w:rPr>
        <w:t>开展放射源自动监控系统建设，运用信息化平台提高监管效率。健全伴有辐射建设项目单位的网络档案，对放射源及涉源单位进行动态与跟踪管理，建立监测监控系统，全面提升核辐射技术应用的安全性。加强对产生放射性“三废”单位的监督管理，确保放射性废物（源）得到安全处置，确保环境放射性水平控制在天然水平。加大对伴有电磁辐射建设项目的监督管理力度。运行维护好放射源网上申报登记系统，在放射源各个流通环节进行全过程跟踪，对较高风险的放射源和辐照中心的放射源建立在线网络监视系统。加强核与辐射的地方立法、相关标准体系及科学研究工作，不断提高核与辐射安全监管水平。</w:t>
      </w:r>
    </w:p>
    <w:p>
      <w:pPr>
        <w:pStyle w:val="32"/>
        <w:spacing w:before="0" w:beforeAutospacing="0" w:after="0" w:afterAutospacing="0" w:line="500" w:lineRule="exact"/>
        <w:ind w:firstLine="584" w:firstLineChars="200"/>
        <w:jc w:val="both"/>
        <w:rPr>
          <w:rFonts w:ascii="Times New Roman" w:hAnsi="Times New Roman" w:eastAsia="仿宋_GB2312"/>
          <w:spacing w:val="6"/>
          <w:sz w:val="28"/>
          <w:szCs w:val="28"/>
        </w:rPr>
      </w:pPr>
      <w:r>
        <w:rPr>
          <w:rFonts w:ascii="Times New Roman" w:hAnsi="Times New Roman" w:eastAsia="仿宋_GB2312"/>
          <w:spacing w:val="6"/>
          <w:sz w:val="28"/>
          <w:szCs w:val="28"/>
        </w:rPr>
        <w:t>建立健全核与辐射安全监控体系。按照国家有关法律、法规的要求，密切与公安、卫生部门联系，对放射性同位素、射线装置安全和防护工作实施统一监督管理。加强人员培训，充实监管队伍，完善县市监管能力标准化建设，实现组织网络化、管理程序化、技术规范化、方法标准化、装备现代化、质量保证系统化。</w:t>
      </w:r>
    </w:p>
    <w:p>
      <w:pPr>
        <w:pStyle w:val="32"/>
        <w:spacing w:before="0" w:beforeAutospacing="0" w:after="0" w:afterAutospacing="0" w:line="500" w:lineRule="exact"/>
        <w:ind w:firstLine="584" w:firstLineChars="200"/>
        <w:jc w:val="both"/>
        <w:rPr>
          <w:rFonts w:hint="eastAsia" w:ascii="Times New Roman" w:hAnsi="Times New Roman" w:eastAsia="仿宋_GB2312"/>
          <w:spacing w:val="6"/>
          <w:sz w:val="28"/>
          <w:szCs w:val="28"/>
        </w:rPr>
      </w:pPr>
      <w:r>
        <w:rPr>
          <w:rFonts w:ascii="Times New Roman" w:hAnsi="Times New Roman" w:eastAsia="仿宋_GB2312"/>
          <w:spacing w:val="6"/>
          <w:sz w:val="28"/>
          <w:szCs w:val="28"/>
        </w:rPr>
        <w:t>加强辐射环境安全监测与应急能力建设。达到《全国辐射环境监测与监察机构建设标准》的要求，购置辐射监测仪器设备、摄像、计算机、信息传输设备、应急监测车、防护装置和用品等相关设备，不断提高</w:t>
      </w:r>
      <w:r>
        <w:rPr>
          <w:rFonts w:hint="eastAsia" w:ascii="Times New Roman" w:hAnsi="Times New Roman" w:eastAsia="仿宋_GB2312"/>
          <w:spacing w:val="6"/>
          <w:sz w:val="28"/>
          <w:szCs w:val="28"/>
        </w:rPr>
        <w:t>昆山</w:t>
      </w:r>
      <w:r>
        <w:rPr>
          <w:rFonts w:ascii="Times New Roman" w:hAnsi="Times New Roman" w:eastAsia="仿宋_GB2312"/>
          <w:spacing w:val="6"/>
          <w:sz w:val="28"/>
          <w:szCs w:val="28"/>
        </w:rPr>
        <w:t>市辐射环境监督站的硬件水平和监测能力，联网以江苏省辐射环境监测管理站为核心的全省辐射环境监测与应急监测网络，实现“组织网络化、管理程序化、技术规范化、方法标准化、装备现代化、质量保证系统化”，核与辐射事故和反核恐怖应急监测“平战结合、常备不懈”。</w:t>
      </w:r>
    </w:p>
    <w:p>
      <w:pPr>
        <w:pStyle w:val="4"/>
        <w:rPr>
          <w:rFonts w:ascii="Times New Roman" w:hAnsi="Times New Roman"/>
        </w:rPr>
      </w:pPr>
      <w:r>
        <w:rPr>
          <w:rFonts w:ascii="Times New Roman" w:hAnsi="Times New Roman"/>
        </w:rPr>
        <w:t>5.8.2</w:t>
      </w:r>
      <w:r>
        <w:rPr>
          <w:rFonts w:hint="eastAsia" w:ascii="Times New Roman" w:hAnsi="Times New Roman"/>
        </w:rPr>
        <w:t xml:space="preserve"> </w:t>
      </w:r>
      <w:r>
        <w:rPr>
          <w:rFonts w:ascii="Times New Roman" w:hAnsi="Times New Roman"/>
        </w:rPr>
        <w:t>加强放射性废物（源）的安全管理</w:t>
      </w:r>
    </w:p>
    <w:p>
      <w:pPr>
        <w:pStyle w:val="32"/>
        <w:spacing w:before="0" w:beforeAutospacing="0" w:after="0" w:afterAutospacing="0" w:line="500" w:lineRule="exact"/>
        <w:ind w:firstLine="584" w:firstLineChars="200"/>
        <w:jc w:val="both"/>
        <w:rPr>
          <w:rFonts w:ascii="Times New Roman" w:hAnsi="Times New Roman" w:eastAsia="仿宋_GB2312"/>
          <w:spacing w:val="6"/>
          <w:sz w:val="28"/>
          <w:szCs w:val="28"/>
        </w:rPr>
      </w:pPr>
      <w:r>
        <w:rPr>
          <w:rFonts w:ascii="Times New Roman" w:hAnsi="Times New Roman" w:eastAsia="仿宋_GB2312"/>
          <w:spacing w:val="6"/>
          <w:sz w:val="28"/>
          <w:szCs w:val="28"/>
        </w:rPr>
        <w:t>严格执行有关环境保护法规，认真实行核安全许可证、辐射安全许可证、环境影响评价、“三同时”、注册核安全工程师执业资格等制度，加强对放射源、伴生放射性矿利用、电磁辐射源、放射性废物统一监管力度，积极开展创建环境友好企业活动，确保污染源企业达标排放，杜绝辐射环境污染事故，确保城市放射性废源（物）安全处置达标率100%。加强对隧道、地下室中氡的监管，加强居室中氡危害与防治的宣传教育，会同质量监督部门加强建材放射性监管，保障人体健康。</w:t>
      </w:r>
    </w:p>
    <w:p>
      <w:pPr>
        <w:pStyle w:val="3"/>
      </w:pPr>
      <w:bookmarkStart w:id="141" w:name="_Toc304379417"/>
      <w:r>
        <w:t>5.9环境监管能力建设</w:t>
      </w:r>
      <w:bookmarkEnd w:id="141"/>
    </w:p>
    <w:p>
      <w:pPr>
        <w:pStyle w:val="4"/>
        <w:rPr>
          <w:rFonts w:ascii="Times New Roman" w:hAnsi="Times New Roman"/>
        </w:rPr>
      </w:pPr>
      <w:r>
        <w:rPr>
          <w:rFonts w:ascii="Times New Roman" w:hAnsi="Times New Roman"/>
        </w:rPr>
        <w:t>5.9.1 建设目标</w:t>
      </w:r>
    </w:p>
    <w:p>
      <w:pPr>
        <w:pStyle w:val="32"/>
        <w:spacing w:before="0" w:beforeAutospacing="0" w:after="0" w:afterAutospacing="0" w:line="500" w:lineRule="exact"/>
        <w:ind w:firstLine="584" w:firstLineChars="200"/>
        <w:jc w:val="both"/>
        <w:rPr>
          <w:rFonts w:ascii="Times New Roman" w:hAnsi="Times New Roman" w:eastAsia="仿宋_GB2312"/>
          <w:spacing w:val="6"/>
          <w:sz w:val="28"/>
          <w:szCs w:val="28"/>
        </w:rPr>
      </w:pPr>
      <w:r>
        <w:rPr>
          <w:rFonts w:ascii="Times New Roman" w:hAnsi="Times New Roman" w:eastAsia="仿宋_GB2312"/>
          <w:spacing w:val="6"/>
          <w:sz w:val="28"/>
          <w:szCs w:val="28"/>
        </w:rPr>
        <w:t>在“十二五”期间，形成完善的全市空气质量监控系统，建成完善的水质监控系统，完善的土壤环境监管系统，初步构建水生态监控系统及数据集成系统，完善环境监测机构标准化建设，建设环境信息集成共享平台及数据中心，构建突发事件应急系统。</w:t>
      </w:r>
    </w:p>
    <w:p>
      <w:pPr>
        <w:pStyle w:val="4"/>
        <w:rPr>
          <w:rFonts w:ascii="Times New Roman" w:hAnsi="Times New Roman"/>
        </w:rPr>
      </w:pPr>
      <w:bookmarkStart w:id="142" w:name="_Toc257102804"/>
      <w:bookmarkStart w:id="143" w:name="_Toc257821847"/>
      <w:r>
        <w:rPr>
          <w:rFonts w:ascii="Times New Roman" w:hAnsi="Times New Roman"/>
        </w:rPr>
        <w:t>5.9.2</w:t>
      </w:r>
      <w:bookmarkEnd w:id="142"/>
      <w:bookmarkEnd w:id="143"/>
      <w:r>
        <w:rPr>
          <w:rFonts w:ascii="Times New Roman" w:hAnsi="Times New Roman"/>
        </w:rPr>
        <w:t xml:space="preserve"> 建设内容</w:t>
      </w:r>
    </w:p>
    <w:p>
      <w:pPr>
        <w:pStyle w:val="32"/>
        <w:spacing w:before="0" w:beforeAutospacing="0" w:after="0" w:afterAutospacing="0" w:line="500" w:lineRule="exact"/>
        <w:ind w:firstLine="586" w:firstLineChars="200"/>
        <w:jc w:val="both"/>
        <w:rPr>
          <w:rFonts w:ascii="Times New Roman" w:hAnsi="Times New Roman" w:eastAsia="仿宋_GB2312"/>
          <w:spacing w:val="6"/>
          <w:sz w:val="28"/>
          <w:szCs w:val="28"/>
        </w:rPr>
      </w:pPr>
      <w:r>
        <w:rPr>
          <w:rFonts w:ascii="Times New Roman" w:hAnsi="Times New Roman" w:eastAsia="仿宋_GB2312"/>
          <w:b/>
          <w:spacing w:val="6"/>
          <w:sz w:val="28"/>
          <w:szCs w:val="28"/>
        </w:rPr>
        <w:t>完善全市空气质量监控系统。</w:t>
      </w:r>
      <w:r>
        <w:rPr>
          <w:rFonts w:ascii="Times New Roman" w:hAnsi="Times New Roman" w:eastAsia="仿宋_GB2312"/>
          <w:spacing w:val="6"/>
          <w:sz w:val="28"/>
          <w:szCs w:val="28"/>
        </w:rPr>
        <w:t>建设完善环境空气监测站，大幅提升环境空气监测能力，增加自动站测点，扩大监测项目，流动监测车监测能力提高；建设灰霾实时监测预警预报系统，根据敏感区精确的大气气溶胶数据及环境监测数据，发布灰霾预警，并形成气象、环保、交通、交警等部门联动响应；构建空气环境质量分析预警和决策辅助支持系统。</w:t>
      </w:r>
    </w:p>
    <w:p>
      <w:pPr>
        <w:pStyle w:val="32"/>
        <w:spacing w:before="0" w:beforeAutospacing="0" w:after="0" w:afterAutospacing="0" w:line="500" w:lineRule="exact"/>
        <w:ind w:firstLine="586" w:firstLineChars="200"/>
        <w:jc w:val="both"/>
        <w:rPr>
          <w:rFonts w:ascii="Times New Roman" w:hAnsi="Times New Roman" w:eastAsia="仿宋_GB2312"/>
          <w:spacing w:val="6"/>
          <w:sz w:val="28"/>
          <w:szCs w:val="28"/>
        </w:rPr>
      </w:pPr>
      <w:r>
        <w:rPr>
          <w:rFonts w:ascii="Times New Roman" w:hAnsi="Times New Roman" w:eastAsia="仿宋_GB2312"/>
          <w:b/>
          <w:spacing w:val="6"/>
          <w:sz w:val="28"/>
          <w:szCs w:val="28"/>
        </w:rPr>
        <w:t>水质自动监测网络系统建设。</w:t>
      </w:r>
      <w:r>
        <w:rPr>
          <w:rFonts w:ascii="Times New Roman" w:hAnsi="Times New Roman" w:eastAsia="仿宋_GB2312"/>
          <w:spacing w:val="6"/>
          <w:sz w:val="28"/>
          <w:szCs w:val="28"/>
        </w:rPr>
        <w:t>在吴淞江、千灯浦、朱厍港、急水港等重点流域水质断面建设水质自动站点，在县界河流娄江设立水质自动站点，庙泾河水源建设水质自动监控系统，安装水样自动采集系统、污染物自动监测仪、便携式计算机、数据控制传输系统，以实现水质在线实时自动监测和过程监控，实现及时掌握端面水质状况、预警预报水质污染等。</w:t>
      </w:r>
    </w:p>
    <w:p>
      <w:pPr>
        <w:pStyle w:val="32"/>
        <w:spacing w:before="0" w:beforeAutospacing="0" w:after="0" w:afterAutospacing="0" w:line="500" w:lineRule="exact"/>
        <w:ind w:firstLine="586" w:firstLineChars="200"/>
        <w:jc w:val="both"/>
        <w:rPr>
          <w:rFonts w:ascii="Times New Roman" w:hAnsi="Times New Roman" w:eastAsia="仿宋_GB2312"/>
          <w:spacing w:val="6"/>
          <w:sz w:val="28"/>
          <w:szCs w:val="28"/>
        </w:rPr>
      </w:pPr>
      <w:r>
        <w:rPr>
          <w:rFonts w:ascii="Times New Roman" w:hAnsi="Times New Roman" w:eastAsia="仿宋_GB2312"/>
          <w:b/>
          <w:spacing w:val="6"/>
          <w:sz w:val="28"/>
          <w:szCs w:val="28"/>
        </w:rPr>
        <w:t>土壤环境监管能力建设。</w:t>
      </w:r>
      <w:r>
        <w:rPr>
          <w:rFonts w:ascii="Times New Roman" w:hAnsi="Times New Roman" w:eastAsia="仿宋_GB2312"/>
          <w:spacing w:val="6"/>
          <w:sz w:val="28"/>
          <w:szCs w:val="28"/>
        </w:rPr>
        <w:t>推进土壤环境监测标准化建设，配套完善土壤环境监测人才、设备及检测仪器，加强对重点区域场地使用功能置换全过程监测，对重要敏感区和浓度高值区须进行加密监测、跟踪监测。</w:t>
      </w:r>
    </w:p>
    <w:p>
      <w:pPr>
        <w:pStyle w:val="32"/>
        <w:spacing w:before="0" w:beforeAutospacing="0" w:after="0" w:afterAutospacing="0" w:line="500" w:lineRule="exact"/>
        <w:ind w:firstLine="586" w:firstLineChars="200"/>
        <w:jc w:val="both"/>
        <w:rPr>
          <w:rFonts w:ascii="Times New Roman" w:hAnsi="Times New Roman" w:eastAsia="仿宋_GB2312"/>
          <w:spacing w:val="6"/>
          <w:sz w:val="28"/>
          <w:szCs w:val="28"/>
        </w:rPr>
      </w:pPr>
      <w:r>
        <w:rPr>
          <w:rFonts w:hint="eastAsia" w:ascii="Times New Roman" w:hAnsi="Times New Roman" w:eastAsia="仿宋_GB2312"/>
          <w:b/>
          <w:spacing w:val="6"/>
          <w:sz w:val="28"/>
          <w:szCs w:val="28"/>
        </w:rPr>
        <w:t>蓝藻</w:t>
      </w:r>
      <w:r>
        <w:rPr>
          <w:rFonts w:ascii="Times New Roman" w:hAnsi="Times New Roman" w:eastAsia="仿宋_GB2312"/>
          <w:b/>
          <w:spacing w:val="6"/>
          <w:sz w:val="28"/>
          <w:szCs w:val="28"/>
        </w:rPr>
        <w:t>监控系统及数据集成系统构建。</w:t>
      </w:r>
      <w:r>
        <w:rPr>
          <w:rFonts w:ascii="Times New Roman" w:hAnsi="Times New Roman" w:eastAsia="仿宋_GB2312"/>
          <w:spacing w:val="6"/>
          <w:sz w:val="28"/>
          <w:szCs w:val="28"/>
        </w:rPr>
        <w:t>通过合理布设水生态监控和风险评估点位，设置水生态监控指标包括遥感监测指标、地面监测指标（水质理化指标、水生物指标和水生态指标）、野外生态台站长期观测指标、应急监测指标，开展昆山水生态系统变化监控、风险评估数据集成系统构建，分析昆山水生态长期变化态势，监控水生态动态变化情况，预警水生态风险，实现监控和防范重大生态风险的作用。</w:t>
      </w:r>
    </w:p>
    <w:p>
      <w:pPr>
        <w:pStyle w:val="32"/>
        <w:spacing w:before="0" w:beforeAutospacing="0" w:after="0" w:afterAutospacing="0" w:line="500" w:lineRule="exact"/>
        <w:ind w:firstLine="586" w:firstLineChars="200"/>
        <w:jc w:val="both"/>
        <w:rPr>
          <w:rFonts w:ascii="Times New Roman" w:hAnsi="Times New Roman" w:eastAsia="仿宋_GB2312"/>
          <w:spacing w:val="6"/>
          <w:sz w:val="28"/>
          <w:szCs w:val="28"/>
        </w:rPr>
      </w:pPr>
      <w:r>
        <w:rPr>
          <w:rFonts w:ascii="Times New Roman" w:hAnsi="Times New Roman" w:eastAsia="仿宋_GB2312"/>
          <w:b/>
          <w:spacing w:val="6"/>
          <w:sz w:val="28"/>
          <w:szCs w:val="28"/>
        </w:rPr>
        <w:t>环境信息集成共享平台及数据中心。</w:t>
      </w:r>
      <w:r>
        <w:rPr>
          <w:rFonts w:ascii="Times New Roman" w:hAnsi="Times New Roman" w:eastAsia="仿宋_GB2312"/>
          <w:spacing w:val="6"/>
          <w:sz w:val="28"/>
          <w:szCs w:val="28"/>
        </w:rPr>
        <w:t>建设内容主要包括监测点数据库建设、监控数据采集和传输系统、预警预报系统、实验室信息管理系统、决策支持系统以及监控中心建设等。</w:t>
      </w:r>
    </w:p>
    <w:p>
      <w:pPr>
        <w:pStyle w:val="32"/>
        <w:spacing w:before="0" w:beforeAutospacing="0" w:after="0" w:afterAutospacing="0" w:line="500" w:lineRule="exact"/>
        <w:ind w:firstLine="586" w:firstLineChars="200"/>
        <w:jc w:val="both"/>
        <w:rPr>
          <w:rFonts w:hint="eastAsia" w:ascii="Times New Roman" w:hAnsi="Times New Roman" w:eastAsia="仿宋_GB2312"/>
          <w:spacing w:val="6"/>
          <w:sz w:val="28"/>
          <w:szCs w:val="28"/>
        </w:rPr>
      </w:pPr>
      <w:r>
        <w:rPr>
          <w:rFonts w:ascii="Times New Roman" w:hAnsi="Times New Roman" w:eastAsia="仿宋_GB2312"/>
          <w:b/>
          <w:spacing w:val="6"/>
          <w:sz w:val="28"/>
          <w:szCs w:val="28"/>
        </w:rPr>
        <w:t>环境监测机构标准化建设。</w:t>
      </w:r>
      <w:r>
        <w:rPr>
          <w:rFonts w:ascii="Times New Roman" w:hAnsi="Times New Roman" w:eastAsia="仿宋_GB2312"/>
          <w:spacing w:val="6"/>
          <w:sz w:val="28"/>
          <w:szCs w:val="28"/>
        </w:rPr>
        <w:t>以人才培养、装备配置和经费保障为重点，完善环境监测、监察（督察）、应急、信息、宣教等方面环境保护能力，建成覆盖全市环境的监控信息一体化制度，形成集大气环境、地表水环境、污染源、污水处理厂、饮用水源地等监控为一体的环境监控系统。</w:t>
      </w:r>
    </w:p>
    <w:p>
      <w:pPr>
        <w:pStyle w:val="3"/>
      </w:pPr>
      <w:bookmarkStart w:id="144" w:name="_Toc304379418"/>
      <w:r>
        <w:t>5.</w:t>
      </w:r>
      <w:r>
        <w:rPr>
          <w:rFonts w:hint="eastAsia"/>
        </w:rPr>
        <w:t>10</w:t>
      </w:r>
      <w:r>
        <w:t>生态文明建设规划</w:t>
      </w:r>
      <w:bookmarkEnd w:id="144"/>
    </w:p>
    <w:p>
      <w:pPr>
        <w:pStyle w:val="4"/>
        <w:rPr>
          <w:rFonts w:ascii="Times New Roman" w:hAnsi="Times New Roman"/>
        </w:rPr>
      </w:pPr>
      <w:r>
        <w:rPr>
          <w:rFonts w:ascii="Times New Roman" w:hAnsi="Times New Roman"/>
        </w:rPr>
        <w:t>5.</w:t>
      </w:r>
      <w:r>
        <w:rPr>
          <w:rFonts w:hint="eastAsia" w:ascii="Times New Roman" w:hAnsi="Times New Roman"/>
        </w:rPr>
        <w:t>10</w:t>
      </w:r>
      <w:r>
        <w:rPr>
          <w:rFonts w:ascii="Times New Roman" w:hAnsi="Times New Roman"/>
        </w:rPr>
        <w:t>.1生态文明规划目标</w:t>
      </w:r>
    </w:p>
    <w:p>
      <w:pPr>
        <w:pStyle w:val="32"/>
        <w:spacing w:before="0" w:beforeAutospacing="0" w:after="0" w:afterAutospacing="0" w:line="500" w:lineRule="exact"/>
        <w:ind w:firstLine="584" w:firstLineChars="200"/>
        <w:jc w:val="both"/>
        <w:rPr>
          <w:rFonts w:hint="eastAsia" w:ascii="Times New Roman" w:hAnsi="Times New Roman" w:eastAsia="仿宋_GB2312"/>
          <w:spacing w:val="6"/>
          <w:sz w:val="28"/>
          <w:szCs w:val="28"/>
        </w:rPr>
      </w:pPr>
      <w:r>
        <w:rPr>
          <w:rFonts w:hint="eastAsia" w:ascii="Times New Roman" w:hAnsi="Times New Roman" w:eastAsia="仿宋_GB2312"/>
          <w:spacing w:val="6"/>
          <w:sz w:val="28"/>
          <w:szCs w:val="28"/>
        </w:rPr>
        <w:t>营造生态文明城市氛围，建设生态文明人居环境，巩固和深化生态市建设成效，优化和提升城市功能，凝练和凸显昆山特色，全面提高可持续发展能力，“基本形成节约能源资源和保护生态环境的产业结构、增长方式、消费模式；循环经济形成较大规模，可再生能源比重显著上升；主要污染物排放得到有效控制，生态环境质量明显改善；生态文明观念在全社会牢固树立。”</w:t>
      </w:r>
    </w:p>
    <w:p>
      <w:pPr>
        <w:pStyle w:val="32"/>
        <w:spacing w:before="0" w:beforeAutospacing="0" w:after="0" w:afterAutospacing="0" w:line="500" w:lineRule="exact"/>
        <w:ind w:firstLine="584" w:firstLineChars="200"/>
        <w:jc w:val="both"/>
        <w:rPr>
          <w:rFonts w:hint="eastAsia" w:ascii="Times New Roman" w:hAnsi="Times New Roman" w:eastAsia="仿宋_GB2312"/>
          <w:spacing w:val="6"/>
          <w:sz w:val="28"/>
          <w:szCs w:val="28"/>
        </w:rPr>
      </w:pPr>
      <w:r>
        <w:rPr>
          <w:rFonts w:hint="eastAsia" w:ascii="Times New Roman" w:hAnsi="Times New Roman" w:eastAsia="仿宋_GB2312"/>
          <w:spacing w:val="6"/>
          <w:sz w:val="28"/>
          <w:szCs w:val="28"/>
        </w:rPr>
        <w:t>——富有现代特色、富有和谐健康魅力、富有文明气息的文明昆山。</w:t>
      </w:r>
    </w:p>
    <w:p>
      <w:pPr>
        <w:pStyle w:val="32"/>
        <w:spacing w:before="0" w:beforeAutospacing="0" w:after="0" w:afterAutospacing="0" w:line="500" w:lineRule="exact"/>
        <w:ind w:firstLine="584" w:firstLineChars="200"/>
        <w:jc w:val="both"/>
        <w:rPr>
          <w:rFonts w:hint="eastAsia" w:ascii="Times New Roman" w:hAnsi="Times New Roman" w:eastAsia="仿宋_GB2312"/>
          <w:spacing w:val="6"/>
          <w:sz w:val="28"/>
          <w:szCs w:val="28"/>
        </w:rPr>
      </w:pPr>
      <w:r>
        <w:rPr>
          <w:rFonts w:hint="eastAsia" w:ascii="Times New Roman" w:hAnsi="Times New Roman" w:eastAsia="仿宋_GB2312"/>
          <w:spacing w:val="6"/>
          <w:sz w:val="28"/>
          <w:szCs w:val="28"/>
        </w:rPr>
        <w:t>——人与自然协调、资源环境与经济发展协调、城市与农村协调、政府与民众协调的协调昆山。</w:t>
      </w:r>
    </w:p>
    <w:p>
      <w:pPr>
        <w:pStyle w:val="32"/>
        <w:spacing w:before="0" w:beforeAutospacing="0" w:after="0" w:afterAutospacing="0" w:line="500" w:lineRule="exact"/>
        <w:ind w:firstLine="584" w:firstLineChars="200"/>
        <w:jc w:val="both"/>
        <w:rPr>
          <w:rFonts w:hint="eastAsia" w:ascii="Times New Roman" w:hAnsi="Times New Roman" w:eastAsia="仿宋_GB2312"/>
          <w:spacing w:val="6"/>
          <w:sz w:val="28"/>
          <w:szCs w:val="28"/>
        </w:rPr>
      </w:pPr>
      <w:r>
        <w:rPr>
          <w:rFonts w:hint="eastAsia" w:ascii="Times New Roman" w:hAnsi="Times New Roman" w:eastAsia="仿宋_GB2312"/>
          <w:spacing w:val="6"/>
          <w:sz w:val="28"/>
          <w:szCs w:val="28"/>
        </w:rPr>
        <w:t>——文化内涵丰富、文明制度完善、公众学识修养不断提高的昆山。</w:t>
      </w:r>
    </w:p>
    <w:p>
      <w:pPr>
        <w:pStyle w:val="32"/>
        <w:spacing w:before="0" w:beforeAutospacing="0" w:after="0" w:afterAutospacing="0" w:line="500" w:lineRule="exact"/>
        <w:ind w:firstLine="584" w:firstLineChars="200"/>
        <w:jc w:val="both"/>
        <w:rPr>
          <w:rFonts w:hint="eastAsia" w:ascii="Times New Roman" w:hAnsi="Times New Roman" w:eastAsia="仿宋_GB2312"/>
          <w:spacing w:val="6"/>
          <w:sz w:val="28"/>
          <w:szCs w:val="28"/>
        </w:rPr>
      </w:pPr>
      <w:r>
        <w:rPr>
          <w:rFonts w:hint="eastAsia" w:ascii="Times New Roman" w:hAnsi="Times New Roman" w:eastAsia="仿宋_GB2312"/>
          <w:spacing w:val="6"/>
          <w:sz w:val="28"/>
          <w:szCs w:val="28"/>
        </w:rPr>
        <w:t>——深化生态市成效、开拓生态文明实践的示范昆山。</w:t>
      </w:r>
    </w:p>
    <w:p>
      <w:pPr>
        <w:pStyle w:val="4"/>
        <w:rPr>
          <w:rFonts w:hint="eastAsia" w:ascii="Times New Roman" w:hAnsi="Times New Roman"/>
        </w:rPr>
      </w:pPr>
      <w:r>
        <w:rPr>
          <w:rFonts w:ascii="Times New Roman" w:hAnsi="Times New Roman"/>
        </w:rPr>
        <w:t>5.</w:t>
      </w:r>
      <w:r>
        <w:rPr>
          <w:rFonts w:hint="eastAsia" w:ascii="Times New Roman" w:hAnsi="Times New Roman"/>
        </w:rPr>
        <w:t>10</w:t>
      </w:r>
      <w:r>
        <w:rPr>
          <w:rFonts w:ascii="Times New Roman" w:hAnsi="Times New Roman"/>
        </w:rPr>
        <w:t>.</w:t>
      </w:r>
      <w:r>
        <w:rPr>
          <w:rFonts w:hint="eastAsia" w:ascii="Times New Roman" w:hAnsi="Times New Roman"/>
        </w:rPr>
        <w:t>2</w:t>
      </w:r>
      <w:r>
        <w:rPr>
          <w:rFonts w:ascii="Times New Roman" w:hAnsi="Times New Roman"/>
        </w:rPr>
        <w:t>生态文明</w:t>
      </w:r>
      <w:r>
        <w:rPr>
          <w:rFonts w:hint="eastAsia" w:ascii="Times New Roman" w:hAnsi="Times New Roman"/>
        </w:rPr>
        <w:t>建设领域</w:t>
      </w:r>
    </w:p>
    <w:p>
      <w:pPr>
        <w:pStyle w:val="32"/>
        <w:spacing w:before="0" w:beforeAutospacing="0" w:after="0" w:afterAutospacing="0" w:line="500" w:lineRule="exact"/>
        <w:ind w:firstLine="586" w:firstLineChars="200"/>
        <w:jc w:val="both"/>
        <w:rPr>
          <w:rFonts w:hint="eastAsia" w:ascii="Times New Roman" w:hAnsi="Times New Roman" w:eastAsia="仿宋_GB2312"/>
          <w:b/>
          <w:spacing w:val="6"/>
          <w:sz w:val="28"/>
          <w:szCs w:val="28"/>
        </w:rPr>
      </w:pPr>
      <w:r>
        <w:rPr>
          <w:rFonts w:hint="eastAsia" w:ascii="Times New Roman" w:hAnsi="Times New Roman" w:eastAsia="仿宋_GB2312"/>
          <w:b/>
          <w:spacing w:val="6"/>
          <w:sz w:val="28"/>
          <w:szCs w:val="28"/>
        </w:rPr>
        <w:t>（一）加快转变经济发展方式，构建新型生态产业</w:t>
      </w:r>
    </w:p>
    <w:p>
      <w:pPr>
        <w:pStyle w:val="32"/>
        <w:spacing w:before="0" w:beforeAutospacing="0" w:after="0" w:afterAutospacing="0" w:line="500" w:lineRule="exact"/>
        <w:ind w:firstLine="584" w:firstLineChars="200"/>
        <w:jc w:val="both"/>
        <w:rPr>
          <w:rFonts w:hint="eastAsia" w:ascii="Times New Roman" w:hAnsi="Times New Roman" w:eastAsia="仿宋_GB2312"/>
          <w:spacing w:val="6"/>
          <w:sz w:val="28"/>
          <w:szCs w:val="28"/>
        </w:rPr>
      </w:pPr>
      <w:r>
        <w:rPr>
          <w:rFonts w:hint="eastAsia" w:ascii="Times New Roman" w:hAnsi="Times New Roman" w:eastAsia="仿宋_GB2312"/>
          <w:spacing w:val="6"/>
          <w:sz w:val="28"/>
          <w:szCs w:val="28"/>
        </w:rPr>
        <w:t>遵循产业生态学原理和循环经济理念，通过政府引导、制度支持、科技推动、企业主导，从单个企业、产业聚集区和社会经济三个层面展开工业、农业、服务业等生态经济建设，通过不断优化产业结构和布局，提高资源利用效率，转变经济增长方式，使经济发展和生态环境步入良性循环轨道。</w:t>
      </w:r>
    </w:p>
    <w:p>
      <w:pPr>
        <w:pStyle w:val="32"/>
        <w:spacing w:before="0" w:beforeAutospacing="0" w:after="0" w:afterAutospacing="0" w:line="500" w:lineRule="exact"/>
        <w:ind w:firstLine="586" w:firstLineChars="200"/>
        <w:jc w:val="both"/>
        <w:rPr>
          <w:rFonts w:hint="eastAsia" w:ascii="Times New Roman" w:hAnsi="Times New Roman" w:eastAsia="仿宋_GB2312"/>
          <w:b/>
          <w:spacing w:val="6"/>
          <w:sz w:val="28"/>
          <w:szCs w:val="28"/>
        </w:rPr>
      </w:pPr>
      <w:r>
        <w:rPr>
          <w:rFonts w:hint="eastAsia" w:ascii="Times New Roman" w:hAnsi="Times New Roman" w:eastAsia="仿宋_GB2312"/>
          <w:b/>
          <w:spacing w:val="6"/>
          <w:sz w:val="28"/>
          <w:szCs w:val="28"/>
        </w:rPr>
        <w:t>1、生态工业</w:t>
      </w:r>
    </w:p>
    <w:p>
      <w:pPr>
        <w:pStyle w:val="32"/>
        <w:spacing w:before="0" w:beforeAutospacing="0" w:after="0" w:afterAutospacing="0" w:line="500" w:lineRule="exact"/>
        <w:ind w:firstLine="584" w:firstLineChars="200"/>
        <w:jc w:val="both"/>
        <w:rPr>
          <w:rFonts w:hint="eastAsia" w:ascii="Times New Roman" w:hAnsi="Times New Roman" w:eastAsia="仿宋_GB2312"/>
          <w:spacing w:val="6"/>
          <w:sz w:val="28"/>
          <w:szCs w:val="28"/>
        </w:rPr>
      </w:pPr>
      <w:r>
        <w:rPr>
          <w:rFonts w:hint="eastAsia" w:ascii="Times New Roman" w:hAnsi="Times New Roman" w:eastAsia="仿宋_GB2312"/>
          <w:spacing w:val="6"/>
          <w:sz w:val="28"/>
          <w:szCs w:val="28"/>
        </w:rPr>
        <w:t>一是抓产业生态转型和结构升级。对于支柱性制造业如电子信息、机密机械等，提高管理水平和技术水平，延长产业链，积极拓展上下游相关产业，积极鼓励和促进生产企业向研发设计、品牌营销、商贸物流两头延伸，进一步做大产业规模，提升产业水平；对于资源、能源消耗多、环境污染重的传统产业如纺织业、皮革制造业、化工等实施淘汰、转移和改造；对于新兴的制造业如新能源、新材料、光电产业等选择、培育和发展，侧重发展高新技术产业和低碳产业。</w:t>
      </w:r>
    </w:p>
    <w:p>
      <w:pPr>
        <w:pStyle w:val="32"/>
        <w:spacing w:before="0" w:beforeAutospacing="0" w:after="0" w:afterAutospacing="0" w:line="500" w:lineRule="exact"/>
        <w:ind w:firstLine="584" w:firstLineChars="200"/>
        <w:jc w:val="both"/>
        <w:rPr>
          <w:rFonts w:hint="eastAsia" w:ascii="Times New Roman" w:hAnsi="Times New Roman" w:eastAsia="仿宋_GB2312"/>
          <w:spacing w:val="6"/>
          <w:sz w:val="28"/>
          <w:szCs w:val="28"/>
        </w:rPr>
      </w:pPr>
      <w:r>
        <w:rPr>
          <w:rFonts w:hint="eastAsia" w:ascii="Times New Roman" w:hAnsi="Times New Roman" w:eastAsia="仿宋_GB2312"/>
          <w:spacing w:val="6"/>
          <w:sz w:val="28"/>
          <w:szCs w:val="28"/>
        </w:rPr>
        <w:t>二是要抓循环型工业的发展。按照各园区主导产业发展定位，对新建工业项目要着力于园区生态网和生态链的建设，最大限度地提高资源利用率，逐步形成“回收-利用-设计-生产”的循环经济模式，使不同企业之间形成资源共享和互换副产品的产业共生组合，把各园区建成为生态工业园区和循环经济园区。</w:t>
      </w:r>
    </w:p>
    <w:p>
      <w:pPr>
        <w:pStyle w:val="32"/>
        <w:spacing w:before="0" w:beforeAutospacing="0" w:after="0" w:afterAutospacing="0" w:line="500" w:lineRule="exact"/>
        <w:ind w:firstLine="586" w:firstLineChars="200"/>
        <w:jc w:val="both"/>
        <w:rPr>
          <w:rFonts w:hint="eastAsia" w:ascii="Times New Roman" w:hAnsi="Times New Roman" w:eastAsia="仿宋_GB2312"/>
          <w:b/>
          <w:spacing w:val="6"/>
          <w:sz w:val="28"/>
          <w:szCs w:val="28"/>
        </w:rPr>
      </w:pPr>
      <w:r>
        <w:rPr>
          <w:rFonts w:hint="eastAsia" w:ascii="Times New Roman" w:hAnsi="Times New Roman" w:eastAsia="仿宋_GB2312"/>
          <w:b/>
          <w:spacing w:val="6"/>
          <w:sz w:val="28"/>
          <w:szCs w:val="28"/>
        </w:rPr>
        <w:t>2、生态农业</w:t>
      </w:r>
    </w:p>
    <w:p>
      <w:pPr>
        <w:pStyle w:val="32"/>
        <w:spacing w:before="0" w:beforeAutospacing="0" w:after="0" w:afterAutospacing="0" w:line="500" w:lineRule="exact"/>
        <w:ind w:firstLine="584" w:firstLineChars="200"/>
        <w:jc w:val="both"/>
        <w:rPr>
          <w:rFonts w:hint="eastAsia" w:ascii="Times New Roman" w:hAnsi="Times New Roman" w:eastAsia="仿宋_GB2312"/>
          <w:spacing w:val="6"/>
          <w:sz w:val="28"/>
          <w:szCs w:val="28"/>
        </w:rPr>
      </w:pPr>
      <w:r>
        <w:rPr>
          <w:rFonts w:hint="eastAsia" w:ascii="Times New Roman" w:hAnsi="Times New Roman" w:eastAsia="仿宋_GB2312"/>
          <w:spacing w:val="6"/>
          <w:sz w:val="28"/>
          <w:szCs w:val="28"/>
        </w:rPr>
        <w:t>结合昆山农业环境资源特点和现有优势农产品，以构筑产供销与贸工农一体化的农业生态产业链为重点，以农村生态建设为载体，加快农业生产过程中农药、化肥、农用薄膜等农用化学品的减量化。将农业与工业、服务业有机整合，建设物质循环转化、资源有效利用的生态农业发展区。</w:t>
      </w:r>
    </w:p>
    <w:p>
      <w:pPr>
        <w:pStyle w:val="32"/>
        <w:spacing w:before="0" w:beforeAutospacing="0" w:after="0" w:afterAutospacing="0" w:line="500" w:lineRule="exact"/>
        <w:ind w:firstLine="584" w:firstLineChars="200"/>
        <w:jc w:val="both"/>
        <w:rPr>
          <w:rFonts w:hint="eastAsia" w:ascii="Times New Roman" w:hAnsi="Times New Roman" w:eastAsia="仿宋_GB2312"/>
          <w:spacing w:val="6"/>
          <w:sz w:val="28"/>
          <w:szCs w:val="28"/>
        </w:rPr>
      </w:pPr>
      <w:r>
        <w:rPr>
          <w:rFonts w:hint="eastAsia" w:ascii="Times New Roman" w:hAnsi="Times New Roman" w:eastAsia="仿宋_GB2312"/>
          <w:spacing w:val="6"/>
          <w:sz w:val="28"/>
          <w:szCs w:val="28"/>
        </w:rPr>
        <w:t>一是抓无公害、绿色和有机农产品基地的建设，减少化肥、农药的污染，提高农产品的质量。二是要抓农业基础生态工程建设，包括生态节水工程、农业机械化建设工程。三是要进行科学施肥及病虫害综合防治工程建设，推进测土配方施肥，提倡使用有机肥，开展生物防治病虫害技术研究与应用，推广使用高效、低毒、低残留的化学农药，禁止使用高毒、高残留农药。四是推进规模化生态养殖种植工程，以生态农业园区建设为载体，推广生态农业和循环农业生产模式，开发农业休闲和旅游观光功能。五是开展农村能源综合利用工程，推进秸秆气化工程，发展沼气能源，推广使用太阳能等清洁能源。</w:t>
      </w:r>
    </w:p>
    <w:p>
      <w:pPr>
        <w:pStyle w:val="32"/>
        <w:spacing w:before="0" w:beforeAutospacing="0" w:after="0" w:afterAutospacing="0" w:line="500" w:lineRule="exact"/>
        <w:ind w:firstLine="586" w:firstLineChars="200"/>
        <w:jc w:val="both"/>
        <w:rPr>
          <w:rFonts w:hint="eastAsia" w:ascii="Times New Roman" w:hAnsi="Times New Roman" w:eastAsia="仿宋_GB2312"/>
          <w:b/>
          <w:spacing w:val="6"/>
          <w:sz w:val="28"/>
          <w:szCs w:val="28"/>
        </w:rPr>
      </w:pPr>
      <w:r>
        <w:rPr>
          <w:rFonts w:hint="eastAsia" w:ascii="Times New Roman" w:hAnsi="Times New Roman" w:eastAsia="仿宋_GB2312"/>
          <w:b/>
          <w:spacing w:val="6"/>
          <w:sz w:val="28"/>
          <w:szCs w:val="28"/>
        </w:rPr>
        <w:t>3、生态服务业</w:t>
      </w:r>
    </w:p>
    <w:p>
      <w:pPr>
        <w:pStyle w:val="32"/>
        <w:spacing w:before="0" w:beforeAutospacing="0" w:after="0" w:afterAutospacing="0" w:line="500" w:lineRule="exact"/>
        <w:ind w:firstLine="584" w:firstLineChars="200"/>
        <w:jc w:val="both"/>
        <w:rPr>
          <w:rFonts w:hint="eastAsia" w:ascii="Times New Roman" w:hAnsi="Times New Roman" w:eastAsia="仿宋_GB2312"/>
          <w:spacing w:val="6"/>
          <w:sz w:val="28"/>
          <w:szCs w:val="28"/>
        </w:rPr>
      </w:pPr>
      <w:r>
        <w:rPr>
          <w:rFonts w:hint="eastAsia" w:ascii="Times New Roman" w:hAnsi="Times New Roman" w:eastAsia="仿宋_GB2312"/>
          <w:spacing w:val="6"/>
          <w:sz w:val="28"/>
          <w:szCs w:val="28"/>
        </w:rPr>
        <w:t>根据《昆山市服务业发展总体规划( 2005-2020)》的部署和要求，昆山服务业要依靠自主创新和对外开放，依托自身的机遇和拥有的机遇，构建现代与传统融合，生产性、生活性和公共性服务协调，空间布局合理的现代服务体系。</w:t>
      </w:r>
    </w:p>
    <w:p>
      <w:pPr>
        <w:pStyle w:val="32"/>
        <w:spacing w:before="0" w:beforeAutospacing="0" w:after="0" w:afterAutospacing="0" w:line="500" w:lineRule="exact"/>
        <w:ind w:firstLine="584" w:firstLineChars="200"/>
        <w:jc w:val="both"/>
        <w:rPr>
          <w:rFonts w:hint="eastAsia" w:ascii="Times New Roman" w:hAnsi="Times New Roman" w:eastAsia="仿宋_GB2312"/>
          <w:spacing w:val="6"/>
          <w:sz w:val="28"/>
          <w:szCs w:val="28"/>
        </w:rPr>
      </w:pPr>
      <w:r>
        <w:rPr>
          <w:rFonts w:hint="eastAsia" w:ascii="Times New Roman" w:hAnsi="Times New Roman" w:eastAsia="仿宋_GB2312"/>
          <w:spacing w:val="6"/>
          <w:sz w:val="28"/>
          <w:szCs w:val="28"/>
        </w:rPr>
        <w:t>一是要建设特色高效的生态物流业。充分发挥昆山的交通区位优势，以现有物流园为基础，重点建设昆山国际物流产业集聚区，积极推进各片区重大物流项目的建设，拓展保税生态物流，推进企业物流，加强物流业的环境管理。二是要建设和谐宜居的绿色房地产业。在房地产开发过程中，要始终体现以人为本思想，提高土地资源利用效率，加强景观建设，力求实现“人与自然和谐”的生态理念。三是要建设便捷环保的绿色商贸业。积极构建绿色贸易体系，精细培育新兴商贸业。四是生态旅游业。利用好“全国优秀旅游城市”名片，依托昆山市发达的工业、农业和生态环境资源优势，推动昆山市旅游业向吸引外地游客为主的生态旅游、休闲旅游、文化旅游、观光旅游、商贸旅游等城市综合旅游转变。</w:t>
      </w:r>
    </w:p>
    <w:p>
      <w:pPr>
        <w:pStyle w:val="32"/>
        <w:spacing w:before="0" w:beforeAutospacing="0" w:after="0" w:afterAutospacing="0" w:line="500" w:lineRule="exact"/>
        <w:ind w:firstLine="586" w:firstLineChars="200"/>
        <w:jc w:val="both"/>
        <w:rPr>
          <w:rFonts w:hint="eastAsia" w:ascii="Times New Roman" w:hAnsi="Times New Roman" w:eastAsia="仿宋_GB2312"/>
          <w:spacing w:val="6"/>
          <w:sz w:val="28"/>
          <w:szCs w:val="28"/>
        </w:rPr>
      </w:pPr>
      <w:r>
        <w:rPr>
          <w:rFonts w:hint="eastAsia" w:ascii="Times New Roman" w:hAnsi="Times New Roman" w:eastAsia="仿宋_GB2312"/>
          <w:b/>
          <w:spacing w:val="6"/>
          <w:sz w:val="28"/>
          <w:szCs w:val="28"/>
        </w:rPr>
        <w:t>（二）</w:t>
      </w:r>
      <w:r>
        <w:rPr>
          <w:rFonts w:hint="eastAsia" w:ascii="Times New Roman" w:hAnsi="Times New Roman" w:eastAsia="仿宋_GB2312"/>
          <w:spacing w:val="6"/>
          <w:sz w:val="28"/>
          <w:szCs w:val="28"/>
        </w:rPr>
        <w:t>加强环境污染防治，建设良好生态环境</w:t>
      </w:r>
    </w:p>
    <w:p>
      <w:pPr>
        <w:pStyle w:val="32"/>
        <w:spacing w:before="0" w:beforeAutospacing="0" w:after="0" w:afterAutospacing="0" w:line="500" w:lineRule="exact"/>
        <w:ind w:firstLine="584" w:firstLineChars="200"/>
        <w:jc w:val="both"/>
        <w:rPr>
          <w:rFonts w:hint="eastAsia" w:ascii="Times New Roman" w:hAnsi="Times New Roman" w:eastAsia="仿宋_GB2312"/>
          <w:spacing w:val="6"/>
          <w:sz w:val="28"/>
          <w:szCs w:val="28"/>
        </w:rPr>
      </w:pPr>
      <w:r>
        <w:rPr>
          <w:rFonts w:hint="eastAsia" w:ascii="Times New Roman" w:hAnsi="Times New Roman" w:eastAsia="仿宋_GB2312"/>
          <w:spacing w:val="6"/>
          <w:sz w:val="28"/>
          <w:szCs w:val="28"/>
        </w:rPr>
        <w:t>以控源、截污和生态修复为主要思路，全面开展昆山水环境综合整治。加强污水处理厂及配套管网建设，重视农村污染预防，减少污染物排放量；逐步推广中水回用、分质供水技术，实现雨水综合利用；加强河道和湖荡水环境整治，开展生态修复，逐步恢复生态系统；继续加强水源地保护，确保水质长期稳定达标。</w:t>
      </w:r>
    </w:p>
    <w:p>
      <w:pPr>
        <w:pStyle w:val="32"/>
        <w:spacing w:before="0" w:beforeAutospacing="0" w:after="0" w:afterAutospacing="0" w:line="500" w:lineRule="exact"/>
        <w:ind w:firstLine="584" w:firstLineChars="200"/>
        <w:jc w:val="both"/>
        <w:rPr>
          <w:rFonts w:hint="eastAsia" w:ascii="Times New Roman" w:hAnsi="Times New Roman" w:eastAsia="仿宋_GB2312"/>
          <w:spacing w:val="6"/>
          <w:sz w:val="28"/>
          <w:szCs w:val="28"/>
        </w:rPr>
      </w:pPr>
      <w:r>
        <w:rPr>
          <w:rFonts w:hint="eastAsia" w:ascii="Times New Roman" w:hAnsi="Times New Roman" w:eastAsia="仿宋_GB2312"/>
          <w:spacing w:val="6"/>
          <w:sz w:val="28"/>
          <w:szCs w:val="28"/>
        </w:rPr>
        <w:t>以烟尘、二氧化硫和氮氧化物为控制重点，加强大气污染源控制；积极推进能源结构调整，倡导使用清洁能源；发展绿色交通，减少机动车尾气污染。</w:t>
      </w:r>
    </w:p>
    <w:p>
      <w:pPr>
        <w:pStyle w:val="32"/>
        <w:spacing w:before="0" w:beforeAutospacing="0" w:after="0" w:afterAutospacing="0" w:line="500" w:lineRule="exact"/>
        <w:ind w:firstLine="584" w:firstLineChars="200"/>
        <w:jc w:val="both"/>
        <w:rPr>
          <w:rFonts w:hint="eastAsia" w:ascii="Times New Roman" w:hAnsi="Times New Roman" w:eastAsia="仿宋_GB2312"/>
          <w:spacing w:val="6"/>
          <w:sz w:val="28"/>
          <w:szCs w:val="28"/>
        </w:rPr>
      </w:pPr>
      <w:r>
        <w:rPr>
          <w:rFonts w:hint="eastAsia" w:ascii="Times New Roman" w:hAnsi="Times New Roman" w:eastAsia="仿宋_GB2312"/>
          <w:spacing w:val="6"/>
          <w:sz w:val="28"/>
          <w:szCs w:val="28"/>
        </w:rPr>
        <w:t>以危险废物、医疗废物和生活垃圾的处理处置为抓手，消除环境隐患，确保生态安全。逐步推进生活垃圾分类收集和资源化利用，继续扩大污泥资源化利用的比例，确保危险废物全部得到安全处置。</w:t>
      </w:r>
    </w:p>
    <w:p>
      <w:pPr>
        <w:pStyle w:val="32"/>
        <w:spacing w:before="0" w:beforeAutospacing="0" w:after="0" w:afterAutospacing="0" w:line="500" w:lineRule="exact"/>
        <w:ind w:firstLine="584" w:firstLineChars="200"/>
        <w:jc w:val="both"/>
        <w:rPr>
          <w:rFonts w:hint="eastAsia" w:ascii="Times New Roman" w:hAnsi="Times New Roman" w:eastAsia="仿宋_GB2312"/>
          <w:spacing w:val="6"/>
          <w:sz w:val="28"/>
          <w:szCs w:val="28"/>
        </w:rPr>
      </w:pPr>
      <w:r>
        <w:rPr>
          <w:rFonts w:hint="eastAsia" w:ascii="Times New Roman" w:hAnsi="Times New Roman" w:eastAsia="仿宋_GB2312"/>
          <w:spacing w:val="6"/>
          <w:sz w:val="28"/>
          <w:szCs w:val="28"/>
        </w:rPr>
        <w:t>加强重要生态功能区的保护，加强生态廊道建设，保护湖荡和河道湿地，保护生态多样性，重视土壤污染的防治。</w:t>
      </w:r>
    </w:p>
    <w:p>
      <w:pPr>
        <w:pStyle w:val="32"/>
        <w:spacing w:before="0" w:beforeAutospacing="0" w:after="0" w:afterAutospacing="0" w:line="500" w:lineRule="exact"/>
        <w:ind w:firstLine="586" w:firstLineChars="200"/>
        <w:jc w:val="both"/>
        <w:rPr>
          <w:rFonts w:hint="eastAsia" w:ascii="Times New Roman" w:hAnsi="Times New Roman" w:eastAsia="仿宋_GB2312"/>
          <w:b/>
          <w:spacing w:val="6"/>
          <w:sz w:val="28"/>
          <w:szCs w:val="28"/>
        </w:rPr>
      </w:pPr>
      <w:r>
        <w:rPr>
          <w:rFonts w:hint="eastAsia" w:ascii="Times New Roman" w:hAnsi="Times New Roman" w:eastAsia="仿宋_GB2312"/>
          <w:b/>
          <w:spacing w:val="6"/>
          <w:sz w:val="28"/>
          <w:szCs w:val="28"/>
        </w:rPr>
        <w:t>（三）加强环境宣传教育，培育先进的生态意识</w:t>
      </w:r>
    </w:p>
    <w:p>
      <w:pPr>
        <w:pStyle w:val="32"/>
        <w:spacing w:before="0" w:beforeAutospacing="0" w:after="0" w:afterAutospacing="0" w:line="500" w:lineRule="exact"/>
        <w:ind w:firstLine="584" w:firstLineChars="200"/>
        <w:jc w:val="both"/>
        <w:rPr>
          <w:rFonts w:hint="eastAsia" w:ascii="Times New Roman" w:hAnsi="Times New Roman" w:eastAsia="仿宋_GB2312"/>
          <w:spacing w:val="6"/>
          <w:sz w:val="28"/>
          <w:szCs w:val="28"/>
        </w:rPr>
      </w:pPr>
      <w:r>
        <w:rPr>
          <w:rFonts w:hint="eastAsia" w:ascii="Times New Roman" w:hAnsi="Times New Roman" w:eastAsia="仿宋_GB2312"/>
          <w:spacing w:val="6"/>
          <w:sz w:val="28"/>
          <w:szCs w:val="28"/>
        </w:rPr>
        <w:t xml:space="preserve">强化生态文化普及教育。在学校、社会、家庭多层次开展生态教育，教育对象涵盖所有决策者、企业家、公众和学生；力争建设20个以上特色鲜明的生态文化长廊、生态建筑（公园）等生态文化教育基地，全面普及生态知识。 </w:t>
      </w:r>
    </w:p>
    <w:p>
      <w:pPr>
        <w:pStyle w:val="32"/>
        <w:spacing w:before="0" w:beforeAutospacing="0" w:after="0" w:afterAutospacing="0" w:line="500" w:lineRule="exact"/>
        <w:ind w:firstLine="584" w:firstLineChars="200"/>
        <w:jc w:val="both"/>
        <w:rPr>
          <w:rFonts w:hint="eastAsia" w:ascii="Times New Roman" w:hAnsi="Times New Roman" w:eastAsia="仿宋_GB2312"/>
          <w:spacing w:val="6"/>
          <w:sz w:val="28"/>
          <w:szCs w:val="28"/>
        </w:rPr>
      </w:pPr>
      <w:r>
        <w:rPr>
          <w:rFonts w:hint="eastAsia" w:ascii="Times New Roman" w:hAnsi="Times New Roman" w:eastAsia="仿宋_GB2312"/>
          <w:spacing w:val="6"/>
          <w:sz w:val="28"/>
          <w:szCs w:val="28"/>
        </w:rPr>
        <w:t>广泛进行生态宣传。深入开展绿色学校、绿色社区、绿色企业创建活动，积极开展“地球日”、“环境日”等群众性生态文化活动，建设“昆山市生态文明建设”网站，通过广播、报刊、电视等媒体宣传生态文明知识，增强全民生态文化意识。</w:t>
      </w:r>
    </w:p>
    <w:p>
      <w:pPr>
        <w:pStyle w:val="32"/>
        <w:spacing w:before="0" w:beforeAutospacing="0" w:after="0" w:afterAutospacing="0" w:line="500" w:lineRule="exact"/>
        <w:ind w:firstLine="586" w:firstLineChars="200"/>
        <w:jc w:val="both"/>
        <w:rPr>
          <w:rFonts w:hint="eastAsia" w:ascii="Times New Roman" w:hAnsi="Times New Roman" w:eastAsia="仿宋_GB2312"/>
          <w:b/>
          <w:spacing w:val="6"/>
          <w:sz w:val="28"/>
          <w:szCs w:val="28"/>
        </w:rPr>
      </w:pPr>
      <w:r>
        <w:rPr>
          <w:rFonts w:hint="eastAsia" w:ascii="Times New Roman" w:hAnsi="Times New Roman" w:eastAsia="仿宋_GB2312"/>
          <w:b/>
          <w:spacing w:val="6"/>
          <w:sz w:val="28"/>
          <w:szCs w:val="28"/>
        </w:rPr>
        <w:t>（四）加强城乡环境综合整治，打造宜居的生态人居</w:t>
      </w:r>
    </w:p>
    <w:p>
      <w:pPr>
        <w:pStyle w:val="32"/>
        <w:spacing w:before="0" w:beforeAutospacing="0" w:after="0" w:afterAutospacing="0" w:line="500" w:lineRule="exact"/>
        <w:ind w:firstLine="584" w:firstLineChars="200"/>
        <w:jc w:val="both"/>
        <w:rPr>
          <w:rFonts w:hint="eastAsia" w:ascii="Times New Roman" w:hAnsi="Times New Roman" w:eastAsia="仿宋_GB2312"/>
          <w:spacing w:val="6"/>
          <w:sz w:val="28"/>
          <w:szCs w:val="28"/>
        </w:rPr>
      </w:pPr>
      <w:r>
        <w:rPr>
          <w:rFonts w:hint="eastAsia" w:ascii="Times New Roman" w:hAnsi="Times New Roman" w:eastAsia="仿宋_GB2312"/>
          <w:spacing w:val="6"/>
          <w:sz w:val="28"/>
          <w:szCs w:val="28"/>
        </w:rPr>
        <w:t>适当控制人口数量，大幅提升人口素质，实现人口规模适度、人口素质结构良好的和谐人口环境。充分利用水乡生态湿地空间及各类城市人文资源，以水系为纽带，以文化为灵魂，积极实施城市绿地建设，打造丰富多彩的城市绿化格局和就近居住游憩环境，形成融山、水、林、园、城为一体，点、线、面相结合的公共绿地系统。以满足居民出行为出发点，以绿色交通理念为指导，建设轨道交通、快速道、慢行道和人行道组成的交通网络，提倡乘坐公共交通工具，倡导绿色出行。以农村环境综合整治为重点，实施生态景观建设，完善公共服务设施配套，加强生活污染控制，构建舒适优美的江南村居文明。以绿色社区创建为抓手，全面改善社区环境，增加社区绿地建设，控制噪音污染，完善社区管制政策，打造生态社区、安静社区和低碳社区。</w:t>
      </w:r>
    </w:p>
    <w:p>
      <w:pPr>
        <w:pStyle w:val="32"/>
        <w:spacing w:before="0" w:beforeAutospacing="0" w:after="0" w:afterAutospacing="0" w:line="500" w:lineRule="exact"/>
        <w:ind w:firstLine="586" w:firstLineChars="200"/>
        <w:jc w:val="both"/>
        <w:rPr>
          <w:rFonts w:hint="eastAsia" w:ascii="Times New Roman" w:hAnsi="Times New Roman" w:eastAsia="仿宋_GB2312"/>
          <w:b/>
          <w:spacing w:val="6"/>
          <w:sz w:val="28"/>
          <w:szCs w:val="28"/>
        </w:rPr>
      </w:pPr>
      <w:r>
        <w:rPr>
          <w:rFonts w:hint="eastAsia" w:ascii="Times New Roman" w:hAnsi="Times New Roman" w:eastAsia="仿宋_GB2312"/>
          <w:b/>
          <w:spacing w:val="6"/>
          <w:sz w:val="28"/>
          <w:szCs w:val="28"/>
        </w:rPr>
        <w:t>（五）加强生态环境政策研究，构建完善的生态制度</w:t>
      </w:r>
    </w:p>
    <w:p>
      <w:pPr>
        <w:pStyle w:val="32"/>
        <w:spacing w:before="0" w:beforeAutospacing="0" w:after="0" w:afterAutospacing="0" w:line="500" w:lineRule="exact"/>
        <w:ind w:firstLine="584" w:firstLineChars="200"/>
        <w:jc w:val="both"/>
        <w:rPr>
          <w:rFonts w:hint="eastAsia" w:ascii="Times New Roman" w:hAnsi="Times New Roman" w:eastAsia="仿宋_GB2312"/>
          <w:spacing w:val="6"/>
          <w:sz w:val="28"/>
          <w:szCs w:val="28"/>
        </w:rPr>
      </w:pPr>
      <w:r>
        <w:rPr>
          <w:rFonts w:hint="eastAsia" w:ascii="Times New Roman" w:hAnsi="Times New Roman" w:eastAsia="仿宋_GB2312"/>
          <w:spacing w:val="6"/>
          <w:sz w:val="28"/>
          <w:szCs w:val="28"/>
        </w:rPr>
        <w:t>加强政府决策者和管理者对生态文明建设的理解和认识，强化生态为政的政策准则，形成政府自我约束机制，增强政府的文明行政能力，构建高效、廉洁的行政管理体系。在政府引导指引和制度制约的基础上，逐步制定和完善企业管理中的环保行政措施和文明权益，形成政府指导企业、企业自我约束、公众依法监督的企业生态文明制度体系。强化信息公开，拓宽信息交流渠道，建立完善公众参与制度，建立平和高效的公众参与机制。</w:t>
      </w:r>
    </w:p>
    <w:p>
      <w:pPr>
        <w:pStyle w:val="32"/>
        <w:spacing w:before="0" w:beforeAutospacing="0" w:after="0" w:afterAutospacing="0" w:line="500" w:lineRule="exact"/>
        <w:ind w:firstLine="584" w:firstLineChars="200"/>
        <w:jc w:val="both"/>
        <w:rPr>
          <w:rFonts w:ascii="Times New Roman" w:hAnsi="Times New Roman" w:eastAsia="仿宋_GB2312"/>
          <w:spacing w:val="6"/>
          <w:sz w:val="28"/>
          <w:szCs w:val="28"/>
        </w:rPr>
        <w:sectPr>
          <w:endnotePr>
            <w:numFmt w:val="decimal"/>
          </w:endnotePr>
          <w:pgSz w:w="11906" w:h="16838"/>
          <w:pgMar w:top="1440" w:right="1797" w:bottom="1440" w:left="1797" w:header="851" w:footer="992" w:gutter="0"/>
          <w:cols w:space="425" w:num="1"/>
          <w:docGrid w:linePitch="312" w:charSpace="0"/>
        </w:sectPr>
      </w:pPr>
    </w:p>
    <w:p>
      <w:pPr>
        <w:pStyle w:val="2"/>
        <w:jc w:val="both"/>
        <w:rPr>
          <w:rFonts w:ascii="Times New Roman" w:hAnsi="Times New Roman"/>
        </w:rPr>
      </w:pPr>
      <w:bookmarkStart w:id="145" w:name="_Toc304379419"/>
      <w:bookmarkStart w:id="146" w:name="_Toc263071775"/>
      <w:bookmarkStart w:id="147" w:name="_Toc265336553"/>
      <w:bookmarkStart w:id="148" w:name="_Toc263071883"/>
      <w:r>
        <w:rPr>
          <w:rFonts w:ascii="Times New Roman" w:hAnsi="Times New Roman"/>
        </w:rPr>
        <w:t>6 “十二五”期间环境保护重点工程</w:t>
      </w:r>
      <w:bookmarkEnd w:id="145"/>
      <w:bookmarkEnd w:id="146"/>
      <w:bookmarkEnd w:id="147"/>
    </w:p>
    <w:p>
      <w:pPr>
        <w:pStyle w:val="3"/>
      </w:pPr>
      <w:bookmarkStart w:id="149" w:name="_Toc263071776"/>
      <w:bookmarkStart w:id="150" w:name="_Toc265336554"/>
      <w:bookmarkStart w:id="151" w:name="_Toc304379420"/>
      <w:r>
        <w:t>6.1</w:t>
      </w:r>
      <w:bookmarkEnd w:id="149"/>
      <w:r>
        <w:t xml:space="preserve"> 重点建设项目</w:t>
      </w:r>
      <w:bookmarkEnd w:id="150"/>
      <w:bookmarkEnd w:id="151"/>
    </w:p>
    <w:p>
      <w:pPr>
        <w:spacing w:line="500" w:lineRule="exact"/>
        <w:ind w:firstLine="584" w:firstLineChars="200"/>
        <w:rPr>
          <w:spacing w:val="6"/>
          <w:szCs w:val="28"/>
        </w:rPr>
      </w:pPr>
      <w:r>
        <w:rPr>
          <w:spacing w:val="6"/>
          <w:szCs w:val="28"/>
        </w:rPr>
        <w:t>结合昆山市自然资源、经济建设、社会发展和环境保护现状，昆山市十二五环境保护和生态建设必须坚持“以生态文明理念为指导，以发展循环经济为框架，以生态产业为基础，以低碳生活为纽带”，有计划、有步骤、有组织地全面实施“兴工强市、开发带动、结构调整、区域协作、可持续发展”五大战略，打造生态、资源品牌。</w:t>
      </w:r>
    </w:p>
    <w:p>
      <w:pPr>
        <w:spacing w:line="500" w:lineRule="exact"/>
        <w:ind w:firstLine="584" w:firstLineChars="200"/>
        <w:rPr>
          <w:rFonts w:hint="eastAsia"/>
          <w:spacing w:val="6"/>
          <w:szCs w:val="28"/>
        </w:rPr>
      </w:pPr>
      <w:r>
        <w:rPr>
          <w:spacing w:val="6"/>
          <w:szCs w:val="28"/>
        </w:rPr>
        <w:t>为此，以环保工程建设为载体和抓手，大力实施</w:t>
      </w:r>
      <w:r>
        <w:rPr>
          <w:rFonts w:hint="eastAsia"/>
          <w:spacing w:val="6"/>
          <w:szCs w:val="28"/>
        </w:rPr>
        <w:t>总量控制工程、水环境保护、大气环境污染防治、固体废物污染防治、工业污染防治、农村环境综合整治、生态环境保护、生态意识及制度建设、环境监管能力建设，共计10大类69项重点工程，总投资约86亿元</w:t>
      </w:r>
      <w:r>
        <w:rPr>
          <w:spacing w:val="6"/>
          <w:szCs w:val="28"/>
        </w:rPr>
        <w:t>。</w:t>
      </w:r>
    </w:p>
    <w:p>
      <w:pPr>
        <w:spacing w:line="500" w:lineRule="exact"/>
        <w:ind w:firstLine="584" w:firstLineChars="200"/>
        <w:rPr>
          <w:spacing w:val="6"/>
          <w:szCs w:val="28"/>
        </w:rPr>
      </w:pPr>
      <w:r>
        <w:rPr>
          <w:spacing w:val="6"/>
          <w:szCs w:val="28"/>
        </w:rPr>
        <w:t>昆山</w:t>
      </w:r>
      <w:r>
        <w:rPr>
          <w:rFonts w:hint="eastAsia"/>
          <w:spacing w:val="6"/>
          <w:szCs w:val="28"/>
        </w:rPr>
        <w:t>“</w:t>
      </w:r>
      <w:r>
        <w:rPr>
          <w:spacing w:val="6"/>
          <w:szCs w:val="28"/>
        </w:rPr>
        <w:t>十二五</w:t>
      </w:r>
      <w:r>
        <w:rPr>
          <w:rFonts w:hint="eastAsia"/>
          <w:spacing w:val="6"/>
          <w:szCs w:val="28"/>
        </w:rPr>
        <w:t>”</w:t>
      </w:r>
      <w:r>
        <w:rPr>
          <w:spacing w:val="6"/>
          <w:szCs w:val="28"/>
        </w:rPr>
        <w:t>环保规划建设的重点工作任务见表6.1-1。</w:t>
      </w:r>
    </w:p>
    <w:p>
      <w:pPr>
        <w:spacing w:line="500" w:lineRule="exact"/>
        <w:ind w:firstLine="584" w:firstLineChars="200"/>
        <w:rPr>
          <w:spacing w:val="6"/>
          <w:szCs w:val="28"/>
        </w:rPr>
        <w:sectPr>
          <w:pgSz w:w="11906" w:h="16838"/>
          <w:pgMar w:top="1440" w:right="1800" w:bottom="1440" w:left="1800" w:header="851" w:footer="992" w:gutter="0"/>
          <w:cols w:space="425" w:num="1"/>
          <w:docGrid w:type="lines" w:linePitch="312" w:charSpace="0"/>
        </w:sectPr>
      </w:pPr>
    </w:p>
    <w:p>
      <w:pPr>
        <w:spacing w:line="500" w:lineRule="exact"/>
        <w:jc w:val="center"/>
        <w:rPr>
          <w:rFonts w:hint="eastAsia"/>
          <w:spacing w:val="6"/>
          <w:szCs w:val="28"/>
        </w:rPr>
      </w:pPr>
      <w:r>
        <w:rPr>
          <w:spacing w:val="6"/>
          <w:szCs w:val="28"/>
        </w:rPr>
        <w:t>表6.1-1  昆山市环保规划“十二五”规划重点工程项目表</w:t>
      </w:r>
    </w:p>
    <w:tbl>
      <w:tblPr>
        <w:tblStyle w:val="33"/>
        <w:tblW w:w="503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20"/>
        <w:gridCol w:w="689"/>
        <w:gridCol w:w="2495"/>
        <w:gridCol w:w="4400"/>
        <w:gridCol w:w="2220"/>
        <w:gridCol w:w="1139"/>
        <w:gridCol w:w="1114"/>
        <w:gridCol w:w="15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blHeader/>
          <w:jc w:val="center"/>
        </w:trPr>
        <w:tc>
          <w:tcPr>
            <w:tcW w:w="149" w:type="pct"/>
            <w:noWrap w:val="0"/>
            <w:vAlign w:val="center"/>
          </w:tcPr>
          <w:p>
            <w:pPr>
              <w:spacing w:line="240" w:lineRule="auto"/>
              <w:ind w:right="140" w:rightChars="50"/>
              <w:jc w:val="center"/>
              <w:rPr>
                <w:b/>
                <w:bCs/>
                <w:spacing w:val="6"/>
                <w:sz w:val="21"/>
                <w:szCs w:val="21"/>
              </w:rPr>
            </w:pPr>
            <w:bookmarkStart w:id="152" w:name="OLE_LINK8" w:colFirst="1" w:colLast="65"/>
            <w:bookmarkStart w:id="153" w:name="OLE_LINK9" w:colFirst="1" w:colLast="65"/>
            <w:bookmarkStart w:id="154" w:name="_Hlk270856246"/>
            <w:r>
              <w:rPr>
                <w:b/>
                <w:bCs/>
                <w:spacing w:val="6"/>
                <w:sz w:val="21"/>
                <w:szCs w:val="21"/>
              </w:rPr>
              <w:t>序号</w:t>
            </w:r>
          </w:p>
        </w:tc>
        <w:tc>
          <w:tcPr>
            <w:tcW w:w="245" w:type="pct"/>
            <w:noWrap w:val="0"/>
            <w:vAlign w:val="center"/>
          </w:tcPr>
          <w:p>
            <w:pPr>
              <w:spacing w:line="240" w:lineRule="auto"/>
              <w:ind w:right="140" w:rightChars="50"/>
              <w:jc w:val="center"/>
              <w:rPr>
                <w:b/>
                <w:bCs/>
                <w:spacing w:val="6"/>
                <w:sz w:val="21"/>
                <w:szCs w:val="21"/>
              </w:rPr>
            </w:pPr>
            <w:r>
              <w:rPr>
                <w:b/>
                <w:bCs/>
                <w:spacing w:val="6"/>
                <w:sz w:val="21"/>
                <w:szCs w:val="21"/>
              </w:rPr>
              <w:t>工程</w:t>
            </w:r>
          </w:p>
          <w:p>
            <w:pPr>
              <w:spacing w:line="240" w:lineRule="auto"/>
              <w:ind w:right="140" w:rightChars="50"/>
              <w:jc w:val="center"/>
              <w:rPr>
                <w:b/>
                <w:bCs/>
                <w:spacing w:val="6"/>
                <w:sz w:val="21"/>
                <w:szCs w:val="21"/>
              </w:rPr>
            </w:pPr>
            <w:r>
              <w:rPr>
                <w:b/>
                <w:bCs/>
                <w:spacing w:val="6"/>
                <w:sz w:val="21"/>
                <w:szCs w:val="21"/>
              </w:rPr>
              <w:t>分类</w:t>
            </w:r>
          </w:p>
        </w:tc>
        <w:tc>
          <w:tcPr>
            <w:tcW w:w="887" w:type="pct"/>
            <w:noWrap w:val="0"/>
            <w:vAlign w:val="center"/>
          </w:tcPr>
          <w:p>
            <w:pPr>
              <w:spacing w:line="240" w:lineRule="auto"/>
              <w:ind w:right="140" w:rightChars="50"/>
              <w:jc w:val="center"/>
              <w:rPr>
                <w:b/>
                <w:bCs/>
                <w:spacing w:val="6"/>
                <w:sz w:val="21"/>
                <w:szCs w:val="21"/>
              </w:rPr>
            </w:pPr>
            <w:r>
              <w:rPr>
                <w:b/>
                <w:bCs/>
                <w:spacing w:val="6"/>
                <w:sz w:val="21"/>
                <w:szCs w:val="21"/>
              </w:rPr>
              <w:t>工程名称</w:t>
            </w:r>
          </w:p>
        </w:tc>
        <w:tc>
          <w:tcPr>
            <w:tcW w:w="1564" w:type="pct"/>
            <w:noWrap w:val="0"/>
            <w:vAlign w:val="center"/>
          </w:tcPr>
          <w:p>
            <w:pPr>
              <w:spacing w:line="240" w:lineRule="auto"/>
              <w:ind w:right="140" w:rightChars="50"/>
              <w:jc w:val="center"/>
              <w:rPr>
                <w:b/>
                <w:bCs/>
                <w:spacing w:val="6"/>
                <w:sz w:val="21"/>
                <w:szCs w:val="21"/>
              </w:rPr>
            </w:pPr>
            <w:r>
              <w:rPr>
                <w:b/>
                <w:bCs/>
                <w:spacing w:val="6"/>
                <w:sz w:val="21"/>
                <w:szCs w:val="21"/>
              </w:rPr>
              <w:t>主要建设内容</w:t>
            </w:r>
          </w:p>
        </w:tc>
        <w:tc>
          <w:tcPr>
            <w:tcW w:w="789" w:type="pct"/>
            <w:noWrap w:val="0"/>
            <w:vAlign w:val="center"/>
          </w:tcPr>
          <w:p>
            <w:pPr>
              <w:spacing w:line="240" w:lineRule="auto"/>
              <w:ind w:right="140" w:rightChars="50"/>
              <w:jc w:val="center"/>
              <w:rPr>
                <w:b/>
                <w:bCs/>
                <w:spacing w:val="6"/>
                <w:sz w:val="21"/>
                <w:szCs w:val="21"/>
              </w:rPr>
            </w:pPr>
            <w:r>
              <w:rPr>
                <w:b/>
                <w:bCs/>
                <w:spacing w:val="6"/>
                <w:sz w:val="21"/>
                <w:szCs w:val="21"/>
              </w:rPr>
              <w:t>效益分析</w:t>
            </w:r>
          </w:p>
        </w:tc>
        <w:tc>
          <w:tcPr>
            <w:tcW w:w="405" w:type="pct"/>
            <w:noWrap w:val="0"/>
            <w:vAlign w:val="center"/>
          </w:tcPr>
          <w:p>
            <w:pPr>
              <w:spacing w:line="240" w:lineRule="auto"/>
              <w:ind w:right="140" w:rightChars="50"/>
              <w:jc w:val="center"/>
              <w:rPr>
                <w:b/>
                <w:bCs/>
                <w:spacing w:val="6"/>
                <w:sz w:val="21"/>
                <w:szCs w:val="21"/>
              </w:rPr>
            </w:pPr>
            <w:r>
              <w:rPr>
                <w:b/>
                <w:bCs/>
                <w:spacing w:val="6"/>
                <w:sz w:val="21"/>
                <w:szCs w:val="21"/>
              </w:rPr>
              <w:t>投资概算</w:t>
            </w:r>
          </w:p>
          <w:p>
            <w:pPr>
              <w:spacing w:line="240" w:lineRule="auto"/>
              <w:ind w:right="140" w:rightChars="50"/>
              <w:jc w:val="center"/>
              <w:rPr>
                <w:b/>
                <w:bCs/>
                <w:spacing w:val="6"/>
                <w:sz w:val="21"/>
                <w:szCs w:val="21"/>
              </w:rPr>
            </w:pPr>
            <w:r>
              <w:rPr>
                <w:b/>
                <w:bCs/>
                <w:spacing w:val="6"/>
                <w:sz w:val="21"/>
                <w:szCs w:val="21"/>
              </w:rPr>
              <w:t>（万元）</w:t>
            </w:r>
          </w:p>
        </w:tc>
        <w:tc>
          <w:tcPr>
            <w:tcW w:w="396" w:type="pct"/>
            <w:noWrap w:val="0"/>
            <w:vAlign w:val="center"/>
          </w:tcPr>
          <w:p>
            <w:pPr>
              <w:spacing w:line="240" w:lineRule="auto"/>
              <w:ind w:right="140" w:rightChars="50"/>
              <w:jc w:val="center"/>
              <w:rPr>
                <w:b/>
                <w:bCs/>
                <w:spacing w:val="6"/>
                <w:sz w:val="21"/>
                <w:szCs w:val="21"/>
              </w:rPr>
            </w:pPr>
            <w:r>
              <w:rPr>
                <w:b/>
                <w:bCs/>
                <w:spacing w:val="6"/>
                <w:sz w:val="21"/>
                <w:szCs w:val="21"/>
              </w:rPr>
              <w:t>建设期限</w:t>
            </w:r>
          </w:p>
        </w:tc>
        <w:tc>
          <w:tcPr>
            <w:tcW w:w="565" w:type="pct"/>
            <w:noWrap w:val="0"/>
            <w:vAlign w:val="center"/>
          </w:tcPr>
          <w:p>
            <w:pPr>
              <w:spacing w:line="240" w:lineRule="auto"/>
              <w:ind w:right="140" w:rightChars="50"/>
              <w:jc w:val="center"/>
              <w:rPr>
                <w:b/>
                <w:bCs/>
                <w:spacing w:val="6"/>
                <w:sz w:val="21"/>
                <w:szCs w:val="21"/>
              </w:rPr>
            </w:pPr>
            <w:r>
              <w:rPr>
                <w:b/>
                <w:bCs/>
                <w:spacing w:val="6"/>
                <w:sz w:val="21"/>
                <w:szCs w:val="21"/>
              </w:rPr>
              <w:t>组织实施部门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bCs/>
                <w:spacing w:val="6"/>
                <w:sz w:val="21"/>
                <w:szCs w:val="21"/>
              </w:rPr>
            </w:pPr>
            <w:bookmarkStart w:id="155" w:name="OLE_LINK14" w:colFirst="5" w:colLast="69"/>
            <w:bookmarkStart w:id="156" w:name="OLE_LINK15" w:colFirst="5" w:colLast="69"/>
            <w:bookmarkStart w:id="157" w:name="OLE_LINK3" w:colFirst="5" w:colLast="69"/>
            <w:bookmarkStart w:id="158" w:name="OLE_LINK16" w:colFirst="5" w:colLast="69"/>
            <w:bookmarkStart w:id="159" w:name="_Hlk272589320"/>
            <w:bookmarkStart w:id="160" w:name="_Hlk274140619"/>
            <w:bookmarkStart w:id="161" w:name="_Hlk285784945"/>
            <w:bookmarkStart w:id="162" w:name="_Hlk290894032"/>
            <w:bookmarkStart w:id="163" w:name="OLE_LINK17" w:colFirst="5" w:colLast="69"/>
            <w:bookmarkStart w:id="164" w:name="OLE_LINK18" w:colFirst="5" w:colLast="69"/>
            <w:bookmarkStart w:id="165" w:name="OLE_LINK4" w:colFirst="5" w:colLast="69"/>
            <w:bookmarkStart w:id="166" w:name="OLE_LINK5" w:colFirst="5" w:colLast="69"/>
            <w:bookmarkStart w:id="167" w:name="_Hlk267344335"/>
            <w:r>
              <w:rPr>
                <w:bCs/>
                <w:spacing w:val="6"/>
                <w:sz w:val="21"/>
                <w:szCs w:val="21"/>
              </w:rPr>
              <w:t>1</w:t>
            </w:r>
          </w:p>
        </w:tc>
        <w:tc>
          <w:tcPr>
            <w:tcW w:w="245" w:type="pct"/>
            <w:vMerge w:val="restart"/>
            <w:noWrap w:val="0"/>
            <w:vAlign w:val="center"/>
          </w:tcPr>
          <w:p>
            <w:pPr>
              <w:ind w:right="140" w:rightChars="50"/>
              <w:jc w:val="center"/>
              <w:rPr>
                <w:rFonts w:hint="eastAsia"/>
                <w:spacing w:val="6"/>
                <w:sz w:val="21"/>
                <w:szCs w:val="21"/>
              </w:rPr>
            </w:pPr>
            <w:r>
              <w:rPr>
                <w:spacing w:val="6"/>
                <w:sz w:val="21"/>
                <w:szCs w:val="21"/>
              </w:rPr>
              <w:t>总</w:t>
            </w:r>
          </w:p>
          <w:p>
            <w:pPr>
              <w:ind w:right="140" w:rightChars="50"/>
              <w:jc w:val="center"/>
              <w:rPr>
                <w:rFonts w:hint="eastAsia"/>
                <w:spacing w:val="6"/>
                <w:sz w:val="21"/>
                <w:szCs w:val="21"/>
              </w:rPr>
            </w:pPr>
            <w:r>
              <w:rPr>
                <w:spacing w:val="6"/>
                <w:sz w:val="21"/>
                <w:szCs w:val="21"/>
              </w:rPr>
              <w:t>量</w:t>
            </w:r>
          </w:p>
          <w:p>
            <w:pPr>
              <w:ind w:right="140" w:rightChars="50"/>
              <w:jc w:val="center"/>
              <w:rPr>
                <w:rFonts w:hint="eastAsia"/>
                <w:spacing w:val="6"/>
                <w:sz w:val="21"/>
                <w:szCs w:val="21"/>
              </w:rPr>
            </w:pPr>
            <w:r>
              <w:rPr>
                <w:spacing w:val="6"/>
                <w:sz w:val="21"/>
                <w:szCs w:val="21"/>
              </w:rPr>
              <w:t>控</w:t>
            </w:r>
          </w:p>
          <w:p>
            <w:pPr>
              <w:ind w:right="140" w:rightChars="50"/>
              <w:jc w:val="center"/>
              <w:rPr>
                <w:rFonts w:hint="eastAsia"/>
                <w:spacing w:val="6"/>
                <w:sz w:val="21"/>
                <w:szCs w:val="21"/>
              </w:rPr>
            </w:pPr>
            <w:r>
              <w:rPr>
                <w:spacing w:val="6"/>
                <w:sz w:val="21"/>
                <w:szCs w:val="21"/>
              </w:rPr>
              <w:t>制</w:t>
            </w:r>
          </w:p>
          <w:p>
            <w:pPr>
              <w:ind w:right="140" w:rightChars="50"/>
              <w:jc w:val="center"/>
              <w:rPr>
                <w:rFonts w:hint="eastAsia"/>
                <w:spacing w:val="6"/>
                <w:sz w:val="21"/>
                <w:szCs w:val="21"/>
              </w:rPr>
            </w:pPr>
            <w:r>
              <w:rPr>
                <w:spacing w:val="6"/>
                <w:sz w:val="21"/>
                <w:szCs w:val="21"/>
              </w:rPr>
              <w:t>工</w:t>
            </w:r>
          </w:p>
          <w:p>
            <w:pPr>
              <w:ind w:right="140" w:rightChars="50"/>
              <w:jc w:val="center"/>
              <w:rPr>
                <w:spacing w:val="6"/>
                <w:sz w:val="21"/>
                <w:szCs w:val="21"/>
              </w:rPr>
            </w:pPr>
            <w:r>
              <w:rPr>
                <w:spacing w:val="6"/>
                <w:sz w:val="21"/>
                <w:szCs w:val="21"/>
              </w:rPr>
              <w:t>程</w:t>
            </w:r>
          </w:p>
        </w:tc>
        <w:tc>
          <w:tcPr>
            <w:tcW w:w="887" w:type="pct"/>
            <w:noWrap w:val="0"/>
            <w:vAlign w:val="center"/>
          </w:tcPr>
          <w:p>
            <w:pPr>
              <w:spacing w:line="240" w:lineRule="auto"/>
              <w:ind w:right="140" w:rightChars="50"/>
              <w:jc w:val="center"/>
              <w:rPr>
                <w:rFonts w:hint="eastAsia"/>
                <w:spacing w:val="6"/>
                <w:sz w:val="21"/>
                <w:szCs w:val="21"/>
              </w:rPr>
            </w:pPr>
            <w:r>
              <w:rPr>
                <w:rFonts w:hint="eastAsia"/>
                <w:kern w:val="0"/>
                <w:sz w:val="21"/>
                <w:szCs w:val="21"/>
              </w:rPr>
              <w:t>昆山经济技术开发区</w:t>
            </w:r>
            <w:r>
              <w:rPr>
                <w:spacing w:val="6"/>
                <w:sz w:val="21"/>
                <w:szCs w:val="21"/>
              </w:rPr>
              <w:t>污水厂扩建</w:t>
            </w:r>
            <w:r>
              <w:rPr>
                <w:rFonts w:hint="eastAsia"/>
                <w:spacing w:val="6"/>
                <w:sz w:val="21"/>
                <w:szCs w:val="21"/>
              </w:rPr>
              <w:t>及管网配套</w:t>
            </w:r>
          </w:p>
        </w:tc>
        <w:tc>
          <w:tcPr>
            <w:tcW w:w="1564" w:type="pct"/>
            <w:noWrap w:val="0"/>
            <w:vAlign w:val="center"/>
          </w:tcPr>
          <w:p>
            <w:pPr>
              <w:spacing w:line="240" w:lineRule="auto"/>
              <w:ind w:right="140" w:rightChars="50"/>
              <w:jc w:val="center"/>
              <w:rPr>
                <w:spacing w:val="6"/>
                <w:sz w:val="21"/>
                <w:szCs w:val="21"/>
              </w:rPr>
            </w:pPr>
            <w:r>
              <w:rPr>
                <w:spacing w:val="6"/>
                <w:sz w:val="21"/>
                <w:szCs w:val="21"/>
              </w:rPr>
              <w:t>扩建</w:t>
            </w:r>
            <w:r>
              <w:rPr>
                <w:kern w:val="0"/>
                <w:sz w:val="21"/>
                <w:szCs w:val="21"/>
              </w:rPr>
              <w:t>蓬朗污水处理厂</w:t>
            </w:r>
            <w:r>
              <w:rPr>
                <w:rFonts w:hint="eastAsia"/>
                <w:kern w:val="0"/>
                <w:sz w:val="21"/>
                <w:szCs w:val="21"/>
              </w:rPr>
              <w:t>2</w:t>
            </w:r>
            <w:r>
              <w:rPr>
                <w:rFonts w:hint="eastAsia"/>
                <w:spacing w:val="6"/>
                <w:sz w:val="21"/>
                <w:szCs w:val="21"/>
              </w:rPr>
              <w:t>万吨/日，配套污水管网100公里</w:t>
            </w:r>
          </w:p>
        </w:tc>
        <w:tc>
          <w:tcPr>
            <w:tcW w:w="789" w:type="pct"/>
            <w:vMerge w:val="restart"/>
            <w:noWrap w:val="0"/>
            <w:vAlign w:val="center"/>
          </w:tcPr>
          <w:p>
            <w:pPr>
              <w:ind w:right="140" w:rightChars="50"/>
              <w:jc w:val="center"/>
              <w:rPr>
                <w:spacing w:val="6"/>
                <w:sz w:val="21"/>
                <w:szCs w:val="21"/>
              </w:rPr>
            </w:pPr>
            <w:r>
              <w:rPr>
                <w:rFonts w:hint="eastAsia"/>
                <w:spacing w:val="6"/>
                <w:sz w:val="21"/>
                <w:szCs w:val="21"/>
              </w:rPr>
              <w:t>增加</w:t>
            </w:r>
            <w:r>
              <w:rPr>
                <w:spacing w:val="6"/>
                <w:sz w:val="21"/>
                <w:szCs w:val="21"/>
              </w:rPr>
              <w:t>污水</w:t>
            </w:r>
            <w:r>
              <w:rPr>
                <w:rFonts w:hint="eastAsia"/>
                <w:spacing w:val="6"/>
                <w:sz w:val="21"/>
                <w:szCs w:val="21"/>
              </w:rPr>
              <w:t>处理能力19.5万吨/日，进一步提高污水</w:t>
            </w:r>
            <w:r>
              <w:rPr>
                <w:spacing w:val="6"/>
                <w:sz w:val="21"/>
                <w:szCs w:val="21"/>
              </w:rPr>
              <w:t>集中处理率</w:t>
            </w:r>
          </w:p>
        </w:tc>
        <w:tc>
          <w:tcPr>
            <w:tcW w:w="40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39500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rFonts w:hint="eastAsia"/>
                <w:kern w:val="0"/>
                <w:sz w:val="21"/>
                <w:szCs w:val="21"/>
              </w:rPr>
              <w:t>昆山经济技术开发区</w:t>
            </w:r>
          </w:p>
        </w:tc>
      </w:tr>
      <w:bookmarkEnd w:id="155"/>
      <w:bookmarkEnd w:id="156"/>
      <w:bookmarkEnd w:id="157"/>
      <w:bookmarkEnd w:id="158"/>
      <w:bookmarkEnd w:id="159"/>
      <w:bookmarkEnd w:id="160"/>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2</w:t>
            </w:r>
          </w:p>
        </w:tc>
        <w:tc>
          <w:tcPr>
            <w:tcW w:w="245" w:type="pct"/>
            <w:vMerge w:val="continue"/>
            <w:noWrap w:val="0"/>
            <w:vAlign w:val="center"/>
          </w:tcPr>
          <w:p>
            <w:pPr>
              <w:ind w:right="140" w:rightChars="50"/>
              <w:jc w:val="center"/>
              <w:rPr>
                <w:spacing w:val="6"/>
                <w:sz w:val="21"/>
                <w:szCs w:val="21"/>
              </w:rPr>
            </w:pPr>
          </w:p>
        </w:tc>
        <w:tc>
          <w:tcPr>
            <w:tcW w:w="887"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花桥污水处理厂迁建及管网改造工程</w:t>
            </w:r>
          </w:p>
        </w:tc>
        <w:tc>
          <w:tcPr>
            <w:tcW w:w="1564"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花园路东国道北新建污水处理厂，改造相应配套管网</w:t>
            </w:r>
          </w:p>
        </w:tc>
        <w:tc>
          <w:tcPr>
            <w:tcW w:w="789" w:type="pct"/>
            <w:vMerge w:val="continue"/>
            <w:noWrap w:val="0"/>
            <w:vAlign w:val="center"/>
          </w:tcPr>
          <w:p>
            <w:pPr>
              <w:spacing w:line="240" w:lineRule="auto"/>
              <w:ind w:right="140" w:rightChars="50"/>
              <w:jc w:val="center"/>
              <w:rPr>
                <w:spacing w:val="6"/>
                <w:sz w:val="21"/>
                <w:szCs w:val="21"/>
              </w:rPr>
            </w:pPr>
          </w:p>
        </w:tc>
        <w:tc>
          <w:tcPr>
            <w:tcW w:w="40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35000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rFonts w:hint="eastAsia"/>
                <w:spacing w:val="6"/>
                <w:sz w:val="21"/>
                <w:szCs w:val="21"/>
              </w:rPr>
              <w:t>花桥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3</w:t>
            </w:r>
          </w:p>
        </w:tc>
        <w:tc>
          <w:tcPr>
            <w:tcW w:w="245" w:type="pct"/>
            <w:vMerge w:val="continue"/>
            <w:noWrap w:val="0"/>
            <w:vAlign w:val="center"/>
          </w:tcPr>
          <w:p>
            <w:pPr>
              <w:ind w:right="140" w:rightChars="50"/>
              <w:jc w:val="center"/>
              <w:rPr>
                <w:spacing w:val="6"/>
                <w:sz w:val="21"/>
                <w:szCs w:val="21"/>
              </w:rPr>
            </w:pPr>
          </w:p>
        </w:tc>
        <w:tc>
          <w:tcPr>
            <w:tcW w:w="887"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玉山污水管网建设及生活小区污水截留</w:t>
            </w:r>
          </w:p>
        </w:tc>
        <w:tc>
          <w:tcPr>
            <w:tcW w:w="1564"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建设污水管网及雨污分流</w:t>
            </w:r>
          </w:p>
        </w:tc>
        <w:tc>
          <w:tcPr>
            <w:tcW w:w="789" w:type="pct"/>
            <w:vMerge w:val="continue"/>
            <w:noWrap w:val="0"/>
            <w:vAlign w:val="center"/>
          </w:tcPr>
          <w:p>
            <w:pPr>
              <w:spacing w:line="240" w:lineRule="auto"/>
              <w:ind w:right="140" w:rightChars="50"/>
              <w:jc w:val="center"/>
              <w:rPr>
                <w:spacing w:val="6"/>
                <w:sz w:val="21"/>
                <w:szCs w:val="21"/>
              </w:rPr>
            </w:pPr>
          </w:p>
        </w:tc>
        <w:tc>
          <w:tcPr>
            <w:tcW w:w="40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29104</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rFonts w:hint="eastAsia"/>
                <w:spacing w:val="6"/>
                <w:sz w:val="21"/>
                <w:szCs w:val="21"/>
              </w:rPr>
              <w:t>玉山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4</w:t>
            </w:r>
          </w:p>
        </w:tc>
        <w:tc>
          <w:tcPr>
            <w:tcW w:w="245" w:type="pct"/>
            <w:vMerge w:val="continue"/>
            <w:noWrap w:val="0"/>
            <w:vAlign w:val="center"/>
          </w:tcPr>
          <w:p>
            <w:pPr>
              <w:ind w:right="140" w:rightChars="50"/>
              <w:jc w:val="center"/>
              <w:rPr>
                <w:spacing w:val="6"/>
                <w:sz w:val="21"/>
                <w:szCs w:val="21"/>
              </w:rPr>
            </w:pPr>
          </w:p>
        </w:tc>
        <w:tc>
          <w:tcPr>
            <w:tcW w:w="887"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张浦污水厂扩建及配套管网工程</w:t>
            </w:r>
          </w:p>
        </w:tc>
        <w:tc>
          <w:tcPr>
            <w:tcW w:w="1564" w:type="pct"/>
            <w:noWrap w:val="0"/>
            <w:vAlign w:val="center"/>
          </w:tcPr>
          <w:p>
            <w:pPr>
              <w:spacing w:line="240" w:lineRule="auto"/>
              <w:ind w:right="140" w:rightChars="50"/>
              <w:jc w:val="center"/>
              <w:rPr>
                <w:spacing w:val="6"/>
                <w:sz w:val="21"/>
                <w:szCs w:val="21"/>
              </w:rPr>
            </w:pPr>
            <w:r>
              <w:rPr>
                <w:rFonts w:hint="eastAsia"/>
                <w:spacing w:val="6"/>
                <w:sz w:val="21"/>
                <w:szCs w:val="21"/>
              </w:rPr>
              <w:t>新建规模1.75 万吨污水厂及配套管网79Km</w:t>
            </w:r>
          </w:p>
        </w:tc>
        <w:tc>
          <w:tcPr>
            <w:tcW w:w="789" w:type="pct"/>
            <w:vMerge w:val="continue"/>
            <w:noWrap w:val="0"/>
            <w:vAlign w:val="center"/>
          </w:tcPr>
          <w:p>
            <w:pPr>
              <w:spacing w:line="240" w:lineRule="auto"/>
              <w:ind w:right="140" w:rightChars="50"/>
              <w:jc w:val="center"/>
              <w:rPr>
                <w:spacing w:val="6"/>
                <w:sz w:val="21"/>
                <w:szCs w:val="21"/>
              </w:rPr>
            </w:pPr>
          </w:p>
        </w:tc>
        <w:tc>
          <w:tcPr>
            <w:tcW w:w="40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13400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rFonts w:hint="eastAsia"/>
                <w:spacing w:val="6"/>
                <w:sz w:val="21"/>
                <w:szCs w:val="21"/>
              </w:rPr>
              <w:t>张浦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5</w:t>
            </w:r>
          </w:p>
        </w:tc>
        <w:tc>
          <w:tcPr>
            <w:tcW w:w="245" w:type="pct"/>
            <w:vMerge w:val="continue"/>
            <w:noWrap w:val="0"/>
            <w:vAlign w:val="center"/>
          </w:tcPr>
          <w:p>
            <w:pPr>
              <w:ind w:right="140" w:rightChars="50"/>
              <w:jc w:val="center"/>
              <w:rPr>
                <w:spacing w:val="6"/>
                <w:sz w:val="21"/>
                <w:szCs w:val="21"/>
              </w:rPr>
            </w:pPr>
          </w:p>
        </w:tc>
        <w:tc>
          <w:tcPr>
            <w:tcW w:w="887"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周市污水管网建设</w:t>
            </w:r>
          </w:p>
        </w:tc>
        <w:tc>
          <w:tcPr>
            <w:tcW w:w="1564" w:type="pct"/>
            <w:noWrap w:val="0"/>
            <w:vAlign w:val="center"/>
          </w:tcPr>
          <w:p>
            <w:pPr>
              <w:spacing w:line="240" w:lineRule="auto"/>
              <w:ind w:right="140" w:rightChars="50"/>
              <w:jc w:val="center"/>
              <w:rPr>
                <w:spacing w:val="6"/>
                <w:sz w:val="21"/>
                <w:szCs w:val="21"/>
              </w:rPr>
            </w:pPr>
            <w:r>
              <w:rPr>
                <w:rFonts w:hint="eastAsia"/>
                <w:spacing w:val="6"/>
                <w:sz w:val="21"/>
                <w:szCs w:val="21"/>
              </w:rPr>
              <w:t>新建管网85Km</w:t>
            </w:r>
          </w:p>
        </w:tc>
        <w:tc>
          <w:tcPr>
            <w:tcW w:w="789" w:type="pct"/>
            <w:vMerge w:val="continue"/>
            <w:noWrap w:val="0"/>
            <w:vAlign w:val="center"/>
          </w:tcPr>
          <w:p>
            <w:pPr>
              <w:spacing w:line="240" w:lineRule="auto"/>
              <w:ind w:right="140" w:rightChars="50"/>
              <w:jc w:val="center"/>
              <w:rPr>
                <w:spacing w:val="6"/>
                <w:sz w:val="21"/>
                <w:szCs w:val="21"/>
              </w:rPr>
            </w:pPr>
          </w:p>
        </w:tc>
        <w:tc>
          <w:tcPr>
            <w:tcW w:w="40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25000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rFonts w:hint="eastAsia"/>
                <w:spacing w:val="6"/>
                <w:sz w:val="21"/>
                <w:szCs w:val="21"/>
              </w:rPr>
              <w:t>周市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6</w:t>
            </w:r>
          </w:p>
        </w:tc>
        <w:tc>
          <w:tcPr>
            <w:tcW w:w="245" w:type="pct"/>
            <w:vMerge w:val="continue"/>
            <w:noWrap w:val="0"/>
            <w:vAlign w:val="center"/>
          </w:tcPr>
          <w:p>
            <w:pPr>
              <w:ind w:right="140" w:rightChars="50"/>
              <w:jc w:val="center"/>
              <w:rPr>
                <w:spacing w:val="6"/>
                <w:sz w:val="21"/>
                <w:szCs w:val="21"/>
              </w:rPr>
            </w:pPr>
          </w:p>
        </w:tc>
        <w:tc>
          <w:tcPr>
            <w:tcW w:w="887"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陆家污水管网建设</w:t>
            </w:r>
          </w:p>
        </w:tc>
        <w:tc>
          <w:tcPr>
            <w:tcW w:w="1564"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新建污水管网20公里</w:t>
            </w:r>
          </w:p>
        </w:tc>
        <w:tc>
          <w:tcPr>
            <w:tcW w:w="789" w:type="pct"/>
            <w:vMerge w:val="continue"/>
            <w:noWrap w:val="0"/>
            <w:vAlign w:val="center"/>
          </w:tcPr>
          <w:p>
            <w:pPr>
              <w:spacing w:line="240" w:lineRule="auto"/>
              <w:ind w:right="140" w:rightChars="50"/>
              <w:jc w:val="center"/>
              <w:rPr>
                <w:spacing w:val="6"/>
                <w:sz w:val="21"/>
                <w:szCs w:val="21"/>
              </w:rPr>
            </w:pPr>
          </w:p>
        </w:tc>
        <w:tc>
          <w:tcPr>
            <w:tcW w:w="40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9000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rFonts w:hint="eastAsia"/>
                <w:spacing w:val="6"/>
                <w:sz w:val="21"/>
                <w:szCs w:val="21"/>
              </w:rPr>
              <w:t>陆家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7</w:t>
            </w:r>
          </w:p>
        </w:tc>
        <w:tc>
          <w:tcPr>
            <w:tcW w:w="245" w:type="pct"/>
            <w:vMerge w:val="continue"/>
            <w:noWrap w:val="0"/>
            <w:vAlign w:val="center"/>
          </w:tcPr>
          <w:p>
            <w:pPr>
              <w:ind w:right="140" w:rightChars="50"/>
              <w:jc w:val="center"/>
              <w:rPr>
                <w:spacing w:val="6"/>
                <w:sz w:val="21"/>
                <w:szCs w:val="21"/>
              </w:rPr>
            </w:pPr>
          </w:p>
        </w:tc>
        <w:tc>
          <w:tcPr>
            <w:tcW w:w="887"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巴城污水厂扩建及管网配套</w:t>
            </w:r>
          </w:p>
        </w:tc>
        <w:tc>
          <w:tcPr>
            <w:tcW w:w="1564" w:type="pct"/>
            <w:noWrap w:val="0"/>
            <w:vAlign w:val="center"/>
          </w:tcPr>
          <w:p>
            <w:pPr>
              <w:spacing w:line="240" w:lineRule="auto"/>
              <w:ind w:right="140" w:rightChars="50"/>
              <w:jc w:val="center"/>
              <w:rPr>
                <w:rFonts w:hint="eastAsia"/>
                <w:spacing w:val="6"/>
                <w:sz w:val="21"/>
                <w:szCs w:val="21"/>
              </w:rPr>
            </w:pPr>
            <w:r>
              <w:rPr>
                <w:rFonts w:hint="eastAsia"/>
                <w:kern w:val="0"/>
                <w:sz w:val="21"/>
                <w:szCs w:val="21"/>
              </w:rPr>
              <w:t>扩建</w:t>
            </w:r>
            <w:r>
              <w:rPr>
                <w:kern w:val="0"/>
                <w:sz w:val="21"/>
                <w:szCs w:val="21"/>
              </w:rPr>
              <w:t>巴城澄源污水处理厂</w:t>
            </w:r>
            <w:r>
              <w:rPr>
                <w:rFonts w:hint="eastAsia"/>
                <w:kern w:val="0"/>
                <w:sz w:val="21"/>
                <w:szCs w:val="21"/>
              </w:rPr>
              <w:t>1.25万吨及配套管网150公里</w:t>
            </w:r>
          </w:p>
        </w:tc>
        <w:tc>
          <w:tcPr>
            <w:tcW w:w="789" w:type="pct"/>
            <w:vMerge w:val="continue"/>
            <w:noWrap w:val="0"/>
            <w:vAlign w:val="center"/>
          </w:tcPr>
          <w:p>
            <w:pPr>
              <w:spacing w:line="240" w:lineRule="auto"/>
              <w:ind w:right="140" w:rightChars="50"/>
              <w:jc w:val="center"/>
              <w:rPr>
                <w:spacing w:val="6"/>
                <w:sz w:val="21"/>
                <w:szCs w:val="21"/>
              </w:rPr>
            </w:pPr>
          </w:p>
        </w:tc>
        <w:tc>
          <w:tcPr>
            <w:tcW w:w="40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48000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rFonts w:hint="eastAsia"/>
                <w:spacing w:val="6"/>
                <w:sz w:val="21"/>
                <w:szCs w:val="21"/>
              </w:rPr>
              <w:t>巴城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8</w:t>
            </w:r>
          </w:p>
        </w:tc>
        <w:tc>
          <w:tcPr>
            <w:tcW w:w="245" w:type="pct"/>
            <w:vMerge w:val="continue"/>
            <w:noWrap w:val="0"/>
            <w:vAlign w:val="center"/>
          </w:tcPr>
          <w:p>
            <w:pPr>
              <w:ind w:right="140" w:rightChars="50"/>
              <w:jc w:val="center"/>
              <w:rPr>
                <w:spacing w:val="6"/>
                <w:sz w:val="21"/>
                <w:szCs w:val="21"/>
              </w:rPr>
            </w:pPr>
          </w:p>
        </w:tc>
        <w:tc>
          <w:tcPr>
            <w:tcW w:w="887"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千灯污水厂扩建及管网配套</w:t>
            </w:r>
          </w:p>
        </w:tc>
        <w:tc>
          <w:tcPr>
            <w:tcW w:w="1564"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污水厂扩建6万吨/日，配套管网95公里</w:t>
            </w:r>
          </w:p>
        </w:tc>
        <w:tc>
          <w:tcPr>
            <w:tcW w:w="789" w:type="pct"/>
            <w:vMerge w:val="continue"/>
            <w:noWrap w:val="0"/>
            <w:vAlign w:val="center"/>
          </w:tcPr>
          <w:p>
            <w:pPr>
              <w:spacing w:line="240" w:lineRule="auto"/>
              <w:ind w:right="140" w:rightChars="50"/>
              <w:jc w:val="center"/>
              <w:rPr>
                <w:spacing w:val="6"/>
                <w:sz w:val="21"/>
                <w:szCs w:val="21"/>
              </w:rPr>
            </w:pPr>
          </w:p>
        </w:tc>
        <w:tc>
          <w:tcPr>
            <w:tcW w:w="40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42500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rFonts w:hint="eastAsia"/>
                <w:spacing w:val="6"/>
                <w:sz w:val="21"/>
                <w:szCs w:val="21"/>
              </w:rPr>
              <w:t>千灯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9</w:t>
            </w:r>
          </w:p>
        </w:tc>
        <w:tc>
          <w:tcPr>
            <w:tcW w:w="245" w:type="pct"/>
            <w:vMerge w:val="continue"/>
            <w:noWrap w:val="0"/>
            <w:vAlign w:val="center"/>
          </w:tcPr>
          <w:p>
            <w:pPr>
              <w:ind w:right="140" w:rightChars="50"/>
              <w:jc w:val="center"/>
              <w:rPr>
                <w:spacing w:val="6"/>
                <w:sz w:val="21"/>
                <w:szCs w:val="21"/>
              </w:rPr>
            </w:pPr>
          </w:p>
        </w:tc>
        <w:tc>
          <w:tcPr>
            <w:tcW w:w="887"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淀山湖污水厂扩建及管网配套</w:t>
            </w:r>
          </w:p>
        </w:tc>
        <w:tc>
          <w:tcPr>
            <w:tcW w:w="1564" w:type="pct"/>
            <w:noWrap w:val="0"/>
            <w:vAlign w:val="center"/>
          </w:tcPr>
          <w:p>
            <w:pPr>
              <w:spacing w:line="240" w:lineRule="auto"/>
              <w:ind w:right="140" w:rightChars="50"/>
              <w:jc w:val="center"/>
              <w:rPr>
                <w:spacing w:val="6"/>
                <w:sz w:val="21"/>
                <w:szCs w:val="21"/>
              </w:rPr>
            </w:pPr>
            <w:r>
              <w:rPr>
                <w:rFonts w:hint="eastAsia"/>
                <w:spacing w:val="6"/>
                <w:sz w:val="21"/>
                <w:szCs w:val="21"/>
              </w:rPr>
              <w:t>污水厂扩建3万吨/日及配套管网</w:t>
            </w:r>
          </w:p>
        </w:tc>
        <w:tc>
          <w:tcPr>
            <w:tcW w:w="789" w:type="pct"/>
            <w:vMerge w:val="continue"/>
            <w:noWrap w:val="0"/>
            <w:vAlign w:val="center"/>
          </w:tcPr>
          <w:p>
            <w:pPr>
              <w:spacing w:line="240" w:lineRule="auto"/>
              <w:ind w:right="140" w:rightChars="50"/>
              <w:jc w:val="center"/>
              <w:rPr>
                <w:spacing w:val="6"/>
                <w:sz w:val="21"/>
                <w:szCs w:val="21"/>
              </w:rPr>
            </w:pPr>
          </w:p>
        </w:tc>
        <w:tc>
          <w:tcPr>
            <w:tcW w:w="40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8000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rFonts w:hint="eastAsia"/>
                <w:spacing w:val="6"/>
                <w:sz w:val="21"/>
                <w:szCs w:val="21"/>
              </w:rPr>
              <w:t>淀山湖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10</w:t>
            </w:r>
          </w:p>
        </w:tc>
        <w:tc>
          <w:tcPr>
            <w:tcW w:w="245" w:type="pct"/>
            <w:vMerge w:val="continue"/>
            <w:noWrap w:val="0"/>
            <w:vAlign w:val="center"/>
          </w:tcPr>
          <w:p>
            <w:pPr>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rFonts w:hint="eastAsia"/>
                <w:spacing w:val="6"/>
                <w:sz w:val="21"/>
                <w:szCs w:val="21"/>
              </w:rPr>
              <w:t>锦溪污水厂扩建及管网建设工程</w:t>
            </w:r>
          </w:p>
        </w:tc>
        <w:tc>
          <w:tcPr>
            <w:tcW w:w="1564"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锦溪污水厂扩建2.25万吨/日，配套管网</w:t>
            </w:r>
          </w:p>
        </w:tc>
        <w:tc>
          <w:tcPr>
            <w:tcW w:w="789" w:type="pct"/>
            <w:vMerge w:val="continue"/>
            <w:noWrap w:val="0"/>
            <w:vAlign w:val="center"/>
          </w:tcPr>
          <w:p>
            <w:pPr>
              <w:spacing w:line="240" w:lineRule="auto"/>
              <w:ind w:right="140" w:rightChars="50"/>
              <w:jc w:val="center"/>
              <w:rPr>
                <w:spacing w:val="6"/>
                <w:sz w:val="21"/>
                <w:szCs w:val="21"/>
              </w:rPr>
            </w:pPr>
          </w:p>
        </w:tc>
        <w:tc>
          <w:tcPr>
            <w:tcW w:w="40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15000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rFonts w:hint="eastAsia"/>
                <w:spacing w:val="6"/>
                <w:sz w:val="21"/>
                <w:szCs w:val="21"/>
              </w:rPr>
              <w:t>锦溪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11</w:t>
            </w:r>
          </w:p>
        </w:tc>
        <w:tc>
          <w:tcPr>
            <w:tcW w:w="245" w:type="pct"/>
            <w:vMerge w:val="continue"/>
            <w:noWrap w:val="0"/>
            <w:vAlign w:val="center"/>
          </w:tcPr>
          <w:p>
            <w:pPr>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spacing w:val="6"/>
                <w:sz w:val="21"/>
                <w:szCs w:val="21"/>
              </w:rPr>
              <w:t>污水处理厂中水回用示范工程</w:t>
            </w:r>
          </w:p>
        </w:tc>
        <w:tc>
          <w:tcPr>
            <w:tcW w:w="1564" w:type="pct"/>
            <w:noWrap w:val="0"/>
            <w:vAlign w:val="center"/>
          </w:tcPr>
          <w:p>
            <w:pPr>
              <w:spacing w:line="240" w:lineRule="auto"/>
              <w:ind w:right="140" w:rightChars="50"/>
              <w:jc w:val="center"/>
              <w:rPr>
                <w:spacing w:val="6"/>
                <w:sz w:val="21"/>
                <w:szCs w:val="21"/>
              </w:rPr>
            </w:pPr>
            <w:r>
              <w:rPr>
                <w:spacing w:val="6"/>
                <w:sz w:val="21"/>
                <w:szCs w:val="21"/>
              </w:rPr>
              <w:t>建立以</w:t>
            </w:r>
            <w:r>
              <w:rPr>
                <w:kern w:val="0"/>
                <w:sz w:val="21"/>
                <w:szCs w:val="21"/>
              </w:rPr>
              <w:t>蓬朗污水处理厂</w:t>
            </w:r>
            <w:r>
              <w:rPr>
                <w:spacing w:val="6"/>
                <w:sz w:val="21"/>
                <w:szCs w:val="21"/>
              </w:rPr>
              <w:t>中水回用为典范的中水系统，中水用于</w:t>
            </w:r>
            <w:r>
              <w:rPr>
                <w:rFonts w:hint="eastAsia"/>
                <w:spacing w:val="6"/>
                <w:sz w:val="21"/>
                <w:szCs w:val="21"/>
              </w:rPr>
              <w:t>工业企业、</w:t>
            </w:r>
            <w:r>
              <w:rPr>
                <w:spacing w:val="6"/>
                <w:sz w:val="21"/>
                <w:szCs w:val="21"/>
              </w:rPr>
              <w:t>道路喷洒、景观等。</w:t>
            </w:r>
          </w:p>
        </w:tc>
        <w:tc>
          <w:tcPr>
            <w:tcW w:w="789" w:type="pct"/>
            <w:noWrap w:val="0"/>
            <w:vAlign w:val="center"/>
          </w:tcPr>
          <w:p>
            <w:pPr>
              <w:spacing w:line="240" w:lineRule="auto"/>
              <w:ind w:right="140" w:rightChars="50"/>
              <w:jc w:val="center"/>
              <w:rPr>
                <w:spacing w:val="6"/>
                <w:sz w:val="21"/>
                <w:szCs w:val="21"/>
              </w:rPr>
            </w:pPr>
            <w:r>
              <w:rPr>
                <w:spacing w:val="6"/>
                <w:sz w:val="21"/>
                <w:szCs w:val="21"/>
              </w:rPr>
              <w:t>减少新鲜水用量，提高水资源利用率。</w:t>
            </w:r>
          </w:p>
        </w:tc>
        <w:tc>
          <w:tcPr>
            <w:tcW w:w="405" w:type="pct"/>
            <w:noWrap w:val="0"/>
            <w:vAlign w:val="center"/>
          </w:tcPr>
          <w:p>
            <w:pPr>
              <w:spacing w:line="240" w:lineRule="auto"/>
              <w:ind w:right="140" w:rightChars="50"/>
              <w:jc w:val="center"/>
              <w:rPr>
                <w:spacing w:val="6"/>
                <w:sz w:val="21"/>
                <w:szCs w:val="21"/>
              </w:rPr>
            </w:pPr>
            <w:r>
              <w:rPr>
                <w:rFonts w:hint="eastAsia"/>
                <w:spacing w:val="6"/>
                <w:sz w:val="21"/>
                <w:szCs w:val="21"/>
              </w:rPr>
              <w:t>1</w:t>
            </w:r>
            <w:r>
              <w:rPr>
                <w:spacing w:val="6"/>
                <w:sz w:val="21"/>
                <w:szCs w:val="21"/>
              </w:rPr>
              <w:t>5</w:t>
            </w:r>
            <w:r>
              <w:rPr>
                <w:rFonts w:hint="eastAsia"/>
                <w:spacing w:val="6"/>
                <w:sz w:val="21"/>
                <w:szCs w:val="21"/>
              </w:rPr>
              <w:t>3</w:t>
            </w:r>
            <w:r>
              <w:rPr>
                <w:spacing w:val="6"/>
                <w:sz w:val="21"/>
                <w:szCs w:val="21"/>
              </w:rPr>
              <w:t>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住建局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12</w:t>
            </w:r>
          </w:p>
        </w:tc>
        <w:tc>
          <w:tcPr>
            <w:tcW w:w="245" w:type="pct"/>
            <w:vMerge w:val="continue"/>
            <w:noWrap w:val="0"/>
            <w:vAlign w:val="center"/>
          </w:tcPr>
          <w:p>
            <w:pPr>
              <w:spacing w:line="240" w:lineRule="auto"/>
              <w:ind w:right="140" w:rightChars="50"/>
              <w:jc w:val="center"/>
              <w:rPr>
                <w:spacing w:val="6"/>
                <w:sz w:val="21"/>
                <w:szCs w:val="21"/>
              </w:rPr>
            </w:pPr>
          </w:p>
        </w:tc>
        <w:tc>
          <w:tcPr>
            <w:tcW w:w="887" w:type="pct"/>
            <w:tcBorders>
              <w:bottom w:val="single" w:color="auto" w:sz="6" w:space="0"/>
            </w:tcBorders>
            <w:noWrap w:val="0"/>
            <w:vAlign w:val="center"/>
          </w:tcPr>
          <w:p>
            <w:pPr>
              <w:pStyle w:val="54"/>
              <w:spacing w:before="48" w:after="48"/>
              <w:ind w:right="140" w:rightChars="50"/>
              <w:rPr>
                <w:rFonts w:ascii="Times New Roman" w:hAnsi="Times New Roman" w:eastAsia="仿宋_GB2312" w:cs="Times New Roman"/>
                <w:spacing w:val="6"/>
              </w:rPr>
            </w:pPr>
            <w:r>
              <w:rPr>
                <w:rFonts w:ascii="Times New Roman" w:hAnsi="Times New Roman" w:eastAsia="仿宋_GB2312" w:cs="Times New Roman"/>
                <w:spacing w:val="6"/>
              </w:rPr>
              <w:t>污水资源化示范工程</w:t>
            </w:r>
          </w:p>
        </w:tc>
        <w:tc>
          <w:tcPr>
            <w:tcW w:w="1564" w:type="pct"/>
            <w:noWrap w:val="0"/>
            <w:vAlign w:val="center"/>
          </w:tcPr>
          <w:p>
            <w:pPr>
              <w:pStyle w:val="54"/>
              <w:spacing w:before="48" w:after="48"/>
              <w:ind w:right="140" w:rightChars="50"/>
              <w:rPr>
                <w:rFonts w:ascii="Times New Roman" w:hAnsi="Times New Roman" w:eastAsia="仿宋_GB2312" w:cs="Times New Roman"/>
                <w:spacing w:val="6"/>
              </w:rPr>
            </w:pPr>
            <w:r>
              <w:rPr>
                <w:rFonts w:ascii="Times New Roman" w:hAnsi="Times New Roman" w:eastAsia="仿宋_GB2312" w:cs="Times New Roman"/>
                <w:spacing w:val="6"/>
              </w:rPr>
              <w:t>以昆山经济开发区和昆山高科园为依托，采用水网络集成技术，实施园内厂际串联用水，实施企业污水资源化示范工程。</w:t>
            </w:r>
          </w:p>
        </w:tc>
        <w:tc>
          <w:tcPr>
            <w:tcW w:w="789" w:type="pct"/>
            <w:noWrap w:val="0"/>
            <w:vAlign w:val="center"/>
          </w:tcPr>
          <w:p>
            <w:pPr>
              <w:pStyle w:val="54"/>
              <w:spacing w:before="48" w:after="48"/>
              <w:ind w:right="140" w:rightChars="50"/>
              <w:rPr>
                <w:rFonts w:ascii="Times New Roman" w:hAnsi="Times New Roman" w:eastAsia="仿宋_GB2312" w:cs="Times New Roman"/>
                <w:spacing w:val="6"/>
              </w:rPr>
            </w:pPr>
            <w:r>
              <w:rPr>
                <w:rFonts w:ascii="Times New Roman" w:hAnsi="Times New Roman" w:eastAsia="仿宋_GB2312" w:cs="Times New Roman"/>
                <w:spacing w:val="6"/>
              </w:rPr>
              <w:t>提高水资源利用效率，减少污染物排放。</w:t>
            </w:r>
          </w:p>
        </w:tc>
        <w:tc>
          <w:tcPr>
            <w:tcW w:w="405" w:type="pct"/>
            <w:noWrap w:val="0"/>
            <w:vAlign w:val="center"/>
          </w:tcPr>
          <w:p>
            <w:pPr>
              <w:spacing w:line="240" w:lineRule="auto"/>
              <w:ind w:right="140" w:rightChars="50"/>
              <w:jc w:val="center"/>
              <w:rPr>
                <w:spacing w:val="6"/>
                <w:sz w:val="21"/>
                <w:szCs w:val="21"/>
              </w:rPr>
            </w:pPr>
            <w:r>
              <w:rPr>
                <w:spacing w:val="6"/>
                <w:sz w:val="21"/>
                <w:szCs w:val="21"/>
              </w:rPr>
              <w:t>10000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环保局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13</w:t>
            </w:r>
          </w:p>
        </w:tc>
        <w:tc>
          <w:tcPr>
            <w:tcW w:w="245" w:type="pct"/>
            <w:vMerge w:val="continue"/>
            <w:noWrap w:val="0"/>
            <w:vAlign w:val="center"/>
          </w:tcPr>
          <w:p>
            <w:pPr>
              <w:spacing w:line="240" w:lineRule="auto"/>
              <w:ind w:right="140" w:rightChars="50"/>
              <w:jc w:val="center"/>
              <w:rPr>
                <w:spacing w:val="6"/>
                <w:sz w:val="21"/>
                <w:szCs w:val="21"/>
              </w:rPr>
            </w:pPr>
          </w:p>
        </w:tc>
        <w:tc>
          <w:tcPr>
            <w:tcW w:w="887" w:type="pct"/>
            <w:tcBorders>
              <w:bottom w:val="single" w:color="auto" w:sz="6" w:space="0"/>
            </w:tcBorders>
            <w:noWrap w:val="0"/>
            <w:vAlign w:val="center"/>
          </w:tcPr>
          <w:p>
            <w:pPr>
              <w:spacing w:line="240" w:lineRule="auto"/>
              <w:ind w:right="140" w:rightChars="50"/>
              <w:jc w:val="center"/>
              <w:rPr>
                <w:spacing w:val="6"/>
                <w:sz w:val="21"/>
                <w:szCs w:val="21"/>
              </w:rPr>
            </w:pPr>
            <w:r>
              <w:rPr>
                <w:spacing w:val="6"/>
                <w:sz w:val="21"/>
                <w:szCs w:val="21"/>
              </w:rPr>
              <w:t>重点企业脱硝工程</w:t>
            </w:r>
          </w:p>
        </w:tc>
        <w:tc>
          <w:tcPr>
            <w:tcW w:w="1564" w:type="pct"/>
            <w:noWrap w:val="0"/>
            <w:vAlign w:val="center"/>
          </w:tcPr>
          <w:p>
            <w:pPr>
              <w:spacing w:line="240" w:lineRule="auto"/>
              <w:ind w:right="140" w:rightChars="50"/>
              <w:jc w:val="center"/>
              <w:rPr>
                <w:spacing w:val="6"/>
                <w:sz w:val="21"/>
                <w:szCs w:val="21"/>
              </w:rPr>
            </w:pPr>
            <w:r>
              <w:rPr>
                <w:spacing w:val="6"/>
                <w:sz w:val="21"/>
                <w:szCs w:val="21"/>
              </w:rPr>
              <w:t>热电厂等燃煤企业大户技术改造与脱硝工程。</w:t>
            </w:r>
          </w:p>
        </w:tc>
        <w:tc>
          <w:tcPr>
            <w:tcW w:w="789" w:type="pct"/>
            <w:noWrap w:val="0"/>
            <w:vAlign w:val="center"/>
          </w:tcPr>
          <w:p>
            <w:pPr>
              <w:spacing w:line="240" w:lineRule="auto"/>
              <w:ind w:right="140" w:rightChars="50"/>
              <w:jc w:val="center"/>
              <w:rPr>
                <w:spacing w:val="6"/>
                <w:sz w:val="21"/>
                <w:szCs w:val="21"/>
              </w:rPr>
            </w:pPr>
            <w:r>
              <w:rPr>
                <w:spacing w:val="6"/>
                <w:sz w:val="21"/>
                <w:szCs w:val="21"/>
              </w:rPr>
              <w:t>减少氮氧化物排放量，改善区域大气环境质量。</w:t>
            </w:r>
          </w:p>
        </w:tc>
        <w:tc>
          <w:tcPr>
            <w:tcW w:w="405" w:type="pct"/>
            <w:noWrap w:val="0"/>
            <w:vAlign w:val="center"/>
          </w:tcPr>
          <w:p>
            <w:pPr>
              <w:spacing w:line="240" w:lineRule="auto"/>
              <w:ind w:right="140" w:rightChars="50"/>
              <w:jc w:val="center"/>
              <w:rPr>
                <w:spacing w:val="6"/>
                <w:sz w:val="21"/>
                <w:szCs w:val="21"/>
              </w:rPr>
            </w:pPr>
            <w:r>
              <w:rPr>
                <w:spacing w:val="6"/>
                <w:sz w:val="21"/>
                <w:szCs w:val="21"/>
              </w:rPr>
              <w:t>20000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发改委、环保局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203" w:hRule="atLeas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14</w:t>
            </w:r>
          </w:p>
        </w:tc>
        <w:tc>
          <w:tcPr>
            <w:tcW w:w="245" w:type="pct"/>
            <w:vMerge w:val="continue"/>
            <w:noWrap w:val="0"/>
            <w:vAlign w:val="center"/>
          </w:tcPr>
          <w:p>
            <w:pPr>
              <w:spacing w:line="240" w:lineRule="auto"/>
              <w:ind w:right="140" w:rightChars="50"/>
              <w:jc w:val="center"/>
              <w:rPr>
                <w:spacing w:val="6"/>
                <w:sz w:val="21"/>
                <w:szCs w:val="21"/>
              </w:rPr>
            </w:pPr>
          </w:p>
        </w:tc>
        <w:tc>
          <w:tcPr>
            <w:tcW w:w="887" w:type="pct"/>
            <w:tcBorders>
              <w:bottom w:val="single" w:color="auto" w:sz="6" w:space="0"/>
            </w:tcBorders>
            <w:noWrap w:val="0"/>
            <w:vAlign w:val="center"/>
          </w:tcPr>
          <w:p>
            <w:pPr>
              <w:spacing w:line="240" w:lineRule="auto"/>
              <w:ind w:right="140" w:rightChars="50"/>
              <w:jc w:val="center"/>
              <w:rPr>
                <w:spacing w:val="6"/>
                <w:sz w:val="21"/>
                <w:szCs w:val="21"/>
              </w:rPr>
            </w:pPr>
            <w:r>
              <w:rPr>
                <w:spacing w:val="6"/>
                <w:sz w:val="21"/>
                <w:szCs w:val="21"/>
              </w:rPr>
              <w:t>污染物</w:t>
            </w:r>
            <w:r>
              <w:rPr>
                <w:rFonts w:hint="eastAsia"/>
                <w:spacing w:val="6"/>
                <w:sz w:val="21"/>
                <w:szCs w:val="21"/>
              </w:rPr>
              <w:t>排放许可证及</w:t>
            </w:r>
            <w:r>
              <w:rPr>
                <w:spacing w:val="6"/>
                <w:sz w:val="21"/>
                <w:szCs w:val="21"/>
              </w:rPr>
              <w:t>交易平台</w:t>
            </w:r>
          </w:p>
        </w:tc>
        <w:tc>
          <w:tcPr>
            <w:tcW w:w="1564" w:type="pct"/>
            <w:noWrap w:val="0"/>
            <w:vAlign w:val="center"/>
          </w:tcPr>
          <w:p>
            <w:pPr>
              <w:spacing w:line="240" w:lineRule="auto"/>
              <w:ind w:right="140" w:rightChars="50"/>
              <w:jc w:val="center"/>
              <w:rPr>
                <w:spacing w:val="6"/>
                <w:sz w:val="21"/>
                <w:szCs w:val="21"/>
              </w:rPr>
            </w:pPr>
            <w:r>
              <w:rPr>
                <w:spacing w:val="6"/>
                <w:sz w:val="21"/>
                <w:szCs w:val="21"/>
              </w:rPr>
              <w:t>建设完善主要污染物</w:t>
            </w:r>
            <w:r>
              <w:rPr>
                <w:rFonts w:hint="eastAsia"/>
                <w:spacing w:val="6"/>
                <w:sz w:val="21"/>
                <w:szCs w:val="21"/>
              </w:rPr>
              <w:t>排放许可证及</w:t>
            </w:r>
            <w:r>
              <w:rPr>
                <w:spacing w:val="6"/>
                <w:sz w:val="21"/>
                <w:szCs w:val="21"/>
              </w:rPr>
              <w:t>交易平台</w:t>
            </w:r>
          </w:p>
        </w:tc>
        <w:tc>
          <w:tcPr>
            <w:tcW w:w="789" w:type="pct"/>
            <w:noWrap w:val="0"/>
            <w:vAlign w:val="center"/>
          </w:tcPr>
          <w:p>
            <w:pPr>
              <w:spacing w:line="240" w:lineRule="auto"/>
              <w:ind w:right="140" w:rightChars="50"/>
              <w:jc w:val="center"/>
              <w:rPr>
                <w:spacing w:val="6"/>
                <w:sz w:val="21"/>
                <w:szCs w:val="21"/>
              </w:rPr>
            </w:pPr>
            <w:r>
              <w:rPr>
                <w:spacing w:val="6"/>
                <w:sz w:val="21"/>
                <w:szCs w:val="21"/>
              </w:rPr>
              <w:t>减少水污染物和大气污染物排放总量</w:t>
            </w:r>
          </w:p>
        </w:tc>
        <w:tc>
          <w:tcPr>
            <w:tcW w:w="405" w:type="pct"/>
            <w:noWrap w:val="0"/>
            <w:vAlign w:val="center"/>
          </w:tcPr>
          <w:p>
            <w:pPr>
              <w:spacing w:line="240" w:lineRule="auto"/>
              <w:ind w:right="140" w:rightChars="50"/>
              <w:jc w:val="center"/>
              <w:rPr>
                <w:spacing w:val="6"/>
                <w:sz w:val="21"/>
                <w:szCs w:val="21"/>
              </w:rPr>
            </w:pPr>
            <w:r>
              <w:rPr>
                <w:rFonts w:hint="eastAsia"/>
                <w:spacing w:val="6"/>
                <w:sz w:val="21"/>
                <w:szCs w:val="21"/>
              </w:rPr>
              <w:t>2</w:t>
            </w:r>
            <w:r>
              <w:rPr>
                <w:spacing w:val="6"/>
                <w:sz w:val="21"/>
                <w:szCs w:val="21"/>
              </w:rPr>
              <w:t>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环保局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15</w:t>
            </w:r>
          </w:p>
        </w:tc>
        <w:tc>
          <w:tcPr>
            <w:tcW w:w="245" w:type="pct"/>
            <w:vMerge w:val="restart"/>
            <w:tcBorders>
              <w:top w:val="single" w:color="auto" w:sz="6" w:space="0"/>
            </w:tcBorders>
            <w:noWrap w:val="0"/>
            <w:vAlign w:val="center"/>
          </w:tcPr>
          <w:p>
            <w:pPr>
              <w:ind w:right="140" w:rightChars="50"/>
              <w:jc w:val="center"/>
              <w:rPr>
                <w:rFonts w:hint="eastAsia"/>
                <w:spacing w:val="6"/>
                <w:sz w:val="21"/>
                <w:szCs w:val="21"/>
              </w:rPr>
            </w:pPr>
            <w:r>
              <w:rPr>
                <w:spacing w:val="6"/>
                <w:sz w:val="21"/>
                <w:szCs w:val="21"/>
              </w:rPr>
              <w:t>水</w:t>
            </w:r>
          </w:p>
          <w:p>
            <w:pPr>
              <w:ind w:right="140" w:rightChars="50"/>
              <w:jc w:val="center"/>
              <w:rPr>
                <w:spacing w:val="6"/>
                <w:sz w:val="21"/>
                <w:szCs w:val="21"/>
              </w:rPr>
            </w:pPr>
            <w:r>
              <w:rPr>
                <w:spacing w:val="6"/>
                <w:sz w:val="21"/>
                <w:szCs w:val="21"/>
              </w:rPr>
              <w:t>环</w:t>
            </w:r>
          </w:p>
          <w:p>
            <w:pPr>
              <w:ind w:right="140" w:rightChars="50"/>
              <w:jc w:val="center"/>
              <w:rPr>
                <w:spacing w:val="6"/>
                <w:sz w:val="21"/>
                <w:szCs w:val="21"/>
              </w:rPr>
            </w:pPr>
            <w:r>
              <w:rPr>
                <w:spacing w:val="6"/>
                <w:sz w:val="21"/>
                <w:szCs w:val="21"/>
              </w:rPr>
              <w:t>境</w:t>
            </w:r>
          </w:p>
          <w:p>
            <w:pPr>
              <w:ind w:right="140" w:rightChars="50"/>
              <w:jc w:val="center"/>
              <w:rPr>
                <w:rFonts w:hint="eastAsia"/>
                <w:spacing w:val="6"/>
                <w:sz w:val="21"/>
                <w:szCs w:val="21"/>
              </w:rPr>
            </w:pPr>
            <w:r>
              <w:rPr>
                <w:spacing w:val="6"/>
                <w:sz w:val="21"/>
                <w:szCs w:val="21"/>
              </w:rPr>
              <w:t>保</w:t>
            </w:r>
          </w:p>
          <w:p>
            <w:pPr>
              <w:ind w:right="140" w:rightChars="50"/>
              <w:jc w:val="center"/>
              <w:rPr>
                <w:spacing w:val="6"/>
                <w:sz w:val="21"/>
                <w:szCs w:val="21"/>
              </w:rPr>
            </w:pPr>
            <w:r>
              <w:rPr>
                <w:spacing w:val="6"/>
                <w:sz w:val="21"/>
                <w:szCs w:val="21"/>
              </w:rPr>
              <w:t>护</w:t>
            </w:r>
          </w:p>
        </w:tc>
        <w:tc>
          <w:tcPr>
            <w:tcW w:w="887" w:type="pct"/>
            <w:tcBorders>
              <w:top w:val="single" w:color="auto" w:sz="6" w:space="0"/>
            </w:tcBorders>
            <w:noWrap w:val="0"/>
            <w:vAlign w:val="center"/>
          </w:tcPr>
          <w:p>
            <w:pPr>
              <w:spacing w:line="240" w:lineRule="auto"/>
              <w:ind w:right="140" w:rightChars="50"/>
              <w:jc w:val="center"/>
              <w:rPr>
                <w:spacing w:val="6"/>
                <w:sz w:val="21"/>
                <w:szCs w:val="21"/>
              </w:rPr>
            </w:pPr>
            <w:r>
              <w:rPr>
                <w:rFonts w:hint="eastAsia"/>
                <w:spacing w:val="6"/>
                <w:sz w:val="21"/>
                <w:szCs w:val="21"/>
              </w:rPr>
              <w:t>水源地保护工程</w:t>
            </w:r>
          </w:p>
        </w:tc>
        <w:tc>
          <w:tcPr>
            <w:tcW w:w="1564" w:type="pct"/>
            <w:noWrap w:val="0"/>
            <w:vAlign w:val="center"/>
          </w:tcPr>
          <w:p>
            <w:pPr>
              <w:spacing w:line="240" w:lineRule="auto"/>
              <w:ind w:right="140" w:rightChars="50"/>
              <w:jc w:val="center"/>
              <w:rPr>
                <w:spacing w:val="6"/>
                <w:sz w:val="21"/>
                <w:szCs w:val="21"/>
              </w:rPr>
            </w:pPr>
            <w:r>
              <w:rPr>
                <w:rFonts w:hint="eastAsia"/>
                <w:spacing w:val="6"/>
                <w:sz w:val="21"/>
                <w:szCs w:val="21"/>
              </w:rPr>
              <w:t>傀儡湖入湖支流水质保护工程、第二水源建设工程</w:t>
            </w:r>
          </w:p>
        </w:tc>
        <w:tc>
          <w:tcPr>
            <w:tcW w:w="789"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确保水源地水质安全</w:t>
            </w:r>
          </w:p>
        </w:tc>
        <w:tc>
          <w:tcPr>
            <w:tcW w:w="40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5000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rFonts w:hint="eastAsia"/>
                <w:spacing w:val="6"/>
                <w:sz w:val="21"/>
                <w:szCs w:val="21"/>
              </w:rPr>
              <w:t>住建局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16</w:t>
            </w:r>
          </w:p>
        </w:tc>
        <w:tc>
          <w:tcPr>
            <w:tcW w:w="245" w:type="pct"/>
            <w:vMerge w:val="continue"/>
            <w:tcBorders>
              <w:top w:val="single" w:color="auto" w:sz="6" w:space="0"/>
            </w:tcBorders>
            <w:noWrap w:val="0"/>
            <w:vAlign w:val="center"/>
          </w:tcPr>
          <w:p>
            <w:pPr>
              <w:ind w:right="140" w:rightChars="50"/>
              <w:jc w:val="center"/>
              <w:rPr>
                <w:spacing w:val="6"/>
                <w:sz w:val="21"/>
                <w:szCs w:val="21"/>
              </w:rPr>
            </w:pPr>
          </w:p>
        </w:tc>
        <w:tc>
          <w:tcPr>
            <w:tcW w:w="887" w:type="pct"/>
            <w:tcBorders>
              <w:top w:val="single" w:color="auto" w:sz="6" w:space="0"/>
            </w:tcBorders>
            <w:noWrap w:val="0"/>
            <w:vAlign w:val="center"/>
          </w:tcPr>
          <w:p>
            <w:pPr>
              <w:spacing w:line="240" w:lineRule="auto"/>
              <w:ind w:right="140" w:rightChars="50"/>
              <w:jc w:val="center"/>
              <w:rPr>
                <w:spacing w:val="6"/>
                <w:sz w:val="21"/>
                <w:szCs w:val="21"/>
              </w:rPr>
            </w:pPr>
            <w:r>
              <w:rPr>
                <w:spacing w:val="6"/>
                <w:sz w:val="21"/>
                <w:szCs w:val="21"/>
              </w:rPr>
              <w:t>阳澄湖入湖河道进行生态修复项目</w:t>
            </w:r>
          </w:p>
        </w:tc>
        <w:tc>
          <w:tcPr>
            <w:tcW w:w="1564" w:type="pct"/>
            <w:noWrap w:val="0"/>
            <w:vAlign w:val="center"/>
          </w:tcPr>
          <w:p>
            <w:pPr>
              <w:spacing w:line="240" w:lineRule="auto"/>
              <w:ind w:right="140" w:rightChars="50"/>
              <w:jc w:val="center"/>
              <w:rPr>
                <w:spacing w:val="6"/>
                <w:sz w:val="21"/>
                <w:szCs w:val="21"/>
              </w:rPr>
            </w:pPr>
            <w:r>
              <w:rPr>
                <w:spacing w:val="6"/>
                <w:sz w:val="21"/>
                <w:szCs w:val="21"/>
              </w:rPr>
              <w:t>阳澄湖入湖河道进行生态修复，主要工程内容</w:t>
            </w:r>
            <w:r>
              <w:rPr>
                <w:rFonts w:hint="eastAsia"/>
                <w:spacing w:val="6"/>
                <w:sz w:val="21"/>
                <w:szCs w:val="21"/>
              </w:rPr>
              <w:t>包括</w:t>
            </w:r>
            <w:r>
              <w:rPr>
                <w:spacing w:val="6"/>
                <w:sz w:val="21"/>
                <w:szCs w:val="21"/>
              </w:rPr>
              <w:t>河道疏浚，生态护坡，生态防护林，水生植物种植，景观植物种植</w:t>
            </w:r>
          </w:p>
        </w:tc>
        <w:tc>
          <w:tcPr>
            <w:tcW w:w="789" w:type="pct"/>
            <w:noWrap w:val="0"/>
            <w:vAlign w:val="center"/>
          </w:tcPr>
          <w:p>
            <w:pPr>
              <w:spacing w:line="240" w:lineRule="auto"/>
              <w:ind w:right="140" w:rightChars="50"/>
              <w:jc w:val="center"/>
              <w:rPr>
                <w:spacing w:val="6"/>
                <w:sz w:val="21"/>
                <w:szCs w:val="21"/>
              </w:rPr>
            </w:pPr>
            <w:r>
              <w:rPr>
                <w:spacing w:val="6"/>
                <w:sz w:val="21"/>
                <w:szCs w:val="21"/>
              </w:rPr>
              <w:t>恢复水体生态系统</w:t>
            </w:r>
          </w:p>
        </w:tc>
        <w:tc>
          <w:tcPr>
            <w:tcW w:w="405" w:type="pct"/>
            <w:noWrap w:val="0"/>
            <w:vAlign w:val="center"/>
          </w:tcPr>
          <w:p>
            <w:pPr>
              <w:spacing w:line="240" w:lineRule="auto"/>
              <w:ind w:right="140" w:rightChars="50"/>
              <w:jc w:val="center"/>
              <w:rPr>
                <w:spacing w:val="6"/>
                <w:sz w:val="21"/>
                <w:szCs w:val="21"/>
              </w:rPr>
            </w:pPr>
            <w:r>
              <w:rPr>
                <w:spacing w:val="6"/>
                <w:sz w:val="21"/>
                <w:szCs w:val="21"/>
              </w:rPr>
              <w:t>3000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水利局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17</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spacing w:val="6"/>
                <w:sz w:val="21"/>
                <w:szCs w:val="21"/>
              </w:rPr>
              <w:t>河道综合整治项目</w:t>
            </w:r>
          </w:p>
        </w:tc>
        <w:tc>
          <w:tcPr>
            <w:tcW w:w="1564" w:type="pct"/>
            <w:noWrap w:val="0"/>
            <w:vAlign w:val="center"/>
          </w:tcPr>
          <w:p>
            <w:pPr>
              <w:spacing w:line="240" w:lineRule="auto"/>
              <w:ind w:right="140" w:rightChars="50"/>
              <w:jc w:val="center"/>
              <w:rPr>
                <w:spacing w:val="6"/>
                <w:sz w:val="21"/>
                <w:szCs w:val="21"/>
              </w:rPr>
            </w:pPr>
            <w:r>
              <w:rPr>
                <w:spacing w:val="6"/>
                <w:sz w:val="21"/>
                <w:szCs w:val="21"/>
              </w:rPr>
              <w:t>2015年之前完成对区内各河道的轮浚与清淤工作，对已疏浚河道加强管理和水景观建设。</w:t>
            </w:r>
          </w:p>
        </w:tc>
        <w:tc>
          <w:tcPr>
            <w:tcW w:w="789" w:type="pct"/>
            <w:noWrap w:val="0"/>
            <w:vAlign w:val="center"/>
          </w:tcPr>
          <w:p>
            <w:pPr>
              <w:spacing w:line="240" w:lineRule="auto"/>
              <w:ind w:right="140" w:rightChars="50"/>
              <w:jc w:val="center"/>
              <w:rPr>
                <w:spacing w:val="6"/>
                <w:sz w:val="21"/>
                <w:szCs w:val="21"/>
              </w:rPr>
            </w:pPr>
            <w:r>
              <w:rPr>
                <w:spacing w:val="6"/>
                <w:sz w:val="21"/>
                <w:szCs w:val="21"/>
              </w:rPr>
              <w:t>改善地表水环境质量，保持河道畅通。</w:t>
            </w:r>
          </w:p>
        </w:tc>
        <w:tc>
          <w:tcPr>
            <w:tcW w:w="405" w:type="pct"/>
            <w:noWrap w:val="0"/>
            <w:vAlign w:val="center"/>
          </w:tcPr>
          <w:p>
            <w:pPr>
              <w:spacing w:line="240" w:lineRule="auto"/>
              <w:ind w:right="140" w:rightChars="50"/>
              <w:jc w:val="center"/>
              <w:rPr>
                <w:spacing w:val="6"/>
                <w:sz w:val="21"/>
                <w:szCs w:val="21"/>
              </w:rPr>
            </w:pPr>
            <w:r>
              <w:rPr>
                <w:spacing w:val="6"/>
                <w:sz w:val="21"/>
                <w:szCs w:val="21"/>
              </w:rPr>
              <w:t>15000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水利局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18</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rFonts w:hint="eastAsia"/>
                <w:spacing w:val="6"/>
                <w:sz w:val="21"/>
                <w:szCs w:val="21"/>
              </w:rPr>
              <w:t>省界断面达标整治</w:t>
            </w:r>
          </w:p>
        </w:tc>
        <w:tc>
          <w:tcPr>
            <w:tcW w:w="1564" w:type="pct"/>
            <w:noWrap w:val="0"/>
            <w:vAlign w:val="center"/>
          </w:tcPr>
          <w:p>
            <w:pPr>
              <w:spacing w:line="240" w:lineRule="auto"/>
              <w:ind w:right="140" w:rightChars="50"/>
              <w:jc w:val="center"/>
              <w:rPr>
                <w:spacing w:val="6"/>
                <w:sz w:val="21"/>
                <w:szCs w:val="21"/>
              </w:rPr>
            </w:pPr>
            <w:r>
              <w:rPr>
                <w:rFonts w:hint="eastAsia"/>
                <w:spacing w:val="6"/>
                <w:sz w:val="21"/>
                <w:szCs w:val="21"/>
              </w:rPr>
              <w:t>急水港、千灯浦、朱厍港、吴淞江</w:t>
            </w:r>
            <w:r>
              <w:rPr>
                <w:spacing w:val="6"/>
                <w:sz w:val="21"/>
                <w:szCs w:val="21"/>
              </w:rPr>
              <w:t>点源治理工程，面源治理工程、生态修复工程和河道整治工程</w:t>
            </w:r>
          </w:p>
        </w:tc>
        <w:tc>
          <w:tcPr>
            <w:tcW w:w="789" w:type="pct"/>
            <w:noWrap w:val="0"/>
            <w:vAlign w:val="center"/>
          </w:tcPr>
          <w:p>
            <w:pPr>
              <w:spacing w:line="240" w:lineRule="auto"/>
              <w:ind w:right="140" w:rightChars="50"/>
              <w:jc w:val="center"/>
              <w:rPr>
                <w:spacing w:val="6"/>
                <w:sz w:val="21"/>
                <w:szCs w:val="21"/>
              </w:rPr>
            </w:pPr>
            <w:r>
              <w:rPr>
                <w:rFonts w:hint="eastAsia"/>
                <w:spacing w:val="6"/>
                <w:sz w:val="21"/>
                <w:szCs w:val="21"/>
              </w:rPr>
              <w:t>确保断面达标</w:t>
            </w:r>
          </w:p>
        </w:tc>
        <w:tc>
          <w:tcPr>
            <w:tcW w:w="40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10000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河流所在区镇、环保局、</w:t>
            </w:r>
            <w:r>
              <w:rPr>
                <w:spacing w:val="6"/>
                <w:sz w:val="21"/>
                <w:szCs w:val="21"/>
              </w:rPr>
              <w:t>水利局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19</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航运船舶污染物的处置和监管</w:t>
            </w:r>
          </w:p>
        </w:tc>
        <w:tc>
          <w:tcPr>
            <w:tcW w:w="1564"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完善船舶污染物岸上接收和处理处置设施的建设，重点航道码头必须建成船舶垃圾收集站，形成配套体系。</w:t>
            </w:r>
          </w:p>
        </w:tc>
        <w:tc>
          <w:tcPr>
            <w:tcW w:w="789"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强化危险品运输管理，加强对船舶污染收集设施配备和使用情况的监督检查。</w:t>
            </w:r>
          </w:p>
        </w:tc>
        <w:tc>
          <w:tcPr>
            <w:tcW w:w="40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5000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交通</w:t>
            </w:r>
            <w:r>
              <w:rPr>
                <w:spacing w:val="6"/>
                <w:sz w:val="21"/>
                <w:szCs w:val="21"/>
              </w:rPr>
              <w:t>局</w:t>
            </w:r>
            <w:r>
              <w:rPr>
                <w:rFonts w:hint="eastAsia"/>
                <w:spacing w:val="6"/>
                <w:sz w:val="21"/>
                <w:szCs w:val="21"/>
              </w:rPr>
              <w:t>、环保局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20</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pStyle w:val="54"/>
              <w:spacing w:before="48" w:after="48"/>
              <w:ind w:right="140" w:rightChars="50"/>
              <w:rPr>
                <w:rFonts w:ascii="Times New Roman" w:hAnsi="Times New Roman" w:eastAsia="仿宋_GB2312" w:cs="Times New Roman"/>
                <w:spacing w:val="6"/>
              </w:rPr>
            </w:pPr>
            <w:r>
              <w:rPr>
                <w:rFonts w:ascii="Times New Roman" w:hAnsi="Times New Roman" w:eastAsia="仿宋_GB2312" w:cs="Times New Roman"/>
                <w:spacing w:val="6"/>
              </w:rPr>
              <w:t>宾馆中水回用工程</w:t>
            </w:r>
          </w:p>
        </w:tc>
        <w:tc>
          <w:tcPr>
            <w:tcW w:w="1564" w:type="pct"/>
            <w:noWrap w:val="0"/>
            <w:vAlign w:val="center"/>
          </w:tcPr>
          <w:p>
            <w:pPr>
              <w:spacing w:line="240" w:lineRule="auto"/>
              <w:ind w:right="140" w:rightChars="50"/>
              <w:jc w:val="center"/>
              <w:rPr>
                <w:spacing w:val="6"/>
                <w:sz w:val="21"/>
                <w:szCs w:val="21"/>
              </w:rPr>
            </w:pPr>
            <w:r>
              <w:rPr>
                <w:spacing w:val="6"/>
                <w:sz w:val="21"/>
                <w:szCs w:val="21"/>
              </w:rPr>
              <w:t>选择2-3家新建星级宾馆，开展中水回用技术示范工程。</w:t>
            </w:r>
          </w:p>
        </w:tc>
        <w:tc>
          <w:tcPr>
            <w:tcW w:w="789" w:type="pct"/>
            <w:noWrap w:val="0"/>
            <w:vAlign w:val="center"/>
          </w:tcPr>
          <w:p>
            <w:pPr>
              <w:pStyle w:val="54"/>
              <w:spacing w:before="48" w:after="48"/>
              <w:ind w:right="140" w:rightChars="50"/>
              <w:rPr>
                <w:rFonts w:ascii="Times New Roman" w:hAnsi="Times New Roman" w:eastAsia="仿宋_GB2312" w:cs="Times New Roman"/>
                <w:spacing w:val="6"/>
              </w:rPr>
            </w:pPr>
            <w:r>
              <w:rPr>
                <w:rFonts w:ascii="Times New Roman" w:hAnsi="Times New Roman" w:eastAsia="仿宋_GB2312" w:cs="Times New Roman"/>
                <w:spacing w:val="6"/>
              </w:rPr>
              <w:t>提高宾馆水资源利用效率，减少污染物排放。</w:t>
            </w:r>
          </w:p>
        </w:tc>
        <w:tc>
          <w:tcPr>
            <w:tcW w:w="405" w:type="pct"/>
            <w:noWrap w:val="0"/>
            <w:vAlign w:val="center"/>
          </w:tcPr>
          <w:p>
            <w:pPr>
              <w:spacing w:line="240" w:lineRule="auto"/>
              <w:ind w:right="140" w:rightChars="50"/>
              <w:jc w:val="center"/>
              <w:rPr>
                <w:spacing w:val="6"/>
                <w:sz w:val="21"/>
                <w:szCs w:val="21"/>
              </w:rPr>
            </w:pPr>
            <w:r>
              <w:rPr>
                <w:spacing w:val="6"/>
                <w:sz w:val="21"/>
                <w:szCs w:val="21"/>
              </w:rPr>
              <w:t>800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旅游局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21</w:t>
            </w:r>
          </w:p>
        </w:tc>
        <w:tc>
          <w:tcPr>
            <w:tcW w:w="245" w:type="pct"/>
            <w:vMerge w:val="restart"/>
            <w:noWrap w:val="0"/>
            <w:vAlign w:val="center"/>
          </w:tcPr>
          <w:p>
            <w:pPr>
              <w:spacing w:line="240" w:lineRule="auto"/>
              <w:ind w:right="140" w:rightChars="50"/>
              <w:jc w:val="center"/>
              <w:rPr>
                <w:rFonts w:hint="eastAsia"/>
                <w:spacing w:val="6"/>
                <w:sz w:val="21"/>
                <w:szCs w:val="21"/>
              </w:rPr>
            </w:pPr>
            <w:r>
              <w:rPr>
                <w:spacing w:val="6"/>
                <w:sz w:val="21"/>
                <w:szCs w:val="21"/>
              </w:rPr>
              <w:t>大气</w:t>
            </w:r>
          </w:p>
          <w:p>
            <w:pPr>
              <w:spacing w:line="240" w:lineRule="auto"/>
              <w:ind w:right="140" w:rightChars="50"/>
              <w:jc w:val="center"/>
              <w:rPr>
                <w:rFonts w:hint="eastAsia"/>
                <w:spacing w:val="6"/>
                <w:sz w:val="21"/>
                <w:szCs w:val="21"/>
              </w:rPr>
            </w:pPr>
            <w:r>
              <w:rPr>
                <w:spacing w:val="6"/>
                <w:sz w:val="21"/>
                <w:szCs w:val="21"/>
              </w:rPr>
              <w:t>环境</w:t>
            </w:r>
          </w:p>
          <w:p>
            <w:pPr>
              <w:spacing w:line="240" w:lineRule="auto"/>
              <w:ind w:right="140" w:rightChars="50"/>
              <w:jc w:val="center"/>
              <w:rPr>
                <w:rFonts w:hint="eastAsia"/>
                <w:spacing w:val="6"/>
                <w:sz w:val="21"/>
                <w:szCs w:val="21"/>
              </w:rPr>
            </w:pPr>
            <w:r>
              <w:rPr>
                <w:spacing w:val="6"/>
                <w:sz w:val="21"/>
                <w:szCs w:val="21"/>
              </w:rPr>
              <w:t>污染</w:t>
            </w:r>
          </w:p>
          <w:p>
            <w:pPr>
              <w:spacing w:line="240" w:lineRule="auto"/>
              <w:ind w:right="140" w:rightChars="50"/>
              <w:jc w:val="center"/>
              <w:rPr>
                <w:spacing w:val="6"/>
                <w:sz w:val="21"/>
                <w:szCs w:val="21"/>
              </w:rPr>
            </w:pPr>
            <w:r>
              <w:rPr>
                <w:spacing w:val="6"/>
                <w:sz w:val="21"/>
                <w:szCs w:val="21"/>
              </w:rPr>
              <w:t>防治</w:t>
            </w:r>
          </w:p>
        </w:tc>
        <w:tc>
          <w:tcPr>
            <w:tcW w:w="887" w:type="pct"/>
            <w:noWrap w:val="0"/>
            <w:vAlign w:val="center"/>
          </w:tcPr>
          <w:p>
            <w:pPr>
              <w:spacing w:line="240" w:lineRule="auto"/>
              <w:ind w:right="140" w:rightChars="50"/>
              <w:jc w:val="center"/>
              <w:rPr>
                <w:spacing w:val="6"/>
                <w:sz w:val="21"/>
                <w:szCs w:val="21"/>
              </w:rPr>
            </w:pPr>
            <w:r>
              <w:rPr>
                <w:rFonts w:hint="eastAsia"/>
                <w:spacing w:val="6"/>
                <w:sz w:val="21"/>
                <w:szCs w:val="21"/>
              </w:rPr>
              <w:t>能源结构改善工程</w:t>
            </w:r>
          </w:p>
        </w:tc>
        <w:tc>
          <w:tcPr>
            <w:tcW w:w="1564" w:type="pct"/>
            <w:noWrap w:val="0"/>
            <w:vAlign w:val="center"/>
          </w:tcPr>
          <w:p>
            <w:pPr>
              <w:spacing w:line="240" w:lineRule="auto"/>
              <w:ind w:right="140" w:rightChars="50"/>
              <w:jc w:val="center"/>
              <w:rPr>
                <w:spacing w:val="6"/>
                <w:sz w:val="21"/>
                <w:szCs w:val="21"/>
              </w:rPr>
            </w:pPr>
            <w:r>
              <w:rPr>
                <w:rFonts w:hint="eastAsia"/>
                <w:spacing w:val="6"/>
                <w:sz w:val="21"/>
                <w:szCs w:val="21"/>
              </w:rPr>
              <w:t>禁燃区和限燃区建设，推广使用生物质能、太阳能、天然气、液化石油气、人工煤气等清洁能源</w:t>
            </w:r>
          </w:p>
        </w:tc>
        <w:tc>
          <w:tcPr>
            <w:tcW w:w="789" w:type="pct"/>
            <w:noWrap w:val="0"/>
            <w:vAlign w:val="center"/>
          </w:tcPr>
          <w:p>
            <w:pPr>
              <w:spacing w:line="240" w:lineRule="auto"/>
              <w:ind w:right="140" w:rightChars="50"/>
              <w:jc w:val="center"/>
              <w:rPr>
                <w:spacing w:val="6"/>
                <w:sz w:val="21"/>
                <w:szCs w:val="21"/>
              </w:rPr>
            </w:pPr>
            <w:r>
              <w:rPr>
                <w:rFonts w:hint="eastAsia"/>
                <w:spacing w:val="6"/>
                <w:sz w:val="21"/>
                <w:szCs w:val="21"/>
              </w:rPr>
              <w:t>改善能源结构，从源头削减大气污染物产生量</w:t>
            </w:r>
          </w:p>
        </w:tc>
        <w:tc>
          <w:tcPr>
            <w:tcW w:w="40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3000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rFonts w:hint="eastAsia"/>
                <w:spacing w:val="6"/>
                <w:sz w:val="21"/>
                <w:szCs w:val="21"/>
              </w:rPr>
            </w:pPr>
            <w:r>
              <w:rPr>
                <w:spacing w:val="6"/>
                <w:sz w:val="21"/>
                <w:szCs w:val="21"/>
              </w:rPr>
              <w:t>发改委</w:t>
            </w:r>
            <w:r>
              <w:rPr>
                <w:rFonts w:hint="eastAsia"/>
                <w:spacing w:val="6"/>
                <w:sz w:val="21"/>
                <w:szCs w:val="21"/>
              </w:rPr>
              <w:t>、经信委</w:t>
            </w:r>
          </w:p>
          <w:p>
            <w:pPr>
              <w:spacing w:line="240" w:lineRule="auto"/>
              <w:ind w:right="140" w:rightChars="50"/>
              <w:jc w:val="center"/>
              <w:rPr>
                <w:rFonts w:hint="eastAsia"/>
                <w:spacing w:val="6"/>
                <w:sz w:val="21"/>
                <w:szCs w:val="21"/>
              </w:rPr>
            </w:pPr>
            <w:r>
              <w:rPr>
                <w:rFonts w:hint="eastAsia"/>
                <w:spacing w:val="6"/>
                <w:sz w:val="21"/>
                <w:szCs w:val="21"/>
              </w:rPr>
              <w:t>环保局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22</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燃煤锅炉改气工程</w:t>
            </w:r>
          </w:p>
        </w:tc>
        <w:tc>
          <w:tcPr>
            <w:tcW w:w="1564"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玉山、陆家燃煤改造成天然气</w:t>
            </w:r>
          </w:p>
        </w:tc>
        <w:tc>
          <w:tcPr>
            <w:tcW w:w="789"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减少大气污染物</w:t>
            </w:r>
          </w:p>
        </w:tc>
        <w:tc>
          <w:tcPr>
            <w:tcW w:w="40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1150</w:t>
            </w:r>
          </w:p>
        </w:tc>
        <w:tc>
          <w:tcPr>
            <w:tcW w:w="396"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2011-2012</w:t>
            </w:r>
          </w:p>
        </w:tc>
        <w:tc>
          <w:tcPr>
            <w:tcW w:w="565" w:type="pct"/>
            <w:noWrap w:val="0"/>
            <w:vAlign w:val="center"/>
          </w:tcPr>
          <w:p>
            <w:pPr>
              <w:spacing w:line="240" w:lineRule="auto"/>
              <w:ind w:right="140" w:rightChars="50"/>
              <w:jc w:val="center"/>
              <w:rPr>
                <w:rFonts w:hint="eastAsia"/>
                <w:spacing w:val="6"/>
                <w:sz w:val="21"/>
                <w:szCs w:val="21"/>
              </w:rPr>
            </w:pPr>
            <w:r>
              <w:rPr>
                <w:spacing w:val="6"/>
                <w:sz w:val="21"/>
                <w:szCs w:val="21"/>
              </w:rPr>
              <w:t>发改委</w:t>
            </w:r>
            <w:r>
              <w:rPr>
                <w:rFonts w:hint="eastAsia"/>
                <w:spacing w:val="6"/>
                <w:sz w:val="21"/>
                <w:szCs w:val="21"/>
              </w:rPr>
              <w:t>、经信委</w:t>
            </w:r>
          </w:p>
          <w:p>
            <w:pPr>
              <w:spacing w:line="240" w:lineRule="auto"/>
              <w:ind w:right="140" w:rightChars="50"/>
              <w:jc w:val="center"/>
              <w:rPr>
                <w:rFonts w:hint="eastAsia"/>
                <w:spacing w:val="6"/>
                <w:sz w:val="21"/>
                <w:szCs w:val="21"/>
              </w:rPr>
            </w:pPr>
            <w:r>
              <w:rPr>
                <w:rFonts w:hint="eastAsia"/>
                <w:spacing w:val="6"/>
                <w:sz w:val="21"/>
                <w:szCs w:val="21"/>
              </w:rPr>
              <w:t>环保局</w:t>
            </w:r>
          </w:p>
        </w:tc>
      </w:tr>
      <w:bookmarkEnd w:id="161"/>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23</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spacing w:val="6"/>
                <w:sz w:val="21"/>
                <w:szCs w:val="21"/>
              </w:rPr>
              <w:t>机动车尾气污染防治</w:t>
            </w:r>
          </w:p>
        </w:tc>
        <w:tc>
          <w:tcPr>
            <w:tcW w:w="1564"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改用电动公交</w:t>
            </w:r>
            <w:r>
              <w:rPr>
                <w:spacing w:val="6"/>
                <w:sz w:val="21"/>
                <w:szCs w:val="21"/>
              </w:rPr>
              <w:t>等新能源汽车</w:t>
            </w:r>
            <w:r>
              <w:rPr>
                <w:rFonts w:hint="eastAsia"/>
                <w:spacing w:val="6"/>
                <w:sz w:val="21"/>
                <w:szCs w:val="21"/>
              </w:rPr>
              <w:t>。</w:t>
            </w:r>
          </w:p>
        </w:tc>
        <w:tc>
          <w:tcPr>
            <w:tcW w:w="789" w:type="pct"/>
            <w:noWrap w:val="0"/>
            <w:vAlign w:val="center"/>
          </w:tcPr>
          <w:p>
            <w:pPr>
              <w:spacing w:line="240" w:lineRule="auto"/>
              <w:ind w:right="140" w:rightChars="50"/>
              <w:jc w:val="center"/>
              <w:rPr>
                <w:spacing w:val="6"/>
                <w:sz w:val="21"/>
                <w:szCs w:val="21"/>
              </w:rPr>
            </w:pPr>
            <w:r>
              <w:rPr>
                <w:spacing w:val="6"/>
                <w:sz w:val="21"/>
                <w:szCs w:val="21"/>
              </w:rPr>
              <w:t>发展绿色公共交通</w:t>
            </w:r>
          </w:p>
        </w:tc>
        <w:tc>
          <w:tcPr>
            <w:tcW w:w="40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10000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rFonts w:hint="eastAsia"/>
                <w:spacing w:val="6"/>
                <w:sz w:val="21"/>
                <w:szCs w:val="21"/>
              </w:rPr>
            </w:pPr>
            <w:r>
              <w:rPr>
                <w:spacing w:val="6"/>
                <w:sz w:val="21"/>
                <w:szCs w:val="21"/>
              </w:rPr>
              <w:t>发改委</w:t>
            </w:r>
          </w:p>
          <w:p>
            <w:pPr>
              <w:spacing w:line="240" w:lineRule="auto"/>
              <w:ind w:right="140" w:rightChars="50"/>
              <w:jc w:val="center"/>
              <w:rPr>
                <w:rFonts w:hint="eastAsia"/>
                <w:spacing w:val="6"/>
                <w:sz w:val="21"/>
                <w:szCs w:val="21"/>
              </w:rPr>
            </w:pPr>
            <w:r>
              <w:rPr>
                <w:rFonts w:hint="eastAsia"/>
                <w:spacing w:val="6"/>
                <w:sz w:val="21"/>
                <w:szCs w:val="21"/>
              </w:rPr>
              <w:t>交通局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24</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spacing w:val="6"/>
                <w:sz w:val="21"/>
                <w:szCs w:val="21"/>
              </w:rPr>
              <w:t>加油站油气回收</w:t>
            </w:r>
          </w:p>
        </w:tc>
        <w:tc>
          <w:tcPr>
            <w:tcW w:w="1564" w:type="pct"/>
            <w:noWrap w:val="0"/>
            <w:vAlign w:val="center"/>
          </w:tcPr>
          <w:p>
            <w:pPr>
              <w:spacing w:line="240" w:lineRule="auto"/>
              <w:ind w:right="140" w:rightChars="50"/>
              <w:jc w:val="center"/>
              <w:rPr>
                <w:rFonts w:hint="eastAsia"/>
                <w:spacing w:val="6"/>
                <w:sz w:val="21"/>
                <w:szCs w:val="21"/>
              </w:rPr>
            </w:pPr>
            <w:r>
              <w:rPr>
                <w:spacing w:val="6"/>
                <w:sz w:val="21"/>
                <w:szCs w:val="21"/>
              </w:rPr>
              <w:t>开展加油站油气回收系统安装工作，完成全市所有油库、油罐车、加油站油气回收治理工作。</w:t>
            </w:r>
          </w:p>
        </w:tc>
        <w:tc>
          <w:tcPr>
            <w:tcW w:w="789" w:type="pct"/>
            <w:noWrap w:val="0"/>
            <w:vAlign w:val="center"/>
          </w:tcPr>
          <w:p>
            <w:pPr>
              <w:spacing w:line="240" w:lineRule="auto"/>
              <w:ind w:right="140" w:rightChars="50"/>
              <w:jc w:val="center"/>
              <w:rPr>
                <w:spacing w:val="6"/>
                <w:sz w:val="21"/>
                <w:szCs w:val="21"/>
              </w:rPr>
            </w:pPr>
            <w:r>
              <w:rPr>
                <w:rFonts w:hint="eastAsia"/>
                <w:spacing w:val="6"/>
                <w:sz w:val="21"/>
                <w:szCs w:val="21"/>
              </w:rPr>
              <w:t>减少</w:t>
            </w:r>
            <w:r>
              <w:rPr>
                <w:spacing w:val="6"/>
                <w:sz w:val="21"/>
                <w:szCs w:val="21"/>
              </w:rPr>
              <w:t>油气</w:t>
            </w:r>
            <w:r>
              <w:rPr>
                <w:rFonts w:hint="eastAsia"/>
                <w:spacing w:val="6"/>
                <w:sz w:val="21"/>
                <w:szCs w:val="21"/>
              </w:rPr>
              <w:t>污染物</w:t>
            </w:r>
          </w:p>
        </w:tc>
        <w:tc>
          <w:tcPr>
            <w:tcW w:w="405" w:type="pct"/>
            <w:noWrap w:val="0"/>
            <w:vAlign w:val="center"/>
          </w:tcPr>
          <w:p>
            <w:pPr>
              <w:spacing w:line="240" w:lineRule="auto"/>
              <w:ind w:right="140" w:rightChars="50"/>
              <w:jc w:val="center"/>
              <w:rPr>
                <w:spacing w:val="6"/>
                <w:sz w:val="21"/>
                <w:szCs w:val="21"/>
              </w:rPr>
            </w:pPr>
            <w:r>
              <w:rPr>
                <w:rFonts w:hint="eastAsia"/>
                <w:spacing w:val="6"/>
                <w:sz w:val="21"/>
                <w:szCs w:val="21"/>
              </w:rPr>
              <w:t>3</w:t>
            </w:r>
            <w:r>
              <w:rPr>
                <w:spacing w:val="6"/>
                <w:sz w:val="21"/>
                <w:szCs w:val="21"/>
              </w:rPr>
              <w:t>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发改委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25</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spacing w:val="6"/>
                <w:sz w:val="21"/>
                <w:szCs w:val="21"/>
              </w:rPr>
              <w:t>重点行业VOC污染控制工程</w:t>
            </w:r>
          </w:p>
        </w:tc>
        <w:tc>
          <w:tcPr>
            <w:tcW w:w="1564" w:type="pct"/>
            <w:noWrap w:val="0"/>
            <w:vAlign w:val="center"/>
          </w:tcPr>
          <w:p>
            <w:pPr>
              <w:spacing w:line="240" w:lineRule="auto"/>
              <w:ind w:right="140" w:rightChars="50"/>
              <w:jc w:val="center"/>
              <w:rPr>
                <w:spacing w:val="6"/>
                <w:sz w:val="21"/>
                <w:szCs w:val="21"/>
              </w:rPr>
            </w:pPr>
            <w:r>
              <w:rPr>
                <w:spacing w:val="6"/>
                <w:sz w:val="21"/>
                <w:szCs w:val="21"/>
              </w:rPr>
              <w:t>在重点行业选取典型生产企业开展VOC治理示范工程建设，制订重点行业VOC污染整治行动计划。</w:t>
            </w:r>
          </w:p>
        </w:tc>
        <w:tc>
          <w:tcPr>
            <w:tcW w:w="789" w:type="pct"/>
            <w:noWrap w:val="0"/>
            <w:vAlign w:val="center"/>
          </w:tcPr>
          <w:p>
            <w:pPr>
              <w:spacing w:line="240" w:lineRule="auto"/>
              <w:ind w:right="140" w:rightChars="50"/>
              <w:jc w:val="center"/>
              <w:rPr>
                <w:spacing w:val="6"/>
                <w:sz w:val="21"/>
                <w:szCs w:val="21"/>
              </w:rPr>
            </w:pPr>
            <w:r>
              <w:rPr>
                <w:spacing w:val="6"/>
                <w:sz w:val="21"/>
                <w:szCs w:val="21"/>
              </w:rPr>
              <w:t>减少电子信息产业、机密机械等重点行业的VOC排放</w:t>
            </w:r>
          </w:p>
        </w:tc>
        <w:tc>
          <w:tcPr>
            <w:tcW w:w="405" w:type="pct"/>
            <w:noWrap w:val="0"/>
            <w:vAlign w:val="center"/>
          </w:tcPr>
          <w:p>
            <w:pPr>
              <w:spacing w:line="240" w:lineRule="auto"/>
              <w:ind w:right="140" w:rightChars="50"/>
              <w:jc w:val="center"/>
              <w:rPr>
                <w:spacing w:val="6"/>
                <w:sz w:val="21"/>
                <w:szCs w:val="21"/>
              </w:rPr>
            </w:pPr>
            <w:r>
              <w:rPr>
                <w:spacing w:val="6"/>
                <w:sz w:val="21"/>
                <w:szCs w:val="21"/>
              </w:rPr>
              <w:t>2000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环保局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26</w:t>
            </w:r>
          </w:p>
        </w:tc>
        <w:tc>
          <w:tcPr>
            <w:tcW w:w="245" w:type="pct"/>
            <w:vMerge w:val="restart"/>
            <w:noWrap w:val="0"/>
            <w:vAlign w:val="center"/>
          </w:tcPr>
          <w:p>
            <w:pPr>
              <w:spacing w:line="240" w:lineRule="auto"/>
              <w:ind w:right="140" w:rightChars="50"/>
              <w:jc w:val="center"/>
              <w:rPr>
                <w:rFonts w:hint="eastAsia"/>
                <w:spacing w:val="6"/>
                <w:sz w:val="21"/>
                <w:szCs w:val="21"/>
              </w:rPr>
            </w:pPr>
            <w:r>
              <w:rPr>
                <w:spacing w:val="6"/>
                <w:sz w:val="21"/>
                <w:szCs w:val="21"/>
              </w:rPr>
              <w:t>固体</w:t>
            </w:r>
          </w:p>
          <w:p>
            <w:pPr>
              <w:spacing w:line="240" w:lineRule="auto"/>
              <w:ind w:right="140" w:rightChars="50"/>
              <w:jc w:val="center"/>
              <w:rPr>
                <w:rFonts w:hint="eastAsia"/>
                <w:spacing w:val="6"/>
                <w:sz w:val="21"/>
                <w:szCs w:val="21"/>
              </w:rPr>
            </w:pPr>
            <w:r>
              <w:rPr>
                <w:spacing w:val="6"/>
                <w:sz w:val="21"/>
                <w:szCs w:val="21"/>
              </w:rPr>
              <w:t>废物</w:t>
            </w:r>
          </w:p>
          <w:p>
            <w:pPr>
              <w:spacing w:line="240" w:lineRule="auto"/>
              <w:ind w:right="140" w:rightChars="50"/>
              <w:jc w:val="center"/>
              <w:rPr>
                <w:rFonts w:hint="eastAsia"/>
                <w:spacing w:val="6"/>
                <w:sz w:val="21"/>
                <w:szCs w:val="21"/>
              </w:rPr>
            </w:pPr>
            <w:r>
              <w:rPr>
                <w:spacing w:val="6"/>
                <w:sz w:val="21"/>
                <w:szCs w:val="21"/>
              </w:rPr>
              <w:t>污染</w:t>
            </w:r>
          </w:p>
          <w:p>
            <w:pPr>
              <w:spacing w:line="240" w:lineRule="auto"/>
              <w:ind w:right="140" w:rightChars="50"/>
              <w:jc w:val="center"/>
              <w:rPr>
                <w:spacing w:val="6"/>
                <w:sz w:val="21"/>
                <w:szCs w:val="21"/>
              </w:rPr>
            </w:pPr>
            <w:r>
              <w:rPr>
                <w:spacing w:val="6"/>
                <w:sz w:val="21"/>
                <w:szCs w:val="21"/>
              </w:rPr>
              <w:t>防治</w:t>
            </w:r>
          </w:p>
        </w:tc>
        <w:tc>
          <w:tcPr>
            <w:tcW w:w="887" w:type="pct"/>
            <w:noWrap w:val="0"/>
            <w:vAlign w:val="center"/>
          </w:tcPr>
          <w:p>
            <w:pPr>
              <w:spacing w:line="240" w:lineRule="auto"/>
              <w:ind w:right="140" w:rightChars="50"/>
              <w:jc w:val="center"/>
              <w:rPr>
                <w:spacing w:val="6"/>
                <w:sz w:val="21"/>
                <w:szCs w:val="21"/>
              </w:rPr>
            </w:pPr>
            <w:r>
              <w:rPr>
                <w:spacing w:val="6"/>
                <w:sz w:val="21"/>
                <w:szCs w:val="21"/>
              </w:rPr>
              <w:t>建筑垃圾处置及综合利用厂</w:t>
            </w:r>
          </w:p>
        </w:tc>
        <w:tc>
          <w:tcPr>
            <w:tcW w:w="1564" w:type="pct"/>
            <w:noWrap w:val="0"/>
            <w:vAlign w:val="center"/>
          </w:tcPr>
          <w:p>
            <w:pPr>
              <w:spacing w:line="240" w:lineRule="auto"/>
              <w:ind w:right="140" w:rightChars="50"/>
              <w:jc w:val="center"/>
              <w:rPr>
                <w:spacing w:val="6"/>
                <w:sz w:val="21"/>
                <w:szCs w:val="21"/>
              </w:rPr>
            </w:pPr>
            <w:r>
              <w:rPr>
                <w:spacing w:val="6"/>
                <w:sz w:val="21"/>
                <w:szCs w:val="21"/>
              </w:rPr>
              <w:t>建设建筑垃圾处理设施</w:t>
            </w:r>
          </w:p>
        </w:tc>
        <w:tc>
          <w:tcPr>
            <w:tcW w:w="789" w:type="pct"/>
            <w:noWrap w:val="0"/>
            <w:vAlign w:val="center"/>
          </w:tcPr>
          <w:p>
            <w:pPr>
              <w:spacing w:line="240" w:lineRule="auto"/>
              <w:ind w:right="140" w:rightChars="50"/>
              <w:jc w:val="center"/>
              <w:rPr>
                <w:spacing w:val="6"/>
                <w:sz w:val="21"/>
                <w:szCs w:val="21"/>
              </w:rPr>
            </w:pPr>
            <w:r>
              <w:rPr>
                <w:spacing w:val="6"/>
                <w:sz w:val="21"/>
                <w:szCs w:val="21"/>
              </w:rPr>
              <w:t>完善建筑垃圾综合利用设施建设，增强建筑垃圾处置能力</w:t>
            </w:r>
          </w:p>
        </w:tc>
        <w:tc>
          <w:tcPr>
            <w:tcW w:w="405" w:type="pct"/>
            <w:noWrap w:val="0"/>
            <w:vAlign w:val="center"/>
          </w:tcPr>
          <w:p>
            <w:pPr>
              <w:spacing w:line="240" w:lineRule="auto"/>
              <w:ind w:right="140" w:rightChars="50"/>
              <w:jc w:val="center"/>
              <w:rPr>
                <w:spacing w:val="6"/>
                <w:sz w:val="21"/>
                <w:szCs w:val="21"/>
              </w:rPr>
            </w:pPr>
            <w:r>
              <w:rPr>
                <w:spacing w:val="6"/>
                <w:sz w:val="21"/>
                <w:szCs w:val="21"/>
              </w:rPr>
              <w:t>5000</w:t>
            </w:r>
          </w:p>
        </w:tc>
        <w:tc>
          <w:tcPr>
            <w:tcW w:w="396" w:type="pct"/>
            <w:noWrap w:val="0"/>
            <w:vAlign w:val="center"/>
          </w:tcPr>
          <w:p>
            <w:pPr>
              <w:spacing w:line="240" w:lineRule="auto"/>
              <w:ind w:right="140" w:rightChars="50"/>
              <w:jc w:val="center"/>
              <w:rPr>
                <w:rFonts w:hint="eastAsia"/>
                <w:spacing w:val="6"/>
                <w:sz w:val="21"/>
                <w:szCs w:val="21"/>
              </w:rPr>
            </w:pPr>
            <w:r>
              <w:rPr>
                <w:spacing w:val="6"/>
                <w:sz w:val="21"/>
                <w:szCs w:val="21"/>
              </w:rPr>
              <w:t>201</w:t>
            </w:r>
            <w:r>
              <w:rPr>
                <w:rFonts w:hint="eastAsia"/>
                <w:spacing w:val="6"/>
                <w:sz w:val="21"/>
                <w:szCs w:val="21"/>
              </w:rPr>
              <w:t>1</w:t>
            </w:r>
            <w:r>
              <w:rPr>
                <w:spacing w:val="6"/>
                <w:sz w:val="21"/>
                <w:szCs w:val="21"/>
              </w:rPr>
              <w:t>-201</w:t>
            </w:r>
            <w:r>
              <w:rPr>
                <w:rFonts w:hint="eastAsia"/>
                <w:spacing w:val="6"/>
                <w:sz w:val="21"/>
                <w:szCs w:val="21"/>
              </w:rPr>
              <w:t>5</w:t>
            </w:r>
          </w:p>
        </w:tc>
        <w:tc>
          <w:tcPr>
            <w:tcW w:w="565" w:type="pct"/>
            <w:noWrap w:val="0"/>
            <w:vAlign w:val="center"/>
          </w:tcPr>
          <w:p>
            <w:pPr>
              <w:spacing w:line="240" w:lineRule="auto"/>
              <w:ind w:right="140" w:rightChars="50"/>
              <w:jc w:val="center"/>
              <w:rPr>
                <w:spacing w:val="6"/>
                <w:sz w:val="21"/>
                <w:szCs w:val="21"/>
              </w:rPr>
            </w:pPr>
            <w:r>
              <w:rPr>
                <w:spacing w:val="6"/>
                <w:sz w:val="21"/>
                <w:szCs w:val="21"/>
              </w:rPr>
              <w:t>城管局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27</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spacing w:val="6"/>
                <w:sz w:val="21"/>
                <w:szCs w:val="21"/>
              </w:rPr>
              <w:t>废旧电子产品拆解和利用中心</w:t>
            </w:r>
          </w:p>
        </w:tc>
        <w:tc>
          <w:tcPr>
            <w:tcW w:w="1564" w:type="pct"/>
            <w:noWrap w:val="0"/>
            <w:vAlign w:val="center"/>
          </w:tcPr>
          <w:p>
            <w:pPr>
              <w:spacing w:line="240" w:lineRule="auto"/>
              <w:ind w:right="140" w:rightChars="50"/>
              <w:jc w:val="center"/>
              <w:rPr>
                <w:spacing w:val="6"/>
                <w:sz w:val="21"/>
                <w:szCs w:val="21"/>
              </w:rPr>
            </w:pPr>
            <w:r>
              <w:rPr>
                <w:spacing w:val="6"/>
                <w:sz w:val="21"/>
                <w:szCs w:val="21"/>
              </w:rPr>
              <w:t>建立综合性的废旧电子产品拆解和利用中心，并培养专业的废旧电子产品处理及回收利用龙头企业。</w:t>
            </w:r>
          </w:p>
        </w:tc>
        <w:tc>
          <w:tcPr>
            <w:tcW w:w="789" w:type="pct"/>
            <w:noWrap w:val="0"/>
            <w:vAlign w:val="center"/>
          </w:tcPr>
          <w:p>
            <w:pPr>
              <w:spacing w:line="240" w:lineRule="auto"/>
              <w:ind w:right="140" w:rightChars="50"/>
              <w:jc w:val="center"/>
              <w:rPr>
                <w:spacing w:val="6"/>
                <w:sz w:val="21"/>
                <w:szCs w:val="21"/>
              </w:rPr>
            </w:pPr>
            <w:r>
              <w:rPr>
                <w:spacing w:val="6"/>
                <w:sz w:val="21"/>
                <w:szCs w:val="21"/>
              </w:rPr>
              <w:t>完善“生产者延伸责任”制度，建立科学的电子废弃物回收体系。</w:t>
            </w:r>
          </w:p>
        </w:tc>
        <w:tc>
          <w:tcPr>
            <w:tcW w:w="405" w:type="pct"/>
            <w:noWrap w:val="0"/>
            <w:vAlign w:val="center"/>
          </w:tcPr>
          <w:p>
            <w:pPr>
              <w:spacing w:line="240" w:lineRule="auto"/>
              <w:ind w:right="140" w:rightChars="50"/>
              <w:jc w:val="center"/>
              <w:rPr>
                <w:spacing w:val="6"/>
                <w:sz w:val="21"/>
                <w:szCs w:val="21"/>
              </w:rPr>
            </w:pPr>
            <w:r>
              <w:rPr>
                <w:rFonts w:hint="eastAsia"/>
                <w:spacing w:val="6"/>
                <w:sz w:val="21"/>
                <w:szCs w:val="21"/>
              </w:rPr>
              <w:t>4</w:t>
            </w:r>
            <w:r>
              <w:rPr>
                <w:spacing w:val="6"/>
                <w:sz w:val="21"/>
                <w:szCs w:val="21"/>
              </w:rPr>
              <w:t>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w:t>
            </w:r>
            <w:r>
              <w:rPr>
                <w:rFonts w:hint="eastAsia"/>
                <w:spacing w:val="6"/>
                <w:sz w:val="21"/>
                <w:szCs w:val="21"/>
              </w:rPr>
              <w:t>1</w:t>
            </w:r>
            <w:r>
              <w:rPr>
                <w:spacing w:val="6"/>
                <w:sz w:val="21"/>
                <w:szCs w:val="21"/>
              </w:rPr>
              <w:t>-2012</w:t>
            </w:r>
          </w:p>
        </w:tc>
        <w:tc>
          <w:tcPr>
            <w:tcW w:w="565" w:type="pct"/>
            <w:noWrap w:val="0"/>
            <w:vAlign w:val="center"/>
          </w:tcPr>
          <w:p>
            <w:pPr>
              <w:spacing w:line="240" w:lineRule="auto"/>
              <w:ind w:right="140" w:rightChars="50"/>
              <w:jc w:val="center"/>
              <w:rPr>
                <w:spacing w:val="6"/>
                <w:sz w:val="21"/>
                <w:szCs w:val="21"/>
              </w:rPr>
            </w:pPr>
            <w:r>
              <w:rPr>
                <w:rFonts w:hint="eastAsia"/>
                <w:spacing w:val="6"/>
                <w:sz w:val="21"/>
                <w:szCs w:val="21"/>
              </w:rPr>
              <w:t>环保</w:t>
            </w:r>
            <w:r>
              <w:rPr>
                <w:spacing w:val="6"/>
                <w:sz w:val="21"/>
                <w:szCs w:val="21"/>
              </w:rPr>
              <w:t>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28</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spacing w:val="6"/>
                <w:sz w:val="21"/>
                <w:szCs w:val="21"/>
              </w:rPr>
              <w:t>有机垃圾生物处理厂</w:t>
            </w:r>
          </w:p>
        </w:tc>
        <w:tc>
          <w:tcPr>
            <w:tcW w:w="1564" w:type="pct"/>
            <w:noWrap w:val="0"/>
            <w:vAlign w:val="center"/>
          </w:tcPr>
          <w:p>
            <w:pPr>
              <w:spacing w:line="240" w:lineRule="auto"/>
              <w:ind w:right="140" w:rightChars="50"/>
              <w:jc w:val="center"/>
              <w:rPr>
                <w:spacing w:val="6"/>
                <w:sz w:val="21"/>
                <w:szCs w:val="21"/>
              </w:rPr>
            </w:pPr>
            <w:r>
              <w:rPr>
                <w:rFonts w:hint="eastAsia"/>
                <w:spacing w:val="6"/>
                <w:sz w:val="21"/>
                <w:szCs w:val="21"/>
              </w:rPr>
              <w:t>2</w:t>
            </w:r>
            <w:r>
              <w:rPr>
                <w:spacing w:val="6"/>
                <w:sz w:val="21"/>
                <w:szCs w:val="21"/>
              </w:rPr>
              <w:t>00吨/日处理能力的有机垃圾处理厂</w:t>
            </w:r>
          </w:p>
        </w:tc>
        <w:tc>
          <w:tcPr>
            <w:tcW w:w="789" w:type="pct"/>
            <w:noWrap w:val="0"/>
            <w:vAlign w:val="center"/>
          </w:tcPr>
          <w:p>
            <w:pPr>
              <w:spacing w:line="240" w:lineRule="auto"/>
              <w:ind w:right="140" w:rightChars="50"/>
              <w:jc w:val="center"/>
              <w:rPr>
                <w:spacing w:val="6"/>
                <w:sz w:val="21"/>
                <w:szCs w:val="21"/>
              </w:rPr>
            </w:pPr>
            <w:r>
              <w:rPr>
                <w:spacing w:val="6"/>
                <w:sz w:val="21"/>
                <w:szCs w:val="21"/>
              </w:rPr>
              <w:t>餐厨垃圾得到有效处理</w:t>
            </w:r>
          </w:p>
        </w:tc>
        <w:tc>
          <w:tcPr>
            <w:tcW w:w="405" w:type="pct"/>
            <w:noWrap w:val="0"/>
            <w:vAlign w:val="center"/>
          </w:tcPr>
          <w:p>
            <w:pPr>
              <w:spacing w:line="240" w:lineRule="auto"/>
              <w:ind w:right="140" w:rightChars="50"/>
              <w:jc w:val="center"/>
              <w:rPr>
                <w:spacing w:val="6"/>
                <w:sz w:val="21"/>
                <w:szCs w:val="21"/>
              </w:rPr>
            </w:pPr>
            <w:r>
              <w:rPr>
                <w:rFonts w:hint="eastAsia"/>
                <w:spacing w:val="6"/>
                <w:sz w:val="21"/>
                <w:szCs w:val="21"/>
              </w:rPr>
              <w:t>2</w:t>
            </w:r>
            <w:r>
              <w:rPr>
                <w:spacing w:val="6"/>
                <w:sz w:val="21"/>
                <w:szCs w:val="21"/>
              </w:rPr>
              <w:t>000</w:t>
            </w:r>
          </w:p>
        </w:tc>
        <w:tc>
          <w:tcPr>
            <w:tcW w:w="396" w:type="pct"/>
            <w:noWrap w:val="0"/>
            <w:vAlign w:val="center"/>
          </w:tcPr>
          <w:p>
            <w:pPr>
              <w:spacing w:line="240" w:lineRule="auto"/>
              <w:ind w:right="140" w:rightChars="50"/>
              <w:jc w:val="center"/>
              <w:rPr>
                <w:rFonts w:hint="eastAsia"/>
                <w:spacing w:val="6"/>
                <w:sz w:val="21"/>
                <w:szCs w:val="21"/>
              </w:rPr>
            </w:pPr>
            <w:r>
              <w:rPr>
                <w:spacing w:val="6"/>
                <w:sz w:val="21"/>
                <w:szCs w:val="21"/>
              </w:rPr>
              <w:t>201</w:t>
            </w:r>
            <w:r>
              <w:rPr>
                <w:rFonts w:hint="eastAsia"/>
                <w:spacing w:val="6"/>
                <w:sz w:val="21"/>
                <w:szCs w:val="21"/>
              </w:rPr>
              <w:t>1</w:t>
            </w:r>
            <w:r>
              <w:rPr>
                <w:spacing w:val="6"/>
                <w:sz w:val="21"/>
                <w:szCs w:val="21"/>
              </w:rPr>
              <w:t>-201</w:t>
            </w:r>
            <w:r>
              <w:rPr>
                <w:rFonts w:hint="eastAsia"/>
                <w:spacing w:val="6"/>
                <w:sz w:val="21"/>
                <w:szCs w:val="21"/>
              </w:rPr>
              <w:t>5</w:t>
            </w:r>
          </w:p>
        </w:tc>
        <w:tc>
          <w:tcPr>
            <w:tcW w:w="565" w:type="pct"/>
            <w:noWrap w:val="0"/>
            <w:vAlign w:val="center"/>
          </w:tcPr>
          <w:p>
            <w:pPr>
              <w:spacing w:line="240" w:lineRule="auto"/>
              <w:ind w:right="140" w:rightChars="50"/>
              <w:jc w:val="center"/>
              <w:rPr>
                <w:spacing w:val="6"/>
                <w:sz w:val="21"/>
                <w:szCs w:val="21"/>
              </w:rPr>
            </w:pPr>
            <w:r>
              <w:rPr>
                <w:spacing w:val="6"/>
                <w:sz w:val="21"/>
                <w:szCs w:val="21"/>
              </w:rPr>
              <w:t>城管局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29</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rFonts w:hint="eastAsia"/>
                <w:spacing w:val="6"/>
                <w:sz w:val="21"/>
                <w:szCs w:val="21"/>
              </w:rPr>
              <w:t>张浦雄诺固废综合利用</w:t>
            </w:r>
          </w:p>
        </w:tc>
        <w:tc>
          <w:tcPr>
            <w:tcW w:w="1564" w:type="pct"/>
            <w:noWrap w:val="0"/>
            <w:vAlign w:val="center"/>
          </w:tcPr>
          <w:p>
            <w:pPr>
              <w:spacing w:line="240" w:lineRule="auto"/>
              <w:ind w:right="140" w:rightChars="50"/>
              <w:jc w:val="center"/>
              <w:rPr>
                <w:spacing w:val="6"/>
                <w:sz w:val="21"/>
                <w:szCs w:val="21"/>
              </w:rPr>
            </w:pPr>
            <w:r>
              <w:rPr>
                <w:rFonts w:hint="eastAsia"/>
                <w:spacing w:val="6"/>
                <w:sz w:val="21"/>
                <w:szCs w:val="21"/>
              </w:rPr>
              <w:t>污泥综合利用</w:t>
            </w:r>
          </w:p>
        </w:tc>
        <w:tc>
          <w:tcPr>
            <w:tcW w:w="789" w:type="pct"/>
            <w:noWrap w:val="0"/>
            <w:vAlign w:val="center"/>
          </w:tcPr>
          <w:p>
            <w:pPr>
              <w:spacing w:line="240" w:lineRule="auto"/>
              <w:ind w:right="140" w:rightChars="50"/>
              <w:jc w:val="center"/>
              <w:rPr>
                <w:spacing w:val="6"/>
                <w:sz w:val="21"/>
                <w:szCs w:val="21"/>
              </w:rPr>
            </w:pPr>
            <w:r>
              <w:rPr>
                <w:rFonts w:hint="eastAsia"/>
                <w:spacing w:val="6"/>
                <w:sz w:val="21"/>
                <w:szCs w:val="21"/>
              </w:rPr>
              <w:t>污泥焚烧减量，灰渣制砖</w:t>
            </w:r>
          </w:p>
        </w:tc>
        <w:tc>
          <w:tcPr>
            <w:tcW w:w="40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1000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w:t>
            </w:r>
            <w:r>
              <w:rPr>
                <w:rFonts w:hint="eastAsia"/>
                <w:spacing w:val="6"/>
                <w:sz w:val="21"/>
                <w:szCs w:val="21"/>
              </w:rPr>
              <w:t>1</w:t>
            </w:r>
            <w:r>
              <w:rPr>
                <w:spacing w:val="6"/>
                <w:sz w:val="21"/>
                <w:szCs w:val="21"/>
              </w:rPr>
              <w:t>-2012</w:t>
            </w:r>
          </w:p>
        </w:tc>
        <w:tc>
          <w:tcPr>
            <w:tcW w:w="565" w:type="pct"/>
            <w:noWrap w:val="0"/>
            <w:vAlign w:val="top"/>
          </w:tcPr>
          <w:p>
            <w:pPr>
              <w:spacing w:line="240" w:lineRule="auto"/>
              <w:ind w:right="140" w:rightChars="50"/>
              <w:jc w:val="center"/>
              <w:rPr>
                <w:spacing w:val="6"/>
                <w:sz w:val="21"/>
                <w:szCs w:val="21"/>
              </w:rPr>
            </w:pPr>
            <w:r>
              <w:rPr>
                <w:rFonts w:hint="eastAsia"/>
                <w:spacing w:val="6"/>
                <w:sz w:val="21"/>
                <w:szCs w:val="21"/>
              </w:rPr>
              <w:t>环保</w:t>
            </w:r>
            <w:r>
              <w:rPr>
                <w:spacing w:val="6"/>
                <w:sz w:val="21"/>
                <w:szCs w:val="21"/>
              </w:rPr>
              <w:t>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30</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rFonts w:hint="eastAsia"/>
                <w:spacing w:val="6"/>
                <w:sz w:val="21"/>
                <w:szCs w:val="21"/>
              </w:rPr>
              <w:t>巴城靖丰固废</w:t>
            </w:r>
          </w:p>
        </w:tc>
        <w:tc>
          <w:tcPr>
            <w:tcW w:w="1564" w:type="pct"/>
            <w:noWrap w:val="0"/>
            <w:vAlign w:val="center"/>
          </w:tcPr>
          <w:p>
            <w:pPr>
              <w:spacing w:line="240" w:lineRule="auto"/>
              <w:ind w:right="140" w:rightChars="50"/>
              <w:jc w:val="center"/>
              <w:rPr>
                <w:spacing w:val="6"/>
                <w:sz w:val="21"/>
                <w:szCs w:val="21"/>
              </w:rPr>
            </w:pPr>
            <w:r>
              <w:rPr>
                <w:rFonts w:hint="eastAsia"/>
                <w:spacing w:val="6"/>
                <w:sz w:val="21"/>
                <w:szCs w:val="21"/>
              </w:rPr>
              <w:t>污泥处置及综合利用</w:t>
            </w:r>
          </w:p>
        </w:tc>
        <w:tc>
          <w:tcPr>
            <w:tcW w:w="789" w:type="pct"/>
            <w:noWrap w:val="0"/>
            <w:vAlign w:val="center"/>
          </w:tcPr>
          <w:p>
            <w:pPr>
              <w:spacing w:line="240" w:lineRule="auto"/>
              <w:ind w:right="140" w:rightChars="50"/>
              <w:jc w:val="center"/>
              <w:rPr>
                <w:spacing w:val="6"/>
                <w:sz w:val="21"/>
                <w:szCs w:val="21"/>
              </w:rPr>
            </w:pPr>
            <w:r>
              <w:rPr>
                <w:rFonts w:hint="eastAsia"/>
                <w:spacing w:val="6"/>
                <w:sz w:val="21"/>
                <w:szCs w:val="21"/>
              </w:rPr>
              <w:t>污泥处置及综合利用</w:t>
            </w:r>
          </w:p>
        </w:tc>
        <w:tc>
          <w:tcPr>
            <w:tcW w:w="40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3000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w:t>
            </w:r>
            <w:r>
              <w:rPr>
                <w:rFonts w:hint="eastAsia"/>
                <w:spacing w:val="6"/>
                <w:sz w:val="21"/>
                <w:szCs w:val="21"/>
              </w:rPr>
              <w:t>1</w:t>
            </w:r>
            <w:r>
              <w:rPr>
                <w:spacing w:val="6"/>
                <w:sz w:val="21"/>
                <w:szCs w:val="21"/>
              </w:rPr>
              <w:t>-2012</w:t>
            </w:r>
          </w:p>
        </w:tc>
        <w:tc>
          <w:tcPr>
            <w:tcW w:w="565" w:type="pct"/>
            <w:noWrap w:val="0"/>
            <w:vAlign w:val="top"/>
          </w:tcPr>
          <w:p>
            <w:pPr>
              <w:spacing w:line="240" w:lineRule="auto"/>
              <w:ind w:right="140" w:rightChars="50"/>
              <w:jc w:val="center"/>
              <w:rPr>
                <w:spacing w:val="6"/>
                <w:sz w:val="21"/>
                <w:szCs w:val="21"/>
              </w:rPr>
            </w:pPr>
            <w:r>
              <w:rPr>
                <w:rFonts w:hint="eastAsia"/>
                <w:spacing w:val="6"/>
                <w:sz w:val="21"/>
                <w:szCs w:val="21"/>
              </w:rPr>
              <w:t>环保</w:t>
            </w:r>
            <w:r>
              <w:rPr>
                <w:spacing w:val="6"/>
                <w:sz w:val="21"/>
                <w:szCs w:val="21"/>
              </w:rPr>
              <w:t>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31</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垃圾填埋场封场及修复工程</w:t>
            </w:r>
          </w:p>
        </w:tc>
        <w:tc>
          <w:tcPr>
            <w:tcW w:w="1564"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垃圾填埋场封场后渗滤液、臭气等处理及综合修复技术研究与示范</w:t>
            </w:r>
          </w:p>
        </w:tc>
        <w:tc>
          <w:tcPr>
            <w:tcW w:w="789"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确保垃圾填埋场安全</w:t>
            </w:r>
          </w:p>
        </w:tc>
        <w:tc>
          <w:tcPr>
            <w:tcW w:w="40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5000</w:t>
            </w:r>
          </w:p>
        </w:tc>
        <w:tc>
          <w:tcPr>
            <w:tcW w:w="396"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2011-2015</w:t>
            </w:r>
          </w:p>
        </w:tc>
        <w:tc>
          <w:tcPr>
            <w:tcW w:w="56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环保局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32</w:t>
            </w:r>
          </w:p>
        </w:tc>
        <w:tc>
          <w:tcPr>
            <w:tcW w:w="245" w:type="pct"/>
            <w:vMerge w:val="restart"/>
            <w:noWrap w:val="0"/>
            <w:vAlign w:val="center"/>
          </w:tcPr>
          <w:p>
            <w:pPr>
              <w:spacing w:line="240" w:lineRule="auto"/>
              <w:ind w:right="140" w:rightChars="50"/>
              <w:jc w:val="center"/>
              <w:rPr>
                <w:rFonts w:hint="eastAsia"/>
                <w:spacing w:val="6"/>
                <w:sz w:val="21"/>
                <w:szCs w:val="21"/>
              </w:rPr>
            </w:pPr>
            <w:r>
              <w:rPr>
                <w:spacing w:val="6"/>
                <w:sz w:val="21"/>
                <w:szCs w:val="21"/>
              </w:rPr>
              <w:t>工业</w:t>
            </w:r>
          </w:p>
          <w:p>
            <w:pPr>
              <w:spacing w:line="240" w:lineRule="auto"/>
              <w:ind w:right="140" w:rightChars="50"/>
              <w:jc w:val="center"/>
              <w:rPr>
                <w:rFonts w:hint="eastAsia"/>
                <w:spacing w:val="6"/>
                <w:sz w:val="21"/>
                <w:szCs w:val="21"/>
              </w:rPr>
            </w:pPr>
            <w:r>
              <w:rPr>
                <w:spacing w:val="6"/>
                <w:sz w:val="21"/>
                <w:szCs w:val="21"/>
              </w:rPr>
              <w:t>污染</w:t>
            </w:r>
          </w:p>
          <w:p>
            <w:pPr>
              <w:spacing w:line="240" w:lineRule="auto"/>
              <w:ind w:right="140" w:rightChars="50"/>
              <w:jc w:val="center"/>
              <w:rPr>
                <w:spacing w:val="6"/>
                <w:sz w:val="21"/>
                <w:szCs w:val="21"/>
              </w:rPr>
            </w:pPr>
            <w:r>
              <w:rPr>
                <w:spacing w:val="6"/>
                <w:sz w:val="21"/>
                <w:szCs w:val="21"/>
              </w:rPr>
              <w:t>防治</w:t>
            </w:r>
          </w:p>
        </w:tc>
        <w:tc>
          <w:tcPr>
            <w:tcW w:w="887" w:type="pct"/>
            <w:noWrap w:val="0"/>
            <w:vAlign w:val="center"/>
          </w:tcPr>
          <w:p>
            <w:pPr>
              <w:spacing w:line="240" w:lineRule="auto"/>
              <w:ind w:right="140" w:rightChars="50"/>
              <w:jc w:val="center"/>
              <w:rPr>
                <w:spacing w:val="6"/>
                <w:sz w:val="21"/>
                <w:szCs w:val="21"/>
              </w:rPr>
            </w:pPr>
            <w:r>
              <w:rPr>
                <w:spacing w:val="6"/>
                <w:sz w:val="21"/>
                <w:szCs w:val="21"/>
              </w:rPr>
              <w:t>生态工业园区建设</w:t>
            </w:r>
          </w:p>
        </w:tc>
        <w:tc>
          <w:tcPr>
            <w:tcW w:w="1564" w:type="pct"/>
            <w:noWrap w:val="0"/>
            <w:vAlign w:val="center"/>
          </w:tcPr>
          <w:p>
            <w:pPr>
              <w:spacing w:line="240" w:lineRule="auto"/>
              <w:ind w:right="140" w:rightChars="50"/>
              <w:jc w:val="center"/>
              <w:rPr>
                <w:spacing w:val="6"/>
                <w:sz w:val="21"/>
                <w:szCs w:val="21"/>
              </w:rPr>
            </w:pPr>
            <w:r>
              <w:rPr>
                <w:spacing w:val="6"/>
                <w:sz w:val="21"/>
                <w:szCs w:val="21"/>
              </w:rPr>
              <w:t>2012年之前</w:t>
            </w:r>
            <w:r>
              <w:rPr>
                <w:rFonts w:hint="eastAsia"/>
                <w:spacing w:val="6"/>
                <w:sz w:val="21"/>
                <w:szCs w:val="21"/>
              </w:rPr>
              <w:t>各</w:t>
            </w:r>
            <w:r>
              <w:rPr>
                <w:spacing w:val="6"/>
                <w:sz w:val="21"/>
                <w:szCs w:val="21"/>
              </w:rPr>
              <w:t>开发区争创国家级生态工业园区</w:t>
            </w:r>
            <w:r>
              <w:rPr>
                <w:rFonts w:hint="eastAsia"/>
                <w:spacing w:val="6"/>
                <w:sz w:val="21"/>
                <w:szCs w:val="21"/>
              </w:rPr>
              <w:t>，</w:t>
            </w:r>
            <w:r>
              <w:rPr>
                <w:spacing w:val="6"/>
                <w:sz w:val="21"/>
                <w:szCs w:val="21"/>
              </w:rPr>
              <w:t>2015年前完成对各乡镇工业集中区的生态化改造。</w:t>
            </w:r>
          </w:p>
        </w:tc>
        <w:tc>
          <w:tcPr>
            <w:tcW w:w="789" w:type="pct"/>
            <w:noWrap w:val="0"/>
            <w:vAlign w:val="center"/>
          </w:tcPr>
          <w:p>
            <w:pPr>
              <w:spacing w:line="240" w:lineRule="auto"/>
              <w:ind w:right="140" w:rightChars="50"/>
              <w:jc w:val="center"/>
              <w:rPr>
                <w:spacing w:val="6"/>
                <w:sz w:val="21"/>
                <w:szCs w:val="21"/>
              </w:rPr>
            </w:pPr>
            <w:r>
              <w:rPr>
                <w:spacing w:val="6"/>
                <w:sz w:val="21"/>
                <w:szCs w:val="21"/>
              </w:rPr>
              <w:t>通过生态工业园建设，初步构建循环经济发展模式。</w:t>
            </w:r>
          </w:p>
        </w:tc>
        <w:tc>
          <w:tcPr>
            <w:tcW w:w="405" w:type="pct"/>
            <w:noWrap w:val="0"/>
            <w:vAlign w:val="center"/>
          </w:tcPr>
          <w:p>
            <w:pPr>
              <w:spacing w:line="240" w:lineRule="auto"/>
              <w:ind w:right="140" w:rightChars="50"/>
              <w:jc w:val="center"/>
              <w:rPr>
                <w:spacing w:val="6"/>
                <w:sz w:val="21"/>
                <w:szCs w:val="21"/>
              </w:rPr>
            </w:pPr>
            <w:r>
              <w:rPr>
                <w:spacing w:val="6"/>
                <w:sz w:val="21"/>
                <w:szCs w:val="21"/>
              </w:rPr>
              <w:t>100000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各开发区管委会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33</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spacing w:val="6"/>
                <w:sz w:val="21"/>
                <w:szCs w:val="21"/>
              </w:rPr>
              <w:t>排污口清查整治工程</w:t>
            </w:r>
          </w:p>
        </w:tc>
        <w:tc>
          <w:tcPr>
            <w:tcW w:w="1564" w:type="pct"/>
            <w:noWrap w:val="0"/>
            <w:vAlign w:val="center"/>
          </w:tcPr>
          <w:p>
            <w:pPr>
              <w:spacing w:line="240" w:lineRule="auto"/>
              <w:ind w:right="140" w:rightChars="50"/>
              <w:jc w:val="center"/>
              <w:rPr>
                <w:spacing w:val="6"/>
                <w:sz w:val="21"/>
                <w:szCs w:val="21"/>
              </w:rPr>
            </w:pPr>
            <w:r>
              <w:rPr>
                <w:spacing w:val="6"/>
                <w:sz w:val="21"/>
                <w:szCs w:val="21"/>
              </w:rPr>
              <w:t>2015年前每年完成100家企业已设排污口限期清查、整治</w:t>
            </w:r>
          </w:p>
        </w:tc>
        <w:tc>
          <w:tcPr>
            <w:tcW w:w="789" w:type="pct"/>
            <w:noWrap w:val="0"/>
            <w:vAlign w:val="center"/>
          </w:tcPr>
          <w:p>
            <w:pPr>
              <w:spacing w:line="240" w:lineRule="auto"/>
              <w:ind w:right="140" w:rightChars="50"/>
              <w:jc w:val="center"/>
              <w:rPr>
                <w:spacing w:val="6"/>
                <w:sz w:val="21"/>
                <w:szCs w:val="21"/>
              </w:rPr>
            </w:pPr>
            <w:r>
              <w:rPr>
                <w:spacing w:val="6"/>
                <w:sz w:val="21"/>
                <w:szCs w:val="21"/>
              </w:rPr>
              <w:t>减少企业污染物排放量。</w:t>
            </w:r>
          </w:p>
        </w:tc>
        <w:tc>
          <w:tcPr>
            <w:tcW w:w="405" w:type="pct"/>
            <w:noWrap w:val="0"/>
            <w:vAlign w:val="center"/>
          </w:tcPr>
          <w:p>
            <w:pPr>
              <w:spacing w:line="240" w:lineRule="auto"/>
              <w:ind w:right="140" w:rightChars="50"/>
              <w:jc w:val="center"/>
              <w:rPr>
                <w:spacing w:val="6"/>
                <w:sz w:val="21"/>
                <w:szCs w:val="21"/>
              </w:rPr>
            </w:pPr>
            <w:r>
              <w:rPr>
                <w:spacing w:val="6"/>
                <w:sz w:val="21"/>
                <w:szCs w:val="21"/>
              </w:rPr>
              <w:t>5000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环保局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623" w:hRule="atLeas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34</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spacing w:val="6"/>
                <w:sz w:val="21"/>
                <w:szCs w:val="21"/>
              </w:rPr>
              <w:t>清洁生产技术推广工程</w:t>
            </w:r>
          </w:p>
        </w:tc>
        <w:tc>
          <w:tcPr>
            <w:tcW w:w="1564" w:type="pct"/>
            <w:noWrap w:val="0"/>
            <w:vAlign w:val="center"/>
          </w:tcPr>
          <w:p>
            <w:pPr>
              <w:spacing w:line="240" w:lineRule="auto"/>
              <w:ind w:right="140" w:rightChars="50"/>
              <w:jc w:val="center"/>
              <w:rPr>
                <w:spacing w:val="6"/>
                <w:sz w:val="21"/>
                <w:szCs w:val="21"/>
              </w:rPr>
            </w:pPr>
            <w:r>
              <w:rPr>
                <w:spacing w:val="6"/>
                <w:sz w:val="21"/>
                <w:szCs w:val="21"/>
              </w:rPr>
              <w:t>近期完成化工、印染、电镀等重点行业的清洁生产审核工作。至2012年全市累计完成清洁生产审核工作350家，2015年全市累计完成清洁生产审核工作500家。</w:t>
            </w:r>
          </w:p>
        </w:tc>
        <w:tc>
          <w:tcPr>
            <w:tcW w:w="789" w:type="pct"/>
            <w:noWrap w:val="0"/>
            <w:vAlign w:val="center"/>
          </w:tcPr>
          <w:p>
            <w:pPr>
              <w:spacing w:line="240" w:lineRule="auto"/>
              <w:ind w:right="140" w:rightChars="50"/>
              <w:jc w:val="center"/>
              <w:rPr>
                <w:spacing w:val="6"/>
                <w:sz w:val="21"/>
                <w:szCs w:val="21"/>
              </w:rPr>
            </w:pPr>
            <w:r>
              <w:rPr>
                <w:spacing w:val="6"/>
                <w:sz w:val="21"/>
                <w:szCs w:val="21"/>
              </w:rPr>
              <w:t>提高资源能源利用效率，减少污染物排放量。</w:t>
            </w:r>
          </w:p>
        </w:tc>
        <w:tc>
          <w:tcPr>
            <w:tcW w:w="405" w:type="pct"/>
            <w:noWrap w:val="0"/>
            <w:vAlign w:val="center"/>
          </w:tcPr>
          <w:p>
            <w:pPr>
              <w:spacing w:line="240" w:lineRule="auto"/>
              <w:ind w:right="140" w:rightChars="50"/>
              <w:jc w:val="center"/>
              <w:rPr>
                <w:spacing w:val="6"/>
                <w:sz w:val="21"/>
                <w:szCs w:val="21"/>
              </w:rPr>
            </w:pPr>
            <w:r>
              <w:rPr>
                <w:spacing w:val="6"/>
                <w:sz w:val="21"/>
                <w:szCs w:val="21"/>
              </w:rPr>
              <w:t>4000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经信委、环保局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35</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rFonts w:hint="eastAsia"/>
                <w:spacing w:val="6"/>
                <w:sz w:val="21"/>
                <w:szCs w:val="21"/>
              </w:rPr>
              <w:t>花桥化工遗留残渣处置</w:t>
            </w:r>
          </w:p>
        </w:tc>
        <w:tc>
          <w:tcPr>
            <w:tcW w:w="1564" w:type="pct"/>
            <w:noWrap w:val="0"/>
            <w:vAlign w:val="center"/>
          </w:tcPr>
          <w:p>
            <w:pPr>
              <w:spacing w:line="240" w:lineRule="auto"/>
              <w:ind w:right="140" w:rightChars="50"/>
              <w:jc w:val="center"/>
              <w:rPr>
                <w:spacing w:val="6"/>
                <w:sz w:val="21"/>
                <w:szCs w:val="21"/>
              </w:rPr>
            </w:pPr>
            <w:r>
              <w:rPr>
                <w:rFonts w:hint="eastAsia"/>
                <w:spacing w:val="6"/>
                <w:sz w:val="21"/>
                <w:szCs w:val="21"/>
              </w:rPr>
              <w:t>委托处理原星乐油脂厂残留物12000立方米，建福化工厂遗留物5040立方米</w:t>
            </w:r>
          </w:p>
        </w:tc>
        <w:tc>
          <w:tcPr>
            <w:tcW w:w="789"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控制化工风险</w:t>
            </w:r>
          </w:p>
        </w:tc>
        <w:tc>
          <w:tcPr>
            <w:tcW w:w="40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2500</w:t>
            </w:r>
          </w:p>
        </w:tc>
        <w:tc>
          <w:tcPr>
            <w:tcW w:w="396"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2011-2012</w:t>
            </w:r>
          </w:p>
        </w:tc>
        <w:tc>
          <w:tcPr>
            <w:tcW w:w="56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经发局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36</w:t>
            </w:r>
          </w:p>
        </w:tc>
        <w:tc>
          <w:tcPr>
            <w:tcW w:w="245" w:type="pct"/>
            <w:vMerge w:val="restart"/>
            <w:noWrap w:val="0"/>
            <w:vAlign w:val="center"/>
          </w:tcPr>
          <w:p>
            <w:pPr>
              <w:spacing w:line="240" w:lineRule="auto"/>
              <w:ind w:right="140" w:rightChars="50"/>
              <w:jc w:val="center"/>
              <w:rPr>
                <w:rFonts w:hint="eastAsia"/>
                <w:spacing w:val="6"/>
                <w:sz w:val="21"/>
                <w:szCs w:val="21"/>
              </w:rPr>
            </w:pPr>
            <w:r>
              <w:rPr>
                <w:rFonts w:hint="eastAsia"/>
                <w:spacing w:val="6"/>
                <w:sz w:val="21"/>
                <w:szCs w:val="21"/>
              </w:rPr>
              <w:t>城乡</w:t>
            </w:r>
          </w:p>
          <w:p>
            <w:pPr>
              <w:spacing w:line="240" w:lineRule="auto"/>
              <w:ind w:right="140" w:rightChars="50"/>
              <w:jc w:val="center"/>
              <w:rPr>
                <w:spacing w:val="6"/>
                <w:sz w:val="21"/>
                <w:szCs w:val="21"/>
              </w:rPr>
            </w:pPr>
            <w:r>
              <w:rPr>
                <w:spacing w:val="6"/>
                <w:sz w:val="21"/>
                <w:szCs w:val="21"/>
              </w:rPr>
              <w:t>环境</w:t>
            </w:r>
          </w:p>
          <w:p>
            <w:pPr>
              <w:spacing w:line="240" w:lineRule="auto"/>
              <w:ind w:right="140" w:rightChars="50"/>
              <w:jc w:val="center"/>
              <w:rPr>
                <w:spacing w:val="6"/>
                <w:sz w:val="21"/>
                <w:szCs w:val="21"/>
              </w:rPr>
            </w:pPr>
            <w:r>
              <w:rPr>
                <w:spacing w:val="6"/>
                <w:sz w:val="21"/>
                <w:szCs w:val="21"/>
              </w:rPr>
              <w:t>综合</w:t>
            </w:r>
          </w:p>
          <w:p>
            <w:pPr>
              <w:spacing w:line="240" w:lineRule="auto"/>
              <w:ind w:right="140" w:rightChars="50"/>
              <w:jc w:val="center"/>
              <w:rPr>
                <w:spacing w:val="6"/>
                <w:sz w:val="21"/>
                <w:szCs w:val="21"/>
              </w:rPr>
            </w:pPr>
            <w:r>
              <w:rPr>
                <w:spacing w:val="6"/>
                <w:sz w:val="21"/>
                <w:szCs w:val="21"/>
              </w:rPr>
              <w:t>整治</w:t>
            </w:r>
          </w:p>
        </w:tc>
        <w:tc>
          <w:tcPr>
            <w:tcW w:w="887" w:type="pct"/>
            <w:noWrap w:val="0"/>
            <w:vAlign w:val="center"/>
          </w:tcPr>
          <w:p>
            <w:pPr>
              <w:spacing w:line="240" w:lineRule="auto"/>
              <w:ind w:right="140" w:rightChars="50"/>
              <w:jc w:val="center"/>
              <w:rPr>
                <w:spacing w:val="6"/>
                <w:sz w:val="21"/>
                <w:szCs w:val="21"/>
              </w:rPr>
            </w:pPr>
            <w:r>
              <w:rPr>
                <w:spacing w:val="6"/>
                <w:sz w:val="21"/>
                <w:szCs w:val="21"/>
              </w:rPr>
              <w:t>绿色、有机食品及无公害农产品基地建设工程</w:t>
            </w:r>
          </w:p>
        </w:tc>
        <w:tc>
          <w:tcPr>
            <w:tcW w:w="1564" w:type="pct"/>
            <w:noWrap w:val="0"/>
            <w:vAlign w:val="center"/>
          </w:tcPr>
          <w:p>
            <w:pPr>
              <w:spacing w:line="240" w:lineRule="auto"/>
              <w:ind w:right="140" w:rightChars="50"/>
              <w:jc w:val="center"/>
              <w:rPr>
                <w:spacing w:val="6"/>
                <w:sz w:val="21"/>
                <w:szCs w:val="21"/>
              </w:rPr>
            </w:pPr>
            <w:r>
              <w:rPr>
                <w:spacing w:val="6"/>
                <w:sz w:val="21"/>
                <w:szCs w:val="21"/>
              </w:rPr>
              <w:t>以昆山农业园区为基础，建设绿色食品及有机食品和无公害农产品基地。</w:t>
            </w:r>
          </w:p>
        </w:tc>
        <w:tc>
          <w:tcPr>
            <w:tcW w:w="789" w:type="pct"/>
            <w:noWrap w:val="0"/>
            <w:vAlign w:val="center"/>
          </w:tcPr>
          <w:p>
            <w:pPr>
              <w:spacing w:line="240" w:lineRule="auto"/>
              <w:ind w:right="140" w:rightChars="50"/>
              <w:jc w:val="center"/>
              <w:rPr>
                <w:spacing w:val="6"/>
                <w:sz w:val="21"/>
                <w:szCs w:val="21"/>
              </w:rPr>
            </w:pPr>
            <w:r>
              <w:rPr>
                <w:spacing w:val="6"/>
                <w:sz w:val="21"/>
                <w:szCs w:val="21"/>
              </w:rPr>
              <w:t>减少农药和化肥施用量，提高农产品品质。</w:t>
            </w:r>
          </w:p>
        </w:tc>
        <w:tc>
          <w:tcPr>
            <w:tcW w:w="405" w:type="pct"/>
            <w:noWrap w:val="0"/>
            <w:vAlign w:val="center"/>
          </w:tcPr>
          <w:p>
            <w:pPr>
              <w:spacing w:line="240" w:lineRule="auto"/>
              <w:ind w:right="140" w:rightChars="50"/>
              <w:jc w:val="center"/>
              <w:rPr>
                <w:spacing w:val="6"/>
                <w:sz w:val="21"/>
                <w:szCs w:val="21"/>
              </w:rPr>
            </w:pPr>
            <w:r>
              <w:rPr>
                <w:spacing w:val="6"/>
                <w:sz w:val="21"/>
                <w:szCs w:val="21"/>
              </w:rPr>
              <w:t>60000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2011-2012</w:t>
            </w:r>
          </w:p>
        </w:tc>
        <w:tc>
          <w:tcPr>
            <w:tcW w:w="565" w:type="pct"/>
            <w:noWrap w:val="0"/>
            <w:vAlign w:val="center"/>
          </w:tcPr>
          <w:p>
            <w:pPr>
              <w:spacing w:line="240" w:lineRule="auto"/>
              <w:ind w:right="140" w:rightChars="50"/>
              <w:jc w:val="center"/>
              <w:rPr>
                <w:spacing w:val="6"/>
                <w:sz w:val="21"/>
                <w:szCs w:val="21"/>
              </w:rPr>
            </w:pPr>
            <w:r>
              <w:rPr>
                <w:spacing w:val="6"/>
                <w:sz w:val="21"/>
                <w:szCs w:val="21"/>
              </w:rPr>
              <w:t>农委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37</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spacing w:val="6"/>
                <w:sz w:val="21"/>
                <w:szCs w:val="21"/>
              </w:rPr>
              <w:t>秸秆综合利用工程</w:t>
            </w:r>
          </w:p>
        </w:tc>
        <w:tc>
          <w:tcPr>
            <w:tcW w:w="1564" w:type="pct"/>
            <w:noWrap w:val="0"/>
            <w:vAlign w:val="center"/>
          </w:tcPr>
          <w:p>
            <w:pPr>
              <w:spacing w:line="240" w:lineRule="auto"/>
              <w:ind w:right="140" w:rightChars="50"/>
              <w:jc w:val="center"/>
              <w:rPr>
                <w:spacing w:val="6"/>
                <w:sz w:val="21"/>
                <w:szCs w:val="21"/>
              </w:rPr>
            </w:pPr>
            <w:r>
              <w:rPr>
                <w:spacing w:val="6"/>
                <w:sz w:val="21"/>
                <w:szCs w:val="21"/>
              </w:rPr>
              <w:t>禁止田间秸秆焚烧，推广机械粉碎秸秆还田、麦田套直播稻秸秆还田技术；推广秸秆综合利用技术。</w:t>
            </w:r>
          </w:p>
        </w:tc>
        <w:tc>
          <w:tcPr>
            <w:tcW w:w="789" w:type="pct"/>
            <w:noWrap w:val="0"/>
            <w:vAlign w:val="center"/>
          </w:tcPr>
          <w:p>
            <w:pPr>
              <w:spacing w:line="240" w:lineRule="auto"/>
              <w:ind w:right="140" w:rightChars="50"/>
              <w:jc w:val="center"/>
              <w:rPr>
                <w:spacing w:val="6"/>
                <w:sz w:val="21"/>
                <w:szCs w:val="21"/>
              </w:rPr>
            </w:pPr>
            <w:r>
              <w:rPr>
                <w:spacing w:val="6"/>
                <w:sz w:val="21"/>
                <w:szCs w:val="21"/>
              </w:rPr>
              <w:t>改善农村大气环境质量，推进农业废弃物资源化利用。</w:t>
            </w:r>
          </w:p>
        </w:tc>
        <w:tc>
          <w:tcPr>
            <w:tcW w:w="405" w:type="pct"/>
            <w:noWrap w:val="0"/>
            <w:vAlign w:val="center"/>
          </w:tcPr>
          <w:p>
            <w:pPr>
              <w:spacing w:line="240" w:lineRule="auto"/>
              <w:ind w:right="140" w:rightChars="50"/>
              <w:jc w:val="center"/>
              <w:rPr>
                <w:spacing w:val="6"/>
                <w:sz w:val="21"/>
                <w:szCs w:val="21"/>
              </w:rPr>
            </w:pPr>
            <w:r>
              <w:rPr>
                <w:spacing w:val="6"/>
                <w:sz w:val="21"/>
                <w:szCs w:val="21"/>
              </w:rPr>
              <w:t>10000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农委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38</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spacing w:val="6"/>
                <w:sz w:val="21"/>
                <w:szCs w:val="21"/>
              </w:rPr>
              <w:t>农村清洁能源推广工程</w:t>
            </w:r>
          </w:p>
        </w:tc>
        <w:tc>
          <w:tcPr>
            <w:tcW w:w="1564" w:type="pct"/>
            <w:noWrap w:val="0"/>
            <w:vAlign w:val="center"/>
          </w:tcPr>
          <w:p>
            <w:pPr>
              <w:spacing w:line="240" w:lineRule="auto"/>
              <w:ind w:right="140" w:rightChars="50"/>
              <w:jc w:val="center"/>
              <w:rPr>
                <w:spacing w:val="6"/>
                <w:sz w:val="21"/>
                <w:szCs w:val="21"/>
              </w:rPr>
            </w:pPr>
            <w:r>
              <w:rPr>
                <w:bCs/>
                <w:spacing w:val="6"/>
                <w:sz w:val="21"/>
                <w:szCs w:val="21"/>
              </w:rPr>
              <w:t>2012年，农村清洁能源普及率达70%以上，2015年超过80%</w:t>
            </w:r>
            <w:r>
              <w:rPr>
                <w:spacing w:val="6"/>
                <w:sz w:val="21"/>
                <w:szCs w:val="21"/>
              </w:rPr>
              <w:t>。</w:t>
            </w:r>
            <w:r>
              <w:rPr>
                <w:bCs/>
                <w:spacing w:val="6"/>
                <w:sz w:val="21"/>
                <w:szCs w:val="21"/>
              </w:rPr>
              <w:t>推广利用太阳能</w:t>
            </w:r>
            <w:r>
              <w:rPr>
                <w:spacing w:val="6"/>
                <w:sz w:val="21"/>
                <w:szCs w:val="21"/>
              </w:rPr>
              <w:t>，</w:t>
            </w:r>
            <w:r>
              <w:rPr>
                <w:bCs/>
                <w:spacing w:val="6"/>
                <w:sz w:val="21"/>
                <w:szCs w:val="21"/>
              </w:rPr>
              <w:t>2012年，农村太阳能使用率达30%以上，到2015年，农村太阳能普及率超过40%。</w:t>
            </w:r>
          </w:p>
        </w:tc>
        <w:tc>
          <w:tcPr>
            <w:tcW w:w="789" w:type="pct"/>
            <w:noWrap w:val="0"/>
            <w:vAlign w:val="center"/>
          </w:tcPr>
          <w:p>
            <w:pPr>
              <w:spacing w:line="240" w:lineRule="auto"/>
              <w:ind w:right="140" w:rightChars="50"/>
              <w:jc w:val="center"/>
              <w:rPr>
                <w:spacing w:val="6"/>
                <w:sz w:val="21"/>
                <w:szCs w:val="21"/>
              </w:rPr>
            </w:pPr>
            <w:r>
              <w:rPr>
                <w:spacing w:val="6"/>
                <w:sz w:val="21"/>
                <w:szCs w:val="21"/>
              </w:rPr>
              <w:t>改善农村地区生态环境质量。</w:t>
            </w:r>
          </w:p>
        </w:tc>
        <w:tc>
          <w:tcPr>
            <w:tcW w:w="405" w:type="pct"/>
            <w:noWrap w:val="0"/>
            <w:vAlign w:val="center"/>
          </w:tcPr>
          <w:p>
            <w:pPr>
              <w:spacing w:line="240" w:lineRule="auto"/>
              <w:ind w:right="140" w:rightChars="50"/>
              <w:jc w:val="center"/>
              <w:rPr>
                <w:spacing w:val="6"/>
                <w:sz w:val="21"/>
                <w:szCs w:val="21"/>
              </w:rPr>
            </w:pPr>
            <w:r>
              <w:rPr>
                <w:spacing w:val="6"/>
                <w:sz w:val="21"/>
                <w:szCs w:val="21"/>
              </w:rPr>
              <w:t>15000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农委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39</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spacing w:val="6"/>
                <w:sz w:val="21"/>
                <w:szCs w:val="21"/>
              </w:rPr>
              <w:t>病虫草害综合防治工程</w:t>
            </w:r>
          </w:p>
        </w:tc>
        <w:tc>
          <w:tcPr>
            <w:tcW w:w="1564" w:type="pct"/>
            <w:noWrap w:val="0"/>
            <w:vAlign w:val="center"/>
          </w:tcPr>
          <w:p>
            <w:pPr>
              <w:spacing w:line="240" w:lineRule="auto"/>
              <w:ind w:right="140" w:rightChars="50"/>
              <w:jc w:val="center"/>
              <w:rPr>
                <w:spacing w:val="6"/>
                <w:sz w:val="21"/>
                <w:szCs w:val="21"/>
              </w:rPr>
            </w:pPr>
            <w:r>
              <w:rPr>
                <w:spacing w:val="6"/>
                <w:kern w:val="0"/>
                <w:sz w:val="21"/>
                <w:szCs w:val="21"/>
              </w:rPr>
              <w:t>推行</w:t>
            </w:r>
            <w:r>
              <w:rPr>
                <w:rFonts w:hint="eastAsia"/>
                <w:spacing w:val="6"/>
                <w:kern w:val="0"/>
                <w:sz w:val="21"/>
                <w:szCs w:val="21"/>
              </w:rPr>
              <w:t>无害化综合</w:t>
            </w:r>
            <w:r>
              <w:rPr>
                <w:spacing w:val="6"/>
                <w:kern w:val="0"/>
                <w:sz w:val="21"/>
                <w:szCs w:val="21"/>
              </w:rPr>
              <w:t>防治技术，推广</w:t>
            </w:r>
            <w:r>
              <w:rPr>
                <w:rFonts w:hint="eastAsia"/>
                <w:spacing w:val="6"/>
                <w:kern w:val="0"/>
                <w:sz w:val="21"/>
                <w:szCs w:val="21"/>
              </w:rPr>
              <w:t>高效、低毒、</w:t>
            </w:r>
            <w:r>
              <w:rPr>
                <w:spacing w:val="6"/>
                <w:kern w:val="0"/>
                <w:sz w:val="21"/>
                <w:szCs w:val="21"/>
              </w:rPr>
              <w:t>低残留的化学农药和生物农药</w:t>
            </w:r>
            <w:r>
              <w:rPr>
                <w:rFonts w:hint="eastAsia"/>
                <w:spacing w:val="6"/>
                <w:kern w:val="0"/>
                <w:sz w:val="21"/>
                <w:szCs w:val="21"/>
              </w:rPr>
              <w:t>应用</w:t>
            </w:r>
            <w:r>
              <w:rPr>
                <w:spacing w:val="6"/>
                <w:kern w:val="0"/>
                <w:sz w:val="21"/>
                <w:szCs w:val="21"/>
              </w:rPr>
              <w:t>，建立健全农业重大病虫害预防监控体系。到2012年，病虫草害综合防治率达到90%，2015年病虫草害综合防治率达到95%。每亩使用生物农药代替化学用药达到20％。</w:t>
            </w:r>
          </w:p>
        </w:tc>
        <w:tc>
          <w:tcPr>
            <w:tcW w:w="789" w:type="pct"/>
            <w:noWrap w:val="0"/>
            <w:vAlign w:val="center"/>
          </w:tcPr>
          <w:p>
            <w:pPr>
              <w:spacing w:line="240" w:lineRule="auto"/>
              <w:ind w:right="140" w:rightChars="50"/>
              <w:jc w:val="center"/>
              <w:rPr>
                <w:spacing w:val="6"/>
                <w:sz w:val="21"/>
                <w:szCs w:val="21"/>
              </w:rPr>
            </w:pPr>
            <w:r>
              <w:rPr>
                <w:spacing w:val="6"/>
                <w:sz w:val="21"/>
                <w:szCs w:val="21"/>
              </w:rPr>
              <w:t>减少化学农药施用量，改善农村地区生态环境质量。</w:t>
            </w:r>
          </w:p>
        </w:tc>
        <w:tc>
          <w:tcPr>
            <w:tcW w:w="405" w:type="pct"/>
            <w:noWrap w:val="0"/>
            <w:vAlign w:val="center"/>
          </w:tcPr>
          <w:p>
            <w:pPr>
              <w:spacing w:line="240" w:lineRule="auto"/>
              <w:ind w:right="140" w:rightChars="50"/>
              <w:jc w:val="center"/>
              <w:rPr>
                <w:spacing w:val="6"/>
                <w:sz w:val="21"/>
                <w:szCs w:val="21"/>
              </w:rPr>
            </w:pPr>
            <w:r>
              <w:rPr>
                <w:spacing w:val="6"/>
                <w:sz w:val="21"/>
                <w:szCs w:val="21"/>
              </w:rPr>
              <w:t>4000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农委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40</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spacing w:val="6"/>
                <w:sz w:val="21"/>
                <w:szCs w:val="21"/>
              </w:rPr>
              <w:t>科学施肥工程</w:t>
            </w:r>
          </w:p>
        </w:tc>
        <w:tc>
          <w:tcPr>
            <w:tcW w:w="1564" w:type="pct"/>
            <w:noWrap w:val="0"/>
            <w:vAlign w:val="center"/>
          </w:tcPr>
          <w:p>
            <w:pPr>
              <w:spacing w:line="240" w:lineRule="auto"/>
              <w:ind w:right="140" w:rightChars="50"/>
              <w:jc w:val="center"/>
              <w:rPr>
                <w:bCs/>
                <w:spacing w:val="6"/>
                <w:sz w:val="21"/>
                <w:szCs w:val="21"/>
              </w:rPr>
            </w:pPr>
            <w:r>
              <w:rPr>
                <w:spacing w:val="6"/>
                <w:kern w:val="0"/>
                <w:sz w:val="21"/>
                <w:szCs w:val="21"/>
              </w:rPr>
              <w:t>应用区域养分管理和精准化施肥技术，2015年蔬菜作物减少氮肥使用量10％，磷肥用量10％。水旱轮作减少氮肥用量10％，磷肥用量5％。</w:t>
            </w:r>
          </w:p>
        </w:tc>
        <w:tc>
          <w:tcPr>
            <w:tcW w:w="789" w:type="pct"/>
            <w:noWrap w:val="0"/>
            <w:vAlign w:val="center"/>
          </w:tcPr>
          <w:p>
            <w:pPr>
              <w:spacing w:line="240" w:lineRule="auto"/>
              <w:ind w:right="140" w:rightChars="50"/>
              <w:jc w:val="center"/>
              <w:rPr>
                <w:spacing w:val="6"/>
                <w:sz w:val="21"/>
                <w:szCs w:val="21"/>
              </w:rPr>
            </w:pPr>
            <w:r>
              <w:rPr>
                <w:spacing w:val="6"/>
                <w:sz w:val="21"/>
                <w:szCs w:val="21"/>
              </w:rPr>
              <w:t>减少化肥施用量，改善农村地区生态环境质量。</w:t>
            </w:r>
          </w:p>
        </w:tc>
        <w:tc>
          <w:tcPr>
            <w:tcW w:w="405" w:type="pct"/>
            <w:noWrap w:val="0"/>
            <w:vAlign w:val="center"/>
          </w:tcPr>
          <w:p>
            <w:pPr>
              <w:spacing w:line="240" w:lineRule="auto"/>
              <w:ind w:right="140" w:rightChars="50"/>
              <w:jc w:val="center"/>
              <w:rPr>
                <w:spacing w:val="6"/>
                <w:sz w:val="21"/>
                <w:szCs w:val="21"/>
              </w:rPr>
            </w:pPr>
            <w:r>
              <w:rPr>
                <w:spacing w:val="6"/>
                <w:sz w:val="21"/>
                <w:szCs w:val="21"/>
              </w:rPr>
              <w:t>7000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农委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41</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spacing w:val="6"/>
                <w:sz w:val="21"/>
                <w:szCs w:val="21"/>
              </w:rPr>
              <w:t>农村分散污水处理设施建设</w:t>
            </w:r>
          </w:p>
        </w:tc>
        <w:tc>
          <w:tcPr>
            <w:tcW w:w="1564" w:type="pct"/>
            <w:noWrap w:val="0"/>
            <w:vAlign w:val="center"/>
          </w:tcPr>
          <w:p>
            <w:pPr>
              <w:spacing w:line="240" w:lineRule="auto"/>
              <w:ind w:right="140" w:rightChars="50"/>
              <w:jc w:val="center"/>
              <w:rPr>
                <w:spacing w:val="6"/>
                <w:kern w:val="0"/>
                <w:sz w:val="21"/>
                <w:szCs w:val="21"/>
              </w:rPr>
            </w:pPr>
            <w:r>
              <w:rPr>
                <w:spacing w:val="6"/>
                <w:kern w:val="0"/>
                <w:sz w:val="21"/>
                <w:szCs w:val="21"/>
              </w:rPr>
              <w:t>在阳澄湖保护区内90%的农村建设分散生活污水处理设施，其他地区50%的农村建设生活污水处理设施。</w:t>
            </w:r>
          </w:p>
        </w:tc>
        <w:tc>
          <w:tcPr>
            <w:tcW w:w="789" w:type="pct"/>
            <w:noWrap w:val="0"/>
            <w:vAlign w:val="center"/>
          </w:tcPr>
          <w:p>
            <w:pPr>
              <w:spacing w:line="240" w:lineRule="auto"/>
              <w:ind w:right="140" w:rightChars="50"/>
              <w:jc w:val="center"/>
              <w:rPr>
                <w:spacing w:val="6"/>
                <w:sz w:val="21"/>
                <w:szCs w:val="21"/>
              </w:rPr>
            </w:pPr>
            <w:r>
              <w:rPr>
                <w:spacing w:val="6"/>
                <w:sz w:val="21"/>
                <w:szCs w:val="21"/>
              </w:rPr>
              <w:t>提高农村生活处理率，减少农村生活污染物排放。</w:t>
            </w:r>
          </w:p>
        </w:tc>
        <w:tc>
          <w:tcPr>
            <w:tcW w:w="405" w:type="pct"/>
            <w:noWrap w:val="0"/>
            <w:vAlign w:val="center"/>
          </w:tcPr>
          <w:p>
            <w:pPr>
              <w:spacing w:line="240" w:lineRule="auto"/>
              <w:ind w:right="140" w:rightChars="50"/>
              <w:jc w:val="center"/>
              <w:rPr>
                <w:spacing w:val="6"/>
                <w:sz w:val="21"/>
                <w:szCs w:val="21"/>
              </w:rPr>
            </w:pPr>
            <w:r>
              <w:rPr>
                <w:spacing w:val="6"/>
                <w:sz w:val="21"/>
                <w:szCs w:val="21"/>
              </w:rPr>
              <w:t>10000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住建局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42</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rFonts w:hint="eastAsia"/>
                <w:kern w:val="0"/>
                <w:sz w:val="21"/>
                <w:szCs w:val="21"/>
              </w:rPr>
            </w:pPr>
            <w:r>
              <w:rPr>
                <w:rFonts w:hint="eastAsia"/>
                <w:kern w:val="0"/>
                <w:sz w:val="21"/>
                <w:szCs w:val="21"/>
              </w:rPr>
              <w:t>畜禽养殖</w:t>
            </w:r>
            <w:r>
              <w:rPr>
                <w:kern w:val="0"/>
                <w:sz w:val="21"/>
                <w:szCs w:val="21"/>
              </w:rPr>
              <w:t>废弃物</w:t>
            </w:r>
          </w:p>
          <w:p>
            <w:pPr>
              <w:spacing w:line="240" w:lineRule="auto"/>
              <w:ind w:right="140" w:rightChars="50"/>
              <w:jc w:val="center"/>
              <w:rPr>
                <w:rFonts w:hint="eastAsia"/>
                <w:spacing w:val="6"/>
                <w:sz w:val="21"/>
                <w:szCs w:val="21"/>
              </w:rPr>
            </w:pPr>
            <w:r>
              <w:rPr>
                <w:spacing w:val="6"/>
                <w:sz w:val="21"/>
                <w:szCs w:val="21"/>
              </w:rPr>
              <w:t>资源化</w:t>
            </w:r>
            <w:r>
              <w:rPr>
                <w:rFonts w:hint="eastAsia"/>
                <w:spacing w:val="6"/>
                <w:sz w:val="21"/>
                <w:szCs w:val="21"/>
              </w:rPr>
              <w:t>处置中心</w:t>
            </w:r>
          </w:p>
        </w:tc>
        <w:tc>
          <w:tcPr>
            <w:tcW w:w="1564" w:type="pct"/>
            <w:noWrap w:val="0"/>
            <w:vAlign w:val="center"/>
          </w:tcPr>
          <w:p>
            <w:pPr>
              <w:spacing w:line="240" w:lineRule="auto"/>
              <w:ind w:right="140" w:rightChars="50"/>
              <w:jc w:val="center"/>
              <w:rPr>
                <w:spacing w:val="6"/>
                <w:sz w:val="21"/>
                <w:szCs w:val="21"/>
              </w:rPr>
            </w:pPr>
            <w:r>
              <w:rPr>
                <w:kern w:val="2"/>
                <w:sz w:val="21"/>
                <w:szCs w:val="21"/>
              </w:rPr>
              <w:t>生产厂房、有机肥料生产配套设备，粉碎机，翻堆机械、添置粪污专用运输车辆</w:t>
            </w:r>
            <w:r>
              <w:rPr>
                <w:spacing w:val="6"/>
                <w:sz w:val="21"/>
                <w:szCs w:val="21"/>
              </w:rPr>
              <w:t>。</w:t>
            </w:r>
          </w:p>
        </w:tc>
        <w:tc>
          <w:tcPr>
            <w:tcW w:w="789" w:type="pct"/>
            <w:noWrap w:val="0"/>
            <w:vAlign w:val="center"/>
          </w:tcPr>
          <w:p>
            <w:pPr>
              <w:spacing w:line="240" w:lineRule="auto"/>
              <w:ind w:right="140" w:rightChars="50"/>
              <w:jc w:val="center"/>
              <w:rPr>
                <w:spacing w:val="6"/>
                <w:sz w:val="21"/>
                <w:szCs w:val="21"/>
              </w:rPr>
            </w:pPr>
            <w:r>
              <w:rPr>
                <w:spacing w:val="6"/>
                <w:sz w:val="21"/>
                <w:szCs w:val="21"/>
              </w:rPr>
              <w:t>推进畜禽粪便资源化利用，减少畜禽养殖业污染。</w:t>
            </w:r>
          </w:p>
        </w:tc>
        <w:tc>
          <w:tcPr>
            <w:tcW w:w="405" w:type="pct"/>
            <w:noWrap w:val="0"/>
            <w:vAlign w:val="center"/>
          </w:tcPr>
          <w:p>
            <w:pPr>
              <w:spacing w:line="240" w:lineRule="auto"/>
              <w:ind w:right="140" w:rightChars="50"/>
              <w:jc w:val="center"/>
              <w:rPr>
                <w:spacing w:val="6"/>
                <w:sz w:val="21"/>
                <w:szCs w:val="21"/>
              </w:rPr>
            </w:pPr>
            <w:r>
              <w:rPr>
                <w:rFonts w:hint="eastAsia"/>
                <w:spacing w:val="6"/>
                <w:sz w:val="21"/>
                <w:szCs w:val="21"/>
              </w:rPr>
              <w:t>3</w:t>
            </w:r>
            <w:r>
              <w:rPr>
                <w:spacing w:val="6"/>
                <w:sz w:val="21"/>
                <w:szCs w:val="21"/>
              </w:rPr>
              <w:t>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2011-2012</w:t>
            </w:r>
          </w:p>
        </w:tc>
        <w:tc>
          <w:tcPr>
            <w:tcW w:w="565" w:type="pct"/>
            <w:noWrap w:val="0"/>
            <w:vAlign w:val="center"/>
          </w:tcPr>
          <w:p>
            <w:pPr>
              <w:spacing w:line="240" w:lineRule="auto"/>
              <w:ind w:right="140" w:rightChars="50"/>
              <w:jc w:val="center"/>
              <w:rPr>
                <w:spacing w:val="6"/>
                <w:sz w:val="21"/>
                <w:szCs w:val="21"/>
              </w:rPr>
            </w:pPr>
            <w:r>
              <w:rPr>
                <w:spacing w:val="6"/>
                <w:sz w:val="21"/>
                <w:szCs w:val="21"/>
              </w:rPr>
              <w:t>农委、环保局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43</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spacing w:val="6"/>
                <w:sz w:val="21"/>
                <w:szCs w:val="21"/>
              </w:rPr>
              <w:t>规模化畜禽养殖场和养殖小区工程治理</w:t>
            </w:r>
          </w:p>
        </w:tc>
        <w:tc>
          <w:tcPr>
            <w:tcW w:w="1564" w:type="pct"/>
            <w:noWrap w:val="0"/>
            <w:vAlign w:val="center"/>
          </w:tcPr>
          <w:p>
            <w:pPr>
              <w:spacing w:line="240" w:lineRule="auto"/>
              <w:ind w:right="140" w:rightChars="50"/>
              <w:jc w:val="center"/>
              <w:rPr>
                <w:spacing w:val="6"/>
                <w:sz w:val="21"/>
                <w:szCs w:val="21"/>
              </w:rPr>
            </w:pPr>
            <w:r>
              <w:rPr>
                <w:rFonts w:hint="eastAsia"/>
                <w:spacing w:val="6"/>
                <w:sz w:val="21"/>
                <w:szCs w:val="21"/>
              </w:rPr>
              <w:t>取缔禁养区内养殖场及全是范围治理无望的养殖场，</w:t>
            </w:r>
            <w:r>
              <w:rPr>
                <w:kern w:val="2"/>
                <w:sz w:val="21"/>
                <w:szCs w:val="21"/>
              </w:rPr>
              <w:t>建设和完善规模畜禽场污染治理设施</w:t>
            </w:r>
          </w:p>
        </w:tc>
        <w:tc>
          <w:tcPr>
            <w:tcW w:w="789" w:type="pct"/>
            <w:noWrap w:val="0"/>
            <w:vAlign w:val="center"/>
          </w:tcPr>
          <w:p>
            <w:pPr>
              <w:spacing w:line="240" w:lineRule="auto"/>
              <w:ind w:right="140" w:rightChars="50"/>
              <w:jc w:val="center"/>
              <w:rPr>
                <w:spacing w:val="6"/>
                <w:sz w:val="21"/>
                <w:szCs w:val="21"/>
              </w:rPr>
            </w:pPr>
            <w:r>
              <w:rPr>
                <w:rFonts w:hint="eastAsia"/>
                <w:spacing w:val="6"/>
                <w:sz w:val="21"/>
                <w:szCs w:val="21"/>
              </w:rPr>
              <w:t>农业源污染减排</w:t>
            </w:r>
          </w:p>
        </w:tc>
        <w:tc>
          <w:tcPr>
            <w:tcW w:w="40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15000</w:t>
            </w:r>
          </w:p>
        </w:tc>
        <w:tc>
          <w:tcPr>
            <w:tcW w:w="396" w:type="pct"/>
            <w:noWrap w:val="0"/>
            <w:vAlign w:val="center"/>
          </w:tcPr>
          <w:p>
            <w:pPr>
              <w:spacing w:line="240" w:lineRule="auto"/>
              <w:ind w:right="140" w:rightChars="50"/>
              <w:jc w:val="center"/>
              <w:rPr>
                <w:rFonts w:hint="eastAsia"/>
                <w:spacing w:val="6"/>
                <w:sz w:val="21"/>
                <w:szCs w:val="21"/>
              </w:rPr>
            </w:pPr>
            <w:r>
              <w:rPr>
                <w:spacing w:val="6"/>
                <w:sz w:val="21"/>
                <w:szCs w:val="21"/>
              </w:rPr>
              <w:t>2011-201</w:t>
            </w:r>
            <w:r>
              <w:rPr>
                <w:rFonts w:hint="eastAsia"/>
                <w:spacing w:val="6"/>
                <w:sz w:val="21"/>
                <w:szCs w:val="21"/>
              </w:rPr>
              <w:t>5</w:t>
            </w:r>
          </w:p>
        </w:tc>
        <w:tc>
          <w:tcPr>
            <w:tcW w:w="565" w:type="pct"/>
            <w:noWrap w:val="0"/>
            <w:vAlign w:val="center"/>
          </w:tcPr>
          <w:p>
            <w:pPr>
              <w:spacing w:line="240" w:lineRule="auto"/>
              <w:ind w:right="140" w:rightChars="50"/>
              <w:jc w:val="center"/>
              <w:rPr>
                <w:spacing w:val="6"/>
                <w:sz w:val="21"/>
                <w:szCs w:val="21"/>
              </w:rPr>
            </w:pPr>
            <w:r>
              <w:rPr>
                <w:spacing w:val="6"/>
                <w:sz w:val="21"/>
                <w:szCs w:val="21"/>
              </w:rPr>
              <w:t>农委、环保局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44</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spacing w:val="6"/>
                <w:sz w:val="21"/>
                <w:szCs w:val="21"/>
              </w:rPr>
              <w:t>循环水池养殖工程</w:t>
            </w:r>
          </w:p>
        </w:tc>
        <w:tc>
          <w:tcPr>
            <w:tcW w:w="1564" w:type="pct"/>
            <w:noWrap w:val="0"/>
            <w:vAlign w:val="center"/>
          </w:tcPr>
          <w:p>
            <w:pPr>
              <w:spacing w:line="240" w:lineRule="auto"/>
              <w:ind w:right="140" w:rightChars="50"/>
              <w:jc w:val="center"/>
              <w:rPr>
                <w:spacing w:val="6"/>
                <w:sz w:val="21"/>
                <w:szCs w:val="21"/>
              </w:rPr>
            </w:pPr>
            <w:r>
              <w:rPr>
                <w:spacing w:val="6"/>
                <w:sz w:val="21"/>
                <w:szCs w:val="21"/>
              </w:rPr>
              <w:t>对</w:t>
            </w:r>
            <w:r>
              <w:rPr>
                <w:rFonts w:hint="eastAsia"/>
                <w:spacing w:val="6"/>
                <w:sz w:val="21"/>
                <w:szCs w:val="21"/>
              </w:rPr>
              <w:t>6万</w:t>
            </w:r>
            <w:r>
              <w:rPr>
                <w:spacing w:val="6"/>
                <w:sz w:val="21"/>
                <w:szCs w:val="21"/>
              </w:rPr>
              <w:t>亩养殖场进行池塘改造及进、排水系统等基础设施建设，并按10%的比例配置氧化塘，通过净化塘中种植水生植物，放养贝类，净化水质，并进行循环使用，最大幅度减少养殖用水的排放量。</w:t>
            </w:r>
          </w:p>
        </w:tc>
        <w:tc>
          <w:tcPr>
            <w:tcW w:w="789" w:type="pct"/>
            <w:noWrap w:val="0"/>
            <w:vAlign w:val="center"/>
          </w:tcPr>
          <w:p>
            <w:pPr>
              <w:spacing w:line="240" w:lineRule="auto"/>
              <w:ind w:right="140" w:rightChars="50"/>
              <w:jc w:val="center"/>
              <w:rPr>
                <w:spacing w:val="6"/>
                <w:sz w:val="21"/>
                <w:szCs w:val="21"/>
              </w:rPr>
            </w:pPr>
            <w:r>
              <w:rPr>
                <w:spacing w:val="6"/>
                <w:sz w:val="21"/>
                <w:szCs w:val="21"/>
              </w:rPr>
              <w:t>减少水产养殖的污染。</w:t>
            </w:r>
          </w:p>
        </w:tc>
        <w:tc>
          <w:tcPr>
            <w:tcW w:w="405" w:type="pct"/>
            <w:noWrap w:val="0"/>
            <w:vAlign w:val="center"/>
          </w:tcPr>
          <w:p>
            <w:pPr>
              <w:spacing w:line="240" w:lineRule="auto"/>
              <w:ind w:right="140" w:rightChars="50"/>
              <w:jc w:val="center"/>
              <w:rPr>
                <w:spacing w:val="6"/>
                <w:sz w:val="21"/>
                <w:szCs w:val="21"/>
              </w:rPr>
            </w:pPr>
            <w:r>
              <w:rPr>
                <w:rFonts w:hint="eastAsia"/>
                <w:spacing w:val="6"/>
                <w:sz w:val="21"/>
                <w:szCs w:val="21"/>
              </w:rPr>
              <w:t>43</w:t>
            </w:r>
            <w:r>
              <w:rPr>
                <w:spacing w:val="6"/>
                <w:sz w:val="21"/>
                <w:szCs w:val="21"/>
              </w:rPr>
              <w:t>000</w:t>
            </w:r>
          </w:p>
        </w:tc>
        <w:tc>
          <w:tcPr>
            <w:tcW w:w="396" w:type="pct"/>
            <w:noWrap w:val="0"/>
            <w:vAlign w:val="center"/>
          </w:tcPr>
          <w:p>
            <w:pPr>
              <w:spacing w:line="240" w:lineRule="auto"/>
              <w:ind w:right="140" w:rightChars="50"/>
              <w:jc w:val="center"/>
              <w:rPr>
                <w:spacing w:val="6"/>
                <w:sz w:val="21"/>
                <w:szCs w:val="21"/>
              </w:rPr>
            </w:pPr>
            <w:r>
              <w:rPr>
                <w:spacing w:val="6"/>
                <w:sz w:val="21"/>
                <w:szCs w:val="21"/>
              </w:rPr>
              <w:t>20</w:t>
            </w:r>
            <w:r>
              <w:rPr>
                <w:rFonts w:hint="eastAsia"/>
                <w:spacing w:val="6"/>
                <w:sz w:val="21"/>
                <w:szCs w:val="21"/>
              </w:rPr>
              <w:t>11</w:t>
            </w:r>
            <w:r>
              <w:rPr>
                <w:spacing w:val="6"/>
                <w:sz w:val="21"/>
                <w:szCs w:val="21"/>
              </w:rPr>
              <w:t>-2015</w:t>
            </w:r>
          </w:p>
        </w:tc>
        <w:tc>
          <w:tcPr>
            <w:tcW w:w="565" w:type="pct"/>
            <w:noWrap w:val="0"/>
            <w:vAlign w:val="center"/>
          </w:tcPr>
          <w:p>
            <w:pPr>
              <w:spacing w:line="240" w:lineRule="auto"/>
              <w:ind w:right="140" w:rightChars="50"/>
              <w:jc w:val="center"/>
              <w:rPr>
                <w:spacing w:val="6"/>
                <w:sz w:val="21"/>
                <w:szCs w:val="21"/>
              </w:rPr>
            </w:pPr>
            <w:r>
              <w:rPr>
                <w:spacing w:val="6"/>
                <w:sz w:val="21"/>
                <w:szCs w:val="21"/>
              </w:rPr>
              <w:t>农委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45</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spacing w:val="6"/>
                <w:sz w:val="21"/>
                <w:szCs w:val="21"/>
              </w:rPr>
              <w:t>生活垃圾分类</w:t>
            </w:r>
            <w:r>
              <w:rPr>
                <w:rFonts w:hint="eastAsia"/>
                <w:spacing w:val="6"/>
                <w:sz w:val="21"/>
                <w:szCs w:val="21"/>
              </w:rPr>
              <w:t>试点</w:t>
            </w:r>
            <w:r>
              <w:rPr>
                <w:spacing w:val="6"/>
                <w:sz w:val="21"/>
                <w:szCs w:val="21"/>
              </w:rPr>
              <w:t>工程</w:t>
            </w:r>
          </w:p>
        </w:tc>
        <w:tc>
          <w:tcPr>
            <w:tcW w:w="1564" w:type="pct"/>
            <w:noWrap w:val="0"/>
            <w:vAlign w:val="center"/>
          </w:tcPr>
          <w:p>
            <w:pPr>
              <w:spacing w:line="240" w:lineRule="auto"/>
              <w:ind w:right="140" w:rightChars="50"/>
              <w:jc w:val="center"/>
              <w:rPr>
                <w:spacing w:val="6"/>
                <w:sz w:val="21"/>
                <w:szCs w:val="21"/>
              </w:rPr>
            </w:pPr>
            <w:r>
              <w:rPr>
                <w:spacing w:val="6"/>
                <w:sz w:val="21"/>
                <w:szCs w:val="21"/>
              </w:rPr>
              <w:t>逐步增设垃圾分类容器和修建分类收集设施，近期可选择易于操作的回收项目进行试点，通过宣传倡导鼓励垃圾分类，循序渐进，逐步推行。</w:t>
            </w:r>
          </w:p>
        </w:tc>
        <w:tc>
          <w:tcPr>
            <w:tcW w:w="789" w:type="pct"/>
            <w:noWrap w:val="0"/>
            <w:vAlign w:val="center"/>
          </w:tcPr>
          <w:p>
            <w:pPr>
              <w:spacing w:line="240" w:lineRule="auto"/>
              <w:ind w:right="140" w:rightChars="50"/>
              <w:jc w:val="center"/>
              <w:rPr>
                <w:spacing w:val="6"/>
                <w:sz w:val="21"/>
                <w:szCs w:val="21"/>
              </w:rPr>
            </w:pPr>
            <w:r>
              <w:rPr>
                <w:spacing w:val="6"/>
                <w:sz w:val="21"/>
                <w:szCs w:val="21"/>
              </w:rPr>
              <w:t>生活垃圾资源化利用。</w:t>
            </w:r>
          </w:p>
        </w:tc>
        <w:tc>
          <w:tcPr>
            <w:tcW w:w="405" w:type="pct"/>
            <w:noWrap w:val="0"/>
            <w:vAlign w:val="center"/>
          </w:tcPr>
          <w:p>
            <w:pPr>
              <w:spacing w:line="240" w:lineRule="auto"/>
              <w:ind w:right="140" w:rightChars="50"/>
              <w:jc w:val="center"/>
              <w:rPr>
                <w:spacing w:val="6"/>
                <w:sz w:val="21"/>
                <w:szCs w:val="21"/>
              </w:rPr>
            </w:pPr>
            <w:r>
              <w:rPr>
                <w:spacing w:val="6"/>
                <w:sz w:val="21"/>
                <w:szCs w:val="21"/>
              </w:rPr>
              <w:t>2000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2011-2025</w:t>
            </w:r>
          </w:p>
        </w:tc>
        <w:tc>
          <w:tcPr>
            <w:tcW w:w="565" w:type="pct"/>
            <w:noWrap w:val="0"/>
            <w:vAlign w:val="center"/>
          </w:tcPr>
          <w:p>
            <w:pPr>
              <w:spacing w:line="240" w:lineRule="auto"/>
              <w:ind w:right="140" w:rightChars="50"/>
              <w:jc w:val="center"/>
              <w:rPr>
                <w:spacing w:val="6"/>
                <w:sz w:val="21"/>
                <w:szCs w:val="21"/>
              </w:rPr>
            </w:pPr>
            <w:r>
              <w:rPr>
                <w:spacing w:val="6"/>
                <w:sz w:val="21"/>
                <w:szCs w:val="21"/>
              </w:rPr>
              <w:t>城管局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46</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rFonts w:hint="eastAsia"/>
                <w:spacing w:val="6"/>
                <w:sz w:val="21"/>
                <w:szCs w:val="21"/>
              </w:rPr>
              <w:t>农村环境连片整治</w:t>
            </w:r>
          </w:p>
        </w:tc>
        <w:tc>
          <w:tcPr>
            <w:tcW w:w="1564" w:type="pct"/>
            <w:noWrap w:val="0"/>
            <w:vAlign w:val="center"/>
          </w:tcPr>
          <w:p>
            <w:pPr>
              <w:spacing w:line="240" w:lineRule="auto"/>
              <w:ind w:right="140" w:rightChars="50"/>
              <w:jc w:val="center"/>
              <w:rPr>
                <w:spacing w:val="6"/>
                <w:sz w:val="21"/>
                <w:szCs w:val="21"/>
              </w:rPr>
            </w:pPr>
            <w:r>
              <w:rPr>
                <w:rFonts w:hint="eastAsia"/>
                <w:spacing w:val="6"/>
                <w:sz w:val="21"/>
                <w:szCs w:val="21"/>
              </w:rPr>
              <w:t>集聚村庄的改造、搬迁村庄的衔接与融合、传统村落的保护与发展</w:t>
            </w:r>
          </w:p>
        </w:tc>
        <w:tc>
          <w:tcPr>
            <w:tcW w:w="789" w:type="pct"/>
            <w:noWrap w:val="0"/>
            <w:vAlign w:val="center"/>
          </w:tcPr>
          <w:p>
            <w:pPr>
              <w:spacing w:line="240" w:lineRule="auto"/>
              <w:ind w:right="140" w:rightChars="50"/>
              <w:jc w:val="center"/>
              <w:rPr>
                <w:spacing w:val="6"/>
                <w:sz w:val="21"/>
                <w:szCs w:val="21"/>
              </w:rPr>
            </w:pPr>
            <w:r>
              <w:rPr>
                <w:rFonts w:hint="eastAsia"/>
                <w:spacing w:val="6"/>
                <w:sz w:val="21"/>
                <w:szCs w:val="21"/>
              </w:rPr>
              <w:t>构建舒适优美的江南村居</w:t>
            </w:r>
          </w:p>
        </w:tc>
        <w:tc>
          <w:tcPr>
            <w:tcW w:w="40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20000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2011-2025</w:t>
            </w:r>
          </w:p>
        </w:tc>
        <w:tc>
          <w:tcPr>
            <w:tcW w:w="565" w:type="pct"/>
            <w:noWrap w:val="0"/>
            <w:vAlign w:val="center"/>
          </w:tcPr>
          <w:p>
            <w:pPr>
              <w:spacing w:line="240" w:lineRule="auto"/>
              <w:ind w:right="140" w:rightChars="50"/>
              <w:jc w:val="center"/>
              <w:rPr>
                <w:spacing w:val="6"/>
                <w:sz w:val="21"/>
                <w:szCs w:val="21"/>
              </w:rPr>
            </w:pPr>
            <w:r>
              <w:rPr>
                <w:rFonts w:hint="eastAsia"/>
                <w:spacing w:val="6"/>
                <w:sz w:val="21"/>
                <w:szCs w:val="21"/>
              </w:rPr>
              <w:t>住建</w:t>
            </w:r>
            <w:r>
              <w:rPr>
                <w:spacing w:val="6"/>
                <w:sz w:val="21"/>
                <w:szCs w:val="21"/>
              </w:rPr>
              <w:t>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47</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重金属污染防治</w:t>
            </w:r>
          </w:p>
        </w:tc>
        <w:tc>
          <w:tcPr>
            <w:tcW w:w="1564"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开展工矿企业重金属污染场地修复、重点河段底泥污染治理等试点示范工程。现有涉重金属企业实施同类整合、园区化集中管理。</w:t>
            </w:r>
          </w:p>
        </w:tc>
        <w:tc>
          <w:tcPr>
            <w:tcW w:w="789"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基本解决重点区域重金属污染问题</w:t>
            </w:r>
          </w:p>
        </w:tc>
        <w:tc>
          <w:tcPr>
            <w:tcW w:w="40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3749</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2011-2025</w:t>
            </w:r>
          </w:p>
        </w:tc>
        <w:tc>
          <w:tcPr>
            <w:tcW w:w="565" w:type="pct"/>
            <w:noWrap w:val="0"/>
            <w:vAlign w:val="center"/>
          </w:tcPr>
          <w:p>
            <w:pPr>
              <w:spacing w:line="240" w:lineRule="auto"/>
              <w:ind w:right="140" w:rightChars="50"/>
              <w:jc w:val="center"/>
              <w:rPr>
                <w:spacing w:val="6"/>
                <w:sz w:val="21"/>
                <w:szCs w:val="21"/>
              </w:rPr>
            </w:pPr>
            <w:r>
              <w:rPr>
                <w:rFonts w:hint="eastAsia"/>
                <w:spacing w:val="6"/>
                <w:sz w:val="21"/>
                <w:szCs w:val="21"/>
              </w:rPr>
              <w:t>环保</w:t>
            </w:r>
            <w:r>
              <w:rPr>
                <w:spacing w:val="6"/>
                <w:sz w:val="21"/>
                <w:szCs w:val="21"/>
              </w:rPr>
              <w:t>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48</w:t>
            </w:r>
          </w:p>
        </w:tc>
        <w:tc>
          <w:tcPr>
            <w:tcW w:w="24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噪声</w:t>
            </w:r>
          </w:p>
          <w:p>
            <w:pPr>
              <w:spacing w:line="240" w:lineRule="auto"/>
              <w:ind w:right="140" w:rightChars="50"/>
              <w:jc w:val="center"/>
              <w:rPr>
                <w:spacing w:val="6"/>
                <w:sz w:val="21"/>
                <w:szCs w:val="21"/>
              </w:rPr>
            </w:pPr>
            <w:r>
              <w:rPr>
                <w:spacing w:val="6"/>
                <w:sz w:val="21"/>
                <w:szCs w:val="21"/>
              </w:rPr>
              <w:t>环境</w:t>
            </w:r>
          </w:p>
          <w:p>
            <w:pPr>
              <w:spacing w:line="240" w:lineRule="auto"/>
              <w:ind w:right="140" w:rightChars="50"/>
              <w:jc w:val="center"/>
              <w:rPr>
                <w:rFonts w:hint="eastAsia"/>
                <w:spacing w:val="6"/>
                <w:sz w:val="21"/>
                <w:szCs w:val="21"/>
              </w:rPr>
            </w:pPr>
            <w:r>
              <w:rPr>
                <w:spacing w:val="6"/>
                <w:sz w:val="21"/>
                <w:szCs w:val="21"/>
              </w:rPr>
              <w:t>保护</w:t>
            </w:r>
          </w:p>
        </w:tc>
        <w:tc>
          <w:tcPr>
            <w:tcW w:w="887"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噪声治理工程</w:t>
            </w:r>
          </w:p>
        </w:tc>
        <w:tc>
          <w:tcPr>
            <w:tcW w:w="1564"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绕城高速、京沪高铁、沪宁城际等绿化隔离带建设</w:t>
            </w:r>
          </w:p>
        </w:tc>
        <w:tc>
          <w:tcPr>
            <w:tcW w:w="789"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减少噪声污染</w:t>
            </w:r>
          </w:p>
        </w:tc>
        <w:tc>
          <w:tcPr>
            <w:tcW w:w="40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5000</w:t>
            </w:r>
          </w:p>
        </w:tc>
        <w:tc>
          <w:tcPr>
            <w:tcW w:w="396"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2011-2015</w:t>
            </w:r>
          </w:p>
        </w:tc>
        <w:tc>
          <w:tcPr>
            <w:tcW w:w="565"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交通局、环保局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49</w:t>
            </w:r>
          </w:p>
        </w:tc>
        <w:tc>
          <w:tcPr>
            <w:tcW w:w="245" w:type="pct"/>
            <w:vMerge w:val="restart"/>
            <w:noWrap w:val="0"/>
            <w:vAlign w:val="center"/>
          </w:tcPr>
          <w:p>
            <w:pPr>
              <w:spacing w:line="240" w:lineRule="auto"/>
              <w:ind w:right="140" w:rightChars="50"/>
              <w:jc w:val="center"/>
              <w:rPr>
                <w:spacing w:val="6"/>
                <w:sz w:val="21"/>
                <w:szCs w:val="21"/>
              </w:rPr>
            </w:pPr>
            <w:r>
              <w:rPr>
                <w:spacing w:val="6"/>
                <w:sz w:val="21"/>
                <w:szCs w:val="21"/>
              </w:rPr>
              <w:t>生态</w:t>
            </w:r>
          </w:p>
          <w:p>
            <w:pPr>
              <w:spacing w:line="240" w:lineRule="auto"/>
              <w:ind w:right="140" w:rightChars="50"/>
              <w:jc w:val="center"/>
              <w:rPr>
                <w:spacing w:val="6"/>
                <w:sz w:val="21"/>
                <w:szCs w:val="21"/>
              </w:rPr>
            </w:pPr>
            <w:r>
              <w:rPr>
                <w:spacing w:val="6"/>
                <w:sz w:val="21"/>
                <w:szCs w:val="21"/>
              </w:rPr>
              <w:t>环境</w:t>
            </w:r>
          </w:p>
          <w:p>
            <w:pPr>
              <w:spacing w:line="240" w:lineRule="auto"/>
              <w:ind w:right="140" w:rightChars="50"/>
              <w:jc w:val="center"/>
              <w:rPr>
                <w:spacing w:val="6"/>
                <w:sz w:val="21"/>
                <w:szCs w:val="21"/>
              </w:rPr>
            </w:pPr>
            <w:r>
              <w:rPr>
                <w:spacing w:val="6"/>
                <w:sz w:val="21"/>
                <w:szCs w:val="21"/>
              </w:rPr>
              <w:t>保护</w:t>
            </w:r>
          </w:p>
        </w:tc>
        <w:tc>
          <w:tcPr>
            <w:tcW w:w="887" w:type="pct"/>
            <w:noWrap w:val="0"/>
            <w:vAlign w:val="center"/>
          </w:tcPr>
          <w:p>
            <w:pPr>
              <w:spacing w:line="240" w:lineRule="auto"/>
              <w:ind w:right="140" w:rightChars="50"/>
              <w:jc w:val="center"/>
              <w:rPr>
                <w:spacing w:val="6"/>
                <w:sz w:val="21"/>
                <w:szCs w:val="21"/>
              </w:rPr>
            </w:pPr>
            <w:r>
              <w:rPr>
                <w:spacing w:val="6"/>
                <w:sz w:val="21"/>
                <w:szCs w:val="21"/>
              </w:rPr>
              <w:t>土壤环境质量信息库建设工程</w:t>
            </w:r>
          </w:p>
        </w:tc>
        <w:tc>
          <w:tcPr>
            <w:tcW w:w="1564" w:type="pct"/>
            <w:noWrap w:val="0"/>
            <w:vAlign w:val="center"/>
          </w:tcPr>
          <w:p>
            <w:pPr>
              <w:spacing w:line="240" w:lineRule="auto"/>
              <w:ind w:right="140" w:rightChars="50"/>
              <w:jc w:val="center"/>
              <w:rPr>
                <w:spacing w:val="6"/>
                <w:sz w:val="21"/>
                <w:szCs w:val="21"/>
              </w:rPr>
            </w:pPr>
            <w:r>
              <w:rPr>
                <w:spacing w:val="6"/>
                <w:sz w:val="21"/>
                <w:szCs w:val="21"/>
              </w:rPr>
              <w:t>开展重金属排放企业专项排查整治，建立重点区域土壤污染防治信息系统</w:t>
            </w:r>
          </w:p>
        </w:tc>
        <w:tc>
          <w:tcPr>
            <w:tcW w:w="789" w:type="pct"/>
            <w:noWrap w:val="0"/>
            <w:vAlign w:val="center"/>
          </w:tcPr>
          <w:p>
            <w:pPr>
              <w:spacing w:line="240" w:lineRule="auto"/>
              <w:ind w:right="140" w:rightChars="50"/>
              <w:jc w:val="center"/>
              <w:rPr>
                <w:spacing w:val="6"/>
                <w:sz w:val="21"/>
                <w:szCs w:val="21"/>
              </w:rPr>
            </w:pPr>
            <w:r>
              <w:rPr>
                <w:spacing w:val="6"/>
                <w:sz w:val="21"/>
                <w:szCs w:val="21"/>
              </w:rPr>
              <w:t>减少重金属排放污染</w:t>
            </w:r>
          </w:p>
        </w:tc>
        <w:tc>
          <w:tcPr>
            <w:tcW w:w="405" w:type="pct"/>
            <w:noWrap w:val="0"/>
            <w:vAlign w:val="center"/>
          </w:tcPr>
          <w:p>
            <w:pPr>
              <w:spacing w:line="240" w:lineRule="auto"/>
              <w:ind w:right="140" w:rightChars="50"/>
              <w:jc w:val="center"/>
              <w:rPr>
                <w:spacing w:val="6"/>
                <w:sz w:val="21"/>
                <w:szCs w:val="21"/>
              </w:rPr>
            </w:pPr>
            <w:r>
              <w:rPr>
                <w:spacing w:val="6"/>
                <w:sz w:val="21"/>
                <w:szCs w:val="21"/>
              </w:rPr>
              <w:t>5000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w:t>
            </w:r>
            <w:r>
              <w:rPr>
                <w:rFonts w:hint="eastAsia"/>
                <w:spacing w:val="6"/>
                <w:sz w:val="21"/>
                <w:szCs w:val="21"/>
              </w:rPr>
              <w:t>1</w:t>
            </w:r>
            <w:r>
              <w:rPr>
                <w:spacing w:val="6"/>
                <w:sz w:val="21"/>
                <w:szCs w:val="21"/>
              </w:rPr>
              <w:t>-2012</w:t>
            </w:r>
          </w:p>
        </w:tc>
        <w:tc>
          <w:tcPr>
            <w:tcW w:w="565" w:type="pct"/>
            <w:noWrap w:val="0"/>
            <w:vAlign w:val="center"/>
          </w:tcPr>
          <w:p>
            <w:pPr>
              <w:spacing w:line="240" w:lineRule="auto"/>
              <w:ind w:right="140" w:rightChars="50"/>
              <w:jc w:val="center"/>
              <w:rPr>
                <w:spacing w:val="6"/>
                <w:sz w:val="21"/>
                <w:szCs w:val="21"/>
              </w:rPr>
            </w:pPr>
            <w:r>
              <w:rPr>
                <w:spacing w:val="6"/>
                <w:sz w:val="21"/>
                <w:szCs w:val="21"/>
              </w:rPr>
              <w:t>环保局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50</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spacing w:val="6"/>
                <w:sz w:val="21"/>
                <w:szCs w:val="21"/>
              </w:rPr>
              <w:t>土壤污染修复示范工程建设</w:t>
            </w:r>
          </w:p>
        </w:tc>
        <w:tc>
          <w:tcPr>
            <w:tcW w:w="1564" w:type="pct"/>
            <w:noWrap w:val="0"/>
            <w:vAlign w:val="center"/>
          </w:tcPr>
          <w:p>
            <w:pPr>
              <w:spacing w:line="240" w:lineRule="auto"/>
              <w:ind w:right="140" w:rightChars="50"/>
              <w:jc w:val="center"/>
              <w:rPr>
                <w:spacing w:val="6"/>
                <w:sz w:val="21"/>
                <w:szCs w:val="21"/>
              </w:rPr>
            </w:pPr>
            <w:r>
              <w:rPr>
                <w:spacing w:val="6"/>
                <w:sz w:val="21"/>
                <w:szCs w:val="21"/>
              </w:rPr>
              <w:t>选择一批有代表性的污染土壤，优先开展土壤重金属土壤污染防治与修复，重点支持一批重点区域重点治理与修复示范工程</w:t>
            </w:r>
          </w:p>
        </w:tc>
        <w:tc>
          <w:tcPr>
            <w:tcW w:w="789" w:type="pct"/>
            <w:noWrap w:val="0"/>
            <w:vAlign w:val="center"/>
          </w:tcPr>
          <w:p>
            <w:pPr>
              <w:spacing w:line="240" w:lineRule="auto"/>
              <w:ind w:right="140" w:rightChars="50"/>
              <w:jc w:val="center"/>
              <w:rPr>
                <w:spacing w:val="6"/>
                <w:sz w:val="21"/>
                <w:szCs w:val="21"/>
              </w:rPr>
            </w:pPr>
            <w:r>
              <w:rPr>
                <w:spacing w:val="6"/>
                <w:sz w:val="21"/>
                <w:szCs w:val="21"/>
              </w:rPr>
              <w:t>为全市范围开展土壤污染修复提供示范、积累经验</w:t>
            </w:r>
          </w:p>
        </w:tc>
        <w:tc>
          <w:tcPr>
            <w:tcW w:w="405" w:type="pct"/>
            <w:noWrap w:val="0"/>
            <w:vAlign w:val="center"/>
          </w:tcPr>
          <w:p>
            <w:pPr>
              <w:spacing w:line="240" w:lineRule="auto"/>
              <w:ind w:right="140" w:rightChars="50"/>
              <w:jc w:val="center"/>
              <w:rPr>
                <w:spacing w:val="6"/>
                <w:sz w:val="21"/>
                <w:szCs w:val="21"/>
              </w:rPr>
            </w:pPr>
            <w:r>
              <w:rPr>
                <w:spacing w:val="6"/>
                <w:sz w:val="21"/>
                <w:szCs w:val="21"/>
              </w:rPr>
              <w:t>2000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环保局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51</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spacing w:val="6"/>
                <w:sz w:val="21"/>
                <w:szCs w:val="21"/>
              </w:rPr>
              <w:t>绿色通道建设工程</w:t>
            </w:r>
          </w:p>
        </w:tc>
        <w:tc>
          <w:tcPr>
            <w:tcW w:w="1564" w:type="pct"/>
            <w:noWrap w:val="0"/>
            <w:vAlign w:val="center"/>
          </w:tcPr>
          <w:p>
            <w:pPr>
              <w:spacing w:line="240" w:lineRule="auto"/>
              <w:ind w:right="140" w:rightChars="50"/>
              <w:jc w:val="center"/>
              <w:rPr>
                <w:spacing w:val="6"/>
                <w:sz w:val="21"/>
                <w:szCs w:val="21"/>
              </w:rPr>
            </w:pPr>
            <w:r>
              <w:rPr>
                <w:spacing w:val="6"/>
                <w:sz w:val="21"/>
                <w:szCs w:val="21"/>
              </w:rPr>
              <w:t>在沪宁铁路、沪宁高速公路、312国道、沪宁城际铁路等主干道两侧完善树木种类、层次，高标准建设绿色通道。</w:t>
            </w:r>
          </w:p>
        </w:tc>
        <w:tc>
          <w:tcPr>
            <w:tcW w:w="789" w:type="pct"/>
            <w:noWrap w:val="0"/>
            <w:vAlign w:val="center"/>
          </w:tcPr>
          <w:p>
            <w:pPr>
              <w:spacing w:line="240" w:lineRule="auto"/>
              <w:ind w:right="140" w:rightChars="50"/>
              <w:jc w:val="center"/>
              <w:rPr>
                <w:spacing w:val="6"/>
                <w:sz w:val="21"/>
                <w:szCs w:val="21"/>
              </w:rPr>
            </w:pPr>
            <w:r>
              <w:rPr>
                <w:spacing w:val="6"/>
                <w:sz w:val="21"/>
                <w:szCs w:val="21"/>
              </w:rPr>
              <w:t>降低道路扬尘，减轻交通噪声影响，改善交通环境。</w:t>
            </w:r>
          </w:p>
        </w:tc>
        <w:tc>
          <w:tcPr>
            <w:tcW w:w="405" w:type="pct"/>
            <w:noWrap w:val="0"/>
            <w:vAlign w:val="center"/>
          </w:tcPr>
          <w:p>
            <w:pPr>
              <w:spacing w:line="240" w:lineRule="auto"/>
              <w:ind w:right="140" w:rightChars="50"/>
              <w:jc w:val="center"/>
              <w:rPr>
                <w:spacing w:val="6"/>
                <w:sz w:val="21"/>
                <w:szCs w:val="21"/>
              </w:rPr>
            </w:pPr>
            <w:r>
              <w:rPr>
                <w:spacing w:val="6"/>
                <w:sz w:val="21"/>
                <w:szCs w:val="21"/>
              </w:rPr>
              <w:t>10000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2011-2012</w:t>
            </w:r>
          </w:p>
        </w:tc>
        <w:tc>
          <w:tcPr>
            <w:tcW w:w="565" w:type="pct"/>
            <w:noWrap w:val="0"/>
            <w:vAlign w:val="center"/>
          </w:tcPr>
          <w:p>
            <w:pPr>
              <w:spacing w:line="240" w:lineRule="auto"/>
              <w:ind w:right="140" w:rightChars="50"/>
              <w:jc w:val="center"/>
              <w:rPr>
                <w:spacing w:val="6"/>
                <w:sz w:val="21"/>
                <w:szCs w:val="21"/>
              </w:rPr>
            </w:pPr>
            <w:r>
              <w:rPr>
                <w:spacing w:val="6"/>
                <w:sz w:val="21"/>
                <w:szCs w:val="21"/>
              </w:rPr>
              <w:t>农委、交通局、城管局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52</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spacing w:val="6"/>
                <w:sz w:val="21"/>
                <w:szCs w:val="21"/>
              </w:rPr>
              <w:t>绿地景观建设工程</w:t>
            </w:r>
          </w:p>
        </w:tc>
        <w:tc>
          <w:tcPr>
            <w:tcW w:w="1564" w:type="pct"/>
            <w:noWrap w:val="0"/>
            <w:vAlign w:val="center"/>
          </w:tcPr>
          <w:p>
            <w:pPr>
              <w:spacing w:line="240" w:lineRule="auto"/>
              <w:ind w:right="140" w:rightChars="50"/>
              <w:jc w:val="center"/>
              <w:rPr>
                <w:spacing w:val="6"/>
                <w:sz w:val="21"/>
                <w:szCs w:val="21"/>
              </w:rPr>
            </w:pPr>
            <w:r>
              <w:rPr>
                <w:spacing w:val="6"/>
                <w:sz w:val="21"/>
                <w:szCs w:val="21"/>
              </w:rPr>
              <w:t>加强绿地建设、提升管护力度。重点建设吴淞江、娄江、青阳港及太仓塘等河道两侧及市区内其他河流两侧滨水绿地。加强单位附属绿地及居住区绿地建设，2015年绿化覆盖率达到47%以上。</w:t>
            </w:r>
          </w:p>
        </w:tc>
        <w:tc>
          <w:tcPr>
            <w:tcW w:w="789" w:type="pct"/>
            <w:noWrap w:val="0"/>
            <w:vAlign w:val="center"/>
          </w:tcPr>
          <w:p>
            <w:pPr>
              <w:spacing w:line="240" w:lineRule="auto"/>
              <w:ind w:right="140" w:rightChars="50"/>
              <w:jc w:val="center"/>
              <w:rPr>
                <w:spacing w:val="6"/>
                <w:sz w:val="21"/>
                <w:szCs w:val="21"/>
              </w:rPr>
            </w:pPr>
            <w:r>
              <w:rPr>
                <w:spacing w:val="6"/>
                <w:sz w:val="21"/>
                <w:szCs w:val="21"/>
              </w:rPr>
              <w:t>改善区域生态环境与视觉景观，美化环境。</w:t>
            </w:r>
          </w:p>
        </w:tc>
        <w:tc>
          <w:tcPr>
            <w:tcW w:w="405" w:type="pct"/>
            <w:noWrap w:val="0"/>
            <w:vAlign w:val="center"/>
          </w:tcPr>
          <w:p>
            <w:pPr>
              <w:spacing w:line="240" w:lineRule="auto"/>
              <w:ind w:right="140" w:rightChars="50"/>
              <w:jc w:val="center"/>
              <w:rPr>
                <w:spacing w:val="6"/>
                <w:sz w:val="21"/>
                <w:szCs w:val="21"/>
              </w:rPr>
            </w:pPr>
            <w:r>
              <w:rPr>
                <w:spacing w:val="6"/>
                <w:sz w:val="21"/>
                <w:szCs w:val="21"/>
              </w:rPr>
              <w:t>40000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住建局（园林局）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53</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300" w:lineRule="exact"/>
              <w:ind w:right="140" w:rightChars="50"/>
              <w:jc w:val="center"/>
              <w:rPr>
                <w:rFonts w:hint="eastAsia"/>
                <w:spacing w:val="6"/>
                <w:sz w:val="21"/>
                <w:szCs w:val="21"/>
              </w:rPr>
            </w:pPr>
            <w:r>
              <w:rPr>
                <w:rFonts w:hint="eastAsia"/>
                <w:spacing w:val="6"/>
                <w:sz w:val="21"/>
                <w:szCs w:val="21"/>
              </w:rPr>
              <w:t>昆山体育生态公园二期</w:t>
            </w:r>
          </w:p>
        </w:tc>
        <w:tc>
          <w:tcPr>
            <w:tcW w:w="1564" w:type="pct"/>
            <w:noWrap w:val="0"/>
            <w:vAlign w:val="center"/>
          </w:tcPr>
          <w:p>
            <w:pPr>
              <w:spacing w:line="300" w:lineRule="exact"/>
              <w:ind w:right="140" w:rightChars="50"/>
              <w:jc w:val="center"/>
              <w:rPr>
                <w:rFonts w:hint="eastAsia"/>
                <w:spacing w:val="6"/>
                <w:sz w:val="21"/>
                <w:szCs w:val="21"/>
              </w:rPr>
            </w:pPr>
            <w:r>
              <w:rPr>
                <w:rFonts w:hint="eastAsia"/>
                <w:spacing w:val="6"/>
                <w:sz w:val="21"/>
                <w:szCs w:val="21"/>
              </w:rPr>
              <w:t>建设面积7.4万平方米</w:t>
            </w:r>
          </w:p>
        </w:tc>
        <w:tc>
          <w:tcPr>
            <w:tcW w:w="789" w:type="pct"/>
            <w:noWrap w:val="0"/>
            <w:vAlign w:val="center"/>
          </w:tcPr>
          <w:p>
            <w:pPr>
              <w:spacing w:line="300" w:lineRule="exact"/>
              <w:ind w:right="140" w:rightChars="50"/>
              <w:jc w:val="center"/>
              <w:rPr>
                <w:rFonts w:hint="eastAsia"/>
                <w:spacing w:val="6"/>
                <w:sz w:val="21"/>
                <w:szCs w:val="21"/>
              </w:rPr>
            </w:pPr>
            <w:r>
              <w:rPr>
                <w:rFonts w:hint="eastAsia"/>
                <w:spacing w:val="6"/>
                <w:sz w:val="21"/>
                <w:szCs w:val="21"/>
              </w:rPr>
              <w:t>增加绿化、河塘、广场、体育设施。</w:t>
            </w:r>
          </w:p>
        </w:tc>
        <w:tc>
          <w:tcPr>
            <w:tcW w:w="405" w:type="pct"/>
            <w:noWrap w:val="0"/>
            <w:vAlign w:val="center"/>
          </w:tcPr>
          <w:p>
            <w:pPr>
              <w:spacing w:line="300" w:lineRule="exact"/>
              <w:ind w:right="140" w:rightChars="50"/>
              <w:jc w:val="center"/>
              <w:rPr>
                <w:rFonts w:hint="eastAsia"/>
                <w:spacing w:val="6"/>
                <w:sz w:val="21"/>
                <w:szCs w:val="21"/>
              </w:rPr>
            </w:pPr>
            <w:r>
              <w:rPr>
                <w:rFonts w:hint="eastAsia"/>
                <w:spacing w:val="6"/>
                <w:sz w:val="21"/>
                <w:szCs w:val="21"/>
              </w:rPr>
              <w:t>1800</w:t>
            </w:r>
          </w:p>
        </w:tc>
        <w:tc>
          <w:tcPr>
            <w:tcW w:w="396" w:type="pct"/>
            <w:noWrap w:val="0"/>
            <w:vAlign w:val="center"/>
          </w:tcPr>
          <w:p>
            <w:pPr>
              <w:spacing w:line="300" w:lineRule="exact"/>
              <w:ind w:right="140" w:rightChars="50"/>
              <w:jc w:val="center"/>
              <w:rPr>
                <w:rFonts w:hint="eastAsia"/>
                <w:spacing w:val="6"/>
                <w:sz w:val="21"/>
                <w:szCs w:val="21"/>
              </w:rPr>
            </w:pPr>
            <w:r>
              <w:rPr>
                <w:rFonts w:hint="eastAsia"/>
                <w:spacing w:val="6"/>
                <w:sz w:val="21"/>
                <w:szCs w:val="21"/>
              </w:rPr>
              <w:t>2011-2012</w:t>
            </w:r>
          </w:p>
        </w:tc>
        <w:tc>
          <w:tcPr>
            <w:tcW w:w="565" w:type="pct"/>
            <w:noWrap w:val="0"/>
            <w:vAlign w:val="center"/>
          </w:tcPr>
          <w:p>
            <w:pPr>
              <w:spacing w:line="300" w:lineRule="exact"/>
              <w:ind w:right="140" w:rightChars="50"/>
              <w:jc w:val="center"/>
              <w:rPr>
                <w:rFonts w:hint="eastAsia"/>
                <w:spacing w:val="6"/>
                <w:sz w:val="21"/>
                <w:szCs w:val="21"/>
              </w:rPr>
            </w:pPr>
            <w:r>
              <w:rPr>
                <w:rFonts w:hint="eastAsia"/>
                <w:spacing w:val="6"/>
                <w:sz w:val="21"/>
                <w:szCs w:val="21"/>
              </w:rPr>
              <w:t>周市镇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54</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300" w:lineRule="exact"/>
              <w:ind w:right="140" w:rightChars="50"/>
              <w:jc w:val="center"/>
              <w:rPr>
                <w:rFonts w:hint="eastAsia"/>
                <w:spacing w:val="6"/>
                <w:sz w:val="21"/>
                <w:szCs w:val="21"/>
              </w:rPr>
            </w:pPr>
            <w:r>
              <w:rPr>
                <w:rFonts w:hint="eastAsia"/>
                <w:spacing w:val="6"/>
                <w:sz w:val="21"/>
                <w:szCs w:val="21"/>
              </w:rPr>
              <w:t>城皇潭湿地公园建设</w:t>
            </w:r>
          </w:p>
        </w:tc>
        <w:tc>
          <w:tcPr>
            <w:tcW w:w="1564" w:type="pct"/>
            <w:noWrap w:val="0"/>
            <w:vAlign w:val="center"/>
          </w:tcPr>
          <w:p>
            <w:pPr>
              <w:spacing w:line="300" w:lineRule="exact"/>
              <w:ind w:right="140" w:rightChars="50"/>
              <w:jc w:val="center"/>
              <w:rPr>
                <w:rFonts w:hint="eastAsia"/>
                <w:spacing w:val="6"/>
                <w:sz w:val="21"/>
                <w:szCs w:val="21"/>
              </w:rPr>
            </w:pPr>
            <w:r>
              <w:rPr>
                <w:rFonts w:hint="eastAsia"/>
                <w:spacing w:val="6"/>
                <w:sz w:val="21"/>
                <w:szCs w:val="21"/>
              </w:rPr>
              <w:t>建设99.25万平方米</w:t>
            </w:r>
          </w:p>
        </w:tc>
        <w:tc>
          <w:tcPr>
            <w:tcW w:w="789" w:type="pct"/>
            <w:noWrap w:val="0"/>
            <w:vAlign w:val="center"/>
          </w:tcPr>
          <w:p>
            <w:pPr>
              <w:spacing w:line="300" w:lineRule="exact"/>
              <w:ind w:right="140" w:rightChars="50"/>
              <w:jc w:val="center"/>
              <w:rPr>
                <w:rFonts w:hint="eastAsia"/>
                <w:spacing w:val="6"/>
                <w:sz w:val="21"/>
                <w:szCs w:val="21"/>
              </w:rPr>
            </w:pPr>
            <w:r>
              <w:rPr>
                <w:rFonts w:hint="eastAsia"/>
                <w:spacing w:val="6"/>
                <w:sz w:val="21"/>
                <w:szCs w:val="21"/>
              </w:rPr>
              <w:t>湿地改造、绿化、清淤</w:t>
            </w:r>
          </w:p>
        </w:tc>
        <w:tc>
          <w:tcPr>
            <w:tcW w:w="405" w:type="pct"/>
            <w:noWrap w:val="0"/>
            <w:vAlign w:val="center"/>
          </w:tcPr>
          <w:p>
            <w:pPr>
              <w:spacing w:line="300" w:lineRule="exact"/>
              <w:ind w:right="140" w:rightChars="50"/>
              <w:jc w:val="center"/>
              <w:rPr>
                <w:rFonts w:hint="eastAsia"/>
                <w:spacing w:val="6"/>
                <w:sz w:val="21"/>
                <w:szCs w:val="21"/>
              </w:rPr>
            </w:pPr>
            <w:r>
              <w:rPr>
                <w:rFonts w:hint="eastAsia"/>
                <w:spacing w:val="6"/>
                <w:sz w:val="21"/>
                <w:szCs w:val="21"/>
              </w:rPr>
              <w:t>12297</w:t>
            </w:r>
          </w:p>
        </w:tc>
        <w:tc>
          <w:tcPr>
            <w:tcW w:w="396" w:type="pct"/>
            <w:noWrap w:val="0"/>
            <w:vAlign w:val="center"/>
          </w:tcPr>
          <w:p>
            <w:pPr>
              <w:spacing w:line="300" w:lineRule="exact"/>
              <w:ind w:right="140" w:rightChars="50"/>
              <w:jc w:val="center"/>
              <w:rPr>
                <w:rFonts w:hint="eastAsia"/>
                <w:spacing w:val="6"/>
                <w:sz w:val="21"/>
                <w:szCs w:val="21"/>
              </w:rPr>
            </w:pPr>
            <w:r>
              <w:rPr>
                <w:rFonts w:hint="eastAsia"/>
                <w:spacing w:val="6"/>
                <w:sz w:val="21"/>
                <w:szCs w:val="21"/>
              </w:rPr>
              <w:t>2011-2015</w:t>
            </w:r>
          </w:p>
        </w:tc>
        <w:tc>
          <w:tcPr>
            <w:tcW w:w="565" w:type="pct"/>
            <w:noWrap w:val="0"/>
            <w:vAlign w:val="center"/>
          </w:tcPr>
          <w:p>
            <w:pPr>
              <w:spacing w:line="300" w:lineRule="exact"/>
              <w:ind w:right="140" w:rightChars="50"/>
              <w:jc w:val="center"/>
              <w:rPr>
                <w:rFonts w:hint="eastAsia"/>
                <w:spacing w:val="6"/>
                <w:sz w:val="21"/>
                <w:szCs w:val="21"/>
              </w:rPr>
            </w:pPr>
            <w:r>
              <w:rPr>
                <w:rFonts w:hint="eastAsia"/>
                <w:spacing w:val="6"/>
                <w:sz w:val="21"/>
                <w:szCs w:val="21"/>
              </w:rPr>
              <w:t>周市镇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55</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300" w:lineRule="exact"/>
              <w:ind w:right="140" w:rightChars="50"/>
              <w:jc w:val="center"/>
              <w:rPr>
                <w:rFonts w:hint="eastAsia"/>
                <w:spacing w:val="6"/>
                <w:sz w:val="21"/>
                <w:szCs w:val="21"/>
              </w:rPr>
            </w:pPr>
            <w:r>
              <w:rPr>
                <w:rFonts w:hint="eastAsia"/>
                <w:spacing w:val="6"/>
                <w:sz w:val="21"/>
                <w:szCs w:val="21"/>
              </w:rPr>
              <w:t>周市镇光电产业园二期水系调整</w:t>
            </w:r>
          </w:p>
        </w:tc>
        <w:tc>
          <w:tcPr>
            <w:tcW w:w="1564" w:type="pct"/>
            <w:noWrap w:val="0"/>
            <w:vAlign w:val="center"/>
          </w:tcPr>
          <w:p>
            <w:pPr>
              <w:spacing w:line="300" w:lineRule="exact"/>
              <w:ind w:right="140" w:rightChars="50"/>
              <w:jc w:val="center"/>
              <w:rPr>
                <w:rFonts w:hint="eastAsia"/>
                <w:spacing w:val="6"/>
                <w:sz w:val="21"/>
                <w:szCs w:val="21"/>
              </w:rPr>
            </w:pPr>
            <w:r>
              <w:rPr>
                <w:rFonts w:hint="eastAsia"/>
                <w:spacing w:val="6"/>
                <w:sz w:val="21"/>
                <w:szCs w:val="21"/>
              </w:rPr>
              <w:t>水系疏通</w:t>
            </w:r>
          </w:p>
        </w:tc>
        <w:tc>
          <w:tcPr>
            <w:tcW w:w="789" w:type="pct"/>
            <w:noWrap w:val="0"/>
            <w:vAlign w:val="center"/>
          </w:tcPr>
          <w:p>
            <w:pPr>
              <w:spacing w:line="300" w:lineRule="exact"/>
              <w:ind w:right="140" w:rightChars="50"/>
              <w:jc w:val="center"/>
              <w:rPr>
                <w:rFonts w:hint="eastAsia"/>
                <w:spacing w:val="6"/>
                <w:sz w:val="21"/>
                <w:szCs w:val="21"/>
              </w:rPr>
            </w:pPr>
            <w:r>
              <w:rPr>
                <w:rFonts w:hint="eastAsia"/>
                <w:spacing w:val="6"/>
                <w:sz w:val="21"/>
                <w:szCs w:val="21"/>
              </w:rPr>
              <w:t>河道整治、站闸、生态建设</w:t>
            </w:r>
          </w:p>
        </w:tc>
        <w:tc>
          <w:tcPr>
            <w:tcW w:w="405" w:type="pct"/>
            <w:noWrap w:val="0"/>
            <w:vAlign w:val="center"/>
          </w:tcPr>
          <w:p>
            <w:pPr>
              <w:spacing w:line="300" w:lineRule="exact"/>
              <w:ind w:right="140" w:rightChars="50"/>
              <w:jc w:val="center"/>
              <w:rPr>
                <w:rFonts w:hint="eastAsia"/>
                <w:spacing w:val="6"/>
                <w:sz w:val="21"/>
                <w:szCs w:val="21"/>
              </w:rPr>
            </w:pPr>
            <w:r>
              <w:rPr>
                <w:rFonts w:hint="eastAsia"/>
                <w:spacing w:val="6"/>
                <w:sz w:val="21"/>
                <w:szCs w:val="21"/>
              </w:rPr>
              <w:t>6500</w:t>
            </w:r>
          </w:p>
        </w:tc>
        <w:tc>
          <w:tcPr>
            <w:tcW w:w="396" w:type="pct"/>
            <w:noWrap w:val="0"/>
            <w:vAlign w:val="center"/>
          </w:tcPr>
          <w:p>
            <w:pPr>
              <w:spacing w:line="300" w:lineRule="exact"/>
              <w:ind w:right="140" w:rightChars="50"/>
              <w:jc w:val="center"/>
              <w:rPr>
                <w:rFonts w:hint="eastAsia"/>
                <w:spacing w:val="6"/>
                <w:sz w:val="21"/>
                <w:szCs w:val="21"/>
              </w:rPr>
            </w:pPr>
            <w:r>
              <w:rPr>
                <w:rFonts w:hint="eastAsia"/>
                <w:spacing w:val="6"/>
                <w:sz w:val="21"/>
                <w:szCs w:val="21"/>
              </w:rPr>
              <w:t>2011-2015</w:t>
            </w:r>
          </w:p>
        </w:tc>
        <w:tc>
          <w:tcPr>
            <w:tcW w:w="565" w:type="pct"/>
            <w:noWrap w:val="0"/>
            <w:vAlign w:val="center"/>
          </w:tcPr>
          <w:p>
            <w:pPr>
              <w:spacing w:line="300" w:lineRule="exact"/>
              <w:ind w:right="140" w:rightChars="50"/>
              <w:jc w:val="center"/>
              <w:rPr>
                <w:rFonts w:hint="eastAsia"/>
                <w:spacing w:val="6"/>
                <w:sz w:val="21"/>
                <w:szCs w:val="21"/>
              </w:rPr>
            </w:pPr>
            <w:r>
              <w:rPr>
                <w:rFonts w:hint="eastAsia"/>
                <w:spacing w:val="6"/>
                <w:sz w:val="21"/>
                <w:szCs w:val="21"/>
              </w:rPr>
              <w:t>周市镇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56</w:t>
            </w:r>
          </w:p>
        </w:tc>
        <w:tc>
          <w:tcPr>
            <w:tcW w:w="245" w:type="pct"/>
            <w:vMerge w:val="restart"/>
            <w:noWrap w:val="0"/>
            <w:vAlign w:val="center"/>
          </w:tcPr>
          <w:p>
            <w:pPr>
              <w:spacing w:line="240" w:lineRule="auto"/>
              <w:ind w:right="140" w:rightChars="50"/>
              <w:jc w:val="center"/>
              <w:rPr>
                <w:spacing w:val="6"/>
                <w:sz w:val="21"/>
                <w:szCs w:val="21"/>
              </w:rPr>
            </w:pPr>
            <w:r>
              <w:rPr>
                <w:spacing w:val="6"/>
                <w:sz w:val="21"/>
                <w:szCs w:val="21"/>
              </w:rPr>
              <w:t>生态</w:t>
            </w:r>
          </w:p>
          <w:p>
            <w:pPr>
              <w:spacing w:line="240" w:lineRule="auto"/>
              <w:ind w:right="140" w:rightChars="50"/>
              <w:jc w:val="center"/>
              <w:rPr>
                <w:spacing w:val="6"/>
                <w:sz w:val="21"/>
                <w:szCs w:val="21"/>
              </w:rPr>
            </w:pPr>
            <w:r>
              <w:rPr>
                <w:spacing w:val="6"/>
                <w:sz w:val="21"/>
                <w:szCs w:val="21"/>
              </w:rPr>
              <w:t>意识</w:t>
            </w:r>
          </w:p>
          <w:p>
            <w:pPr>
              <w:spacing w:line="240" w:lineRule="auto"/>
              <w:ind w:right="140" w:rightChars="50"/>
              <w:jc w:val="center"/>
              <w:rPr>
                <w:spacing w:val="6"/>
                <w:sz w:val="21"/>
                <w:szCs w:val="21"/>
              </w:rPr>
            </w:pPr>
            <w:r>
              <w:rPr>
                <w:spacing w:val="6"/>
                <w:sz w:val="21"/>
                <w:szCs w:val="21"/>
              </w:rPr>
              <w:t>及</w:t>
            </w:r>
          </w:p>
          <w:p>
            <w:pPr>
              <w:spacing w:line="240" w:lineRule="auto"/>
              <w:ind w:right="140" w:rightChars="50"/>
              <w:jc w:val="center"/>
              <w:rPr>
                <w:spacing w:val="6"/>
                <w:sz w:val="21"/>
                <w:szCs w:val="21"/>
              </w:rPr>
            </w:pPr>
            <w:r>
              <w:rPr>
                <w:spacing w:val="6"/>
                <w:sz w:val="21"/>
                <w:szCs w:val="21"/>
              </w:rPr>
              <w:t>制度</w:t>
            </w:r>
          </w:p>
          <w:p>
            <w:pPr>
              <w:spacing w:line="240" w:lineRule="auto"/>
              <w:ind w:right="140" w:rightChars="50"/>
              <w:jc w:val="center"/>
              <w:rPr>
                <w:spacing w:val="6"/>
                <w:sz w:val="21"/>
                <w:szCs w:val="21"/>
              </w:rPr>
            </w:pPr>
            <w:r>
              <w:rPr>
                <w:spacing w:val="6"/>
                <w:sz w:val="21"/>
                <w:szCs w:val="21"/>
              </w:rPr>
              <w:t>建设</w:t>
            </w:r>
          </w:p>
        </w:tc>
        <w:tc>
          <w:tcPr>
            <w:tcW w:w="887" w:type="pct"/>
            <w:noWrap w:val="0"/>
            <w:vAlign w:val="center"/>
          </w:tcPr>
          <w:p>
            <w:pPr>
              <w:pStyle w:val="54"/>
              <w:spacing w:before="48" w:after="48"/>
              <w:ind w:right="140" w:rightChars="50"/>
              <w:rPr>
                <w:rFonts w:ascii="Times New Roman" w:hAnsi="Times New Roman" w:eastAsia="仿宋_GB2312" w:cs="Times New Roman"/>
                <w:spacing w:val="6"/>
              </w:rPr>
            </w:pPr>
            <w:r>
              <w:rPr>
                <w:rFonts w:ascii="Times New Roman" w:hAnsi="Times New Roman" w:eastAsia="仿宋_GB2312" w:cs="Times New Roman"/>
                <w:spacing w:val="6"/>
              </w:rPr>
              <w:t>生态文明学校建设</w:t>
            </w:r>
          </w:p>
        </w:tc>
        <w:tc>
          <w:tcPr>
            <w:tcW w:w="1564" w:type="pct"/>
            <w:noWrap w:val="0"/>
            <w:vAlign w:val="center"/>
          </w:tcPr>
          <w:p>
            <w:pPr>
              <w:pStyle w:val="54"/>
              <w:spacing w:before="48" w:after="48"/>
              <w:ind w:right="140" w:rightChars="50"/>
              <w:rPr>
                <w:rFonts w:ascii="Times New Roman" w:hAnsi="Times New Roman" w:eastAsia="仿宋_GB2312" w:cs="Times New Roman"/>
                <w:spacing w:val="6"/>
              </w:rPr>
            </w:pPr>
            <w:r>
              <w:rPr>
                <w:rFonts w:ascii="Times New Roman" w:hAnsi="Times New Roman" w:eastAsia="仿宋_GB2312" w:cs="Times New Roman"/>
                <w:spacing w:val="6"/>
              </w:rPr>
              <w:t>每年创建2-3所省级绿色学校。</w:t>
            </w:r>
          </w:p>
        </w:tc>
        <w:tc>
          <w:tcPr>
            <w:tcW w:w="789" w:type="pct"/>
            <w:noWrap w:val="0"/>
            <w:vAlign w:val="center"/>
          </w:tcPr>
          <w:p>
            <w:pPr>
              <w:pStyle w:val="54"/>
              <w:spacing w:before="48" w:after="48"/>
              <w:ind w:right="140" w:rightChars="50"/>
              <w:rPr>
                <w:rFonts w:ascii="Times New Roman" w:hAnsi="Times New Roman" w:eastAsia="仿宋_GB2312" w:cs="Times New Roman"/>
                <w:spacing w:val="6"/>
              </w:rPr>
            </w:pPr>
            <w:r>
              <w:rPr>
                <w:rFonts w:ascii="Times New Roman" w:hAnsi="Times New Roman" w:eastAsia="仿宋_GB2312" w:cs="Times New Roman"/>
                <w:spacing w:val="6"/>
              </w:rPr>
              <w:t>树立青少年学生热爱大自然、保护地球家园的高尚情操。</w:t>
            </w:r>
          </w:p>
        </w:tc>
        <w:tc>
          <w:tcPr>
            <w:tcW w:w="405" w:type="pct"/>
            <w:noWrap w:val="0"/>
            <w:vAlign w:val="center"/>
          </w:tcPr>
          <w:p>
            <w:pPr>
              <w:spacing w:line="240" w:lineRule="auto"/>
              <w:ind w:right="140" w:rightChars="50"/>
              <w:jc w:val="center"/>
              <w:rPr>
                <w:spacing w:val="6"/>
                <w:sz w:val="21"/>
                <w:szCs w:val="21"/>
              </w:rPr>
            </w:pPr>
            <w:r>
              <w:rPr>
                <w:spacing w:val="6"/>
                <w:sz w:val="21"/>
                <w:szCs w:val="21"/>
              </w:rPr>
              <w:t>2000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教育局、环保局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57</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spacing w:line="240" w:lineRule="auto"/>
              <w:ind w:right="140" w:rightChars="50"/>
              <w:jc w:val="center"/>
              <w:rPr>
                <w:spacing w:val="6"/>
                <w:sz w:val="21"/>
                <w:szCs w:val="21"/>
              </w:rPr>
            </w:pPr>
            <w:r>
              <w:rPr>
                <w:spacing w:val="6"/>
                <w:sz w:val="21"/>
                <w:szCs w:val="21"/>
              </w:rPr>
              <w:t>生态（文明）村建设</w:t>
            </w:r>
          </w:p>
        </w:tc>
        <w:tc>
          <w:tcPr>
            <w:tcW w:w="1564" w:type="pct"/>
            <w:noWrap w:val="0"/>
            <w:vAlign w:val="center"/>
          </w:tcPr>
          <w:p>
            <w:pPr>
              <w:spacing w:line="240" w:lineRule="auto"/>
              <w:ind w:right="140" w:rightChars="50"/>
              <w:jc w:val="center"/>
              <w:rPr>
                <w:spacing w:val="6"/>
                <w:sz w:val="21"/>
                <w:szCs w:val="21"/>
              </w:rPr>
            </w:pPr>
            <w:r>
              <w:rPr>
                <w:spacing w:val="6"/>
                <w:sz w:val="21"/>
                <w:szCs w:val="21"/>
              </w:rPr>
              <w:t>农村居民建公寓式住房；繁荣农村生态文化及生态意识；加强农村环境综合整治及资源能源高效集约利用。到2012年，80%的村庄建成生态村，按照江苏省和苏州市生态村建设考核标准进行验收，争取建成国家级生态村3个。2015年实现90%以上的村庄建成生态村，其中国家级生态村达到4个。</w:t>
            </w:r>
          </w:p>
        </w:tc>
        <w:tc>
          <w:tcPr>
            <w:tcW w:w="789" w:type="pct"/>
            <w:noWrap w:val="0"/>
            <w:vAlign w:val="center"/>
          </w:tcPr>
          <w:p>
            <w:pPr>
              <w:spacing w:line="240" w:lineRule="auto"/>
              <w:ind w:right="140" w:rightChars="50"/>
              <w:jc w:val="center"/>
              <w:rPr>
                <w:spacing w:val="6"/>
                <w:sz w:val="21"/>
                <w:szCs w:val="21"/>
              </w:rPr>
            </w:pPr>
            <w:r>
              <w:rPr>
                <w:spacing w:val="6"/>
                <w:sz w:val="21"/>
                <w:szCs w:val="21"/>
              </w:rPr>
              <w:t>发展农村生态文明，提高农民生态意识，改善农村生态环境质量。</w:t>
            </w:r>
          </w:p>
        </w:tc>
        <w:tc>
          <w:tcPr>
            <w:tcW w:w="405" w:type="pct"/>
            <w:noWrap w:val="0"/>
            <w:vAlign w:val="center"/>
          </w:tcPr>
          <w:p>
            <w:pPr>
              <w:spacing w:line="240" w:lineRule="auto"/>
              <w:ind w:right="140" w:rightChars="50"/>
              <w:jc w:val="center"/>
              <w:rPr>
                <w:spacing w:val="6"/>
                <w:sz w:val="21"/>
                <w:szCs w:val="21"/>
              </w:rPr>
            </w:pPr>
            <w:r>
              <w:rPr>
                <w:spacing w:val="6"/>
                <w:sz w:val="21"/>
                <w:szCs w:val="21"/>
              </w:rPr>
              <w:t>18000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rFonts w:hint="eastAsia"/>
                <w:spacing w:val="6"/>
                <w:sz w:val="21"/>
                <w:szCs w:val="21"/>
              </w:rPr>
              <w:t>各乡镇、</w:t>
            </w:r>
            <w:r>
              <w:rPr>
                <w:spacing w:val="6"/>
                <w:sz w:val="21"/>
                <w:szCs w:val="21"/>
              </w:rPr>
              <w:t>环保局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58</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pStyle w:val="54"/>
              <w:spacing w:before="48" w:after="48"/>
              <w:ind w:right="140" w:rightChars="50"/>
              <w:rPr>
                <w:rFonts w:ascii="Times New Roman" w:hAnsi="Times New Roman" w:eastAsia="仿宋_GB2312" w:cs="Times New Roman"/>
                <w:spacing w:val="6"/>
              </w:rPr>
            </w:pPr>
            <w:r>
              <w:rPr>
                <w:rFonts w:ascii="Times New Roman" w:hAnsi="Times New Roman" w:eastAsia="仿宋_GB2312" w:cs="Times New Roman"/>
                <w:spacing w:val="6"/>
              </w:rPr>
              <w:t>生态文明社区（绿色社区）建设</w:t>
            </w:r>
          </w:p>
        </w:tc>
        <w:tc>
          <w:tcPr>
            <w:tcW w:w="1564" w:type="pct"/>
            <w:noWrap w:val="0"/>
            <w:vAlign w:val="center"/>
          </w:tcPr>
          <w:p>
            <w:pPr>
              <w:pStyle w:val="54"/>
              <w:spacing w:before="48" w:after="48"/>
              <w:ind w:right="140" w:rightChars="50"/>
              <w:rPr>
                <w:rFonts w:ascii="Times New Roman" w:hAnsi="Times New Roman" w:eastAsia="仿宋_GB2312" w:cs="Times New Roman"/>
                <w:spacing w:val="6"/>
              </w:rPr>
            </w:pPr>
            <w:r>
              <w:rPr>
                <w:rFonts w:ascii="Times New Roman" w:hAnsi="Times New Roman" w:eastAsia="仿宋_GB2312" w:cs="Times New Roman"/>
                <w:spacing w:val="6"/>
              </w:rPr>
              <w:t>加强社区基础设施建设，培育和形成社区生态文明意识，创建安全、绿色、舒适的生态文明社区。每年创建省级绿色社区3－5家，2015年，50％以上社区建成省级绿色社区。</w:t>
            </w:r>
          </w:p>
        </w:tc>
        <w:tc>
          <w:tcPr>
            <w:tcW w:w="789" w:type="pct"/>
            <w:noWrap w:val="0"/>
            <w:vAlign w:val="center"/>
          </w:tcPr>
          <w:p>
            <w:pPr>
              <w:pStyle w:val="54"/>
              <w:spacing w:before="48" w:after="48"/>
              <w:ind w:right="140" w:rightChars="50"/>
              <w:rPr>
                <w:rFonts w:ascii="Times New Roman" w:hAnsi="Times New Roman" w:eastAsia="仿宋_GB2312" w:cs="Times New Roman"/>
                <w:spacing w:val="6"/>
              </w:rPr>
            </w:pPr>
            <w:r>
              <w:rPr>
                <w:rFonts w:ascii="Times New Roman" w:hAnsi="Times New Roman" w:eastAsia="仿宋_GB2312" w:cs="Times New Roman"/>
                <w:spacing w:val="6"/>
              </w:rPr>
              <w:t>培养广大居民生态文明意识，促进生态文明知识和行为的普及和推广。</w:t>
            </w:r>
          </w:p>
        </w:tc>
        <w:tc>
          <w:tcPr>
            <w:tcW w:w="405" w:type="pct"/>
            <w:noWrap w:val="0"/>
            <w:vAlign w:val="center"/>
          </w:tcPr>
          <w:p>
            <w:pPr>
              <w:spacing w:line="240" w:lineRule="auto"/>
              <w:ind w:right="140" w:rightChars="50"/>
              <w:jc w:val="center"/>
              <w:rPr>
                <w:spacing w:val="6"/>
                <w:sz w:val="21"/>
                <w:szCs w:val="21"/>
              </w:rPr>
            </w:pPr>
            <w:r>
              <w:rPr>
                <w:spacing w:val="6"/>
                <w:sz w:val="21"/>
                <w:szCs w:val="21"/>
              </w:rPr>
              <w:t>10000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rFonts w:hint="eastAsia"/>
                <w:spacing w:val="6"/>
                <w:sz w:val="21"/>
                <w:szCs w:val="21"/>
              </w:rPr>
              <w:t>各乡镇、</w:t>
            </w:r>
            <w:r>
              <w:rPr>
                <w:spacing w:val="6"/>
                <w:sz w:val="21"/>
                <w:szCs w:val="21"/>
              </w:rPr>
              <w:t>环保局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59</w:t>
            </w:r>
          </w:p>
        </w:tc>
        <w:tc>
          <w:tcPr>
            <w:tcW w:w="245" w:type="pct"/>
            <w:vMerge w:val="continue"/>
            <w:noWrap w:val="0"/>
            <w:vAlign w:val="center"/>
          </w:tcPr>
          <w:p>
            <w:pPr>
              <w:pStyle w:val="54"/>
              <w:spacing w:before="48" w:after="48"/>
              <w:ind w:right="140" w:rightChars="50"/>
              <w:rPr>
                <w:rFonts w:ascii="Times New Roman" w:hAnsi="Times New Roman" w:eastAsia="仿宋_GB2312" w:cs="Times New Roman"/>
                <w:spacing w:val="6"/>
              </w:rPr>
            </w:pPr>
          </w:p>
        </w:tc>
        <w:tc>
          <w:tcPr>
            <w:tcW w:w="887" w:type="pct"/>
            <w:noWrap w:val="0"/>
            <w:vAlign w:val="center"/>
          </w:tcPr>
          <w:p>
            <w:pPr>
              <w:pStyle w:val="54"/>
              <w:spacing w:before="48" w:after="48"/>
              <w:ind w:right="140" w:rightChars="50"/>
              <w:rPr>
                <w:rFonts w:ascii="Times New Roman" w:hAnsi="Times New Roman" w:eastAsia="仿宋_GB2312" w:cs="Times New Roman"/>
                <w:spacing w:val="6"/>
              </w:rPr>
            </w:pPr>
            <w:r>
              <w:rPr>
                <w:rFonts w:ascii="Times New Roman" w:hAnsi="Times New Roman" w:eastAsia="仿宋_GB2312" w:cs="Times New Roman"/>
                <w:spacing w:val="6"/>
              </w:rPr>
              <w:t>建筑节能工程</w:t>
            </w:r>
          </w:p>
        </w:tc>
        <w:tc>
          <w:tcPr>
            <w:tcW w:w="1564" w:type="pct"/>
            <w:noWrap w:val="0"/>
            <w:vAlign w:val="center"/>
          </w:tcPr>
          <w:p>
            <w:pPr>
              <w:pStyle w:val="54"/>
              <w:spacing w:before="48" w:after="48"/>
              <w:ind w:right="140" w:rightChars="50"/>
              <w:rPr>
                <w:rFonts w:ascii="Times New Roman" w:hAnsi="Times New Roman" w:eastAsia="仿宋_GB2312" w:cs="Times New Roman"/>
                <w:spacing w:val="6"/>
              </w:rPr>
            </w:pPr>
            <w:r>
              <w:rPr>
                <w:rFonts w:ascii="Times New Roman" w:hAnsi="Times New Roman" w:eastAsia="仿宋_GB2312" w:cs="Times New Roman"/>
                <w:spacing w:val="6"/>
              </w:rPr>
              <w:t>2010年起新建居住建筑、公共建筑执行节能50%标准，开展机关办公建筑和大型公共建筑节能改造，推进既有建筑的节能改造。</w:t>
            </w:r>
          </w:p>
        </w:tc>
        <w:tc>
          <w:tcPr>
            <w:tcW w:w="789" w:type="pct"/>
            <w:noWrap w:val="0"/>
            <w:vAlign w:val="center"/>
          </w:tcPr>
          <w:p>
            <w:pPr>
              <w:pStyle w:val="54"/>
              <w:spacing w:before="48" w:after="48"/>
              <w:ind w:right="140" w:rightChars="50"/>
              <w:rPr>
                <w:rFonts w:ascii="Times New Roman" w:hAnsi="Times New Roman" w:eastAsia="仿宋_GB2312" w:cs="Times New Roman"/>
                <w:spacing w:val="6"/>
              </w:rPr>
            </w:pPr>
            <w:r>
              <w:rPr>
                <w:rFonts w:ascii="Times New Roman" w:hAnsi="Times New Roman" w:eastAsia="仿宋_GB2312" w:cs="Times New Roman"/>
                <w:spacing w:val="6"/>
              </w:rPr>
              <w:t>减少能源使用量</w:t>
            </w:r>
          </w:p>
        </w:tc>
        <w:tc>
          <w:tcPr>
            <w:tcW w:w="405" w:type="pct"/>
            <w:noWrap w:val="0"/>
            <w:vAlign w:val="center"/>
          </w:tcPr>
          <w:p>
            <w:pPr>
              <w:spacing w:line="240" w:lineRule="auto"/>
              <w:ind w:right="140" w:rightChars="50"/>
              <w:jc w:val="center"/>
              <w:rPr>
                <w:spacing w:val="6"/>
                <w:sz w:val="21"/>
                <w:szCs w:val="21"/>
              </w:rPr>
            </w:pPr>
            <w:r>
              <w:rPr>
                <w:spacing w:val="6"/>
                <w:sz w:val="21"/>
                <w:szCs w:val="21"/>
              </w:rPr>
              <w:t>20000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住建局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spacing w:val="6"/>
                <w:sz w:val="21"/>
                <w:szCs w:val="21"/>
              </w:rPr>
            </w:pPr>
            <w:r>
              <w:rPr>
                <w:rFonts w:hint="eastAsia"/>
                <w:spacing w:val="6"/>
                <w:sz w:val="21"/>
                <w:szCs w:val="21"/>
              </w:rPr>
              <w:t>60</w:t>
            </w:r>
          </w:p>
        </w:tc>
        <w:tc>
          <w:tcPr>
            <w:tcW w:w="245" w:type="pct"/>
            <w:vMerge w:val="continue"/>
            <w:noWrap w:val="0"/>
            <w:vAlign w:val="center"/>
          </w:tcPr>
          <w:p>
            <w:pPr>
              <w:spacing w:line="240" w:lineRule="auto"/>
              <w:ind w:right="140" w:rightChars="50"/>
              <w:jc w:val="center"/>
              <w:rPr>
                <w:spacing w:val="6"/>
                <w:sz w:val="21"/>
                <w:szCs w:val="21"/>
              </w:rPr>
            </w:pPr>
          </w:p>
        </w:tc>
        <w:tc>
          <w:tcPr>
            <w:tcW w:w="887" w:type="pct"/>
            <w:noWrap w:val="0"/>
            <w:vAlign w:val="center"/>
          </w:tcPr>
          <w:p>
            <w:pPr>
              <w:pStyle w:val="54"/>
              <w:spacing w:before="48" w:after="48"/>
              <w:ind w:right="140" w:rightChars="50"/>
              <w:rPr>
                <w:rFonts w:ascii="Times New Roman" w:hAnsi="Times New Roman" w:eastAsia="仿宋_GB2312" w:cs="Times New Roman"/>
                <w:spacing w:val="6"/>
              </w:rPr>
            </w:pPr>
            <w:r>
              <w:rPr>
                <w:rFonts w:ascii="Times New Roman" w:hAnsi="Times New Roman" w:eastAsia="仿宋_GB2312" w:cs="Times New Roman"/>
                <w:spacing w:val="6"/>
              </w:rPr>
              <w:t>绿色照明工程</w:t>
            </w:r>
          </w:p>
        </w:tc>
        <w:tc>
          <w:tcPr>
            <w:tcW w:w="1564" w:type="pct"/>
            <w:noWrap w:val="0"/>
            <w:vAlign w:val="center"/>
          </w:tcPr>
          <w:p>
            <w:pPr>
              <w:pStyle w:val="54"/>
              <w:spacing w:before="48" w:after="48"/>
              <w:ind w:right="140" w:rightChars="50"/>
              <w:rPr>
                <w:rFonts w:ascii="Times New Roman" w:hAnsi="Times New Roman" w:eastAsia="仿宋_GB2312" w:cs="Times New Roman"/>
                <w:spacing w:val="6"/>
              </w:rPr>
            </w:pPr>
            <w:r>
              <w:rPr>
                <w:rFonts w:ascii="Times New Roman" w:hAnsi="Times New Roman" w:eastAsia="仿宋_GB2312" w:cs="Times New Roman"/>
                <w:spacing w:val="6"/>
              </w:rPr>
              <w:t>工厂企业、市政景观照明、写字楼、公用设施等进行高效节电系统改造，用高效节能荧光灯替代白炽灯，高效大功率自镇流紧凑型荧光灯代替汞灯，用由发光二极管（</w:t>
            </w:r>
            <w:r>
              <w:rPr>
                <w:rFonts w:ascii="Times New Roman" w:hAnsi="Times New Roman" w:cs="Times New Roman"/>
              </w:rPr>
              <w:fldChar w:fldCharType="begin"/>
            </w:r>
            <w:r>
              <w:rPr>
                <w:rFonts w:ascii="Times New Roman" w:hAnsi="Times New Roman" w:cs="Times New Roman"/>
              </w:rPr>
              <w:instrText xml:space="preserve"> HYPERLINK "http://hc360.kkeye.com/Tds/TDStatInfo.dll?Stat&amp;UI=43&amp;WI=165&amp;AI=6302&amp;DI=1743930&amp;WD=LED&amp;CT=2&amp;Url=http%3A%2F%2Fwww%2Esearch%2Ehc360%2Ecom%2Fcgi%2Dbin%2Fseinterface%2Ecgi%3Fclass%3D%B9%A9%D3%A6%D0%C5%CF%A2%26word%3DLED" \t "_blank" </w:instrText>
            </w:r>
            <w:r>
              <w:rPr>
                <w:rFonts w:ascii="Times New Roman" w:hAnsi="Times New Roman" w:cs="Times New Roman"/>
              </w:rPr>
              <w:fldChar w:fldCharType="separate"/>
            </w:r>
            <w:r>
              <w:rPr>
                <w:rStyle w:val="41"/>
                <w:rFonts w:ascii="Times New Roman" w:hAnsi="Times New Roman" w:eastAsia="仿宋_GB2312" w:cs="Times New Roman"/>
                <w:color w:val="auto"/>
                <w:spacing w:val="6"/>
              </w:rPr>
              <w:t>LED</w:t>
            </w:r>
            <w:r>
              <w:rPr>
                <w:rFonts w:ascii="Times New Roman" w:hAnsi="Times New Roman" w:cs="Times New Roman"/>
              </w:rPr>
              <w:fldChar w:fldCharType="end"/>
            </w:r>
            <w:r>
              <w:rPr>
                <w:rFonts w:ascii="Times New Roman" w:hAnsi="Times New Roman" w:eastAsia="仿宋_GB2312" w:cs="Times New Roman"/>
                <w:spacing w:val="6"/>
              </w:rPr>
              <w:t>）替代交通信号灯中白炽灯，用节能型镇流器替代传统镇流器。</w:t>
            </w:r>
          </w:p>
        </w:tc>
        <w:tc>
          <w:tcPr>
            <w:tcW w:w="789" w:type="pct"/>
            <w:noWrap w:val="0"/>
            <w:vAlign w:val="center"/>
          </w:tcPr>
          <w:p>
            <w:pPr>
              <w:pStyle w:val="54"/>
              <w:spacing w:before="48" w:after="48"/>
              <w:ind w:right="140" w:rightChars="50"/>
              <w:rPr>
                <w:rFonts w:ascii="Times New Roman" w:hAnsi="Times New Roman" w:eastAsia="仿宋_GB2312" w:cs="Times New Roman"/>
                <w:spacing w:val="6"/>
              </w:rPr>
            </w:pPr>
            <w:r>
              <w:rPr>
                <w:rFonts w:ascii="Times New Roman" w:hAnsi="Times New Roman" w:eastAsia="仿宋_GB2312" w:cs="Times New Roman"/>
                <w:spacing w:val="6"/>
              </w:rPr>
              <w:t>减少电力使用量</w:t>
            </w:r>
          </w:p>
        </w:tc>
        <w:tc>
          <w:tcPr>
            <w:tcW w:w="405" w:type="pct"/>
            <w:noWrap w:val="0"/>
            <w:vAlign w:val="center"/>
          </w:tcPr>
          <w:p>
            <w:pPr>
              <w:spacing w:line="240" w:lineRule="auto"/>
              <w:ind w:right="140" w:rightChars="50"/>
              <w:jc w:val="center"/>
              <w:rPr>
                <w:spacing w:val="6"/>
                <w:sz w:val="21"/>
                <w:szCs w:val="21"/>
              </w:rPr>
            </w:pPr>
            <w:r>
              <w:rPr>
                <w:spacing w:val="6"/>
                <w:sz w:val="21"/>
                <w:szCs w:val="21"/>
              </w:rPr>
              <w:t>20000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rFonts w:hint="eastAsia"/>
                <w:spacing w:val="6"/>
                <w:sz w:val="21"/>
                <w:szCs w:val="21"/>
              </w:rPr>
            </w:pPr>
            <w:r>
              <w:rPr>
                <w:spacing w:val="6"/>
                <w:sz w:val="21"/>
                <w:szCs w:val="21"/>
              </w:rPr>
              <w:t>经信委、住建局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61</w:t>
            </w:r>
          </w:p>
        </w:tc>
        <w:tc>
          <w:tcPr>
            <w:tcW w:w="245" w:type="pct"/>
            <w:vMerge w:val="continue"/>
            <w:noWrap w:val="0"/>
            <w:vAlign w:val="center"/>
          </w:tcPr>
          <w:p>
            <w:pPr>
              <w:pStyle w:val="54"/>
              <w:spacing w:before="48" w:after="48"/>
              <w:ind w:right="140" w:rightChars="50"/>
              <w:rPr>
                <w:rFonts w:ascii="Times New Roman" w:hAnsi="Times New Roman" w:eastAsia="仿宋_GB2312" w:cs="Times New Roman"/>
                <w:spacing w:val="6"/>
              </w:rPr>
            </w:pPr>
          </w:p>
        </w:tc>
        <w:tc>
          <w:tcPr>
            <w:tcW w:w="887" w:type="pct"/>
            <w:noWrap w:val="0"/>
            <w:vAlign w:val="center"/>
          </w:tcPr>
          <w:p>
            <w:pPr>
              <w:pStyle w:val="54"/>
              <w:spacing w:before="48" w:after="48"/>
              <w:ind w:right="140" w:rightChars="50"/>
              <w:rPr>
                <w:rFonts w:ascii="Times New Roman" w:hAnsi="Times New Roman" w:eastAsia="仿宋_GB2312" w:cs="Times New Roman"/>
                <w:spacing w:val="6"/>
              </w:rPr>
            </w:pPr>
            <w:r>
              <w:rPr>
                <w:rFonts w:ascii="Times New Roman" w:hAnsi="Times New Roman" w:eastAsia="仿宋_GB2312" w:cs="Times New Roman"/>
                <w:spacing w:val="6"/>
              </w:rPr>
              <w:t>政府机构节能工程</w:t>
            </w:r>
          </w:p>
        </w:tc>
        <w:tc>
          <w:tcPr>
            <w:tcW w:w="1564" w:type="pct"/>
            <w:noWrap w:val="0"/>
            <w:vAlign w:val="center"/>
          </w:tcPr>
          <w:p>
            <w:pPr>
              <w:pStyle w:val="54"/>
              <w:spacing w:before="48" w:after="48"/>
              <w:ind w:right="140" w:rightChars="50"/>
              <w:rPr>
                <w:rFonts w:ascii="Times New Roman" w:hAnsi="Times New Roman" w:eastAsia="仿宋_GB2312" w:cs="Times New Roman"/>
                <w:spacing w:val="6"/>
              </w:rPr>
            </w:pPr>
            <w:r>
              <w:rPr>
                <w:rFonts w:ascii="Times New Roman" w:hAnsi="Times New Roman" w:eastAsia="仿宋_GB2312" w:cs="Times New Roman"/>
                <w:spacing w:val="6"/>
              </w:rPr>
              <w:t>建立节约资源制度、标准体系、投资管理体系和组织协调机制；逐步建立政府机构节约资源的量化管理体系和信息化管理平台，加强节能产品政府采购活动的组织管理。</w:t>
            </w:r>
          </w:p>
        </w:tc>
        <w:tc>
          <w:tcPr>
            <w:tcW w:w="789" w:type="pct"/>
            <w:noWrap w:val="0"/>
            <w:vAlign w:val="center"/>
          </w:tcPr>
          <w:p>
            <w:pPr>
              <w:pStyle w:val="54"/>
              <w:spacing w:before="48" w:after="48"/>
              <w:ind w:right="140" w:rightChars="50"/>
              <w:rPr>
                <w:rFonts w:ascii="Times New Roman" w:hAnsi="Times New Roman" w:eastAsia="仿宋_GB2312" w:cs="Times New Roman"/>
                <w:spacing w:val="6"/>
              </w:rPr>
            </w:pPr>
            <w:r>
              <w:rPr>
                <w:rFonts w:ascii="Times New Roman" w:hAnsi="Times New Roman" w:eastAsia="仿宋_GB2312" w:cs="Times New Roman"/>
                <w:spacing w:val="6"/>
              </w:rPr>
              <w:t>实现政府机构办公节能。</w:t>
            </w:r>
          </w:p>
        </w:tc>
        <w:tc>
          <w:tcPr>
            <w:tcW w:w="405" w:type="pct"/>
            <w:noWrap w:val="0"/>
            <w:vAlign w:val="center"/>
          </w:tcPr>
          <w:p>
            <w:pPr>
              <w:spacing w:line="240" w:lineRule="auto"/>
              <w:ind w:right="140" w:rightChars="50"/>
              <w:jc w:val="center"/>
              <w:rPr>
                <w:spacing w:val="6"/>
                <w:sz w:val="21"/>
                <w:szCs w:val="21"/>
              </w:rPr>
            </w:pPr>
            <w:r>
              <w:rPr>
                <w:spacing w:val="6"/>
                <w:sz w:val="21"/>
                <w:szCs w:val="21"/>
              </w:rPr>
              <w:t>1500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2011-2012</w:t>
            </w:r>
          </w:p>
        </w:tc>
        <w:tc>
          <w:tcPr>
            <w:tcW w:w="565" w:type="pct"/>
            <w:noWrap w:val="0"/>
            <w:vAlign w:val="center"/>
          </w:tcPr>
          <w:p>
            <w:pPr>
              <w:spacing w:line="240" w:lineRule="auto"/>
              <w:ind w:right="140" w:rightChars="50"/>
              <w:jc w:val="center"/>
              <w:rPr>
                <w:spacing w:val="6"/>
                <w:sz w:val="21"/>
                <w:szCs w:val="21"/>
              </w:rPr>
            </w:pPr>
            <w:r>
              <w:rPr>
                <w:spacing w:val="6"/>
                <w:sz w:val="21"/>
                <w:szCs w:val="21"/>
              </w:rPr>
              <w:t>经信委、机关事务管理中心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62</w:t>
            </w:r>
          </w:p>
        </w:tc>
        <w:tc>
          <w:tcPr>
            <w:tcW w:w="245" w:type="pct"/>
            <w:vMerge w:val="continue"/>
            <w:noWrap w:val="0"/>
            <w:vAlign w:val="center"/>
          </w:tcPr>
          <w:p>
            <w:pPr>
              <w:pStyle w:val="54"/>
              <w:spacing w:before="48" w:after="48"/>
              <w:ind w:right="140" w:rightChars="50"/>
              <w:rPr>
                <w:rFonts w:ascii="Times New Roman" w:hAnsi="Times New Roman" w:eastAsia="仿宋_GB2312" w:cs="Times New Roman"/>
                <w:spacing w:val="6"/>
              </w:rPr>
            </w:pPr>
          </w:p>
        </w:tc>
        <w:tc>
          <w:tcPr>
            <w:tcW w:w="887" w:type="pct"/>
            <w:noWrap w:val="0"/>
            <w:vAlign w:val="center"/>
          </w:tcPr>
          <w:p>
            <w:pPr>
              <w:spacing w:line="240" w:lineRule="auto"/>
              <w:ind w:right="140" w:rightChars="50"/>
              <w:jc w:val="center"/>
              <w:rPr>
                <w:spacing w:val="6"/>
                <w:sz w:val="21"/>
                <w:szCs w:val="21"/>
              </w:rPr>
            </w:pPr>
            <w:r>
              <w:rPr>
                <w:spacing w:val="6"/>
                <w:sz w:val="21"/>
                <w:szCs w:val="21"/>
              </w:rPr>
              <w:t>生态文明单位创建工程</w:t>
            </w:r>
          </w:p>
        </w:tc>
        <w:tc>
          <w:tcPr>
            <w:tcW w:w="1564" w:type="pct"/>
            <w:noWrap w:val="0"/>
            <w:vAlign w:val="center"/>
          </w:tcPr>
          <w:p>
            <w:pPr>
              <w:spacing w:line="240" w:lineRule="auto"/>
              <w:ind w:right="140" w:rightChars="50"/>
              <w:jc w:val="center"/>
              <w:rPr>
                <w:spacing w:val="6"/>
                <w:sz w:val="21"/>
                <w:szCs w:val="21"/>
              </w:rPr>
            </w:pPr>
            <w:r>
              <w:rPr>
                <w:spacing w:val="6"/>
                <w:sz w:val="21"/>
                <w:szCs w:val="21"/>
              </w:rPr>
              <w:t>由昆山市环保局及文明办组织生态文明单位评选活动。</w:t>
            </w:r>
          </w:p>
        </w:tc>
        <w:tc>
          <w:tcPr>
            <w:tcW w:w="789" w:type="pct"/>
            <w:noWrap w:val="0"/>
            <w:vAlign w:val="center"/>
          </w:tcPr>
          <w:p>
            <w:pPr>
              <w:spacing w:line="240" w:lineRule="auto"/>
              <w:ind w:right="140" w:rightChars="50"/>
              <w:jc w:val="center"/>
              <w:rPr>
                <w:spacing w:val="6"/>
                <w:sz w:val="21"/>
                <w:szCs w:val="21"/>
              </w:rPr>
            </w:pPr>
            <w:r>
              <w:rPr>
                <w:spacing w:val="6"/>
                <w:sz w:val="21"/>
                <w:szCs w:val="21"/>
              </w:rPr>
              <w:t>培养职工生态文明意识，在全社会形成创建生态文明新风尚。</w:t>
            </w:r>
          </w:p>
        </w:tc>
        <w:tc>
          <w:tcPr>
            <w:tcW w:w="405" w:type="pct"/>
            <w:noWrap w:val="0"/>
            <w:vAlign w:val="center"/>
          </w:tcPr>
          <w:p>
            <w:pPr>
              <w:spacing w:line="240" w:lineRule="auto"/>
              <w:ind w:right="140" w:rightChars="50"/>
              <w:jc w:val="center"/>
              <w:rPr>
                <w:spacing w:val="6"/>
                <w:sz w:val="21"/>
                <w:szCs w:val="21"/>
              </w:rPr>
            </w:pPr>
            <w:r>
              <w:rPr>
                <w:spacing w:val="6"/>
                <w:sz w:val="21"/>
                <w:szCs w:val="21"/>
              </w:rPr>
              <w:t>1000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环保局、文明办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63</w:t>
            </w:r>
          </w:p>
        </w:tc>
        <w:tc>
          <w:tcPr>
            <w:tcW w:w="245" w:type="pct"/>
            <w:vMerge w:val="restart"/>
            <w:noWrap w:val="0"/>
            <w:vAlign w:val="center"/>
          </w:tcPr>
          <w:p>
            <w:pPr>
              <w:pStyle w:val="54"/>
              <w:spacing w:before="48" w:after="48"/>
              <w:ind w:right="140" w:rightChars="50"/>
              <w:rPr>
                <w:rFonts w:ascii="Times New Roman" w:hAnsi="Times New Roman" w:eastAsia="仿宋_GB2312" w:cs="Times New Roman"/>
                <w:bCs w:val="0"/>
                <w:snapToGrid/>
                <w:spacing w:val="6"/>
                <w:kern w:val="28"/>
              </w:rPr>
            </w:pPr>
            <w:r>
              <w:rPr>
                <w:rFonts w:ascii="Times New Roman" w:hAnsi="Times New Roman" w:eastAsia="仿宋_GB2312" w:cs="Times New Roman"/>
                <w:bCs w:val="0"/>
                <w:snapToGrid/>
                <w:spacing w:val="6"/>
                <w:kern w:val="28"/>
              </w:rPr>
              <w:t>环境</w:t>
            </w:r>
          </w:p>
          <w:p>
            <w:pPr>
              <w:pStyle w:val="54"/>
              <w:spacing w:before="48" w:after="48"/>
              <w:ind w:right="140" w:rightChars="50"/>
              <w:rPr>
                <w:rFonts w:ascii="Times New Roman" w:hAnsi="Times New Roman" w:eastAsia="仿宋_GB2312" w:cs="Times New Roman"/>
                <w:bCs w:val="0"/>
                <w:snapToGrid/>
                <w:spacing w:val="6"/>
                <w:kern w:val="28"/>
              </w:rPr>
            </w:pPr>
            <w:r>
              <w:rPr>
                <w:rFonts w:ascii="Times New Roman" w:hAnsi="Times New Roman" w:eastAsia="仿宋_GB2312" w:cs="Times New Roman"/>
                <w:bCs w:val="0"/>
                <w:snapToGrid/>
                <w:spacing w:val="6"/>
                <w:kern w:val="28"/>
              </w:rPr>
              <w:t>监管</w:t>
            </w:r>
          </w:p>
          <w:p>
            <w:pPr>
              <w:pStyle w:val="54"/>
              <w:spacing w:before="48" w:after="48"/>
              <w:ind w:right="140" w:rightChars="50"/>
              <w:rPr>
                <w:rFonts w:ascii="Times New Roman" w:hAnsi="Times New Roman" w:eastAsia="仿宋_GB2312" w:cs="Times New Roman"/>
                <w:bCs w:val="0"/>
                <w:snapToGrid/>
                <w:spacing w:val="6"/>
                <w:kern w:val="28"/>
              </w:rPr>
            </w:pPr>
            <w:r>
              <w:rPr>
                <w:rFonts w:ascii="Times New Roman" w:hAnsi="Times New Roman" w:eastAsia="仿宋_GB2312" w:cs="Times New Roman"/>
                <w:bCs w:val="0"/>
                <w:snapToGrid/>
                <w:spacing w:val="6"/>
                <w:kern w:val="28"/>
              </w:rPr>
              <w:t>能力</w:t>
            </w:r>
          </w:p>
          <w:p>
            <w:pPr>
              <w:pStyle w:val="54"/>
              <w:spacing w:before="48" w:after="48"/>
              <w:ind w:right="140" w:rightChars="50"/>
              <w:rPr>
                <w:rFonts w:ascii="Times New Roman" w:hAnsi="Times New Roman" w:eastAsia="仿宋_GB2312" w:cs="Times New Roman"/>
                <w:bCs w:val="0"/>
                <w:snapToGrid/>
                <w:spacing w:val="6"/>
                <w:kern w:val="28"/>
              </w:rPr>
            </w:pPr>
            <w:r>
              <w:rPr>
                <w:rFonts w:ascii="Times New Roman" w:hAnsi="Times New Roman" w:eastAsia="仿宋_GB2312" w:cs="Times New Roman"/>
                <w:bCs w:val="0"/>
                <w:snapToGrid/>
                <w:spacing w:val="6"/>
                <w:kern w:val="28"/>
              </w:rPr>
              <w:t>建设</w:t>
            </w:r>
          </w:p>
        </w:tc>
        <w:tc>
          <w:tcPr>
            <w:tcW w:w="887" w:type="pct"/>
            <w:noWrap w:val="0"/>
            <w:vAlign w:val="top"/>
          </w:tcPr>
          <w:p>
            <w:pPr>
              <w:spacing w:line="300" w:lineRule="exact"/>
              <w:ind w:right="140" w:rightChars="50"/>
              <w:rPr>
                <w:rFonts w:hint="eastAsia"/>
                <w:spacing w:val="6"/>
                <w:sz w:val="21"/>
                <w:szCs w:val="21"/>
              </w:rPr>
            </w:pPr>
            <w:r>
              <w:rPr>
                <w:rFonts w:hint="eastAsia"/>
                <w:spacing w:val="6"/>
                <w:sz w:val="21"/>
                <w:szCs w:val="21"/>
              </w:rPr>
              <w:t>放射源自动监控系统</w:t>
            </w:r>
          </w:p>
        </w:tc>
        <w:tc>
          <w:tcPr>
            <w:tcW w:w="1564" w:type="pct"/>
            <w:noWrap w:val="0"/>
            <w:vAlign w:val="center"/>
          </w:tcPr>
          <w:p>
            <w:pPr>
              <w:spacing w:line="300" w:lineRule="exact"/>
              <w:ind w:right="140" w:rightChars="50"/>
              <w:rPr>
                <w:rFonts w:hint="eastAsia"/>
                <w:spacing w:val="6"/>
                <w:sz w:val="21"/>
                <w:szCs w:val="21"/>
              </w:rPr>
            </w:pPr>
            <w:r>
              <w:rPr>
                <w:rFonts w:hint="eastAsia"/>
                <w:spacing w:val="6"/>
                <w:sz w:val="21"/>
                <w:szCs w:val="21"/>
              </w:rPr>
              <w:t>完成放射源自动监控系统建设</w:t>
            </w:r>
          </w:p>
        </w:tc>
        <w:tc>
          <w:tcPr>
            <w:tcW w:w="789" w:type="pct"/>
            <w:noWrap w:val="0"/>
            <w:vAlign w:val="center"/>
          </w:tcPr>
          <w:p>
            <w:pPr>
              <w:spacing w:line="300" w:lineRule="exact"/>
              <w:ind w:right="140" w:rightChars="50"/>
              <w:rPr>
                <w:rFonts w:hint="eastAsia"/>
                <w:spacing w:val="6"/>
                <w:sz w:val="21"/>
                <w:szCs w:val="21"/>
              </w:rPr>
            </w:pPr>
            <w:r>
              <w:rPr>
                <w:rFonts w:hint="eastAsia"/>
                <w:spacing w:val="6"/>
                <w:sz w:val="21"/>
                <w:szCs w:val="21"/>
              </w:rPr>
              <w:t>有效避免放射污染</w:t>
            </w:r>
          </w:p>
        </w:tc>
        <w:tc>
          <w:tcPr>
            <w:tcW w:w="405" w:type="pct"/>
            <w:noWrap w:val="0"/>
            <w:vAlign w:val="center"/>
          </w:tcPr>
          <w:p>
            <w:pPr>
              <w:spacing w:line="300" w:lineRule="exact"/>
              <w:ind w:right="140" w:rightChars="50"/>
              <w:jc w:val="center"/>
              <w:rPr>
                <w:rFonts w:hint="eastAsia"/>
                <w:spacing w:val="6"/>
                <w:sz w:val="21"/>
                <w:szCs w:val="21"/>
              </w:rPr>
            </w:pPr>
            <w:r>
              <w:rPr>
                <w:rFonts w:hint="eastAsia"/>
                <w:spacing w:val="6"/>
                <w:sz w:val="21"/>
                <w:szCs w:val="21"/>
              </w:rPr>
              <w:t>600</w:t>
            </w:r>
          </w:p>
        </w:tc>
        <w:tc>
          <w:tcPr>
            <w:tcW w:w="396" w:type="pct"/>
            <w:noWrap w:val="0"/>
            <w:vAlign w:val="center"/>
          </w:tcPr>
          <w:p>
            <w:pPr>
              <w:spacing w:line="300" w:lineRule="exact"/>
              <w:ind w:right="140" w:rightChars="50"/>
              <w:jc w:val="center"/>
              <w:rPr>
                <w:rFonts w:hint="eastAsia"/>
                <w:spacing w:val="6"/>
                <w:sz w:val="21"/>
                <w:szCs w:val="21"/>
              </w:rPr>
            </w:pPr>
            <w:r>
              <w:rPr>
                <w:rFonts w:hint="eastAsia"/>
                <w:spacing w:val="6"/>
                <w:sz w:val="21"/>
                <w:szCs w:val="21"/>
              </w:rPr>
              <w:t>2011-2015</w:t>
            </w:r>
          </w:p>
        </w:tc>
        <w:tc>
          <w:tcPr>
            <w:tcW w:w="565" w:type="pct"/>
            <w:noWrap w:val="0"/>
            <w:vAlign w:val="center"/>
          </w:tcPr>
          <w:p>
            <w:pPr>
              <w:spacing w:line="300" w:lineRule="exact"/>
              <w:ind w:right="140" w:rightChars="50"/>
              <w:jc w:val="center"/>
              <w:rPr>
                <w:rFonts w:hint="eastAsia"/>
                <w:spacing w:val="6"/>
                <w:sz w:val="21"/>
                <w:szCs w:val="21"/>
              </w:rPr>
            </w:pPr>
            <w:r>
              <w:rPr>
                <w:rFonts w:hint="eastAsia"/>
                <w:spacing w:val="6"/>
                <w:sz w:val="21"/>
                <w:szCs w:val="21"/>
              </w:rPr>
              <w:t>经发局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64</w:t>
            </w:r>
          </w:p>
        </w:tc>
        <w:tc>
          <w:tcPr>
            <w:tcW w:w="245" w:type="pct"/>
            <w:vMerge w:val="continue"/>
            <w:noWrap w:val="0"/>
            <w:vAlign w:val="center"/>
          </w:tcPr>
          <w:p>
            <w:pPr>
              <w:pStyle w:val="54"/>
              <w:spacing w:before="48" w:after="48"/>
              <w:ind w:right="140" w:rightChars="50"/>
              <w:rPr>
                <w:rFonts w:ascii="Times New Roman" w:hAnsi="Times New Roman" w:eastAsia="仿宋_GB2312" w:cs="Times New Roman"/>
                <w:spacing w:val="6"/>
              </w:rPr>
            </w:pPr>
          </w:p>
        </w:tc>
        <w:tc>
          <w:tcPr>
            <w:tcW w:w="887" w:type="pct"/>
            <w:noWrap w:val="0"/>
            <w:vAlign w:val="center"/>
          </w:tcPr>
          <w:p>
            <w:pPr>
              <w:spacing w:line="240" w:lineRule="auto"/>
              <w:ind w:right="140" w:rightChars="50"/>
              <w:jc w:val="center"/>
              <w:rPr>
                <w:spacing w:val="6"/>
                <w:sz w:val="21"/>
                <w:szCs w:val="21"/>
              </w:rPr>
            </w:pPr>
            <w:r>
              <w:rPr>
                <w:spacing w:val="6"/>
                <w:sz w:val="21"/>
                <w:szCs w:val="21"/>
              </w:rPr>
              <w:t>完善全市空气质量监控系统</w:t>
            </w:r>
          </w:p>
        </w:tc>
        <w:tc>
          <w:tcPr>
            <w:tcW w:w="1564" w:type="pct"/>
            <w:noWrap w:val="0"/>
            <w:vAlign w:val="center"/>
          </w:tcPr>
          <w:p>
            <w:pPr>
              <w:spacing w:line="240" w:lineRule="auto"/>
              <w:ind w:right="140" w:rightChars="50"/>
              <w:jc w:val="center"/>
              <w:rPr>
                <w:spacing w:val="6"/>
                <w:sz w:val="21"/>
                <w:szCs w:val="21"/>
              </w:rPr>
            </w:pPr>
            <w:r>
              <w:rPr>
                <w:spacing w:val="6"/>
                <w:sz w:val="21"/>
                <w:szCs w:val="21"/>
              </w:rPr>
              <w:t>建设完善环境空气监测站，建设灰霾实时监测预警预报系统，构建空气环境质量分析预警和决策辅助支持系统。</w:t>
            </w:r>
          </w:p>
        </w:tc>
        <w:tc>
          <w:tcPr>
            <w:tcW w:w="789" w:type="pct"/>
            <w:noWrap w:val="0"/>
            <w:vAlign w:val="center"/>
          </w:tcPr>
          <w:p>
            <w:pPr>
              <w:spacing w:line="240" w:lineRule="auto"/>
              <w:ind w:right="140" w:rightChars="50"/>
              <w:jc w:val="center"/>
              <w:rPr>
                <w:spacing w:val="6"/>
                <w:sz w:val="21"/>
                <w:szCs w:val="21"/>
              </w:rPr>
            </w:pPr>
            <w:r>
              <w:rPr>
                <w:spacing w:val="6"/>
                <w:sz w:val="21"/>
                <w:szCs w:val="21"/>
              </w:rPr>
              <w:t>大幅提升环境空气监测能力</w:t>
            </w:r>
          </w:p>
        </w:tc>
        <w:tc>
          <w:tcPr>
            <w:tcW w:w="405" w:type="pct"/>
            <w:noWrap w:val="0"/>
            <w:vAlign w:val="center"/>
          </w:tcPr>
          <w:p>
            <w:pPr>
              <w:spacing w:line="240" w:lineRule="auto"/>
              <w:ind w:right="140" w:rightChars="50"/>
              <w:jc w:val="center"/>
              <w:rPr>
                <w:spacing w:val="6"/>
                <w:sz w:val="21"/>
                <w:szCs w:val="21"/>
              </w:rPr>
            </w:pPr>
            <w:r>
              <w:rPr>
                <w:spacing w:val="6"/>
                <w:sz w:val="21"/>
                <w:szCs w:val="21"/>
              </w:rPr>
              <w:t>2000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环保局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65</w:t>
            </w:r>
          </w:p>
        </w:tc>
        <w:tc>
          <w:tcPr>
            <w:tcW w:w="245" w:type="pct"/>
            <w:vMerge w:val="continue"/>
            <w:noWrap w:val="0"/>
            <w:vAlign w:val="center"/>
          </w:tcPr>
          <w:p>
            <w:pPr>
              <w:pStyle w:val="54"/>
              <w:spacing w:before="48" w:after="48"/>
              <w:ind w:right="140" w:rightChars="50"/>
              <w:rPr>
                <w:rFonts w:ascii="Times New Roman" w:hAnsi="Times New Roman" w:eastAsia="仿宋_GB2312" w:cs="Times New Roman"/>
                <w:spacing w:val="6"/>
              </w:rPr>
            </w:pPr>
          </w:p>
        </w:tc>
        <w:tc>
          <w:tcPr>
            <w:tcW w:w="887" w:type="pct"/>
            <w:noWrap w:val="0"/>
            <w:vAlign w:val="center"/>
          </w:tcPr>
          <w:p>
            <w:pPr>
              <w:spacing w:line="240" w:lineRule="auto"/>
              <w:ind w:right="140" w:rightChars="50"/>
              <w:jc w:val="center"/>
              <w:rPr>
                <w:spacing w:val="6"/>
                <w:sz w:val="21"/>
                <w:szCs w:val="21"/>
              </w:rPr>
            </w:pPr>
            <w:r>
              <w:rPr>
                <w:spacing w:val="6"/>
                <w:sz w:val="21"/>
                <w:szCs w:val="21"/>
              </w:rPr>
              <w:t>水质自动监测网络系统建设</w:t>
            </w:r>
          </w:p>
        </w:tc>
        <w:tc>
          <w:tcPr>
            <w:tcW w:w="1564" w:type="pct"/>
            <w:noWrap w:val="0"/>
            <w:vAlign w:val="center"/>
          </w:tcPr>
          <w:p>
            <w:pPr>
              <w:spacing w:line="240" w:lineRule="auto"/>
              <w:ind w:right="140" w:rightChars="50"/>
              <w:jc w:val="center"/>
              <w:rPr>
                <w:spacing w:val="6"/>
                <w:sz w:val="21"/>
                <w:szCs w:val="21"/>
              </w:rPr>
            </w:pPr>
            <w:r>
              <w:rPr>
                <w:spacing w:val="6"/>
                <w:sz w:val="21"/>
                <w:szCs w:val="21"/>
              </w:rPr>
              <w:t>省界断面、县界河流断面、水源地设立水质自动监测站</w:t>
            </w:r>
          </w:p>
        </w:tc>
        <w:tc>
          <w:tcPr>
            <w:tcW w:w="789" w:type="pct"/>
            <w:noWrap w:val="0"/>
            <w:vAlign w:val="center"/>
          </w:tcPr>
          <w:p>
            <w:pPr>
              <w:spacing w:line="240" w:lineRule="auto"/>
              <w:ind w:right="140" w:rightChars="50"/>
              <w:jc w:val="center"/>
              <w:rPr>
                <w:spacing w:val="6"/>
                <w:sz w:val="21"/>
                <w:szCs w:val="21"/>
              </w:rPr>
            </w:pPr>
            <w:r>
              <w:rPr>
                <w:spacing w:val="6"/>
                <w:sz w:val="21"/>
                <w:szCs w:val="21"/>
              </w:rPr>
              <w:t>实施水质、水量的实时监控</w:t>
            </w:r>
          </w:p>
        </w:tc>
        <w:tc>
          <w:tcPr>
            <w:tcW w:w="405" w:type="pct"/>
            <w:noWrap w:val="0"/>
            <w:vAlign w:val="center"/>
          </w:tcPr>
          <w:p>
            <w:pPr>
              <w:spacing w:line="240" w:lineRule="auto"/>
              <w:ind w:right="140" w:rightChars="50"/>
              <w:jc w:val="center"/>
              <w:rPr>
                <w:spacing w:val="6"/>
                <w:sz w:val="21"/>
                <w:szCs w:val="21"/>
              </w:rPr>
            </w:pPr>
            <w:r>
              <w:rPr>
                <w:spacing w:val="6"/>
                <w:sz w:val="21"/>
                <w:szCs w:val="21"/>
              </w:rPr>
              <w:t>1500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环保局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66</w:t>
            </w:r>
          </w:p>
        </w:tc>
        <w:tc>
          <w:tcPr>
            <w:tcW w:w="245" w:type="pct"/>
            <w:vMerge w:val="continue"/>
            <w:noWrap w:val="0"/>
            <w:vAlign w:val="center"/>
          </w:tcPr>
          <w:p>
            <w:pPr>
              <w:pStyle w:val="54"/>
              <w:spacing w:before="48" w:after="48"/>
              <w:ind w:right="140" w:rightChars="50"/>
              <w:rPr>
                <w:rFonts w:ascii="Times New Roman" w:hAnsi="Times New Roman" w:eastAsia="仿宋_GB2312" w:cs="Times New Roman"/>
                <w:spacing w:val="6"/>
              </w:rPr>
            </w:pPr>
          </w:p>
        </w:tc>
        <w:tc>
          <w:tcPr>
            <w:tcW w:w="887" w:type="pct"/>
            <w:noWrap w:val="0"/>
            <w:vAlign w:val="center"/>
          </w:tcPr>
          <w:p>
            <w:pPr>
              <w:spacing w:line="240" w:lineRule="auto"/>
              <w:ind w:right="140" w:rightChars="50"/>
              <w:jc w:val="center"/>
              <w:rPr>
                <w:spacing w:val="6"/>
                <w:sz w:val="21"/>
                <w:szCs w:val="21"/>
              </w:rPr>
            </w:pPr>
            <w:r>
              <w:rPr>
                <w:spacing w:val="6"/>
                <w:sz w:val="21"/>
                <w:szCs w:val="21"/>
              </w:rPr>
              <w:t>土壤环境监管能力建设</w:t>
            </w:r>
          </w:p>
        </w:tc>
        <w:tc>
          <w:tcPr>
            <w:tcW w:w="1564" w:type="pct"/>
            <w:noWrap w:val="0"/>
            <w:vAlign w:val="center"/>
          </w:tcPr>
          <w:p>
            <w:pPr>
              <w:spacing w:line="240" w:lineRule="auto"/>
              <w:ind w:right="140" w:rightChars="50"/>
              <w:jc w:val="center"/>
              <w:rPr>
                <w:spacing w:val="6"/>
                <w:sz w:val="21"/>
                <w:szCs w:val="21"/>
              </w:rPr>
            </w:pPr>
            <w:r>
              <w:rPr>
                <w:spacing w:val="6"/>
                <w:sz w:val="21"/>
                <w:szCs w:val="21"/>
              </w:rPr>
              <w:t>推进土壤环境监测标准化建设，配套完善土壤环境监测人才、设备及检测仪器</w:t>
            </w:r>
          </w:p>
        </w:tc>
        <w:tc>
          <w:tcPr>
            <w:tcW w:w="789" w:type="pct"/>
            <w:noWrap w:val="0"/>
            <w:vAlign w:val="center"/>
          </w:tcPr>
          <w:p>
            <w:pPr>
              <w:spacing w:line="240" w:lineRule="auto"/>
              <w:ind w:right="140" w:rightChars="50"/>
              <w:jc w:val="center"/>
              <w:rPr>
                <w:spacing w:val="6"/>
                <w:sz w:val="21"/>
                <w:szCs w:val="21"/>
              </w:rPr>
            </w:pPr>
            <w:r>
              <w:rPr>
                <w:spacing w:val="6"/>
                <w:sz w:val="21"/>
                <w:szCs w:val="21"/>
              </w:rPr>
              <w:t>建立完善的土壤环境监管体系</w:t>
            </w:r>
          </w:p>
        </w:tc>
        <w:tc>
          <w:tcPr>
            <w:tcW w:w="405" w:type="pct"/>
            <w:noWrap w:val="0"/>
            <w:vAlign w:val="center"/>
          </w:tcPr>
          <w:p>
            <w:pPr>
              <w:spacing w:line="240" w:lineRule="auto"/>
              <w:ind w:right="140" w:rightChars="50"/>
              <w:jc w:val="center"/>
              <w:rPr>
                <w:spacing w:val="6"/>
                <w:sz w:val="21"/>
                <w:szCs w:val="21"/>
              </w:rPr>
            </w:pPr>
            <w:r>
              <w:rPr>
                <w:spacing w:val="6"/>
                <w:sz w:val="21"/>
                <w:szCs w:val="21"/>
              </w:rPr>
              <w:t>2000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环保局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67</w:t>
            </w:r>
          </w:p>
        </w:tc>
        <w:tc>
          <w:tcPr>
            <w:tcW w:w="245" w:type="pct"/>
            <w:vMerge w:val="continue"/>
            <w:noWrap w:val="0"/>
            <w:vAlign w:val="center"/>
          </w:tcPr>
          <w:p>
            <w:pPr>
              <w:pStyle w:val="54"/>
              <w:spacing w:before="48" w:after="48"/>
              <w:ind w:right="140" w:rightChars="50"/>
              <w:rPr>
                <w:rFonts w:ascii="Times New Roman" w:hAnsi="Times New Roman" w:eastAsia="仿宋_GB2312" w:cs="Times New Roman"/>
                <w:spacing w:val="6"/>
              </w:rPr>
            </w:pPr>
          </w:p>
        </w:tc>
        <w:tc>
          <w:tcPr>
            <w:tcW w:w="887" w:type="pct"/>
            <w:noWrap w:val="0"/>
            <w:vAlign w:val="center"/>
          </w:tcPr>
          <w:p>
            <w:pPr>
              <w:spacing w:line="240" w:lineRule="auto"/>
              <w:ind w:right="140" w:rightChars="50"/>
              <w:jc w:val="center"/>
              <w:rPr>
                <w:spacing w:val="6"/>
                <w:sz w:val="21"/>
                <w:szCs w:val="21"/>
              </w:rPr>
            </w:pPr>
            <w:r>
              <w:rPr>
                <w:rFonts w:hint="eastAsia"/>
                <w:spacing w:val="6"/>
                <w:sz w:val="21"/>
                <w:szCs w:val="21"/>
              </w:rPr>
              <w:t>蓝藻</w:t>
            </w:r>
            <w:r>
              <w:rPr>
                <w:spacing w:val="6"/>
                <w:sz w:val="21"/>
                <w:szCs w:val="21"/>
              </w:rPr>
              <w:t>监控系统及数据集成系统构建</w:t>
            </w:r>
          </w:p>
        </w:tc>
        <w:tc>
          <w:tcPr>
            <w:tcW w:w="1564" w:type="pct"/>
            <w:noWrap w:val="0"/>
            <w:vAlign w:val="center"/>
          </w:tcPr>
          <w:p>
            <w:pPr>
              <w:spacing w:line="240" w:lineRule="auto"/>
              <w:ind w:right="140" w:rightChars="50"/>
              <w:jc w:val="center"/>
              <w:rPr>
                <w:spacing w:val="6"/>
                <w:sz w:val="21"/>
                <w:szCs w:val="21"/>
              </w:rPr>
            </w:pPr>
            <w:r>
              <w:rPr>
                <w:spacing w:val="6"/>
                <w:sz w:val="21"/>
                <w:szCs w:val="21"/>
              </w:rPr>
              <w:t>水生态监控指标包括遥感监测指标、地面监测指标（水质理化指标、水生物指标和水生态指标）、野外生态台站长期观测指标、应急监测指标。</w:t>
            </w:r>
          </w:p>
        </w:tc>
        <w:tc>
          <w:tcPr>
            <w:tcW w:w="789" w:type="pct"/>
            <w:noWrap w:val="0"/>
            <w:vAlign w:val="center"/>
          </w:tcPr>
          <w:p>
            <w:pPr>
              <w:spacing w:line="240" w:lineRule="auto"/>
              <w:ind w:right="140" w:rightChars="50"/>
              <w:jc w:val="center"/>
              <w:rPr>
                <w:spacing w:val="6"/>
                <w:sz w:val="21"/>
                <w:szCs w:val="21"/>
              </w:rPr>
            </w:pPr>
            <w:r>
              <w:rPr>
                <w:spacing w:val="6"/>
                <w:sz w:val="21"/>
                <w:szCs w:val="21"/>
              </w:rPr>
              <w:t>分析水生态长期变化态势，监控水生态动态变化情况，预警水生态风险</w:t>
            </w:r>
          </w:p>
        </w:tc>
        <w:tc>
          <w:tcPr>
            <w:tcW w:w="405" w:type="pct"/>
            <w:noWrap w:val="0"/>
            <w:vAlign w:val="center"/>
          </w:tcPr>
          <w:p>
            <w:pPr>
              <w:spacing w:line="240" w:lineRule="auto"/>
              <w:ind w:right="140" w:rightChars="50"/>
              <w:jc w:val="center"/>
              <w:rPr>
                <w:spacing w:val="6"/>
                <w:sz w:val="21"/>
                <w:szCs w:val="21"/>
              </w:rPr>
            </w:pPr>
            <w:r>
              <w:rPr>
                <w:rFonts w:hint="eastAsia"/>
                <w:spacing w:val="6"/>
                <w:sz w:val="21"/>
                <w:szCs w:val="21"/>
              </w:rPr>
              <w:t>15</w:t>
            </w:r>
            <w:r>
              <w:rPr>
                <w:spacing w:val="6"/>
                <w:sz w:val="21"/>
                <w:szCs w:val="21"/>
              </w:rPr>
              <w:t>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环保局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68</w:t>
            </w:r>
          </w:p>
        </w:tc>
        <w:tc>
          <w:tcPr>
            <w:tcW w:w="245" w:type="pct"/>
            <w:vMerge w:val="continue"/>
            <w:noWrap w:val="0"/>
            <w:vAlign w:val="center"/>
          </w:tcPr>
          <w:p>
            <w:pPr>
              <w:pStyle w:val="54"/>
              <w:spacing w:before="48" w:after="48"/>
              <w:ind w:right="140" w:rightChars="50"/>
              <w:rPr>
                <w:rFonts w:ascii="Times New Roman" w:hAnsi="Times New Roman" w:eastAsia="仿宋_GB2312" w:cs="Times New Roman"/>
                <w:spacing w:val="6"/>
              </w:rPr>
            </w:pPr>
          </w:p>
        </w:tc>
        <w:tc>
          <w:tcPr>
            <w:tcW w:w="887" w:type="pct"/>
            <w:noWrap w:val="0"/>
            <w:vAlign w:val="center"/>
          </w:tcPr>
          <w:p>
            <w:pPr>
              <w:spacing w:line="240" w:lineRule="auto"/>
              <w:ind w:right="140" w:rightChars="50"/>
              <w:jc w:val="center"/>
              <w:rPr>
                <w:spacing w:val="6"/>
                <w:sz w:val="21"/>
                <w:szCs w:val="21"/>
              </w:rPr>
            </w:pPr>
            <w:r>
              <w:rPr>
                <w:spacing w:val="6"/>
                <w:sz w:val="21"/>
                <w:szCs w:val="21"/>
              </w:rPr>
              <w:t></w:t>
            </w:r>
            <w:r>
              <w:rPr>
                <w:spacing w:val="6"/>
                <w:sz w:val="21"/>
                <w:szCs w:val="21"/>
              </w:rPr>
              <w:tab/>
            </w:r>
            <w:r>
              <w:rPr>
                <w:spacing w:val="6"/>
                <w:sz w:val="21"/>
                <w:szCs w:val="21"/>
              </w:rPr>
              <w:t>环境监测机构标准化建设</w:t>
            </w:r>
          </w:p>
        </w:tc>
        <w:tc>
          <w:tcPr>
            <w:tcW w:w="1564" w:type="pct"/>
            <w:noWrap w:val="0"/>
            <w:vAlign w:val="center"/>
          </w:tcPr>
          <w:p>
            <w:pPr>
              <w:spacing w:line="240" w:lineRule="auto"/>
              <w:ind w:right="140" w:rightChars="50"/>
              <w:jc w:val="center"/>
              <w:rPr>
                <w:spacing w:val="6"/>
                <w:sz w:val="21"/>
                <w:szCs w:val="21"/>
              </w:rPr>
            </w:pPr>
            <w:r>
              <w:rPr>
                <w:spacing w:val="6"/>
                <w:sz w:val="21"/>
                <w:szCs w:val="21"/>
              </w:rPr>
              <w:t>人才培养、装备配置</w:t>
            </w:r>
          </w:p>
        </w:tc>
        <w:tc>
          <w:tcPr>
            <w:tcW w:w="789" w:type="pct"/>
            <w:noWrap w:val="0"/>
            <w:vAlign w:val="center"/>
          </w:tcPr>
          <w:p>
            <w:pPr>
              <w:spacing w:line="240" w:lineRule="auto"/>
              <w:ind w:right="140" w:rightChars="50"/>
              <w:jc w:val="center"/>
              <w:rPr>
                <w:spacing w:val="6"/>
                <w:sz w:val="21"/>
                <w:szCs w:val="21"/>
              </w:rPr>
            </w:pPr>
            <w:r>
              <w:rPr>
                <w:spacing w:val="6"/>
                <w:sz w:val="21"/>
                <w:szCs w:val="21"/>
              </w:rPr>
              <w:t>完善环境监测、监察（督察）、应急、信息、宣教等方面环境保护能力</w:t>
            </w:r>
          </w:p>
        </w:tc>
        <w:tc>
          <w:tcPr>
            <w:tcW w:w="405" w:type="pct"/>
            <w:noWrap w:val="0"/>
            <w:vAlign w:val="center"/>
          </w:tcPr>
          <w:p>
            <w:pPr>
              <w:spacing w:line="240" w:lineRule="auto"/>
              <w:ind w:right="140" w:rightChars="50"/>
              <w:jc w:val="center"/>
              <w:rPr>
                <w:spacing w:val="6"/>
                <w:sz w:val="21"/>
                <w:szCs w:val="21"/>
              </w:rPr>
            </w:pPr>
            <w:r>
              <w:rPr>
                <w:spacing w:val="6"/>
                <w:sz w:val="21"/>
                <w:szCs w:val="21"/>
              </w:rPr>
              <w:t>2000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环保局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801" w:hRule="atLeast"/>
          <w:jc w:val="center"/>
        </w:trPr>
        <w:tc>
          <w:tcPr>
            <w:tcW w:w="149" w:type="pct"/>
            <w:noWrap w:val="0"/>
            <w:vAlign w:val="center"/>
          </w:tcPr>
          <w:p>
            <w:pPr>
              <w:spacing w:line="240" w:lineRule="auto"/>
              <w:ind w:right="140" w:rightChars="50"/>
              <w:jc w:val="center"/>
              <w:rPr>
                <w:rFonts w:hint="eastAsia"/>
                <w:bCs/>
                <w:spacing w:val="6"/>
                <w:sz w:val="21"/>
                <w:szCs w:val="21"/>
              </w:rPr>
            </w:pPr>
            <w:r>
              <w:rPr>
                <w:rFonts w:hint="eastAsia"/>
                <w:bCs/>
                <w:spacing w:val="6"/>
                <w:sz w:val="21"/>
                <w:szCs w:val="21"/>
              </w:rPr>
              <w:t>69</w:t>
            </w:r>
          </w:p>
        </w:tc>
        <w:tc>
          <w:tcPr>
            <w:tcW w:w="245" w:type="pct"/>
            <w:vMerge w:val="continue"/>
            <w:noWrap w:val="0"/>
            <w:vAlign w:val="center"/>
          </w:tcPr>
          <w:p>
            <w:pPr>
              <w:pStyle w:val="54"/>
              <w:spacing w:before="48" w:after="48"/>
              <w:ind w:right="140" w:rightChars="50"/>
              <w:rPr>
                <w:rFonts w:ascii="Times New Roman" w:hAnsi="Times New Roman" w:eastAsia="仿宋_GB2312" w:cs="Times New Roman"/>
                <w:spacing w:val="6"/>
              </w:rPr>
            </w:pPr>
          </w:p>
        </w:tc>
        <w:tc>
          <w:tcPr>
            <w:tcW w:w="887" w:type="pct"/>
            <w:noWrap w:val="0"/>
            <w:vAlign w:val="center"/>
          </w:tcPr>
          <w:p>
            <w:pPr>
              <w:spacing w:line="240" w:lineRule="auto"/>
              <w:ind w:right="140" w:rightChars="50"/>
              <w:jc w:val="center"/>
              <w:rPr>
                <w:spacing w:val="6"/>
                <w:sz w:val="21"/>
                <w:szCs w:val="21"/>
              </w:rPr>
            </w:pPr>
            <w:r>
              <w:rPr>
                <w:spacing w:val="6"/>
                <w:sz w:val="21"/>
                <w:szCs w:val="21"/>
              </w:rPr>
              <w:t>环境信息集成共享平台及数据中心</w:t>
            </w:r>
          </w:p>
        </w:tc>
        <w:tc>
          <w:tcPr>
            <w:tcW w:w="1564" w:type="pct"/>
            <w:noWrap w:val="0"/>
            <w:vAlign w:val="center"/>
          </w:tcPr>
          <w:p>
            <w:pPr>
              <w:spacing w:line="240" w:lineRule="auto"/>
              <w:ind w:right="140" w:rightChars="50"/>
              <w:jc w:val="center"/>
              <w:rPr>
                <w:spacing w:val="6"/>
                <w:sz w:val="21"/>
                <w:szCs w:val="21"/>
              </w:rPr>
            </w:pPr>
            <w:r>
              <w:rPr>
                <w:spacing w:val="6"/>
                <w:sz w:val="21"/>
                <w:szCs w:val="21"/>
              </w:rPr>
              <w:t>监测点数据库建设、监控数据采集和传输系统、预警预报系统、实验室信息管理系统、决策支持系统以及监控中心建设</w:t>
            </w:r>
          </w:p>
        </w:tc>
        <w:tc>
          <w:tcPr>
            <w:tcW w:w="789" w:type="pct"/>
            <w:noWrap w:val="0"/>
            <w:vAlign w:val="center"/>
          </w:tcPr>
          <w:p>
            <w:pPr>
              <w:spacing w:line="240" w:lineRule="auto"/>
              <w:ind w:right="140" w:rightChars="50"/>
              <w:jc w:val="center"/>
              <w:rPr>
                <w:spacing w:val="6"/>
                <w:sz w:val="21"/>
                <w:szCs w:val="21"/>
              </w:rPr>
            </w:pPr>
            <w:r>
              <w:rPr>
                <w:spacing w:val="6"/>
                <w:sz w:val="21"/>
                <w:szCs w:val="21"/>
              </w:rPr>
              <w:t>提高突发环境事件应急能力</w:t>
            </w:r>
          </w:p>
        </w:tc>
        <w:tc>
          <w:tcPr>
            <w:tcW w:w="405" w:type="pct"/>
            <w:noWrap w:val="0"/>
            <w:vAlign w:val="center"/>
          </w:tcPr>
          <w:p>
            <w:pPr>
              <w:spacing w:line="240" w:lineRule="auto"/>
              <w:ind w:right="140" w:rightChars="50"/>
              <w:jc w:val="center"/>
              <w:rPr>
                <w:spacing w:val="6"/>
                <w:sz w:val="21"/>
                <w:szCs w:val="21"/>
              </w:rPr>
            </w:pPr>
            <w:r>
              <w:rPr>
                <w:rFonts w:hint="eastAsia"/>
                <w:spacing w:val="6"/>
                <w:sz w:val="21"/>
                <w:szCs w:val="21"/>
              </w:rPr>
              <w:t>13</w:t>
            </w:r>
            <w:r>
              <w:rPr>
                <w:spacing w:val="6"/>
                <w:sz w:val="21"/>
                <w:szCs w:val="21"/>
              </w:rPr>
              <w:t>00</w:t>
            </w:r>
          </w:p>
        </w:tc>
        <w:tc>
          <w:tcPr>
            <w:tcW w:w="396" w:type="pct"/>
            <w:noWrap w:val="0"/>
            <w:vAlign w:val="center"/>
          </w:tcPr>
          <w:p>
            <w:pPr>
              <w:spacing w:line="240" w:lineRule="auto"/>
              <w:ind w:right="140" w:rightChars="50"/>
              <w:jc w:val="center"/>
              <w:rPr>
                <w:spacing w:val="6"/>
                <w:sz w:val="21"/>
                <w:szCs w:val="21"/>
              </w:rPr>
            </w:pPr>
            <w:r>
              <w:rPr>
                <w:spacing w:val="6"/>
                <w:sz w:val="21"/>
                <w:szCs w:val="21"/>
              </w:rPr>
              <w:t>2011-2015</w:t>
            </w:r>
          </w:p>
        </w:tc>
        <w:tc>
          <w:tcPr>
            <w:tcW w:w="565" w:type="pct"/>
            <w:noWrap w:val="0"/>
            <w:vAlign w:val="center"/>
          </w:tcPr>
          <w:p>
            <w:pPr>
              <w:spacing w:line="240" w:lineRule="auto"/>
              <w:ind w:right="140" w:rightChars="50"/>
              <w:jc w:val="center"/>
              <w:rPr>
                <w:spacing w:val="6"/>
                <w:sz w:val="21"/>
                <w:szCs w:val="21"/>
              </w:rPr>
            </w:pPr>
            <w:r>
              <w:rPr>
                <w:spacing w:val="6"/>
                <w:sz w:val="21"/>
                <w:szCs w:val="21"/>
              </w:rPr>
              <w:t>环保局</w:t>
            </w:r>
          </w:p>
        </w:tc>
      </w:tr>
      <w:bookmarkEnd w:id="162"/>
      <w:bookmarkEnd w:id="163"/>
      <w:bookmarkEnd w:id="164"/>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jc w:val="center"/>
        </w:trPr>
        <w:tc>
          <w:tcPr>
            <w:tcW w:w="3634" w:type="pct"/>
            <w:gridSpan w:val="5"/>
            <w:noWrap w:val="0"/>
            <w:vAlign w:val="center"/>
          </w:tcPr>
          <w:p>
            <w:pPr>
              <w:spacing w:line="240" w:lineRule="auto"/>
              <w:ind w:right="140" w:rightChars="50"/>
              <w:jc w:val="center"/>
              <w:rPr>
                <w:spacing w:val="6"/>
                <w:sz w:val="21"/>
                <w:szCs w:val="21"/>
              </w:rPr>
            </w:pPr>
            <w:r>
              <w:rPr>
                <w:spacing w:val="6"/>
                <w:sz w:val="21"/>
                <w:szCs w:val="21"/>
              </w:rPr>
              <w:t>合计</w:t>
            </w:r>
          </w:p>
        </w:tc>
        <w:tc>
          <w:tcPr>
            <w:tcW w:w="1366" w:type="pct"/>
            <w:gridSpan w:val="3"/>
            <w:noWrap w:val="0"/>
            <w:vAlign w:val="center"/>
          </w:tcPr>
          <w:p>
            <w:pPr>
              <w:spacing w:line="240" w:lineRule="auto"/>
              <w:ind w:right="140" w:rightChars="50"/>
              <w:jc w:val="center"/>
              <w:rPr>
                <w:spacing w:val="6"/>
                <w:sz w:val="21"/>
                <w:szCs w:val="21"/>
              </w:rPr>
            </w:pPr>
            <w:r>
              <w:rPr>
                <w:rFonts w:hint="eastAsia"/>
                <w:spacing w:val="6"/>
                <w:sz w:val="21"/>
                <w:szCs w:val="21"/>
              </w:rPr>
              <w:t>860000</w:t>
            </w:r>
          </w:p>
        </w:tc>
      </w:tr>
      <w:bookmarkEnd w:id="152"/>
      <w:bookmarkEnd w:id="153"/>
      <w:bookmarkEnd w:id="154"/>
      <w:bookmarkEnd w:id="165"/>
      <w:bookmarkEnd w:id="166"/>
      <w:bookmarkEnd w:id="167"/>
    </w:tbl>
    <w:p>
      <w:pPr>
        <w:spacing w:line="500" w:lineRule="exact"/>
        <w:jc w:val="center"/>
        <w:rPr>
          <w:rFonts w:hint="eastAsia"/>
          <w:spacing w:val="6"/>
          <w:szCs w:val="28"/>
        </w:rPr>
      </w:pPr>
    </w:p>
    <w:p>
      <w:pPr>
        <w:sectPr>
          <w:endnotePr>
            <w:numFmt w:val="decimal"/>
          </w:endnotePr>
          <w:pgSz w:w="16838" w:h="11906" w:orient="landscape"/>
          <w:pgMar w:top="567" w:right="1440" w:bottom="567" w:left="1440" w:header="851" w:footer="992" w:gutter="0"/>
          <w:cols w:space="425" w:num="1"/>
          <w:docGrid w:linePitch="312" w:charSpace="0"/>
        </w:sectPr>
      </w:pPr>
    </w:p>
    <w:p>
      <w:pPr>
        <w:pStyle w:val="3"/>
      </w:pPr>
      <w:bookmarkStart w:id="168" w:name="_Toc263071777"/>
      <w:bookmarkStart w:id="169" w:name="_Toc265336555"/>
      <w:bookmarkStart w:id="170" w:name="_Toc304379421"/>
      <w:r>
        <w:t>6.2</w:t>
      </w:r>
      <w:bookmarkEnd w:id="168"/>
      <w:r>
        <w:t>资金来源与融资渠道</w:t>
      </w:r>
      <w:bookmarkEnd w:id="169"/>
      <w:bookmarkEnd w:id="170"/>
    </w:p>
    <w:p>
      <w:pPr>
        <w:pStyle w:val="32"/>
        <w:spacing w:before="0" w:beforeAutospacing="0" w:after="0" w:afterAutospacing="0" w:line="500" w:lineRule="exact"/>
        <w:ind w:firstLine="586" w:firstLineChars="200"/>
        <w:jc w:val="both"/>
        <w:rPr>
          <w:rFonts w:ascii="Times New Roman" w:hAnsi="Times New Roman" w:eastAsia="仿宋_GB2312"/>
          <w:b/>
          <w:spacing w:val="6"/>
          <w:sz w:val="28"/>
          <w:szCs w:val="28"/>
        </w:rPr>
      </w:pPr>
      <w:r>
        <w:rPr>
          <w:rFonts w:ascii="Times New Roman" w:hAnsi="Times New Roman" w:eastAsia="仿宋_GB2312"/>
          <w:b/>
          <w:spacing w:val="6"/>
          <w:sz w:val="28"/>
          <w:szCs w:val="28"/>
        </w:rPr>
        <w:t>（1）资金来源分析</w:t>
      </w:r>
    </w:p>
    <w:p>
      <w:pPr>
        <w:spacing w:line="500" w:lineRule="exact"/>
        <w:ind w:firstLine="584" w:firstLineChars="200"/>
        <w:rPr>
          <w:spacing w:val="6"/>
          <w:szCs w:val="28"/>
        </w:rPr>
      </w:pPr>
      <w:r>
        <w:rPr>
          <w:spacing w:val="6"/>
          <w:szCs w:val="28"/>
        </w:rPr>
        <w:t>十二五生态建设与环保规划作为一项涉及全市各个领域的系统工程，所需资金投入是巨大的，昆山市目前可以直接用于环保建设的资金有限，但这种基础性投入又是实施可持续发展战略所必须的。因此，建设过程中应当坚持多渠道筹措资金，全社会各尽所能，市场化滚动发展，才能保证重点项目建设顺利进行。在政府政策倾斜增加投入的同时，调节建设项目的收益分配，制定相应的回报政策刺激民间资本参与环保建设，实施投资渠道多元化战略，积极争取建设项目配套资金和专项资金，对规划的建设项目精心设计，争取国内外贷款等。资金主要来源包括社会化投入、以工代赈、国债、扶贫资金、试点示范专项资金等。</w:t>
      </w:r>
    </w:p>
    <w:p>
      <w:pPr>
        <w:spacing w:line="500" w:lineRule="exact"/>
        <w:ind w:firstLine="584" w:firstLineChars="200"/>
        <w:rPr>
          <w:spacing w:val="6"/>
          <w:szCs w:val="28"/>
        </w:rPr>
      </w:pPr>
      <w:r>
        <w:rPr>
          <w:spacing w:val="6"/>
          <w:szCs w:val="28"/>
        </w:rPr>
        <w:t>同时还应多渠道争取国家和省专项建设资金和贷款，努力引进国外资金和技术。各单位、各部门都要积极主动，争取上级部门的支持。根据国家政策优先支持的项目，应当给予特别优先。城乡环境建设工程一般坚持“谁收益，谁负担”的原则，采取单位与居民集资相结合的方法，辅助以城镇维扩建设费、基础设施配套费补助，对于大型基础项目，可以先积极争取国家贷款，再以上述方式偿还；在自然保护和生态恢复方面，凡涉及自然资源开发利用的建设项目，严格遵循“谁开发、谁付费”的原则，限制治理，资金以自筹为主。</w:t>
      </w:r>
    </w:p>
    <w:p>
      <w:pPr>
        <w:pStyle w:val="32"/>
        <w:spacing w:before="0" w:beforeAutospacing="0" w:after="0" w:afterAutospacing="0" w:line="500" w:lineRule="exact"/>
        <w:ind w:firstLine="586" w:firstLineChars="200"/>
        <w:jc w:val="both"/>
        <w:rPr>
          <w:rFonts w:ascii="Times New Roman" w:hAnsi="Times New Roman" w:eastAsia="仿宋_GB2312"/>
          <w:b/>
          <w:spacing w:val="6"/>
          <w:sz w:val="28"/>
          <w:szCs w:val="28"/>
        </w:rPr>
      </w:pPr>
      <w:r>
        <w:rPr>
          <w:rFonts w:ascii="Times New Roman" w:hAnsi="Times New Roman" w:eastAsia="仿宋_GB2312"/>
          <w:b/>
          <w:spacing w:val="6"/>
          <w:sz w:val="28"/>
          <w:szCs w:val="28"/>
        </w:rPr>
        <w:t>（2）融资渠道</w:t>
      </w:r>
    </w:p>
    <w:p>
      <w:pPr>
        <w:spacing w:line="500" w:lineRule="exact"/>
        <w:ind w:firstLine="584" w:firstLineChars="200"/>
        <w:rPr>
          <w:spacing w:val="6"/>
          <w:szCs w:val="28"/>
        </w:rPr>
      </w:pPr>
      <w:r>
        <w:rPr>
          <w:spacing w:val="6"/>
          <w:szCs w:val="28"/>
        </w:rPr>
        <w:t>昆山市十二五生态建设与环保规划需要大量的资金投入，为此必须坚持以改革的思路、用市场化的手段，建立多元化的投资融资机制，鼓励、支持和引导社会资金投向环保建设当中。昆山应根据项目的实际情况可以选择的融资方式有：</w:t>
      </w:r>
    </w:p>
    <w:p>
      <w:pPr>
        <w:spacing w:line="500" w:lineRule="exact"/>
        <w:ind w:firstLine="584" w:firstLineChars="200"/>
        <w:rPr>
          <w:spacing w:val="6"/>
          <w:szCs w:val="28"/>
        </w:rPr>
      </w:pPr>
      <w:r>
        <w:rPr>
          <w:spacing w:val="6"/>
          <w:szCs w:val="28"/>
        </w:rPr>
        <w:t>——BOT模式。利用民间资金或外资投资建设回报周期长的基础设施工程，同时解决本应由政府承担但因资金短缺而无法兴建的问题；</w:t>
      </w:r>
    </w:p>
    <w:p>
      <w:pPr>
        <w:spacing w:line="500" w:lineRule="exact"/>
        <w:ind w:firstLine="584" w:firstLineChars="200"/>
        <w:rPr>
          <w:spacing w:val="6"/>
          <w:szCs w:val="28"/>
        </w:rPr>
      </w:pPr>
      <w:r>
        <w:rPr>
          <w:spacing w:val="6"/>
          <w:szCs w:val="28"/>
        </w:rPr>
        <w:t>——TOT模式。TOT意为移交——经营——移交，是用民间资本或资金购买公益性资产的全部或部分产权或经营权，购买者在约定的时间内通过经营收回全部投资并取得合理的回报，再将所得到的产权或经营权无偿移交给原所有人，用于盘活城市现有的存量资本，筹集快速发展中急需的资金；</w:t>
      </w:r>
    </w:p>
    <w:p>
      <w:pPr>
        <w:spacing w:line="500" w:lineRule="exact"/>
        <w:ind w:firstLine="584" w:firstLineChars="200"/>
        <w:rPr>
          <w:spacing w:val="6"/>
          <w:szCs w:val="28"/>
        </w:rPr>
      </w:pPr>
      <w:r>
        <w:rPr>
          <w:spacing w:val="6"/>
          <w:szCs w:val="28"/>
        </w:rPr>
        <w:t>——ABS（即 ASSET BACKED SECURITIZATION）模式。ABS是以项目所拥有的资产为基础，通过在资本市场发行债券来筹集资金。这种方式能以较低的资金成本筹集到期限较长、规模较大的项目建设资金；</w:t>
      </w:r>
    </w:p>
    <w:p>
      <w:pPr>
        <w:spacing w:line="500" w:lineRule="exact"/>
        <w:ind w:firstLine="584" w:firstLineChars="200"/>
        <w:rPr>
          <w:spacing w:val="6"/>
          <w:szCs w:val="28"/>
        </w:rPr>
      </w:pPr>
      <w:r>
        <w:rPr>
          <w:spacing w:val="6"/>
          <w:szCs w:val="28"/>
        </w:rPr>
        <w:t>——债券融资。昆山可争取发行城市基础设施建设专项债券，筹集建设资金；</w:t>
      </w:r>
    </w:p>
    <w:p>
      <w:pPr>
        <w:spacing w:line="500" w:lineRule="exact"/>
        <w:ind w:firstLine="584" w:firstLineChars="200"/>
        <w:rPr>
          <w:spacing w:val="6"/>
          <w:szCs w:val="28"/>
        </w:rPr>
      </w:pPr>
      <w:r>
        <w:rPr>
          <w:spacing w:val="6"/>
          <w:szCs w:val="28"/>
        </w:rPr>
        <w:t>——国际低息融资方式。世界银行、亚洲开发银行、全球环境基金、联合国开发计划署等国际金融组织的贷款已占到我国环保利用外资总额的一半以上。昆山环境保护建设建设可以考虑利用国际金融组织对发展中国家的援助和信贷倾向于生态、环保领域的机遇，申请低息贷款；</w:t>
      </w:r>
    </w:p>
    <w:p>
      <w:pPr>
        <w:spacing w:line="500" w:lineRule="exact"/>
        <w:ind w:firstLine="584" w:firstLineChars="200"/>
        <w:rPr>
          <w:spacing w:val="6"/>
          <w:szCs w:val="28"/>
        </w:rPr>
      </w:pPr>
      <w:r>
        <w:rPr>
          <w:spacing w:val="6"/>
          <w:szCs w:val="28"/>
        </w:rPr>
        <w:t>——GEF（全球环境基金）。GEF主要是以赠款或其它形式的优惠资助，为受援国（包括发展中国家和部分经济转轨国家）提供关于气候变化、生物多样性、国际水域和臭氧层损耗4个领域及与相关的土地退化方面项目的资金支持；</w:t>
      </w:r>
    </w:p>
    <w:p>
      <w:pPr>
        <w:spacing w:line="500" w:lineRule="exact"/>
        <w:ind w:firstLine="584" w:firstLineChars="200"/>
        <w:rPr>
          <w:spacing w:val="6"/>
          <w:szCs w:val="28"/>
        </w:rPr>
      </w:pPr>
      <w:r>
        <w:rPr>
          <w:spacing w:val="6"/>
          <w:szCs w:val="28"/>
        </w:rPr>
        <w:t>——外国政府贷款。发达国家政府向发展中国家政府提供的援助性的长期优惠贷款，主要包括纯软贷款、混合贷款、赠款。资助领域主要集中在基础设施，社会发展和环境保护等领域；</w:t>
      </w:r>
    </w:p>
    <w:p>
      <w:pPr>
        <w:spacing w:line="500" w:lineRule="exact"/>
        <w:ind w:firstLine="584" w:firstLineChars="200"/>
        <w:rPr>
          <w:spacing w:val="6"/>
          <w:szCs w:val="28"/>
        </w:rPr>
      </w:pPr>
      <w:r>
        <w:rPr>
          <w:spacing w:val="6"/>
          <w:szCs w:val="28"/>
        </w:rPr>
        <w:t>——银行贴息间接支持重点项目。</w:t>
      </w:r>
    </w:p>
    <w:p>
      <w:pPr>
        <w:pStyle w:val="3"/>
      </w:pPr>
      <w:bookmarkStart w:id="171" w:name="_Toc55113850"/>
      <w:bookmarkStart w:id="172" w:name="_Toc55904546"/>
      <w:bookmarkStart w:id="173" w:name="_Toc58647937"/>
      <w:bookmarkStart w:id="174" w:name="_Toc142488472"/>
      <w:bookmarkStart w:id="175" w:name="_Toc229831844"/>
      <w:bookmarkStart w:id="176" w:name="_Toc144539975"/>
      <w:bookmarkStart w:id="177" w:name="_Toc242673379"/>
      <w:bookmarkStart w:id="178" w:name="_Toc242686699"/>
      <w:bookmarkStart w:id="179" w:name="_Toc265336556"/>
      <w:bookmarkStart w:id="180" w:name="_Toc304379422"/>
      <w:r>
        <w:t>6.3 效益分析</w:t>
      </w:r>
      <w:bookmarkEnd w:id="171"/>
      <w:bookmarkEnd w:id="172"/>
      <w:bookmarkEnd w:id="173"/>
      <w:bookmarkEnd w:id="174"/>
      <w:bookmarkEnd w:id="175"/>
      <w:bookmarkEnd w:id="176"/>
      <w:bookmarkEnd w:id="177"/>
      <w:bookmarkEnd w:id="178"/>
      <w:bookmarkEnd w:id="179"/>
      <w:bookmarkEnd w:id="180"/>
    </w:p>
    <w:p>
      <w:pPr>
        <w:pStyle w:val="4"/>
        <w:rPr>
          <w:rFonts w:ascii="Times New Roman" w:hAnsi="Times New Roman"/>
        </w:rPr>
      </w:pPr>
      <w:bookmarkStart w:id="181" w:name="_Toc55904547"/>
      <w:bookmarkStart w:id="182" w:name="_Toc58647938"/>
      <w:bookmarkStart w:id="183" w:name="_Toc55113851"/>
      <w:bookmarkStart w:id="184" w:name="_Toc242673380"/>
      <w:bookmarkStart w:id="185" w:name="_Toc265336557"/>
      <w:r>
        <w:rPr>
          <w:rFonts w:ascii="Times New Roman" w:hAnsi="Times New Roman"/>
        </w:rPr>
        <w:t>6.3.1经济效益分析</w:t>
      </w:r>
      <w:bookmarkEnd w:id="181"/>
      <w:bookmarkEnd w:id="182"/>
      <w:bookmarkEnd w:id="183"/>
      <w:bookmarkEnd w:id="184"/>
      <w:bookmarkEnd w:id="185"/>
    </w:p>
    <w:p>
      <w:pPr>
        <w:spacing w:line="500" w:lineRule="exact"/>
        <w:ind w:firstLine="560" w:firstLineChars="200"/>
      </w:pPr>
      <w:r>
        <w:t>（1）实现经济的可持续发展</w:t>
      </w:r>
    </w:p>
    <w:p>
      <w:pPr>
        <w:spacing w:line="500" w:lineRule="exact"/>
        <w:ind w:firstLine="560" w:firstLineChars="200"/>
      </w:pPr>
      <w:r>
        <w:t>在昆山经济总量和经济结构改善的同时，规划目标的实现，将使昆山经济发展对自然资源和能源的依赖程度进一步降低，不仅减少了经济发展的资源代价，也从根本上保证了昆山的特色风貌，为昆山产业结构的调整和经济的可持续发展奠定了基础。</w:t>
      </w:r>
    </w:p>
    <w:p>
      <w:pPr>
        <w:spacing w:line="500" w:lineRule="exact"/>
        <w:ind w:firstLine="560" w:firstLineChars="200"/>
      </w:pPr>
      <w:r>
        <w:t>通过调整资源配置状况，将全面提高昆山的资源配置效率，使昆山经济的发展在人力、财力和物力上得到充分的保证，在确保经济总量高速增长的同时，经济发展的质量也将会有大幅度的提升。随着规划各项建设指标的完成，整个社会和经济系统的运行效率将得到全面的加强和提高，经济系统将始终保持在高效、稳定的状态下运行，经济增长将从资源投入型向知识投入型转变，从简单的外延扩张型向深层次的内涵挖掘型转变，整个经济系统的投入产出比进一步提高，经济系统将走上高速、高效、低耗的可持续发展道路。</w:t>
      </w:r>
    </w:p>
    <w:p>
      <w:pPr>
        <w:spacing w:line="500" w:lineRule="exact"/>
        <w:ind w:firstLine="560" w:firstLineChars="200"/>
      </w:pPr>
      <w:r>
        <w:t>（2）增强投资吸引力</w:t>
      </w:r>
    </w:p>
    <w:p>
      <w:pPr>
        <w:spacing w:line="500" w:lineRule="exact"/>
        <w:ind w:firstLine="560" w:firstLineChars="200"/>
      </w:pPr>
      <w:r>
        <w:t>随着规划的实施，昆山的自然环境和人文环境将得到进一步的改善，从而在很大程度上优化投资环境，为昆山进一步吸引投资创造了良好的条件。从目前国内外资本投入的走向来看，投资将越来越集中于基础设施完善、配套服务健全和自然环境优良的地区。而生态环境质量差，严重影响投资环境，难以吸引国际知名的跨国公司投资。昆山环保规划的实施，将从整体上提高昆山的城市形象和国际知名度，使昆山成为江苏的一个经济增长亮点，从而为吸引更多的投资提供了条件。</w:t>
      </w:r>
    </w:p>
    <w:p>
      <w:pPr>
        <w:spacing w:line="500" w:lineRule="exact"/>
        <w:ind w:firstLine="560" w:firstLineChars="200"/>
      </w:pPr>
      <w:r>
        <w:t>由于高新技术对环境质量要求较高，环境污染将直接限制高新技术的发展，因此，昆山环保规划所实现的生态环境质量改善和产业生态化目标，将为昆山未来吸引绿色产业和高科技产业奠定基础，从根本上保证了昆山经济发展的可持续性，也将使昆山始终保持对投资者的吸引力度，成为江苏的投资热点之一，确保整个经济健康、持续、稳定地发展。</w:t>
      </w:r>
    </w:p>
    <w:p>
      <w:pPr>
        <w:spacing w:line="500" w:lineRule="exact"/>
        <w:ind w:firstLine="560" w:firstLineChars="200"/>
      </w:pPr>
      <w:r>
        <w:t>（3）减少生态环境破坏的经济损失</w:t>
      </w:r>
    </w:p>
    <w:p>
      <w:pPr>
        <w:spacing w:line="500" w:lineRule="exact"/>
        <w:ind w:firstLine="560" w:firstLineChars="200"/>
      </w:pPr>
      <w:r>
        <w:t>随着昆山生态环境的改善和环境质量的提高，将有效地减少生态破坏和环境污染所带来的对人体健康和社会活动的经济损失。从全国来看，根据有关专家的测算，从1992年到2001年间，环境污染每年造成的经济损失占GDP的4％～13％之间，而这种趋势在某些地区并没有得到有效的控制。</w:t>
      </w:r>
    </w:p>
    <w:p>
      <w:pPr>
        <w:spacing w:line="500" w:lineRule="exact"/>
        <w:ind w:firstLine="560" w:firstLineChars="200"/>
      </w:pPr>
      <w:r>
        <w:t>昆山环保规划的实施，将吸取其他地方发展中的经验和教训，在发展经济的同时，注重生态环境的保护，只有这样，才能够有效地避免上述种种由于生态环境污染和破坏所带来的经济损失，确保经济发展的质量和国民财富的增加。</w:t>
      </w:r>
    </w:p>
    <w:p>
      <w:pPr>
        <w:pStyle w:val="4"/>
        <w:rPr>
          <w:rFonts w:ascii="Times New Roman" w:hAnsi="Times New Roman"/>
        </w:rPr>
      </w:pPr>
      <w:bookmarkStart w:id="186" w:name="_Toc58647939"/>
      <w:bookmarkStart w:id="187" w:name="_Toc55904548"/>
      <w:bookmarkStart w:id="188" w:name="_Toc55113852"/>
      <w:bookmarkStart w:id="189" w:name="_Toc242673381"/>
      <w:bookmarkStart w:id="190" w:name="_Toc265336558"/>
      <w:r>
        <w:rPr>
          <w:rFonts w:ascii="Times New Roman" w:hAnsi="Times New Roman"/>
        </w:rPr>
        <w:t>6.3.2生态环境效益分析</w:t>
      </w:r>
      <w:bookmarkEnd w:id="186"/>
      <w:bookmarkEnd w:id="187"/>
      <w:bookmarkEnd w:id="188"/>
      <w:bookmarkEnd w:id="189"/>
      <w:bookmarkEnd w:id="190"/>
    </w:p>
    <w:p>
      <w:pPr>
        <w:spacing w:line="500" w:lineRule="exact"/>
        <w:ind w:firstLine="584" w:firstLineChars="200"/>
        <w:rPr>
          <w:spacing w:val="6"/>
          <w:szCs w:val="28"/>
        </w:rPr>
      </w:pPr>
      <w:r>
        <w:rPr>
          <w:spacing w:val="6"/>
          <w:szCs w:val="28"/>
        </w:rPr>
        <w:t>（1）资源循环利用效率得到极大提高</w:t>
      </w:r>
    </w:p>
    <w:p>
      <w:pPr>
        <w:spacing w:line="500" w:lineRule="exact"/>
        <w:ind w:firstLine="636" w:firstLineChars="218"/>
        <w:rPr>
          <w:szCs w:val="28"/>
        </w:rPr>
      </w:pPr>
      <w:r>
        <w:rPr>
          <w:spacing w:val="6"/>
          <w:szCs w:val="28"/>
        </w:rPr>
        <w:t>通过运用中水回用、分质供水等水循环利用技术原理，将极大地提高水循环利用率。规划实施后，区域工业用水重复利用率将由目前的78.5%提高到85%，冷却用水循环利用率达到95%；在新建住宅小区及污水处理厂推行中水回用试点工程后，中水回用率将达到10%。工业用水和生活污水循环利用率的极大提高，在减少新鲜水用量的同时减少了废水排放，减轻了水环境压力。</w:t>
      </w:r>
      <w:r>
        <w:rPr>
          <w:szCs w:val="28"/>
        </w:rPr>
        <w:t>通过污水处理设施和污水收集管网的建设，昆山的污水处理率将大幅度提高，能够有效削减工业生产和居民生活产生的污染负荷，从基础设施建设上能够保证污染物排放总量控制目标的落实。同时，到2015年，昆山市将建成较完善的中水回用系统，保证城市部分公共用水、居民部分生活用水、工业企业部分用水和湿地处理系统能够实现中水的资源化利用，大大降低入河的污染负荷量，对改善水域尤其是河网地区水质将起到重要作用。</w:t>
      </w:r>
    </w:p>
    <w:p>
      <w:pPr>
        <w:spacing w:line="500" w:lineRule="exact"/>
        <w:ind w:firstLine="618" w:firstLineChars="221"/>
        <w:rPr>
          <w:szCs w:val="28"/>
        </w:rPr>
      </w:pPr>
      <w:r>
        <w:rPr>
          <w:szCs w:val="28"/>
        </w:rPr>
        <w:t>另外，到2015年，昆山市通过河网生态修复、城市绿地生态建设和江滨湿地公园等工程建设，配合生态廊道的功能完善，将大大改善物种生存的水生态条件，明显提升昆山水环境承载能力，并形成独特的城市水生态景观。</w:t>
      </w:r>
    </w:p>
    <w:p>
      <w:pPr>
        <w:spacing w:line="500" w:lineRule="exact"/>
        <w:ind w:firstLine="478" w:firstLineChars="171"/>
        <w:rPr>
          <w:szCs w:val="28"/>
        </w:rPr>
      </w:pPr>
      <w:r>
        <w:rPr>
          <w:szCs w:val="28"/>
        </w:rPr>
        <w:t>（2）全面提高空气环境质量和固废污染处理水平</w:t>
      </w:r>
    </w:p>
    <w:p>
      <w:pPr>
        <w:spacing w:line="500" w:lineRule="exact"/>
        <w:ind w:firstLine="618" w:firstLineChars="221"/>
        <w:rPr>
          <w:szCs w:val="28"/>
        </w:rPr>
      </w:pPr>
      <w:r>
        <w:rPr>
          <w:szCs w:val="28"/>
        </w:rPr>
        <w:t>昆山拥有较多的火电厂和各种工业及民用锅炉，酸雨问题一直较为严重。本规划利用政策和法规措施的适度调节，最大限度的减少各企业中小型锅炉的使用量，实行大吨位锅炉联片集中供热，可以使中小型燃煤锅炉的脱硫效率低、处理费用高的问题得到解决，加之燃料结构的改进和脱硫装置的安装，能够有效地减少二氧化硫的排放；通过加强扬尘、烟尘、餐饮油烟的治理和控制，能够改善城市空气中能见度，提高了生活质量。环境效益和经济效益均十分显著。</w:t>
      </w:r>
    </w:p>
    <w:p>
      <w:pPr>
        <w:spacing w:line="500" w:lineRule="exact"/>
        <w:ind w:firstLine="200"/>
        <w:rPr>
          <w:szCs w:val="28"/>
        </w:rPr>
      </w:pPr>
      <w:r>
        <w:rPr>
          <w:szCs w:val="28"/>
        </w:rPr>
        <w:t>规划通过改善现有固体废物回收利用系统，并在全市逐步实施生活垃圾分类收集，对危险废物采取集中收集，集中处理，实现生活垃圾的减量化、资源化和无害化处理，将大大降低固体废弃物的危害并提高资源的利用效率。</w:t>
      </w:r>
    </w:p>
    <w:p>
      <w:pPr>
        <w:spacing w:line="500" w:lineRule="exact"/>
        <w:ind w:firstLine="478" w:firstLineChars="171"/>
        <w:rPr>
          <w:szCs w:val="28"/>
        </w:rPr>
      </w:pPr>
      <w:r>
        <w:rPr>
          <w:szCs w:val="28"/>
        </w:rPr>
        <w:t>（3）通过农村面源污染的防治，能够有效改善农村生态环境质量</w:t>
      </w:r>
    </w:p>
    <w:p>
      <w:pPr>
        <w:spacing w:line="500" w:lineRule="exact"/>
        <w:ind w:firstLine="618" w:firstLineChars="221"/>
        <w:rPr>
          <w:szCs w:val="28"/>
        </w:rPr>
      </w:pPr>
      <w:r>
        <w:rPr>
          <w:szCs w:val="28"/>
        </w:rPr>
        <w:t>通过防止和控制农作物污染及规模化畜禽渔养殖业污染，保障在不同的规划建设阶段，不断改善农业生态环境条件，成为昆山生态系统安全、健康、高效、持续发展的有力支撑。</w:t>
      </w:r>
    </w:p>
    <w:p>
      <w:pPr>
        <w:spacing w:line="500" w:lineRule="exact"/>
        <w:ind w:firstLine="478" w:firstLineChars="171"/>
        <w:rPr>
          <w:szCs w:val="28"/>
        </w:rPr>
      </w:pPr>
      <w:r>
        <w:rPr>
          <w:szCs w:val="28"/>
        </w:rPr>
        <w:t>（4）形成区域生态安全格局，提高并维护生物多样性</w:t>
      </w:r>
    </w:p>
    <w:p>
      <w:pPr>
        <w:spacing w:line="500" w:lineRule="exact"/>
        <w:ind w:firstLine="618" w:firstLineChars="221"/>
        <w:rPr>
          <w:szCs w:val="28"/>
        </w:rPr>
      </w:pPr>
      <w:r>
        <w:rPr>
          <w:szCs w:val="28"/>
        </w:rPr>
        <w:t>规划结合自然生态保护区、水源保护区、自然风景名胜区等大型自然斑块的管育，以及关键性自然生态廊道和节点的生态建设，将形成由三级生态廊道体系和重要生态节点构成的区域生态安全格局。保障昆山森林覆盖、水土流失防治、水资源保护等生态建设各相关指标得以圆满完成，野生动植物提供了更广阔、更通畅的生存活动空间，在改善区域生态面貌、为居民的休闲提供优美充足的场所、提高自然生态体系旅游、休闲服务价值的同时，使区域原本受到破坏的自然过程得以恢复，促进生态系统物种多样性和生境多样性的显著提高。</w:t>
      </w:r>
    </w:p>
    <w:p>
      <w:pPr>
        <w:spacing w:line="500" w:lineRule="exact"/>
        <w:ind w:firstLine="584" w:firstLineChars="200"/>
        <w:rPr>
          <w:spacing w:val="6"/>
          <w:szCs w:val="28"/>
        </w:rPr>
      </w:pPr>
      <w:r>
        <w:rPr>
          <w:spacing w:val="6"/>
          <w:szCs w:val="28"/>
        </w:rPr>
        <w:t>（5）工业固废循环利用效率显著增长</w:t>
      </w:r>
    </w:p>
    <w:p>
      <w:pPr>
        <w:spacing w:line="500" w:lineRule="exact"/>
        <w:ind w:firstLine="584" w:firstLineChars="200"/>
        <w:rPr>
          <w:spacing w:val="6"/>
          <w:szCs w:val="28"/>
        </w:rPr>
      </w:pPr>
      <w:r>
        <w:rPr>
          <w:spacing w:val="6"/>
          <w:szCs w:val="28"/>
        </w:rPr>
        <w:t>运用废物代谢原理构建废物链，初步建立区域固体废物污染防治的有效管理机制，使区域工业固体废物减量化、资源化、无害化水平得到明显提高。规划实施后，区域工业固废综合利用率达到90%。危险固体废物全部实现安全处理处置。此外，废纸、废塑料及废金属包装物等全部回收和再生利用。届时，区域将形成资源高效利用、污染物排放减少、生态环境优美的生态文明城市。</w:t>
      </w:r>
    </w:p>
    <w:p>
      <w:pPr>
        <w:pStyle w:val="4"/>
        <w:rPr>
          <w:rFonts w:ascii="Times New Roman" w:hAnsi="Times New Roman"/>
        </w:rPr>
      </w:pPr>
      <w:bookmarkStart w:id="191" w:name="_Toc55904549"/>
      <w:bookmarkStart w:id="192" w:name="_Toc58647940"/>
      <w:bookmarkStart w:id="193" w:name="_Toc265336559"/>
      <w:bookmarkStart w:id="194" w:name="_Toc55113853"/>
      <w:bookmarkStart w:id="195" w:name="_Toc242673382"/>
      <w:r>
        <w:rPr>
          <w:rFonts w:ascii="Times New Roman" w:hAnsi="Times New Roman"/>
        </w:rPr>
        <w:t>6.3.3社会效益分析</w:t>
      </w:r>
      <w:bookmarkEnd w:id="191"/>
      <w:bookmarkEnd w:id="192"/>
      <w:bookmarkEnd w:id="193"/>
      <w:bookmarkEnd w:id="194"/>
      <w:bookmarkEnd w:id="195"/>
    </w:p>
    <w:p>
      <w:pPr>
        <w:spacing w:line="500" w:lineRule="exact"/>
        <w:ind w:firstLine="560" w:firstLineChars="200"/>
      </w:pPr>
      <w:r>
        <w:t>（1）改善人居环境，促进居民生活质量的全面提高</w:t>
      </w:r>
    </w:p>
    <w:p>
      <w:pPr>
        <w:spacing w:line="500" w:lineRule="exact"/>
        <w:ind w:firstLine="560" w:firstLineChars="200"/>
      </w:pPr>
      <w:r>
        <w:t>规划将城区与其所在区域作为整体统一考虑、统一规划，通过城市与乡村要素在空间上的融合，实现城市与乡村在功能上的互补。创造既能充分利用和享受现代城市生活又具有自然和田园之美的理想家图。在中心城市内部，强调以人为本的城市景观建设，将通过对人工环境、开放空间(如公园、广场)、街道桥梁等连接点和自然要素(水系及城市绿地)的整合，在节约能源、资源，维护生物多样性安全，减少交通事故和空气污染的前提下，为居民提供便利的城市交通、舒适的生活空间。</w:t>
      </w:r>
    </w:p>
    <w:p>
      <w:pPr>
        <w:spacing w:line="500" w:lineRule="exact"/>
        <w:ind w:firstLine="560" w:firstLineChars="200"/>
      </w:pPr>
      <w:r>
        <w:t>（2）增强区域经济活力，提高综合竞争能力</w:t>
      </w:r>
    </w:p>
    <w:p>
      <w:pPr>
        <w:spacing w:line="500" w:lineRule="exact"/>
        <w:ind w:firstLine="560" w:firstLineChars="200"/>
      </w:pPr>
      <w:r>
        <w:t>只有将经济的发展建立在尊重自然生态规律的基础上，将污染和人类活动强度控制在环境容量和生态承载力的限度之内，节约并高效利用资源和能源、相应地改善社会管理机制，区域的可持续发展才能实现、通过生态建设和环境保护规划的实施，建设一个以人为本，经济、社会、自然环境三者协调均衡发展的城市，不仅有助于城市知名度的提高，而且有助于提高区域的运行效率和经济活力，有助于增强集聚和辐射能力，消除长期以来发展与环境之间的尖锐冲突，使区域经济发展永保生机和活力，在吸引人才、技术、资金等方面提高昆山市的综合竞争力。</w:t>
      </w:r>
    </w:p>
    <w:p>
      <w:pPr>
        <w:spacing w:line="500" w:lineRule="exact"/>
        <w:ind w:firstLine="560" w:firstLineChars="200"/>
      </w:pPr>
      <w:r>
        <w:t>（3）带动生产、生活消费品位的提高</w:t>
      </w:r>
    </w:p>
    <w:p>
      <w:pPr>
        <w:spacing w:line="500" w:lineRule="exact"/>
        <w:ind w:firstLine="560" w:firstLineChars="200"/>
        <w:sectPr>
          <w:endnotePr>
            <w:numFmt w:val="decimal"/>
          </w:endnotePr>
          <w:pgSz w:w="11906" w:h="16838"/>
          <w:pgMar w:top="1440" w:right="1797" w:bottom="1440" w:left="1797" w:header="851" w:footer="992" w:gutter="0"/>
          <w:cols w:space="425" w:num="1"/>
          <w:docGrid w:linePitch="312" w:charSpace="0"/>
        </w:sectPr>
      </w:pPr>
      <w:r>
        <w:t>通过规划的实施，将为全面、根本地解决区域污染问题，节约资源和能源，以及提高企业的竞争力等提供支持，促进昆山产业改变过去高能耗、高物耗的经济增长模式，走出一条科技含量高、资源消耗低、环境污染少、生态效益高的新型产业化道路，实现社会、经济和环境的协调发展。</w:t>
      </w:r>
    </w:p>
    <w:bookmarkEnd w:id="127"/>
    <w:bookmarkEnd w:id="148"/>
    <w:p>
      <w:pPr>
        <w:pStyle w:val="2"/>
        <w:jc w:val="both"/>
        <w:rPr>
          <w:rFonts w:ascii="Times New Roman" w:hAnsi="Times New Roman"/>
        </w:rPr>
      </w:pPr>
      <w:bookmarkStart w:id="196" w:name="_Toc265336560"/>
      <w:bookmarkStart w:id="197" w:name="_Toc103775130"/>
      <w:bookmarkStart w:id="198" w:name="_Toc304379423"/>
      <w:bookmarkStart w:id="199" w:name="_Toc263071886"/>
      <w:r>
        <w:rPr>
          <w:rFonts w:ascii="Times New Roman" w:hAnsi="Times New Roman"/>
        </w:rPr>
        <w:t>7 规划落实与保障措施</w:t>
      </w:r>
      <w:bookmarkEnd w:id="196"/>
      <w:bookmarkEnd w:id="197"/>
      <w:bookmarkEnd w:id="198"/>
      <w:bookmarkEnd w:id="199"/>
    </w:p>
    <w:p>
      <w:pPr>
        <w:spacing w:line="500" w:lineRule="exact"/>
        <w:ind w:firstLine="560" w:firstLineChars="200"/>
      </w:pPr>
      <w:bookmarkStart w:id="200" w:name="_Toc207860321"/>
      <w:bookmarkStart w:id="201" w:name="_Toc208935969"/>
      <w:bookmarkStart w:id="202" w:name="_Toc193896829"/>
      <w:bookmarkStart w:id="203" w:name="_Toc194289407"/>
      <w:bookmarkStart w:id="204" w:name="_Toc193897218"/>
      <w:bookmarkStart w:id="205" w:name="_Toc194287563"/>
      <w:bookmarkStart w:id="206" w:name="_Toc194289901"/>
      <w:r>
        <w:t>“十二五”环保规划的实施需要社会、经济、环境各个部门进行观念的创新、制度的创新、体制的创新，用全新的视角和手段对其进行综合的、全方位的管理，通过对权利、义务、责任和程序的有效安排，通过加强政府的宏观管理和间接调控，建立综合决策和管理机制和推动公共参与，从而为规划实施创造良好环境和支撑保障。规划的实施需要相应的内部和外部的条件作为保障，这些保障措施包括规划的组织机构、管理制度、经济手段、监管体系和技术支撑等方面。</w:t>
      </w:r>
    </w:p>
    <w:p>
      <w:pPr>
        <w:pStyle w:val="3"/>
        <w:rPr>
          <w:kern w:val="0"/>
        </w:rPr>
      </w:pPr>
      <w:bookmarkStart w:id="207" w:name="_Toc265336561"/>
      <w:bookmarkStart w:id="208" w:name="_Toc304379424"/>
      <w:bookmarkStart w:id="209" w:name="_Toc242686702"/>
      <w:bookmarkStart w:id="210" w:name="_Toc242673393"/>
      <w:r>
        <w:rPr>
          <w:kern w:val="0"/>
        </w:rPr>
        <w:t>7.1</w:t>
      </w:r>
      <w:bookmarkEnd w:id="200"/>
      <w:bookmarkEnd w:id="201"/>
      <w:r>
        <w:rPr>
          <w:kern w:val="0"/>
        </w:rPr>
        <w:t>组织管理保障</w:t>
      </w:r>
      <w:bookmarkEnd w:id="207"/>
      <w:bookmarkEnd w:id="208"/>
      <w:bookmarkEnd w:id="209"/>
      <w:bookmarkEnd w:id="210"/>
    </w:p>
    <w:p>
      <w:pPr>
        <w:spacing w:line="500" w:lineRule="exact"/>
        <w:ind w:firstLine="560" w:firstLineChars="200"/>
      </w:pPr>
      <w:r>
        <w:t>“十二五”环保规划的实施是一项综合性系统工程，涉及昆山市经济社会的方方面面，要加大领导和统筹力度，根据进度目标进行全方位的监督、检查、协调和考核。各级有关部门要成立相应组织机构，形成市委、市政府统一领导，各镇分级实施，各部门相互协调，上下良性互动的推进机制。坚持高度重视“十二五”环保规划实施工作，抓工作部署，抓督促检查，形成层层抓落实的良好局面。</w:t>
      </w:r>
    </w:p>
    <w:p>
      <w:pPr>
        <w:spacing w:line="500" w:lineRule="exact"/>
        <w:ind w:firstLine="560" w:firstLineChars="200"/>
      </w:pPr>
      <w:r>
        <w:t>建议由市政府统一协调，政府各部门具体负责实施，负责项目的立项、规划和建设等工作，及时研究、解决“十二五”环保规划实施中遇到的新问题，协调各方利益，争取国家、省、市以及有关部门强有力的支持，将本规划更好地纳入国民经济及社会发展规划。</w:t>
      </w:r>
    </w:p>
    <w:p>
      <w:pPr>
        <w:pStyle w:val="3"/>
        <w:rPr>
          <w:kern w:val="0"/>
        </w:rPr>
      </w:pPr>
      <w:bookmarkStart w:id="211" w:name="_Toc242673396"/>
      <w:bookmarkStart w:id="212" w:name="_Toc207860325"/>
      <w:bookmarkStart w:id="213" w:name="_Toc242686705"/>
      <w:bookmarkStart w:id="214" w:name="_Toc265336564"/>
      <w:bookmarkStart w:id="215" w:name="_Toc304379425"/>
      <w:bookmarkStart w:id="216" w:name="_Toc208935973"/>
      <w:bookmarkStart w:id="217" w:name="_Toc208935970"/>
      <w:bookmarkStart w:id="218" w:name="_Toc207860322"/>
      <w:bookmarkStart w:id="219" w:name="_Toc242686703"/>
      <w:bookmarkStart w:id="220" w:name="_Toc242673394"/>
      <w:bookmarkStart w:id="221" w:name="_Toc265336562"/>
      <w:r>
        <w:rPr>
          <w:kern w:val="0"/>
        </w:rPr>
        <w:t>7.2资金投入保障</w:t>
      </w:r>
      <w:bookmarkEnd w:id="211"/>
      <w:bookmarkEnd w:id="212"/>
      <w:bookmarkEnd w:id="213"/>
      <w:bookmarkEnd w:id="214"/>
      <w:bookmarkEnd w:id="215"/>
      <w:bookmarkEnd w:id="216"/>
    </w:p>
    <w:p>
      <w:pPr>
        <w:spacing w:line="500" w:lineRule="exact"/>
        <w:ind w:firstLine="560" w:firstLineChars="200"/>
      </w:pPr>
      <w:r>
        <w:t>加大环保建设的投入，完善环保建设相关资金管理体制，统筹运用预算内外投入生态环境领域的资金，使环保建设资金真正落到实处；建立和完善多元化的投融资渠道，鼓励和支持社会资金投向环保建设。</w:t>
      </w:r>
    </w:p>
    <w:p>
      <w:pPr>
        <w:spacing w:line="500" w:lineRule="exact"/>
        <w:ind w:firstLine="560" w:firstLineChars="200"/>
      </w:pPr>
      <w:r>
        <w:t>增加政府投入。用于发展城镇污水处理、垃圾处置、清洁能源等与生态文明建设相关的公益事业。市财政每年安排一定的引导资金，并逐年有所增加，用于启动发展生态产业、生态环境、文教设施等重点示范项目。</w:t>
      </w:r>
    </w:p>
    <w:p>
      <w:pPr>
        <w:spacing w:line="500" w:lineRule="exact"/>
        <w:ind w:firstLine="560" w:firstLineChars="200"/>
      </w:pPr>
      <w:r>
        <w:t>继续制定并完善各种经济政策，鼓励和引导企业和公众参与环保建设；推进垃圾、污水集中处理和环保设施的市场化运作；积极引进、鼓励和支持有利于环保建设的项目；采取更灵活的政策，充分发挥市场机制在生态资源配置中的作用。</w:t>
      </w:r>
    </w:p>
    <w:p>
      <w:pPr>
        <w:spacing w:line="500" w:lineRule="exact"/>
        <w:ind w:firstLine="560" w:firstLineChars="200"/>
      </w:pPr>
      <w:r>
        <w:t>引导企业和社会资金投入。制定因势利导政策，引导企业加大节能减排力度，筹集资金发展生态经济。动员社会力量广泛参与，引导社会资金投向生态建设和环保项目，定期公布环保建设项目融资意向。</w:t>
      </w:r>
    </w:p>
    <w:p>
      <w:pPr>
        <w:pStyle w:val="3"/>
        <w:rPr>
          <w:kern w:val="0"/>
        </w:rPr>
      </w:pPr>
      <w:bookmarkStart w:id="222" w:name="_Toc304379426"/>
      <w:r>
        <w:rPr>
          <w:kern w:val="0"/>
        </w:rPr>
        <w:t>7.3政策制度保障</w:t>
      </w:r>
      <w:bookmarkEnd w:id="217"/>
      <w:bookmarkEnd w:id="218"/>
      <w:bookmarkEnd w:id="219"/>
      <w:bookmarkEnd w:id="220"/>
      <w:bookmarkEnd w:id="221"/>
      <w:bookmarkEnd w:id="222"/>
    </w:p>
    <w:p>
      <w:pPr>
        <w:spacing w:line="500" w:lineRule="exact"/>
        <w:ind w:firstLine="560" w:firstLineChars="200"/>
      </w:pPr>
      <w:r>
        <w:t>市政府牵头，协调环境保护和生态建设各相关部门的职能和任务，突出环保部门的统一监管地位，在现行环境管理体制的基础上，以生态文明建设为契机，构建跨部门跨行业的协调机制，建立环境保护与生态建设的综合决策机制和部门信息共享和联动机制，进一步完善政府主导、市场推进、公众参与的环境保护新机制，完善领导干部环保政绩考核制度和官员环境责任追究机制，把生态建设与环保规划纳入政府经济和社会发展的长远规划和年度计划中。各相关机构要严格按照规划要求制定本辖区和本部门的具体实施计划，各司其职，精心组织实施。</w:t>
      </w:r>
    </w:p>
    <w:p>
      <w:pPr>
        <w:spacing w:line="500" w:lineRule="exact"/>
        <w:ind w:firstLine="560" w:firstLineChars="200"/>
      </w:pPr>
      <w:r>
        <w:t>通过政策法规培育市场机制，首先，推进排污权交易制度的改革，建议建立排污权集中交易市场，扩大交易中介机构的业务范围，同时增强排污权的流通性，允许排污权储存、借贷，以推进不同时点上排污权交易，促进环境资源的合理配置。其次，试行企业将资源利用率和生态效益及环境代价列入成本核算，进行生态环境经济效益分析，通过国家制订相关“绿色会计”制度和准则，在社会企业层面大力推行“绿色会计”制度。</w:t>
      </w:r>
    </w:p>
    <w:p>
      <w:pPr>
        <w:spacing w:line="500" w:lineRule="exact"/>
        <w:ind w:firstLine="560" w:firstLineChars="200"/>
      </w:pPr>
      <w:r>
        <w:t>制定废物管理及循环利用、水资源管理及循环利用的相关政策，促进和规范开发区废物和水的循环利用；建立健全各类废物回收制度，明确工业废物和产品包装物由生产企业负责回收，建筑废物由建设施工单位负责回收；制定充分利用废物资源的经济政策，在税收和投资等环节对废物回收采取经济激励措施；在交通、能源和绿色建筑、绿化、环境系统方面，制定相关政策，推进区域基础设施生态化改造；各工业园对入区企业进行绿色招商评价，高起点、高标准和高层次地引进绿色企业，重点引进补链企业，形成多产品多链条的生态工业网状结构；制定发展环保产业和生态工业、循环经济的扶持政策和措施，通过财政、税收、管理等手段，限制传统的污染行业发展，鼓励环保产业、高新技术产业和生态型产业的发展，提升产业发展水平。</w:t>
      </w:r>
      <w:bookmarkEnd w:id="202"/>
      <w:bookmarkEnd w:id="203"/>
      <w:bookmarkEnd w:id="204"/>
      <w:bookmarkEnd w:id="205"/>
      <w:bookmarkEnd w:id="206"/>
      <w:bookmarkStart w:id="223" w:name="_Toc242673399"/>
      <w:bookmarkStart w:id="224" w:name="_Toc242686708"/>
      <w:bookmarkStart w:id="225" w:name="_Toc265336567"/>
    </w:p>
    <w:p>
      <w:pPr>
        <w:pStyle w:val="3"/>
        <w:rPr>
          <w:kern w:val="0"/>
          <w:szCs w:val="32"/>
        </w:rPr>
      </w:pPr>
      <w:bookmarkStart w:id="226" w:name="_Toc304379427"/>
      <w:r>
        <w:rPr>
          <w:kern w:val="0"/>
        </w:rPr>
        <w:t>7.4执法监管保障</w:t>
      </w:r>
      <w:bookmarkEnd w:id="226"/>
    </w:p>
    <w:p>
      <w:pPr>
        <w:spacing w:line="500" w:lineRule="exact"/>
        <w:ind w:firstLine="560" w:firstLineChars="200"/>
      </w:pPr>
      <w:r>
        <w:t>创新传统环境问题相关配套法规规章政策。开展政策环评、生态补偿、排污许可证实施、排污权交易、危险废物管理、土壤污染防治、污染物排放总量控制和削减等方面的配套法规规章政策的制定。</w:t>
      </w:r>
    </w:p>
    <w:p>
      <w:pPr>
        <w:spacing w:line="500" w:lineRule="exact"/>
        <w:ind w:firstLine="560" w:firstLineChars="200"/>
      </w:pPr>
      <w:r>
        <w:t>健全环境污染管理体系。完善并严格实施污染物排放标准，增加非常规污染物的控制标准、优先控制污染物名录，推行排污者环保诚信和企业环境信息公开制度。</w:t>
      </w:r>
    </w:p>
    <w:p>
      <w:pPr>
        <w:spacing w:line="500" w:lineRule="exact"/>
        <w:ind w:firstLine="560" w:firstLineChars="200"/>
      </w:pPr>
      <w:r>
        <w:t>加强新型人居环境问题政策支撑。制定电子废弃物回收再利用制度和配套政策。制定碳审计相关标准与规范和保障性住房与住宅产业化政策。</w:t>
      </w:r>
    </w:p>
    <w:p>
      <w:pPr>
        <w:pStyle w:val="3"/>
        <w:rPr>
          <w:kern w:val="0"/>
        </w:rPr>
      </w:pPr>
      <w:bookmarkStart w:id="227" w:name="_Toc304379428"/>
      <w:r>
        <w:rPr>
          <w:kern w:val="0"/>
        </w:rPr>
        <w:t>7.5环境科技保障</w:t>
      </w:r>
      <w:bookmarkEnd w:id="227"/>
    </w:p>
    <w:p>
      <w:pPr>
        <w:spacing w:line="500" w:lineRule="exact"/>
        <w:ind w:firstLine="560" w:firstLineChars="200"/>
      </w:pPr>
      <w:r>
        <w:t>以明确定位引领环保产业发展。将环保产业列入昆山市优先发展的产业领域。</w:t>
      </w:r>
    </w:p>
    <w:p>
      <w:pPr>
        <w:spacing w:line="500" w:lineRule="exact"/>
        <w:ind w:firstLine="560" w:firstLineChars="200"/>
      </w:pPr>
      <w:r>
        <w:t>以金融支撑推动环保产业发展。鼓励多渠道增加环保产业的投入，出台相关金融扶持政策和税收优惠策，鼓励环保企业进行资本市场融资，鼓励社会资本、外资、民间资金投入环保产业，争取国际金融机构贷款和外国政府优惠贷款。</w:t>
      </w:r>
    </w:p>
    <w:p>
      <w:pPr>
        <w:spacing w:line="500" w:lineRule="exact"/>
        <w:ind w:firstLine="560" w:firstLineChars="200"/>
      </w:pPr>
      <w:r>
        <w:t>提升行业公共平台水平，构建环保产业可持续发展的技术支撑体系，以技术创新撬动环保产业发展。推动建立以企业为主体、产学研相结合的环保技术创新与成果转化体系。</w:t>
      </w:r>
    </w:p>
    <w:p>
      <w:pPr>
        <w:spacing w:line="500" w:lineRule="exact"/>
        <w:ind w:firstLine="560" w:firstLineChars="200"/>
      </w:pPr>
      <w:r>
        <w:t>以市场规范保障环保产业发展。培育和规范环保产业市场，建立健全环保监督的诚信机制。</w:t>
      </w:r>
    </w:p>
    <w:p>
      <w:pPr>
        <w:spacing w:line="500" w:lineRule="exact"/>
        <w:ind w:firstLine="560" w:firstLineChars="200"/>
      </w:pPr>
      <w:r>
        <w:t>以现代服务提升环保产业发展。重点扶持和培育一批从事环保技术评估、环保技术咨询、环保技术交易、环保成果推广应用等的环保中介服务机构。</w:t>
      </w:r>
    </w:p>
    <w:p>
      <w:pPr>
        <w:spacing w:line="500" w:lineRule="exact"/>
        <w:ind w:firstLine="560" w:firstLineChars="200"/>
      </w:pPr>
      <w:r>
        <w:t>昆山市“十二五”环保规划及生态建设的实施离不开科技和人才，技术的引进、应用、孵化、吸收，人才的吸引、培养、锻炼、提高是环保建设的重要基础。要以十二五环保规划及生态文明建设工作为契机，抓紧培养、引进相应的人才，选择一些业务骨干定期学习培训，提高业务素质，使管理水平和服务质量规范化、程序化和标准化。</w:t>
      </w:r>
    </w:p>
    <w:p>
      <w:pPr>
        <w:spacing w:line="500" w:lineRule="exact"/>
        <w:ind w:firstLine="560" w:firstLineChars="200"/>
      </w:pPr>
      <w:r>
        <w:t>加强对科研研究的资金扶持，制定优惠政策，吸引高等院校、科研院所等研究机构在昆山建立研究基地，加强科研创新能力建设，重点支持新能源、新材料等低碳产业技术研发，积极推进科技成果转化。</w:t>
      </w:r>
    </w:p>
    <w:p>
      <w:pPr>
        <w:spacing w:line="500" w:lineRule="exact"/>
        <w:ind w:firstLine="560" w:firstLineChars="200"/>
      </w:pPr>
      <w:r>
        <w:t>加大对企业技术改造的扶持力度，在信贷、税收、财政等方面对高新技术企业予以倾斜，鼓励企业加大自主研发力度，不断改进生产工艺，淘汰落后生产工艺。</w:t>
      </w:r>
    </w:p>
    <w:p>
      <w:pPr>
        <w:spacing w:line="500" w:lineRule="exact"/>
        <w:ind w:firstLine="560" w:firstLineChars="200"/>
      </w:pPr>
      <w:r>
        <w:t>完善社会技术服务体系建设，积极为企业开展技术服务，引导企业采用新技术、新工艺。建立高新技术转化和转让的服务基地，发挥政府的行政指导和行政服务职能，促进高新技术得以合理转化及运用。</w:t>
      </w:r>
    </w:p>
    <w:p>
      <w:pPr>
        <w:pStyle w:val="3"/>
        <w:rPr>
          <w:kern w:val="0"/>
        </w:rPr>
      </w:pPr>
      <w:bookmarkStart w:id="228" w:name="_Toc304379429"/>
      <w:r>
        <w:rPr>
          <w:kern w:val="0"/>
        </w:rPr>
        <w:t>7.6宣传教育保障</w:t>
      </w:r>
      <w:bookmarkEnd w:id="223"/>
      <w:bookmarkEnd w:id="224"/>
      <w:bookmarkEnd w:id="225"/>
      <w:bookmarkEnd w:id="228"/>
    </w:p>
    <w:p>
      <w:pPr>
        <w:spacing w:line="500" w:lineRule="exact"/>
        <w:ind w:firstLine="560" w:firstLineChars="200"/>
      </w:pPr>
      <w:r>
        <w:t>通过举办和组织各类形式的学习和培训，让各级领导干部和党员深入领会生态文明的精神实质，进一步认识到建设生态文明的重要意义，牢固树立生态文明的思想观念和指导思想，使生态文明成为一种信念、一种立场、一种自觉地行为方式，进一步增强建设生态文明的信心和决心。在生态文明建设中，不断提高完成指标任务的自觉性和主动性。</w:t>
      </w:r>
    </w:p>
    <w:p>
      <w:pPr>
        <w:spacing w:line="500" w:lineRule="exact"/>
        <w:ind w:firstLine="560" w:firstLineChars="200"/>
      </w:pPr>
      <w:r>
        <w:t>加强宣传教育。重视环保建设宣传教育，把宣传教育工作作为环保规划与生态建设的重要组成部分。编印环境保护市民手册和中小学读本，开展与环保规划和生态建设相关的各类群众活动等。充分利用广播、电视、报刊和网络等新闻媒体，广泛开展生态建设的舆论宣传和科普宣传，提高全民的环保素质，发展生态文化，弘扬“昆山精神”。</w:t>
      </w:r>
    </w:p>
    <w:p>
      <w:pPr>
        <w:spacing w:line="500" w:lineRule="exact"/>
        <w:ind w:firstLine="560" w:firstLineChars="200"/>
      </w:pPr>
      <w:r>
        <w:t>营造浓厚氛围。大力营造生态建设的浓厚舆论氛围。各机关、学校、企事业单位、街道、社区充分利用广播、黑板报、宣传栏等各种宣传阵地，大力宣传生态建设的目标、意义和要求。各部门、各单位要精心策划和组织形式多样的活动，动员广大市民投身建设生态文明中去，努力形成全社会关心、支持、参与生态文明建设的局面。</w:t>
      </w:r>
    </w:p>
    <w:p/>
    <w:sectPr>
      <w:endnotePr>
        <w:numFmt w:val="decimal"/>
      </w:endnotePr>
      <w:pgSz w:w="11906" w:h="16838"/>
      <w:pgMar w:top="1440" w:right="1797" w:bottom="1440" w:left="1797" w:header="851" w:footer="992"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Arial Unicode MS">
    <w:altName w:val="Arial"/>
    <w:panose1 w:val="020B0604020202020204"/>
    <w:charset w:val="00"/>
    <w:family w:val="roman"/>
    <w:pitch w:val="default"/>
    <w:sig w:usb0="00000003" w:usb1="00000000" w:usb2="00000000" w:usb3="00000000" w:csb0="00000001" w:csb1="00000000"/>
  </w:font>
  <w:font w:name="ˎ̥">
    <w:altName w:val="Times New Roman"/>
    <w:panose1 w:val="00000000000000000000"/>
    <w:charset w:val="00"/>
    <w:family w:val="roman"/>
    <w:pitch w:val="default"/>
    <w:sig w:usb0="00000000" w:usb1="00000000" w:usb2="00000000" w:usb3="00000000" w:csb0="00040001" w:csb1="00000000"/>
  </w:font>
  <w:font w:name="Arial">
    <w:panose1 w:val="020B0604020202020204"/>
    <w:charset w:val="00"/>
    <w:family w:val="swiss"/>
    <w:pitch w:val="default"/>
    <w:sig w:usb0="E0002EFF" w:usb1="C000785B" w:usb2="00000009" w:usb3="00000000" w:csb0="400001FF" w:csb1="FFFF0000"/>
  </w:font>
  <w:font w:name="Verdana">
    <w:panose1 w:val="020B0604030504040204"/>
    <w:charset w:val="00"/>
    <w:family w:val="swiss"/>
    <w:pitch w:val="default"/>
    <w:sig w:usb0="A00006FF" w:usb1="4000205B" w:usb2="00000010" w:usb3="00000000" w:csb0="2000019F" w:csb1="00000000"/>
  </w:font>
  <w:font w:name="楷体_GB2312">
    <w:altName w:val="楷体"/>
    <w:panose1 w:val="02010609030101010101"/>
    <w:charset w:val="86"/>
    <w:family w:val="modern"/>
    <w:pitch w:val="default"/>
    <w:sig w:usb0="00000001" w:usb1="080E0000" w:usb2="00000010" w:usb3="00000000" w:csb0="00040000" w:csb1="00000000"/>
  </w:font>
  <w:font w:name="Tahoma">
    <w:panose1 w:val="020B0604030504040204"/>
    <w:charset w:val="00"/>
    <w:family w:val="swiss"/>
    <w:pitch w:val="default"/>
    <w:sig w:usb0="E1002EFF" w:usb1="C000605B" w:usb2="00000029" w:usb3="00000000" w:csb0="200101FF" w:csb1="20280000"/>
  </w:font>
  <w:font w:name="Swis721 Lt BT">
    <w:altName w:val="Yu Gothic UI Semilight"/>
    <w:panose1 w:val="020B0403020202020204"/>
    <w:charset w:val="00"/>
    <w:family w:val="swiss"/>
    <w:pitch w:val="default"/>
    <w:sig w:usb0="00000087" w:usb1="00000000" w:usb2="00000000" w:usb3="00000000" w:csb0="0000001B" w:csb1="00000000"/>
  </w:font>
  <w:font w:name="方正楷体_GBK">
    <w:altName w:val="微软雅黑"/>
    <w:panose1 w:val="03000509000000000000"/>
    <w:charset w:val="86"/>
    <w:family w:val="script"/>
    <w:pitch w:val="default"/>
    <w:sig w:usb0="00000001" w:usb1="080E0000" w:usb2="00000010" w:usb3="00000000" w:csb0="00040000" w:csb1="00000000"/>
  </w:font>
  <w:font w:name="华文中宋">
    <w:altName w:val="宋体"/>
    <w:panose1 w:val="02010600040101010101"/>
    <w:charset w:val="86"/>
    <w:family w:val="auto"/>
    <w:pitch w:val="default"/>
    <w:sig w:usb0="00000287" w:usb1="080F0000" w:usb2="00000010" w:usb3="00000000" w:csb0="0004009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framePr w:wrap="around" w:vAnchor="text" w:hAnchor="margin" w:xAlign="center" w:y="1"/>
      <w:jc w:val="right"/>
      <w:rPr>
        <w:rStyle w:val="39"/>
        <w:rFonts w:hint="eastAsia"/>
      </w:rPr>
    </w:pPr>
  </w:p>
  <w:p>
    <w:pPr>
      <w:pStyle w:val="20"/>
      <w:ind w:right="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framePr w:wrap="around" w:vAnchor="text" w:hAnchor="margin" w:xAlign="center" w:y="1"/>
      <w:rPr>
        <w:rStyle w:val="39"/>
      </w:rPr>
    </w:pPr>
    <w:r>
      <w:rPr>
        <w:rStyle w:val="39"/>
      </w:rPr>
      <w:fldChar w:fldCharType="begin"/>
    </w:r>
    <w:r>
      <w:rPr>
        <w:rStyle w:val="39"/>
      </w:rPr>
      <w:instrText xml:space="preserve">PAGE  </w:instrText>
    </w:r>
    <w:r>
      <w:rPr>
        <w:rStyle w:val="39"/>
      </w:rPr>
      <w:fldChar w:fldCharType="end"/>
    </w:r>
  </w:p>
  <w:p>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framePr w:wrap="around" w:vAnchor="text" w:hAnchor="margin" w:xAlign="center" w:y="1"/>
      <w:jc w:val="center"/>
      <w:rPr>
        <w:rStyle w:val="39"/>
      </w:rPr>
    </w:pPr>
    <w:r>
      <w:rPr>
        <w:rStyle w:val="39"/>
      </w:rPr>
      <w:fldChar w:fldCharType="begin"/>
    </w:r>
    <w:r>
      <w:rPr>
        <w:rStyle w:val="39"/>
      </w:rPr>
      <w:instrText xml:space="preserve">PAGE  </w:instrText>
    </w:r>
    <w:r>
      <w:rPr>
        <w:rStyle w:val="39"/>
      </w:rPr>
      <w:fldChar w:fldCharType="separate"/>
    </w:r>
    <w:r>
      <w:rPr>
        <w:rStyle w:val="39"/>
        <w:lang/>
      </w:rPr>
      <w:t>36</w:t>
    </w:r>
    <w:r>
      <w:rPr>
        <w:rStyle w:val="39"/>
      </w:rPr>
      <w:fldChar w:fldCharType="end"/>
    </w:r>
  </w:p>
  <w:p>
    <w:pPr>
      <w:pStyle w:val="20"/>
      <w:framePr w:wrap="around" w:vAnchor="text" w:hAnchor="margin" w:xAlign="center" w:y="1"/>
      <w:jc w:val="right"/>
      <w:rPr>
        <w:rStyle w:val="39"/>
        <w:rFonts w:hint="eastAsia"/>
      </w:rPr>
    </w:pPr>
  </w:p>
  <w:p>
    <w:pPr>
      <w:pStyle w:val="20"/>
      <w:ind w:right="360"/>
      <w:jc w:val="center"/>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framePr w:wrap="around" w:vAnchor="text" w:hAnchor="margin" w:xAlign="center" w:y="1"/>
      <w:jc w:val="right"/>
      <w:rPr>
        <w:rStyle w:val="39"/>
        <w:rFonts w:hint="eastAsia"/>
      </w:rPr>
    </w:pPr>
  </w:p>
  <w:p>
    <w:pPr>
      <w:pStyle w:val="20"/>
      <w:ind w:right="360"/>
      <w:jc w:val="center"/>
      <w:rPr>
        <w:rFonts w:hint="eastAsia"/>
      </w:rPr>
    </w:pPr>
    <w:r>
      <w:rPr>
        <w:rStyle w:val="39"/>
      </w:rPr>
      <w:fldChar w:fldCharType="begin"/>
    </w:r>
    <w:r>
      <w:rPr>
        <w:rStyle w:val="39"/>
      </w:rPr>
      <w:instrText xml:space="preserve"> PAGE </w:instrText>
    </w:r>
    <w:r>
      <w:rPr>
        <w:rStyle w:val="39"/>
      </w:rPr>
      <w:fldChar w:fldCharType="separate"/>
    </w:r>
    <w:r>
      <w:rPr>
        <w:rStyle w:val="39"/>
        <w:lang/>
      </w:rPr>
      <w:t>102</w:t>
    </w:r>
    <w:r>
      <w:rPr>
        <w:rStyle w:val="39"/>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rFonts w:hint="eastAsia" w:ascii="宋体" w:hAnsi="宋体" w:eastAsia="宋体"/>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3F767F"/>
    <w:multiLevelType w:val="multilevel"/>
    <w:tmpl w:val="083F767F"/>
    <w:lvl w:ilvl="0" w:tentative="0">
      <w:start w:val="1"/>
      <w:numFmt w:val="decimal"/>
      <w:lvlText w:val="%1."/>
      <w:lvlJc w:val="left"/>
      <w:pPr>
        <w:tabs>
          <w:tab w:val="left" w:pos="980"/>
        </w:tabs>
        <w:ind w:left="980" w:hanging="420"/>
      </w:pPr>
    </w:lvl>
    <w:lvl w:ilvl="1" w:tentative="0">
      <w:start w:val="1"/>
      <w:numFmt w:val="lowerLetter"/>
      <w:lvlText w:val="%2)"/>
      <w:lvlJc w:val="left"/>
      <w:pPr>
        <w:tabs>
          <w:tab w:val="left" w:pos="1400"/>
        </w:tabs>
        <w:ind w:left="1400" w:hanging="420"/>
      </w:pPr>
    </w:lvl>
    <w:lvl w:ilvl="2" w:tentative="0">
      <w:start w:val="1"/>
      <w:numFmt w:val="lowerRoman"/>
      <w:lvlText w:val="%3."/>
      <w:lvlJc w:val="right"/>
      <w:pPr>
        <w:tabs>
          <w:tab w:val="left" w:pos="1820"/>
        </w:tabs>
        <w:ind w:left="1820" w:hanging="420"/>
      </w:pPr>
    </w:lvl>
    <w:lvl w:ilvl="3" w:tentative="0">
      <w:start w:val="1"/>
      <w:numFmt w:val="decimal"/>
      <w:lvlText w:val="%4."/>
      <w:lvlJc w:val="left"/>
      <w:pPr>
        <w:tabs>
          <w:tab w:val="left" w:pos="2240"/>
        </w:tabs>
        <w:ind w:left="2240" w:hanging="420"/>
      </w:pPr>
    </w:lvl>
    <w:lvl w:ilvl="4" w:tentative="0">
      <w:start w:val="1"/>
      <w:numFmt w:val="lowerLetter"/>
      <w:lvlText w:val="%5)"/>
      <w:lvlJc w:val="left"/>
      <w:pPr>
        <w:tabs>
          <w:tab w:val="left" w:pos="2660"/>
        </w:tabs>
        <w:ind w:left="2660" w:hanging="420"/>
      </w:pPr>
    </w:lvl>
    <w:lvl w:ilvl="5" w:tentative="0">
      <w:start w:val="1"/>
      <w:numFmt w:val="lowerRoman"/>
      <w:lvlText w:val="%6."/>
      <w:lvlJc w:val="right"/>
      <w:pPr>
        <w:tabs>
          <w:tab w:val="left" w:pos="3080"/>
        </w:tabs>
        <w:ind w:left="3080" w:hanging="420"/>
      </w:pPr>
    </w:lvl>
    <w:lvl w:ilvl="6" w:tentative="0">
      <w:start w:val="1"/>
      <w:numFmt w:val="decimal"/>
      <w:lvlText w:val="%7."/>
      <w:lvlJc w:val="left"/>
      <w:pPr>
        <w:tabs>
          <w:tab w:val="left" w:pos="3500"/>
        </w:tabs>
        <w:ind w:left="3500" w:hanging="420"/>
      </w:pPr>
    </w:lvl>
    <w:lvl w:ilvl="7" w:tentative="0">
      <w:start w:val="1"/>
      <w:numFmt w:val="lowerLetter"/>
      <w:lvlText w:val="%8)"/>
      <w:lvlJc w:val="left"/>
      <w:pPr>
        <w:tabs>
          <w:tab w:val="left" w:pos="3920"/>
        </w:tabs>
        <w:ind w:left="3920" w:hanging="420"/>
      </w:pPr>
    </w:lvl>
    <w:lvl w:ilvl="8" w:tentative="0">
      <w:start w:val="1"/>
      <w:numFmt w:val="lowerRoman"/>
      <w:lvlText w:val="%9."/>
      <w:lvlJc w:val="right"/>
      <w:pPr>
        <w:tabs>
          <w:tab w:val="left" w:pos="4340"/>
        </w:tabs>
        <w:ind w:left="4340" w:hanging="420"/>
      </w:pPr>
    </w:lvl>
  </w:abstractNum>
  <w:abstractNum w:abstractNumId="1">
    <w:nsid w:val="28A16C6F"/>
    <w:multiLevelType w:val="multilevel"/>
    <w:tmpl w:val="28A16C6F"/>
    <w:lvl w:ilvl="0" w:tentative="0">
      <w:start w:val="1"/>
      <w:numFmt w:val="decimal"/>
      <w:lvlText w:val="%1."/>
      <w:lvlJc w:val="left"/>
      <w:pPr>
        <w:tabs>
          <w:tab w:val="left" w:pos="980"/>
        </w:tabs>
        <w:ind w:left="980" w:hanging="420"/>
      </w:pPr>
    </w:lvl>
    <w:lvl w:ilvl="1" w:tentative="0">
      <w:start w:val="1"/>
      <w:numFmt w:val="lowerLetter"/>
      <w:lvlText w:val="%2)"/>
      <w:lvlJc w:val="left"/>
      <w:pPr>
        <w:tabs>
          <w:tab w:val="left" w:pos="1400"/>
        </w:tabs>
        <w:ind w:left="1400" w:hanging="420"/>
      </w:pPr>
    </w:lvl>
    <w:lvl w:ilvl="2" w:tentative="0">
      <w:start w:val="1"/>
      <w:numFmt w:val="lowerRoman"/>
      <w:lvlText w:val="%3."/>
      <w:lvlJc w:val="right"/>
      <w:pPr>
        <w:tabs>
          <w:tab w:val="left" w:pos="1820"/>
        </w:tabs>
        <w:ind w:left="1820" w:hanging="420"/>
      </w:pPr>
    </w:lvl>
    <w:lvl w:ilvl="3" w:tentative="0">
      <w:start w:val="1"/>
      <w:numFmt w:val="decimal"/>
      <w:lvlText w:val="%4."/>
      <w:lvlJc w:val="left"/>
      <w:pPr>
        <w:tabs>
          <w:tab w:val="left" w:pos="2240"/>
        </w:tabs>
        <w:ind w:left="2240" w:hanging="420"/>
      </w:pPr>
    </w:lvl>
    <w:lvl w:ilvl="4" w:tentative="0">
      <w:start w:val="1"/>
      <w:numFmt w:val="lowerLetter"/>
      <w:lvlText w:val="%5)"/>
      <w:lvlJc w:val="left"/>
      <w:pPr>
        <w:tabs>
          <w:tab w:val="left" w:pos="2660"/>
        </w:tabs>
        <w:ind w:left="2660" w:hanging="420"/>
      </w:pPr>
    </w:lvl>
    <w:lvl w:ilvl="5" w:tentative="0">
      <w:start w:val="1"/>
      <w:numFmt w:val="lowerRoman"/>
      <w:lvlText w:val="%6."/>
      <w:lvlJc w:val="right"/>
      <w:pPr>
        <w:tabs>
          <w:tab w:val="left" w:pos="3080"/>
        </w:tabs>
        <w:ind w:left="3080" w:hanging="420"/>
      </w:pPr>
    </w:lvl>
    <w:lvl w:ilvl="6" w:tentative="0">
      <w:start w:val="1"/>
      <w:numFmt w:val="decimal"/>
      <w:lvlText w:val="%7."/>
      <w:lvlJc w:val="left"/>
      <w:pPr>
        <w:tabs>
          <w:tab w:val="left" w:pos="3500"/>
        </w:tabs>
        <w:ind w:left="3500" w:hanging="420"/>
      </w:pPr>
    </w:lvl>
    <w:lvl w:ilvl="7" w:tentative="0">
      <w:start w:val="1"/>
      <w:numFmt w:val="lowerLetter"/>
      <w:lvlText w:val="%8)"/>
      <w:lvlJc w:val="left"/>
      <w:pPr>
        <w:tabs>
          <w:tab w:val="left" w:pos="3920"/>
        </w:tabs>
        <w:ind w:left="3920" w:hanging="420"/>
      </w:pPr>
    </w:lvl>
    <w:lvl w:ilvl="8" w:tentative="0">
      <w:start w:val="1"/>
      <w:numFmt w:val="lowerRoman"/>
      <w:lvlText w:val="%9."/>
      <w:lvlJc w:val="right"/>
      <w:pPr>
        <w:tabs>
          <w:tab w:val="left" w:pos="4340"/>
        </w:tabs>
        <w:ind w:left="4340" w:hanging="420"/>
      </w:pPr>
    </w:lvl>
  </w:abstractNum>
  <w:abstractNum w:abstractNumId="2">
    <w:nsid w:val="3DBD4E8C"/>
    <w:multiLevelType w:val="multilevel"/>
    <w:tmpl w:val="3DBD4E8C"/>
    <w:lvl w:ilvl="0" w:tentative="0">
      <w:start w:val="1"/>
      <w:numFmt w:val="decimal"/>
      <w:lvlText w:val="%1."/>
      <w:lvlJc w:val="left"/>
      <w:pPr>
        <w:tabs>
          <w:tab w:val="left" w:pos="980"/>
        </w:tabs>
        <w:ind w:left="980" w:hanging="420"/>
      </w:pPr>
    </w:lvl>
    <w:lvl w:ilvl="1" w:tentative="0">
      <w:start w:val="1"/>
      <w:numFmt w:val="lowerLetter"/>
      <w:lvlText w:val="%2)"/>
      <w:lvlJc w:val="left"/>
      <w:pPr>
        <w:tabs>
          <w:tab w:val="left" w:pos="1400"/>
        </w:tabs>
        <w:ind w:left="1400" w:hanging="420"/>
      </w:pPr>
    </w:lvl>
    <w:lvl w:ilvl="2" w:tentative="0">
      <w:start w:val="1"/>
      <w:numFmt w:val="lowerRoman"/>
      <w:lvlText w:val="%3."/>
      <w:lvlJc w:val="right"/>
      <w:pPr>
        <w:tabs>
          <w:tab w:val="left" w:pos="1820"/>
        </w:tabs>
        <w:ind w:left="1820" w:hanging="420"/>
      </w:pPr>
    </w:lvl>
    <w:lvl w:ilvl="3" w:tentative="0">
      <w:start w:val="1"/>
      <w:numFmt w:val="decimal"/>
      <w:lvlText w:val="%4."/>
      <w:lvlJc w:val="left"/>
      <w:pPr>
        <w:tabs>
          <w:tab w:val="left" w:pos="2240"/>
        </w:tabs>
        <w:ind w:left="2240" w:hanging="420"/>
      </w:pPr>
    </w:lvl>
    <w:lvl w:ilvl="4" w:tentative="0">
      <w:start w:val="1"/>
      <w:numFmt w:val="lowerLetter"/>
      <w:lvlText w:val="%5)"/>
      <w:lvlJc w:val="left"/>
      <w:pPr>
        <w:tabs>
          <w:tab w:val="left" w:pos="2660"/>
        </w:tabs>
        <w:ind w:left="2660" w:hanging="420"/>
      </w:pPr>
    </w:lvl>
    <w:lvl w:ilvl="5" w:tentative="0">
      <w:start w:val="1"/>
      <w:numFmt w:val="lowerRoman"/>
      <w:lvlText w:val="%6."/>
      <w:lvlJc w:val="right"/>
      <w:pPr>
        <w:tabs>
          <w:tab w:val="left" w:pos="3080"/>
        </w:tabs>
        <w:ind w:left="3080" w:hanging="420"/>
      </w:pPr>
    </w:lvl>
    <w:lvl w:ilvl="6" w:tentative="0">
      <w:start w:val="1"/>
      <w:numFmt w:val="decimal"/>
      <w:lvlText w:val="%7."/>
      <w:lvlJc w:val="left"/>
      <w:pPr>
        <w:tabs>
          <w:tab w:val="left" w:pos="3500"/>
        </w:tabs>
        <w:ind w:left="3500" w:hanging="420"/>
      </w:pPr>
    </w:lvl>
    <w:lvl w:ilvl="7" w:tentative="0">
      <w:start w:val="1"/>
      <w:numFmt w:val="lowerLetter"/>
      <w:lvlText w:val="%8)"/>
      <w:lvlJc w:val="left"/>
      <w:pPr>
        <w:tabs>
          <w:tab w:val="left" w:pos="3920"/>
        </w:tabs>
        <w:ind w:left="3920" w:hanging="420"/>
      </w:pPr>
    </w:lvl>
    <w:lvl w:ilvl="8" w:tentative="0">
      <w:start w:val="1"/>
      <w:numFmt w:val="lowerRoman"/>
      <w:lvlText w:val="%9."/>
      <w:lvlJc w:val="right"/>
      <w:pPr>
        <w:tabs>
          <w:tab w:val="left" w:pos="4340"/>
        </w:tabs>
        <w:ind w:left="4340" w:hanging="420"/>
      </w:pPr>
    </w:lvl>
  </w:abstractNum>
  <w:abstractNum w:abstractNumId="3">
    <w:nsid w:val="5B6463B4"/>
    <w:multiLevelType w:val="multilevel"/>
    <w:tmpl w:val="5B6463B4"/>
    <w:lvl w:ilvl="0" w:tentative="0">
      <w:start w:val="1"/>
      <w:numFmt w:val="bullet"/>
      <w:lvlText w:val=""/>
      <w:lvlJc w:val="left"/>
      <w:pPr>
        <w:tabs>
          <w:tab w:val="left" w:pos="980"/>
        </w:tabs>
        <w:ind w:left="980" w:hanging="420"/>
      </w:pPr>
      <w:rPr>
        <w:rFonts w:hint="default" w:ascii="Wingdings" w:hAnsi="Wingdings"/>
      </w:rPr>
    </w:lvl>
    <w:lvl w:ilvl="1" w:tentative="0">
      <w:start w:val="1"/>
      <w:numFmt w:val="bullet"/>
      <w:lvlText w:val=""/>
      <w:lvlJc w:val="left"/>
      <w:pPr>
        <w:tabs>
          <w:tab w:val="left" w:pos="1400"/>
        </w:tabs>
        <w:ind w:left="1400" w:hanging="420"/>
      </w:pPr>
      <w:rPr>
        <w:rFonts w:hint="default" w:ascii="Wingdings" w:hAnsi="Wingdings"/>
      </w:rPr>
    </w:lvl>
    <w:lvl w:ilvl="2" w:tentative="0">
      <w:start w:val="1"/>
      <w:numFmt w:val="bullet"/>
      <w:lvlText w:val=""/>
      <w:lvlJc w:val="left"/>
      <w:pPr>
        <w:tabs>
          <w:tab w:val="left" w:pos="1820"/>
        </w:tabs>
        <w:ind w:left="1820" w:hanging="420"/>
      </w:pPr>
      <w:rPr>
        <w:rFonts w:hint="default" w:ascii="Wingdings" w:hAnsi="Wingdings"/>
      </w:rPr>
    </w:lvl>
    <w:lvl w:ilvl="3" w:tentative="0">
      <w:start w:val="1"/>
      <w:numFmt w:val="bullet"/>
      <w:lvlText w:val=""/>
      <w:lvlJc w:val="left"/>
      <w:pPr>
        <w:tabs>
          <w:tab w:val="left" w:pos="2240"/>
        </w:tabs>
        <w:ind w:left="2240" w:hanging="420"/>
      </w:pPr>
      <w:rPr>
        <w:rFonts w:hint="default" w:ascii="Wingdings" w:hAnsi="Wingdings"/>
      </w:rPr>
    </w:lvl>
    <w:lvl w:ilvl="4" w:tentative="0">
      <w:start w:val="1"/>
      <w:numFmt w:val="bullet"/>
      <w:lvlText w:val=""/>
      <w:lvlJc w:val="left"/>
      <w:pPr>
        <w:tabs>
          <w:tab w:val="left" w:pos="2660"/>
        </w:tabs>
        <w:ind w:left="2660" w:hanging="420"/>
      </w:pPr>
      <w:rPr>
        <w:rFonts w:hint="default" w:ascii="Wingdings" w:hAnsi="Wingdings"/>
      </w:rPr>
    </w:lvl>
    <w:lvl w:ilvl="5" w:tentative="0">
      <w:start w:val="1"/>
      <w:numFmt w:val="bullet"/>
      <w:lvlText w:val=""/>
      <w:lvlJc w:val="left"/>
      <w:pPr>
        <w:tabs>
          <w:tab w:val="left" w:pos="3080"/>
        </w:tabs>
        <w:ind w:left="3080" w:hanging="420"/>
      </w:pPr>
      <w:rPr>
        <w:rFonts w:hint="default" w:ascii="Wingdings" w:hAnsi="Wingdings"/>
      </w:rPr>
    </w:lvl>
    <w:lvl w:ilvl="6" w:tentative="0">
      <w:start w:val="1"/>
      <w:numFmt w:val="bullet"/>
      <w:lvlText w:val=""/>
      <w:lvlJc w:val="left"/>
      <w:pPr>
        <w:tabs>
          <w:tab w:val="left" w:pos="3500"/>
        </w:tabs>
        <w:ind w:left="3500" w:hanging="420"/>
      </w:pPr>
      <w:rPr>
        <w:rFonts w:hint="default" w:ascii="Wingdings" w:hAnsi="Wingdings"/>
      </w:rPr>
    </w:lvl>
    <w:lvl w:ilvl="7" w:tentative="0">
      <w:start w:val="1"/>
      <w:numFmt w:val="bullet"/>
      <w:lvlText w:val=""/>
      <w:lvlJc w:val="left"/>
      <w:pPr>
        <w:tabs>
          <w:tab w:val="left" w:pos="3920"/>
        </w:tabs>
        <w:ind w:left="3920" w:hanging="420"/>
      </w:pPr>
      <w:rPr>
        <w:rFonts w:hint="default" w:ascii="Wingdings" w:hAnsi="Wingdings"/>
      </w:rPr>
    </w:lvl>
    <w:lvl w:ilvl="8" w:tentative="0">
      <w:start w:val="1"/>
      <w:numFmt w:val="bullet"/>
      <w:lvlText w:val=""/>
      <w:lvlJc w:val="left"/>
      <w:pPr>
        <w:tabs>
          <w:tab w:val="left" w:pos="4340"/>
        </w:tabs>
        <w:ind w:left="4340" w:hanging="420"/>
      </w:pPr>
      <w:rPr>
        <w:rFonts w:hint="default" w:ascii="Wingdings" w:hAnsi="Wingdings"/>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3"/>
  <w:drawingGridVerticalSpacing w:val="2"/>
  <w:displayHorizontalDrawingGridEvery w:val="0"/>
  <w:displayVerticalDrawingGridEvery w:val="2"/>
  <w:characterSpacingControl w:val="compressPunctuation"/>
  <w:footnotePr>
    <w:footnote w:id="0"/>
    <w:footnote w:id="1"/>
  </w:footnotePr>
  <w:endnotePr>
    <w:numFmt w:val="decimal"/>
    <w:endnote w:id="0"/>
    <w:endnote w:id="1"/>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Q5NDQ3YTgzMzczY2ZlYjdhMDk4YmVlNzZlZDc1ODkifQ=="/>
  </w:docVars>
  <w:rsids>
    <w:rsidRoot w:val="007A126D"/>
    <w:rsid w:val="00000A66"/>
    <w:rsid w:val="00000A96"/>
    <w:rsid w:val="00000DCF"/>
    <w:rsid w:val="000012CC"/>
    <w:rsid w:val="000018DF"/>
    <w:rsid w:val="00001957"/>
    <w:rsid w:val="00001A2F"/>
    <w:rsid w:val="00001DDD"/>
    <w:rsid w:val="000027F6"/>
    <w:rsid w:val="00002860"/>
    <w:rsid w:val="000030A7"/>
    <w:rsid w:val="00003B42"/>
    <w:rsid w:val="0000470A"/>
    <w:rsid w:val="00004C2B"/>
    <w:rsid w:val="00004C9F"/>
    <w:rsid w:val="00004FD6"/>
    <w:rsid w:val="00006813"/>
    <w:rsid w:val="00007204"/>
    <w:rsid w:val="00007235"/>
    <w:rsid w:val="000103F9"/>
    <w:rsid w:val="000106E7"/>
    <w:rsid w:val="00011265"/>
    <w:rsid w:val="000113E8"/>
    <w:rsid w:val="000128C2"/>
    <w:rsid w:val="00012987"/>
    <w:rsid w:val="00012A5B"/>
    <w:rsid w:val="00012ED0"/>
    <w:rsid w:val="000132BF"/>
    <w:rsid w:val="000134E0"/>
    <w:rsid w:val="0001394D"/>
    <w:rsid w:val="00013B2A"/>
    <w:rsid w:val="000144BD"/>
    <w:rsid w:val="0001508C"/>
    <w:rsid w:val="0001560F"/>
    <w:rsid w:val="000159E5"/>
    <w:rsid w:val="00016342"/>
    <w:rsid w:val="00017087"/>
    <w:rsid w:val="00017152"/>
    <w:rsid w:val="0001718C"/>
    <w:rsid w:val="00020887"/>
    <w:rsid w:val="0002088D"/>
    <w:rsid w:val="000209A1"/>
    <w:rsid w:val="00020A78"/>
    <w:rsid w:val="00020C21"/>
    <w:rsid w:val="000210CB"/>
    <w:rsid w:val="000216CE"/>
    <w:rsid w:val="00021B12"/>
    <w:rsid w:val="000221F9"/>
    <w:rsid w:val="00022C02"/>
    <w:rsid w:val="00022C2A"/>
    <w:rsid w:val="00022EBA"/>
    <w:rsid w:val="0002303B"/>
    <w:rsid w:val="000230DA"/>
    <w:rsid w:val="00023F3B"/>
    <w:rsid w:val="00024128"/>
    <w:rsid w:val="00025165"/>
    <w:rsid w:val="0002597F"/>
    <w:rsid w:val="00025DB0"/>
    <w:rsid w:val="00026BB3"/>
    <w:rsid w:val="00027889"/>
    <w:rsid w:val="000305CC"/>
    <w:rsid w:val="00030A84"/>
    <w:rsid w:val="00030C52"/>
    <w:rsid w:val="0003176A"/>
    <w:rsid w:val="0003215C"/>
    <w:rsid w:val="000323A3"/>
    <w:rsid w:val="00032570"/>
    <w:rsid w:val="0003336A"/>
    <w:rsid w:val="000335F3"/>
    <w:rsid w:val="00033601"/>
    <w:rsid w:val="00034BE8"/>
    <w:rsid w:val="00036198"/>
    <w:rsid w:val="000361F7"/>
    <w:rsid w:val="000364F2"/>
    <w:rsid w:val="000365C9"/>
    <w:rsid w:val="00036AA5"/>
    <w:rsid w:val="00037979"/>
    <w:rsid w:val="00037DDA"/>
    <w:rsid w:val="00040248"/>
    <w:rsid w:val="00040A8B"/>
    <w:rsid w:val="00041019"/>
    <w:rsid w:val="00041567"/>
    <w:rsid w:val="00041A21"/>
    <w:rsid w:val="00041C81"/>
    <w:rsid w:val="00041FBE"/>
    <w:rsid w:val="0004250E"/>
    <w:rsid w:val="00042A1F"/>
    <w:rsid w:val="00043DE9"/>
    <w:rsid w:val="0004487A"/>
    <w:rsid w:val="00045374"/>
    <w:rsid w:val="00047323"/>
    <w:rsid w:val="00047785"/>
    <w:rsid w:val="00047B6E"/>
    <w:rsid w:val="00051A2B"/>
    <w:rsid w:val="00051D2C"/>
    <w:rsid w:val="000522F6"/>
    <w:rsid w:val="0005254E"/>
    <w:rsid w:val="00053219"/>
    <w:rsid w:val="00053597"/>
    <w:rsid w:val="00053727"/>
    <w:rsid w:val="00054827"/>
    <w:rsid w:val="00054A94"/>
    <w:rsid w:val="00055073"/>
    <w:rsid w:val="0005518A"/>
    <w:rsid w:val="00056565"/>
    <w:rsid w:val="00057C5B"/>
    <w:rsid w:val="00060BB5"/>
    <w:rsid w:val="00060F85"/>
    <w:rsid w:val="000613C0"/>
    <w:rsid w:val="00061697"/>
    <w:rsid w:val="00063437"/>
    <w:rsid w:val="0006391F"/>
    <w:rsid w:val="00063CA7"/>
    <w:rsid w:val="000646B6"/>
    <w:rsid w:val="000653AC"/>
    <w:rsid w:val="0006553F"/>
    <w:rsid w:val="00065B10"/>
    <w:rsid w:val="00065E26"/>
    <w:rsid w:val="00066B4A"/>
    <w:rsid w:val="00067014"/>
    <w:rsid w:val="00067808"/>
    <w:rsid w:val="00067A16"/>
    <w:rsid w:val="00067FB3"/>
    <w:rsid w:val="0007040F"/>
    <w:rsid w:val="0007118E"/>
    <w:rsid w:val="000713A9"/>
    <w:rsid w:val="00073344"/>
    <w:rsid w:val="00073AF5"/>
    <w:rsid w:val="00075100"/>
    <w:rsid w:val="000753F1"/>
    <w:rsid w:val="0007544D"/>
    <w:rsid w:val="00075878"/>
    <w:rsid w:val="0007608B"/>
    <w:rsid w:val="00077A7B"/>
    <w:rsid w:val="00077B3E"/>
    <w:rsid w:val="00077B54"/>
    <w:rsid w:val="00077CAB"/>
    <w:rsid w:val="00077D16"/>
    <w:rsid w:val="00080320"/>
    <w:rsid w:val="000805B8"/>
    <w:rsid w:val="00081399"/>
    <w:rsid w:val="00081B1F"/>
    <w:rsid w:val="0008250A"/>
    <w:rsid w:val="00082A0F"/>
    <w:rsid w:val="0008334D"/>
    <w:rsid w:val="0008382D"/>
    <w:rsid w:val="00083A43"/>
    <w:rsid w:val="00085B2A"/>
    <w:rsid w:val="00085C0E"/>
    <w:rsid w:val="00085F76"/>
    <w:rsid w:val="00086749"/>
    <w:rsid w:val="000868AF"/>
    <w:rsid w:val="00086FA0"/>
    <w:rsid w:val="00087319"/>
    <w:rsid w:val="0008744F"/>
    <w:rsid w:val="000874A6"/>
    <w:rsid w:val="00087EA9"/>
    <w:rsid w:val="000906C6"/>
    <w:rsid w:val="00090EC3"/>
    <w:rsid w:val="00091623"/>
    <w:rsid w:val="00091A2F"/>
    <w:rsid w:val="00091EBD"/>
    <w:rsid w:val="00092410"/>
    <w:rsid w:val="00092BAA"/>
    <w:rsid w:val="00092CCB"/>
    <w:rsid w:val="00093852"/>
    <w:rsid w:val="0009475B"/>
    <w:rsid w:val="00094A21"/>
    <w:rsid w:val="00094E48"/>
    <w:rsid w:val="00095806"/>
    <w:rsid w:val="00096B47"/>
    <w:rsid w:val="00096F92"/>
    <w:rsid w:val="0009748B"/>
    <w:rsid w:val="00097D7A"/>
    <w:rsid w:val="000A00E5"/>
    <w:rsid w:val="000A08CD"/>
    <w:rsid w:val="000A1331"/>
    <w:rsid w:val="000A1F4A"/>
    <w:rsid w:val="000A2889"/>
    <w:rsid w:val="000A31E0"/>
    <w:rsid w:val="000A3ACE"/>
    <w:rsid w:val="000A57A2"/>
    <w:rsid w:val="000A57FF"/>
    <w:rsid w:val="000A5B05"/>
    <w:rsid w:val="000A746E"/>
    <w:rsid w:val="000A7830"/>
    <w:rsid w:val="000B309A"/>
    <w:rsid w:val="000B3311"/>
    <w:rsid w:val="000B453D"/>
    <w:rsid w:val="000B4C9B"/>
    <w:rsid w:val="000B5F6C"/>
    <w:rsid w:val="000C0339"/>
    <w:rsid w:val="000C05A4"/>
    <w:rsid w:val="000C075C"/>
    <w:rsid w:val="000C0A3E"/>
    <w:rsid w:val="000C10B3"/>
    <w:rsid w:val="000C189B"/>
    <w:rsid w:val="000C1C4D"/>
    <w:rsid w:val="000C222C"/>
    <w:rsid w:val="000C2258"/>
    <w:rsid w:val="000C27E2"/>
    <w:rsid w:val="000C280F"/>
    <w:rsid w:val="000C28D8"/>
    <w:rsid w:val="000C32AE"/>
    <w:rsid w:val="000C3432"/>
    <w:rsid w:val="000C3D14"/>
    <w:rsid w:val="000C4008"/>
    <w:rsid w:val="000C41C9"/>
    <w:rsid w:val="000C4CE4"/>
    <w:rsid w:val="000C5A30"/>
    <w:rsid w:val="000C6A7E"/>
    <w:rsid w:val="000C728C"/>
    <w:rsid w:val="000C7AE0"/>
    <w:rsid w:val="000D079A"/>
    <w:rsid w:val="000D1E7D"/>
    <w:rsid w:val="000D1E8A"/>
    <w:rsid w:val="000D1F12"/>
    <w:rsid w:val="000D25CE"/>
    <w:rsid w:val="000D36B0"/>
    <w:rsid w:val="000D3B03"/>
    <w:rsid w:val="000D41DE"/>
    <w:rsid w:val="000D49C3"/>
    <w:rsid w:val="000D4DB2"/>
    <w:rsid w:val="000D5232"/>
    <w:rsid w:val="000D6A62"/>
    <w:rsid w:val="000D71B9"/>
    <w:rsid w:val="000D7AFE"/>
    <w:rsid w:val="000E0893"/>
    <w:rsid w:val="000E0AD1"/>
    <w:rsid w:val="000E1459"/>
    <w:rsid w:val="000E1BF3"/>
    <w:rsid w:val="000E2462"/>
    <w:rsid w:val="000E26C3"/>
    <w:rsid w:val="000E3434"/>
    <w:rsid w:val="000E3D96"/>
    <w:rsid w:val="000E466B"/>
    <w:rsid w:val="000E4709"/>
    <w:rsid w:val="000E610C"/>
    <w:rsid w:val="000E7187"/>
    <w:rsid w:val="000F28EE"/>
    <w:rsid w:val="000F2A35"/>
    <w:rsid w:val="000F2A50"/>
    <w:rsid w:val="000F2E83"/>
    <w:rsid w:val="000F3062"/>
    <w:rsid w:val="000F3E6F"/>
    <w:rsid w:val="000F49B2"/>
    <w:rsid w:val="000F4C00"/>
    <w:rsid w:val="000F4C1D"/>
    <w:rsid w:val="000F5A0C"/>
    <w:rsid w:val="000F6287"/>
    <w:rsid w:val="000F669D"/>
    <w:rsid w:val="000F695A"/>
    <w:rsid w:val="000F6E10"/>
    <w:rsid w:val="001005D5"/>
    <w:rsid w:val="00101F34"/>
    <w:rsid w:val="001027F0"/>
    <w:rsid w:val="00102DF7"/>
    <w:rsid w:val="001035A4"/>
    <w:rsid w:val="00104314"/>
    <w:rsid w:val="0010451D"/>
    <w:rsid w:val="0010493B"/>
    <w:rsid w:val="00104D12"/>
    <w:rsid w:val="00106419"/>
    <w:rsid w:val="00107228"/>
    <w:rsid w:val="001076FF"/>
    <w:rsid w:val="001109D4"/>
    <w:rsid w:val="00110C81"/>
    <w:rsid w:val="00110ECF"/>
    <w:rsid w:val="0011124D"/>
    <w:rsid w:val="001116E0"/>
    <w:rsid w:val="001119EF"/>
    <w:rsid w:val="00111BEC"/>
    <w:rsid w:val="00111E9E"/>
    <w:rsid w:val="00112152"/>
    <w:rsid w:val="00112EDD"/>
    <w:rsid w:val="001137B4"/>
    <w:rsid w:val="00113806"/>
    <w:rsid w:val="001139EA"/>
    <w:rsid w:val="00113DA2"/>
    <w:rsid w:val="0011439B"/>
    <w:rsid w:val="0011508B"/>
    <w:rsid w:val="00115604"/>
    <w:rsid w:val="001156D8"/>
    <w:rsid w:val="0011572B"/>
    <w:rsid w:val="00115E52"/>
    <w:rsid w:val="00116387"/>
    <w:rsid w:val="00117D36"/>
    <w:rsid w:val="001205F1"/>
    <w:rsid w:val="0012075D"/>
    <w:rsid w:val="0012077E"/>
    <w:rsid w:val="00120FBE"/>
    <w:rsid w:val="001216F5"/>
    <w:rsid w:val="00121AA2"/>
    <w:rsid w:val="001230DC"/>
    <w:rsid w:val="001236E1"/>
    <w:rsid w:val="001239B3"/>
    <w:rsid w:val="00123FFA"/>
    <w:rsid w:val="00124420"/>
    <w:rsid w:val="00125724"/>
    <w:rsid w:val="001259D8"/>
    <w:rsid w:val="0012611C"/>
    <w:rsid w:val="001262A1"/>
    <w:rsid w:val="001278B4"/>
    <w:rsid w:val="0012792E"/>
    <w:rsid w:val="00127BD1"/>
    <w:rsid w:val="00130174"/>
    <w:rsid w:val="00130951"/>
    <w:rsid w:val="00130B28"/>
    <w:rsid w:val="00130D3E"/>
    <w:rsid w:val="00131161"/>
    <w:rsid w:val="00132A4E"/>
    <w:rsid w:val="00133267"/>
    <w:rsid w:val="00133E00"/>
    <w:rsid w:val="00134857"/>
    <w:rsid w:val="00134BEA"/>
    <w:rsid w:val="00134C25"/>
    <w:rsid w:val="00134E6D"/>
    <w:rsid w:val="00136596"/>
    <w:rsid w:val="00136DBB"/>
    <w:rsid w:val="0013753C"/>
    <w:rsid w:val="001405CB"/>
    <w:rsid w:val="00140B14"/>
    <w:rsid w:val="00140EBC"/>
    <w:rsid w:val="00141854"/>
    <w:rsid w:val="00141EB5"/>
    <w:rsid w:val="001427D8"/>
    <w:rsid w:val="00142A5F"/>
    <w:rsid w:val="001442E2"/>
    <w:rsid w:val="00144338"/>
    <w:rsid w:val="001449C3"/>
    <w:rsid w:val="00145C56"/>
    <w:rsid w:val="00145C97"/>
    <w:rsid w:val="00146F27"/>
    <w:rsid w:val="00146FB2"/>
    <w:rsid w:val="00147478"/>
    <w:rsid w:val="001474BE"/>
    <w:rsid w:val="00147B74"/>
    <w:rsid w:val="00147F6F"/>
    <w:rsid w:val="0015042C"/>
    <w:rsid w:val="00150C47"/>
    <w:rsid w:val="001510A6"/>
    <w:rsid w:val="00151754"/>
    <w:rsid w:val="001517AF"/>
    <w:rsid w:val="0015183F"/>
    <w:rsid w:val="001520B6"/>
    <w:rsid w:val="001520C2"/>
    <w:rsid w:val="00152956"/>
    <w:rsid w:val="00153744"/>
    <w:rsid w:val="0015417C"/>
    <w:rsid w:val="00154D46"/>
    <w:rsid w:val="0015514F"/>
    <w:rsid w:val="00155786"/>
    <w:rsid w:val="00155F27"/>
    <w:rsid w:val="001565A0"/>
    <w:rsid w:val="001579BE"/>
    <w:rsid w:val="001604EB"/>
    <w:rsid w:val="00160A9D"/>
    <w:rsid w:val="00160B60"/>
    <w:rsid w:val="001611AB"/>
    <w:rsid w:val="00161DB3"/>
    <w:rsid w:val="00161F72"/>
    <w:rsid w:val="00162002"/>
    <w:rsid w:val="00162B93"/>
    <w:rsid w:val="00163D15"/>
    <w:rsid w:val="00164778"/>
    <w:rsid w:val="00164924"/>
    <w:rsid w:val="00165BCC"/>
    <w:rsid w:val="00165FDA"/>
    <w:rsid w:val="001663FF"/>
    <w:rsid w:val="00166BCF"/>
    <w:rsid w:val="001673D5"/>
    <w:rsid w:val="00167F9F"/>
    <w:rsid w:val="00170AE0"/>
    <w:rsid w:val="00171425"/>
    <w:rsid w:val="00171EA4"/>
    <w:rsid w:val="0017436E"/>
    <w:rsid w:val="00174572"/>
    <w:rsid w:val="001745B4"/>
    <w:rsid w:val="00175D68"/>
    <w:rsid w:val="0017672F"/>
    <w:rsid w:val="00176A38"/>
    <w:rsid w:val="00177151"/>
    <w:rsid w:val="00177624"/>
    <w:rsid w:val="00177F10"/>
    <w:rsid w:val="00181E72"/>
    <w:rsid w:val="00182603"/>
    <w:rsid w:val="00183048"/>
    <w:rsid w:val="0018304B"/>
    <w:rsid w:val="00183626"/>
    <w:rsid w:val="00183B64"/>
    <w:rsid w:val="00183D6F"/>
    <w:rsid w:val="0018434A"/>
    <w:rsid w:val="001853FB"/>
    <w:rsid w:val="00186291"/>
    <w:rsid w:val="00186849"/>
    <w:rsid w:val="00187808"/>
    <w:rsid w:val="00187D8B"/>
    <w:rsid w:val="00190305"/>
    <w:rsid w:val="00190893"/>
    <w:rsid w:val="00190E79"/>
    <w:rsid w:val="00191009"/>
    <w:rsid w:val="00191339"/>
    <w:rsid w:val="00191A5A"/>
    <w:rsid w:val="00192119"/>
    <w:rsid w:val="0019278F"/>
    <w:rsid w:val="001927A3"/>
    <w:rsid w:val="0019357C"/>
    <w:rsid w:val="001935A5"/>
    <w:rsid w:val="001937A4"/>
    <w:rsid w:val="0019382A"/>
    <w:rsid w:val="00193A7A"/>
    <w:rsid w:val="00193DCC"/>
    <w:rsid w:val="00193DF3"/>
    <w:rsid w:val="001943BB"/>
    <w:rsid w:val="00195234"/>
    <w:rsid w:val="001957AA"/>
    <w:rsid w:val="00196436"/>
    <w:rsid w:val="00196F06"/>
    <w:rsid w:val="00197926"/>
    <w:rsid w:val="001A0079"/>
    <w:rsid w:val="001A010F"/>
    <w:rsid w:val="001A0143"/>
    <w:rsid w:val="001A03B0"/>
    <w:rsid w:val="001A03F4"/>
    <w:rsid w:val="001A0ABD"/>
    <w:rsid w:val="001A103C"/>
    <w:rsid w:val="001A3354"/>
    <w:rsid w:val="001A3CD7"/>
    <w:rsid w:val="001A4A73"/>
    <w:rsid w:val="001A4ED3"/>
    <w:rsid w:val="001A4EE1"/>
    <w:rsid w:val="001A51C5"/>
    <w:rsid w:val="001A65DA"/>
    <w:rsid w:val="001A66E2"/>
    <w:rsid w:val="001A670D"/>
    <w:rsid w:val="001A6DF4"/>
    <w:rsid w:val="001A7108"/>
    <w:rsid w:val="001A7563"/>
    <w:rsid w:val="001A79BF"/>
    <w:rsid w:val="001A7E33"/>
    <w:rsid w:val="001B0298"/>
    <w:rsid w:val="001B0DC0"/>
    <w:rsid w:val="001B0E72"/>
    <w:rsid w:val="001B1015"/>
    <w:rsid w:val="001B10BC"/>
    <w:rsid w:val="001B1CE0"/>
    <w:rsid w:val="001B1F12"/>
    <w:rsid w:val="001B2D46"/>
    <w:rsid w:val="001B2E40"/>
    <w:rsid w:val="001B32E7"/>
    <w:rsid w:val="001B3AD8"/>
    <w:rsid w:val="001B4FC9"/>
    <w:rsid w:val="001B51CB"/>
    <w:rsid w:val="001B58E9"/>
    <w:rsid w:val="001B59E1"/>
    <w:rsid w:val="001B5C49"/>
    <w:rsid w:val="001B691C"/>
    <w:rsid w:val="001B7352"/>
    <w:rsid w:val="001C0A19"/>
    <w:rsid w:val="001C0A48"/>
    <w:rsid w:val="001C13A5"/>
    <w:rsid w:val="001C1DF0"/>
    <w:rsid w:val="001C2243"/>
    <w:rsid w:val="001C31B6"/>
    <w:rsid w:val="001C3D26"/>
    <w:rsid w:val="001C4FDC"/>
    <w:rsid w:val="001C7F31"/>
    <w:rsid w:val="001D21B3"/>
    <w:rsid w:val="001D2230"/>
    <w:rsid w:val="001D2B46"/>
    <w:rsid w:val="001D34D7"/>
    <w:rsid w:val="001D3D10"/>
    <w:rsid w:val="001D4709"/>
    <w:rsid w:val="001D54DE"/>
    <w:rsid w:val="001D58F7"/>
    <w:rsid w:val="001D6105"/>
    <w:rsid w:val="001D62AA"/>
    <w:rsid w:val="001D6793"/>
    <w:rsid w:val="001D6D5A"/>
    <w:rsid w:val="001D7BE2"/>
    <w:rsid w:val="001D7CA4"/>
    <w:rsid w:val="001E03A6"/>
    <w:rsid w:val="001E07B6"/>
    <w:rsid w:val="001E1349"/>
    <w:rsid w:val="001E1CC5"/>
    <w:rsid w:val="001E2241"/>
    <w:rsid w:val="001E2328"/>
    <w:rsid w:val="001E31FD"/>
    <w:rsid w:val="001E325B"/>
    <w:rsid w:val="001E3B9D"/>
    <w:rsid w:val="001E4288"/>
    <w:rsid w:val="001E476D"/>
    <w:rsid w:val="001E4F63"/>
    <w:rsid w:val="001E61BE"/>
    <w:rsid w:val="001E6686"/>
    <w:rsid w:val="001E7249"/>
    <w:rsid w:val="001E74B3"/>
    <w:rsid w:val="001E78F1"/>
    <w:rsid w:val="001F1632"/>
    <w:rsid w:val="001F1A3E"/>
    <w:rsid w:val="001F23AF"/>
    <w:rsid w:val="001F41EF"/>
    <w:rsid w:val="001F42EF"/>
    <w:rsid w:val="001F47F9"/>
    <w:rsid w:val="001F4CE1"/>
    <w:rsid w:val="001F4F9C"/>
    <w:rsid w:val="001F5468"/>
    <w:rsid w:val="001F6A3E"/>
    <w:rsid w:val="00201B18"/>
    <w:rsid w:val="002023B9"/>
    <w:rsid w:val="002037D5"/>
    <w:rsid w:val="0020384F"/>
    <w:rsid w:val="00204BFC"/>
    <w:rsid w:val="00204E2D"/>
    <w:rsid w:val="00204FC7"/>
    <w:rsid w:val="00205310"/>
    <w:rsid w:val="002057BD"/>
    <w:rsid w:val="002058F7"/>
    <w:rsid w:val="00206541"/>
    <w:rsid w:val="002069C6"/>
    <w:rsid w:val="00207774"/>
    <w:rsid w:val="00207A55"/>
    <w:rsid w:val="002107D0"/>
    <w:rsid w:val="00210A0C"/>
    <w:rsid w:val="00210E3F"/>
    <w:rsid w:val="00210EE9"/>
    <w:rsid w:val="002114EC"/>
    <w:rsid w:val="0021151E"/>
    <w:rsid w:val="0021181D"/>
    <w:rsid w:val="00211D08"/>
    <w:rsid w:val="00212336"/>
    <w:rsid w:val="00212DAC"/>
    <w:rsid w:val="00213B59"/>
    <w:rsid w:val="00213C79"/>
    <w:rsid w:val="00214249"/>
    <w:rsid w:val="002145A5"/>
    <w:rsid w:val="00214D7A"/>
    <w:rsid w:val="002152B0"/>
    <w:rsid w:val="002155AA"/>
    <w:rsid w:val="002164A3"/>
    <w:rsid w:val="002172BF"/>
    <w:rsid w:val="00217C72"/>
    <w:rsid w:val="00217D70"/>
    <w:rsid w:val="00222397"/>
    <w:rsid w:val="002233C8"/>
    <w:rsid w:val="002235BA"/>
    <w:rsid w:val="0022429C"/>
    <w:rsid w:val="0022533E"/>
    <w:rsid w:val="00225805"/>
    <w:rsid w:val="0022641E"/>
    <w:rsid w:val="00226ADE"/>
    <w:rsid w:val="0022704C"/>
    <w:rsid w:val="0022731A"/>
    <w:rsid w:val="00227958"/>
    <w:rsid w:val="00227CD8"/>
    <w:rsid w:val="00230B55"/>
    <w:rsid w:val="00231072"/>
    <w:rsid w:val="002314F2"/>
    <w:rsid w:val="002317F9"/>
    <w:rsid w:val="00232DED"/>
    <w:rsid w:val="00234DE7"/>
    <w:rsid w:val="00235487"/>
    <w:rsid w:val="002354CB"/>
    <w:rsid w:val="00236626"/>
    <w:rsid w:val="00236F91"/>
    <w:rsid w:val="00237367"/>
    <w:rsid w:val="002402B2"/>
    <w:rsid w:val="00240749"/>
    <w:rsid w:val="00241BEF"/>
    <w:rsid w:val="00241E58"/>
    <w:rsid w:val="0024239B"/>
    <w:rsid w:val="0024262E"/>
    <w:rsid w:val="00242A0F"/>
    <w:rsid w:val="00243421"/>
    <w:rsid w:val="00243AAC"/>
    <w:rsid w:val="00243C3A"/>
    <w:rsid w:val="002440C9"/>
    <w:rsid w:val="002441F8"/>
    <w:rsid w:val="00245481"/>
    <w:rsid w:val="00245F14"/>
    <w:rsid w:val="0024647C"/>
    <w:rsid w:val="0024698F"/>
    <w:rsid w:val="00247020"/>
    <w:rsid w:val="0024765C"/>
    <w:rsid w:val="00250699"/>
    <w:rsid w:val="00250793"/>
    <w:rsid w:val="002512AE"/>
    <w:rsid w:val="00251C22"/>
    <w:rsid w:val="00252367"/>
    <w:rsid w:val="00252F6F"/>
    <w:rsid w:val="0025329C"/>
    <w:rsid w:val="00253395"/>
    <w:rsid w:val="00253581"/>
    <w:rsid w:val="00253CC1"/>
    <w:rsid w:val="002549F3"/>
    <w:rsid w:val="00254B93"/>
    <w:rsid w:val="00255448"/>
    <w:rsid w:val="00256BBF"/>
    <w:rsid w:val="00256BEB"/>
    <w:rsid w:val="00257666"/>
    <w:rsid w:val="00257927"/>
    <w:rsid w:val="00257F88"/>
    <w:rsid w:val="002608AF"/>
    <w:rsid w:val="0026093B"/>
    <w:rsid w:val="00260954"/>
    <w:rsid w:val="00261595"/>
    <w:rsid w:val="00262FAA"/>
    <w:rsid w:val="002630D0"/>
    <w:rsid w:val="0026358A"/>
    <w:rsid w:val="00263EC8"/>
    <w:rsid w:val="002649B4"/>
    <w:rsid w:val="002650BE"/>
    <w:rsid w:val="00265A05"/>
    <w:rsid w:val="00265BF3"/>
    <w:rsid w:val="00266AD5"/>
    <w:rsid w:val="00266D13"/>
    <w:rsid w:val="00266DA9"/>
    <w:rsid w:val="002675D0"/>
    <w:rsid w:val="00270FF4"/>
    <w:rsid w:val="00271503"/>
    <w:rsid w:val="002718FF"/>
    <w:rsid w:val="00271EEB"/>
    <w:rsid w:val="00272054"/>
    <w:rsid w:val="0027265F"/>
    <w:rsid w:val="00272CF0"/>
    <w:rsid w:val="00272D1E"/>
    <w:rsid w:val="002737B0"/>
    <w:rsid w:val="00274068"/>
    <w:rsid w:val="00274B07"/>
    <w:rsid w:val="00274E01"/>
    <w:rsid w:val="0027545B"/>
    <w:rsid w:val="00275D52"/>
    <w:rsid w:val="00276458"/>
    <w:rsid w:val="00276620"/>
    <w:rsid w:val="00276690"/>
    <w:rsid w:val="00276EF1"/>
    <w:rsid w:val="0027735A"/>
    <w:rsid w:val="00281B1B"/>
    <w:rsid w:val="00281C28"/>
    <w:rsid w:val="002827ED"/>
    <w:rsid w:val="00282DFF"/>
    <w:rsid w:val="00283B56"/>
    <w:rsid w:val="002848E5"/>
    <w:rsid w:val="002853F0"/>
    <w:rsid w:val="002854A5"/>
    <w:rsid w:val="002867C3"/>
    <w:rsid w:val="0028728D"/>
    <w:rsid w:val="002879D9"/>
    <w:rsid w:val="00290283"/>
    <w:rsid w:val="00290CCF"/>
    <w:rsid w:val="0029221C"/>
    <w:rsid w:val="00292834"/>
    <w:rsid w:val="0029293E"/>
    <w:rsid w:val="00292AC0"/>
    <w:rsid w:val="00292F93"/>
    <w:rsid w:val="00293A63"/>
    <w:rsid w:val="00293D0B"/>
    <w:rsid w:val="00294023"/>
    <w:rsid w:val="00294614"/>
    <w:rsid w:val="00294B2E"/>
    <w:rsid w:val="00294B39"/>
    <w:rsid w:val="00294E02"/>
    <w:rsid w:val="00294EBD"/>
    <w:rsid w:val="00295BE4"/>
    <w:rsid w:val="00296944"/>
    <w:rsid w:val="00297BC2"/>
    <w:rsid w:val="00297DF1"/>
    <w:rsid w:val="002A06C2"/>
    <w:rsid w:val="002A0755"/>
    <w:rsid w:val="002A2857"/>
    <w:rsid w:val="002A2C99"/>
    <w:rsid w:val="002A3024"/>
    <w:rsid w:val="002A319C"/>
    <w:rsid w:val="002A3575"/>
    <w:rsid w:val="002A3F31"/>
    <w:rsid w:val="002A49AA"/>
    <w:rsid w:val="002A4AC3"/>
    <w:rsid w:val="002A4D8F"/>
    <w:rsid w:val="002A6299"/>
    <w:rsid w:val="002A64AB"/>
    <w:rsid w:val="002A64D0"/>
    <w:rsid w:val="002A674D"/>
    <w:rsid w:val="002A6AA2"/>
    <w:rsid w:val="002A6D29"/>
    <w:rsid w:val="002A6D75"/>
    <w:rsid w:val="002A7F01"/>
    <w:rsid w:val="002B05E9"/>
    <w:rsid w:val="002B0FD2"/>
    <w:rsid w:val="002B34A7"/>
    <w:rsid w:val="002B3D79"/>
    <w:rsid w:val="002B3E35"/>
    <w:rsid w:val="002B4297"/>
    <w:rsid w:val="002B5C03"/>
    <w:rsid w:val="002B5E63"/>
    <w:rsid w:val="002B6264"/>
    <w:rsid w:val="002B6704"/>
    <w:rsid w:val="002B716E"/>
    <w:rsid w:val="002B75AF"/>
    <w:rsid w:val="002C07E1"/>
    <w:rsid w:val="002C0A09"/>
    <w:rsid w:val="002C1161"/>
    <w:rsid w:val="002C2025"/>
    <w:rsid w:val="002C257B"/>
    <w:rsid w:val="002C28EA"/>
    <w:rsid w:val="002C3BC9"/>
    <w:rsid w:val="002C4097"/>
    <w:rsid w:val="002C4759"/>
    <w:rsid w:val="002C4FE8"/>
    <w:rsid w:val="002C5735"/>
    <w:rsid w:val="002C5736"/>
    <w:rsid w:val="002C5E4A"/>
    <w:rsid w:val="002C5E94"/>
    <w:rsid w:val="002C65EB"/>
    <w:rsid w:val="002C7330"/>
    <w:rsid w:val="002C735D"/>
    <w:rsid w:val="002C7DF3"/>
    <w:rsid w:val="002D0BB1"/>
    <w:rsid w:val="002D1ED2"/>
    <w:rsid w:val="002D1EFC"/>
    <w:rsid w:val="002D222A"/>
    <w:rsid w:val="002D2379"/>
    <w:rsid w:val="002D23A1"/>
    <w:rsid w:val="002D25B2"/>
    <w:rsid w:val="002D2B0A"/>
    <w:rsid w:val="002D30B7"/>
    <w:rsid w:val="002D3512"/>
    <w:rsid w:val="002D3962"/>
    <w:rsid w:val="002D3DE0"/>
    <w:rsid w:val="002D584E"/>
    <w:rsid w:val="002D612A"/>
    <w:rsid w:val="002D63A1"/>
    <w:rsid w:val="002D6AE2"/>
    <w:rsid w:val="002D7245"/>
    <w:rsid w:val="002D755A"/>
    <w:rsid w:val="002D7959"/>
    <w:rsid w:val="002D7D53"/>
    <w:rsid w:val="002E00E0"/>
    <w:rsid w:val="002E03BD"/>
    <w:rsid w:val="002E0D29"/>
    <w:rsid w:val="002E111A"/>
    <w:rsid w:val="002E1AB8"/>
    <w:rsid w:val="002E263D"/>
    <w:rsid w:val="002E3067"/>
    <w:rsid w:val="002E4845"/>
    <w:rsid w:val="002E4C9C"/>
    <w:rsid w:val="002E5187"/>
    <w:rsid w:val="002E60B7"/>
    <w:rsid w:val="002E6ADD"/>
    <w:rsid w:val="002E6C1F"/>
    <w:rsid w:val="002E6CB6"/>
    <w:rsid w:val="002E723F"/>
    <w:rsid w:val="002E750A"/>
    <w:rsid w:val="002E757B"/>
    <w:rsid w:val="002F118C"/>
    <w:rsid w:val="002F11C6"/>
    <w:rsid w:val="002F13ED"/>
    <w:rsid w:val="002F15D7"/>
    <w:rsid w:val="002F19ED"/>
    <w:rsid w:val="002F248A"/>
    <w:rsid w:val="002F309E"/>
    <w:rsid w:val="002F35BD"/>
    <w:rsid w:val="002F3967"/>
    <w:rsid w:val="002F39C8"/>
    <w:rsid w:val="002F55AB"/>
    <w:rsid w:val="002F5F7B"/>
    <w:rsid w:val="002F6101"/>
    <w:rsid w:val="002F65DF"/>
    <w:rsid w:val="002F6D27"/>
    <w:rsid w:val="002F777D"/>
    <w:rsid w:val="002F7EB3"/>
    <w:rsid w:val="0030011A"/>
    <w:rsid w:val="0030028A"/>
    <w:rsid w:val="003002C0"/>
    <w:rsid w:val="00301024"/>
    <w:rsid w:val="00301859"/>
    <w:rsid w:val="00301C1E"/>
    <w:rsid w:val="003020D6"/>
    <w:rsid w:val="003031EE"/>
    <w:rsid w:val="00303699"/>
    <w:rsid w:val="00303DD8"/>
    <w:rsid w:val="00303DF8"/>
    <w:rsid w:val="00303F13"/>
    <w:rsid w:val="003047ED"/>
    <w:rsid w:val="003050D4"/>
    <w:rsid w:val="003064FD"/>
    <w:rsid w:val="00307911"/>
    <w:rsid w:val="00307CCE"/>
    <w:rsid w:val="00310608"/>
    <w:rsid w:val="003108B2"/>
    <w:rsid w:val="00311531"/>
    <w:rsid w:val="00312C2B"/>
    <w:rsid w:val="0031324D"/>
    <w:rsid w:val="00314FAB"/>
    <w:rsid w:val="00315687"/>
    <w:rsid w:val="003157D9"/>
    <w:rsid w:val="0031600D"/>
    <w:rsid w:val="0031627C"/>
    <w:rsid w:val="00316492"/>
    <w:rsid w:val="0031706C"/>
    <w:rsid w:val="003176E1"/>
    <w:rsid w:val="0031792A"/>
    <w:rsid w:val="00317B35"/>
    <w:rsid w:val="00317F7B"/>
    <w:rsid w:val="00320074"/>
    <w:rsid w:val="00320B41"/>
    <w:rsid w:val="00320E03"/>
    <w:rsid w:val="00321CB9"/>
    <w:rsid w:val="0032463C"/>
    <w:rsid w:val="0032577C"/>
    <w:rsid w:val="00325DFE"/>
    <w:rsid w:val="00325FFA"/>
    <w:rsid w:val="00326072"/>
    <w:rsid w:val="0032653C"/>
    <w:rsid w:val="00326E19"/>
    <w:rsid w:val="00326EDD"/>
    <w:rsid w:val="0032706B"/>
    <w:rsid w:val="00330420"/>
    <w:rsid w:val="00330DFD"/>
    <w:rsid w:val="003322CC"/>
    <w:rsid w:val="003325EE"/>
    <w:rsid w:val="00332922"/>
    <w:rsid w:val="00332EAA"/>
    <w:rsid w:val="00333006"/>
    <w:rsid w:val="003340E3"/>
    <w:rsid w:val="0033598B"/>
    <w:rsid w:val="00335BB4"/>
    <w:rsid w:val="00335D98"/>
    <w:rsid w:val="003365A1"/>
    <w:rsid w:val="003365D7"/>
    <w:rsid w:val="00337657"/>
    <w:rsid w:val="003378AA"/>
    <w:rsid w:val="00341134"/>
    <w:rsid w:val="00341928"/>
    <w:rsid w:val="00342A7B"/>
    <w:rsid w:val="003441AB"/>
    <w:rsid w:val="00344D31"/>
    <w:rsid w:val="0034521D"/>
    <w:rsid w:val="003463EB"/>
    <w:rsid w:val="00346A34"/>
    <w:rsid w:val="0034726F"/>
    <w:rsid w:val="00347ABD"/>
    <w:rsid w:val="00347EA3"/>
    <w:rsid w:val="003503FB"/>
    <w:rsid w:val="00350469"/>
    <w:rsid w:val="00351563"/>
    <w:rsid w:val="00351DBE"/>
    <w:rsid w:val="0035228E"/>
    <w:rsid w:val="003534F8"/>
    <w:rsid w:val="00353F55"/>
    <w:rsid w:val="00354A1C"/>
    <w:rsid w:val="00354A4A"/>
    <w:rsid w:val="00355274"/>
    <w:rsid w:val="0035533F"/>
    <w:rsid w:val="003560FD"/>
    <w:rsid w:val="00356C14"/>
    <w:rsid w:val="00357265"/>
    <w:rsid w:val="00360A37"/>
    <w:rsid w:val="00361AEC"/>
    <w:rsid w:val="00361F1E"/>
    <w:rsid w:val="0036391A"/>
    <w:rsid w:val="00363C60"/>
    <w:rsid w:val="003645E8"/>
    <w:rsid w:val="00364A7C"/>
    <w:rsid w:val="0036529A"/>
    <w:rsid w:val="00365AE0"/>
    <w:rsid w:val="00365F3A"/>
    <w:rsid w:val="0036635D"/>
    <w:rsid w:val="00367103"/>
    <w:rsid w:val="00367220"/>
    <w:rsid w:val="00367AD2"/>
    <w:rsid w:val="00370562"/>
    <w:rsid w:val="003709EB"/>
    <w:rsid w:val="00370B88"/>
    <w:rsid w:val="00371C63"/>
    <w:rsid w:val="00371FC2"/>
    <w:rsid w:val="003723AD"/>
    <w:rsid w:val="00375AAE"/>
    <w:rsid w:val="00375D33"/>
    <w:rsid w:val="003771EB"/>
    <w:rsid w:val="00377454"/>
    <w:rsid w:val="0037785C"/>
    <w:rsid w:val="00380439"/>
    <w:rsid w:val="00381CF6"/>
    <w:rsid w:val="00381D05"/>
    <w:rsid w:val="00381DF6"/>
    <w:rsid w:val="00382946"/>
    <w:rsid w:val="00382B3D"/>
    <w:rsid w:val="00382F82"/>
    <w:rsid w:val="003830E2"/>
    <w:rsid w:val="00383625"/>
    <w:rsid w:val="00384493"/>
    <w:rsid w:val="00384A78"/>
    <w:rsid w:val="00384D51"/>
    <w:rsid w:val="0038504B"/>
    <w:rsid w:val="00385067"/>
    <w:rsid w:val="003851B3"/>
    <w:rsid w:val="003856C6"/>
    <w:rsid w:val="00385926"/>
    <w:rsid w:val="00385A3A"/>
    <w:rsid w:val="00385B28"/>
    <w:rsid w:val="00385DFF"/>
    <w:rsid w:val="0038649B"/>
    <w:rsid w:val="00386EFA"/>
    <w:rsid w:val="00387507"/>
    <w:rsid w:val="003875DF"/>
    <w:rsid w:val="00387AD0"/>
    <w:rsid w:val="00387E90"/>
    <w:rsid w:val="00387F95"/>
    <w:rsid w:val="003901DD"/>
    <w:rsid w:val="00390B1A"/>
    <w:rsid w:val="0039136E"/>
    <w:rsid w:val="00391DF5"/>
    <w:rsid w:val="003934EE"/>
    <w:rsid w:val="0039424B"/>
    <w:rsid w:val="00395B5F"/>
    <w:rsid w:val="00395E46"/>
    <w:rsid w:val="003963FE"/>
    <w:rsid w:val="003976DD"/>
    <w:rsid w:val="003A000E"/>
    <w:rsid w:val="003A001C"/>
    <w:rsid w:val="003A0073"/>
    <w:rsid w:val="003A00B1"/>
    <w:rsid w:val="003A0FA5"/>
    <w:rsid w:val="003A12D5"/>
    <w:rsid w:val="003A1D2E"/>
    <w:rsid w:val="003A2342"/>
    <w:rsid w:val="003A23A6"/>
    <w:rsid w:val="003A2B3D"/>
    <w:rsid w:val="003A2BF2"/>
    <w:rsid w:val="003A2C1C"/>
    <w:rsid w:val="003A336B"/>
    <w:rsid w:val="003A3E9C"/>
    <w:rsid w:val="003A4877"/>
    <w:rsid w:val="003A52F6"/>
    <w:rsid w:val="003A5435"/>
    <w:rsid w:val="003A5710"/>
    <w:rsid w:val="003A627A"/>
    <w:rsid w:val="003A69D8"/>
    <w:rsid w:val="003A6B6C"/>
    <w:rsid w:val="003A71D3"/>
    <w:rsid w:val="003B0050"/>
    <w:rsid w:val="003B0A37"/>
    <w:rsid w:val="003B0D39"/>
    <w:rsid w:val="003B0F2E"/>
    <w:rsid w:val="003B16A0"/>
    <w:rsid w:val="003B18F1"/>
    <w:rsid w:val="003B1D97"/>
    <w:rsid w:val="003B259C"/>
    <w:rsid w:val="003B25AD"/>
    <w:rsid w:val="003B2837"/>
    <w:rsid w:val="003B2919"/>
    <w:rsid w:val="003B34BE"/>
    <w:rsid w:val="003B3B76"/>
    <w:rsid w:val="003B3CB1"/>
    <w:rsid w:val="003B43DE"/>
    <w:rsid w:val="003B54DB"/>
    <w:rsid w:val="003B6491"/>
    <w:rsid w:val="003B67FF"/>
    <w:rsid w:val="003B69D7"/>
    <w:rsid w:val="003B6CAF"/>
    <w:rsid w:val="003B7069"/>
    <w:rsid w:val="003B768C"/>
    <w:rsid w:val="003B7B20"/>
    <w:rsid w:val="003B7CB3"/>
    <w:rsid w:val="003B7ECC"/>
    <w:rsid w:val="003C04C6"/>
    <w:rsid w:val="003C06C0"/>
    <w:rsid w:val="003C181B"/>
    <w:rsid w:val="003C23C8"/>
    <w:rsid w:val="003C27B5"/>
    <w:rsid w:val="003C2D68"/>
    <w:rsid w:val="003C2DB8"/>
    <w:rsid w:val="003C4547"/>
    <w:rsid w:val="003C48F5"/>
    <w:rsid w:val="003C4B51"/>
    <w:rsid w:val="003C5E7B"/>
    <w:rsid w:val="003C6BD3"/>
    <w:rsid w:val="003C6F6D"/>
    <w:rsid w:val="003D1515"/>
    <w:rsid w:val="003D222A"/>
    <w:rsid w:val="003D2302"/>
    <w:rsid w:val="003D3B02"/>
    <w:rsid w:val="003D3B87"/>
    <w:rsid w:val="003D3F21"/>
    <w:rsid w:val="003D4584"/>
    <w:rsid w:val="003D47DD"/>
    <w:rsid w:val="003D4858"/>
    <w:rsid w:val="003D4BDB"/>
    <w:rsid w:val="003D4C01"/>
    <w:rsid w:val="003D5453"/>
    <w:rsid w:val="003D5EAB"/>
    <w:rsid w:val="003D5FB7"/>
    <w:rsid w:val="003D630B"/>
    <w:rsid w:val="003D63DD"/>
    <w:rsid w:val="003D785C"/>
    <w:rsid w:val="003D7C18"/>
    <w:rsid w:val="003E0772"/>
    <w:rsid w:val="003E13F4"/>
    <w:rsid w:val="003E1967"/>
    <w:rsid w:val="003E1C4D"/>
    <w:rsid w:val="003E1D16"/>
    <w:rsid w:val="003E218B"/>
    <w:rsid w:val="003E3621"/>
    <w:rsid w:val="003E3634"/>
    <w:rsid w:val="003E3842"/>
    <w:rsid w:val="003E3F14"/>
    <w:rsid w:val="003E50BE"/>
    <w:rsid w:val="003E5294"/>
    <w:rsid w:val="003E52F5"/>
    <w:rsid w:val="003E5E2A"/>
    <w:rsid w:val="003E60ED"/>
    <w:rsid w:val="003E628F"/>
    <w:rsid w:val="003E6BF3"/>
    <w:rsid w:val="003E6CD1"/>
    <w:rsid w:val="003E73CB"/>
    <w:rsid w:val="003E76B9"/>
    <w:rsid w:val="003E771B"/>
    <w:rsid w:val="003F21E2"/>
    <w:rsid w:val="003F255C"/>
    <w:rsid w:val="003F2697"/>
    <w:rsid w:val="003F297F"/>
    <w:rsid w:val="003F3A05"/>
    <w:rsid w:val="003F43D9"/>
    <w:rsid w:val="003F6234"/>
    <w:rsid w:val="003F6319"/>
    <w:rsid w:val="003F71AD"/>
    <w:rsid w:val="003F7896"/>
    <w:rsid w:val="003F7D39"/>
    <w:rsid w:val="00400115"/>
    <w:rsid w:val="00400141"/>
    <w:rsid w:val="00400956"/>
    <w:rsid w:val="0040096B"/>
    <w:rsid w:val="00400B12"/>
    <w:rsid w:val="00400C77"/>
    <w:rsid w:val="00400F7F"/>
    <w:rsid w:val="004011D8"/>
    <w:rsid w:val="004014C5"/>
    <w:rsid w:val="004014F0"/>
    <w:rsid w:val="00401DEB"/>
    <w:rsid w:val="00401EF3"/>
    <w:rsid w:val="00402D41"/>
    <w:rsid w:val="0040305A"/>
    <w:rsid w:val="00403403"/>
    <w:rsid w:val="00403713"/>
    <w:rsid w:val="00403BB5"/>
    <w:rsid w:val="00404832"/>
    <w:rsid w:val="00405C07"/>
    <w:rsid w:val="004063FF"/>
    <w:rsid w:val="0040701B"/>
    <w:rsid w:val="0040714B"/>
    <w:rsid w:val="004077A1"/>
    <w:rsid w:val="00407FC4"/>
    <w:rsid w:val="00411CB4"/>
    <w:rsid w:val="00413F9A"/>
    <w:rsid w:val="004142C3"/>
    <w:rsid w:val="00414533"/>
    <w:rsid w:val="00414812"/>
    <w:rsid w:val="00414836"/>
    <w:rsid w:val="0041521C"/>
    <w:rsid w:val="00415438"/>
    <w:rsid w:val="00416169"/>
    <w:rsid w:val="00416CD4"/>
    <w:rsid w:val="00416DF3"/>
    <w:rsid w:val="004170CD"/>
    <w:rsid w:val="00421057"/>
    <w:rsid w:val="004212CE"/>
    <w:rsid w:val="00421916"/>
    <w:rsid w:val="00421AEC"/>
    <w:rsid w:val="00422295"/>
    <w:rsid w:val="004226A1"/>
    <w:rsid w:val="00422E83"/>
    <w:rsid w:val="00423567"/>
    <w:rsid w:val="00424BBE"/>
    <w:rsid w:val="0042559F"/>
    <w:rsid w:val="004257F2"/>
    <w:rsid w:val="00425DE5"/>
    <w:rsid w:val="00426C26"/>
    <w:rsid w:val="0042730A"/>
    <w:rsid w:val="00427C64"/>
    <w:rsid w:val="00430664"/>
    <w:rsid w:val="004312C2"/>
    <w:rsid w:val="004317A1"/>
    <w:rsid w:val="0043201C"/>
    <w:rsid w:val="00432198"/>
    <w:rsid w:val="004321B6"/>
    <w:rsid w:val="00432677"/>
    <w:rsid w:val="00433333"/>
    <w:rsid w:val="00434141"/>
    <w:rsid w:val="004355CC"/>
    <w:rsid w:val="0043568C"/>
    <w:rsid w:val="004360F6"/>
    <w:rsid w:val="00436830"/>
    <w:rsid w:val="00436A2E"/>
    <w:rsid w:val="00436D3F"/>
    <w:rsid w:val="00437006"/>
    <w:rsid w:val="00440F23"/>
    <w:rsid w:val="00441452"/>
    <w:rsid w:val="0044175A"/>
    <w:rsid w:val="004437DB"/>
    <w:rsid w:val="0044427E"/>
    <w:rsid w:val="00444941"/>
    <w:rsid w:val="00444CD3"/>
    <w:rsid w:val="00446060"/>
    <w:rsid w:val="00446D08"/>
    <w:rsid w:val="00446F29"/>
    <w:rsid w:val="00446F83"/>
    <w:rsid w:val="004475D2"/>
    <w:rsid w:val="00447F9F"/>
    <w:rsid w:val="004503E3"/>
    <w:rsid w:val="00450945"/>
    <w:rsid w:val="00452492"/>
    <w:rsid w:val="00452DCA"/>
    <w:rsid w:val="00452F04"/>
    <w:rsid w:val="00453167"/>
    <w:rsid w:val="00453194"/>
    <w:rsid w:val="00453820"/>
    <w:rsid w:val="00454122"/>
    <w:rsid w:val="004545DD"/>
    <w:rsid w:val="00454A59"/>
    <w:rsid w:val="00455222"/>
    <w:rsid w:val="004554F7"/>
    <w:rsid w:val="0045587A"/>
    <w:rsid w:val="00456CF9"/>
    <w:rsid w:val="004609D7"/>
    <w:rsid w:val="00460A5F"/>
    <w:rsid w:val="004611E4"/>
    <w:rsid w:val="004619BB"/>
    <w:rsid w:val="00461E13"/>
    <w:rsid w:val="00461FE6"/>
    <w:rsid w:val="004630A4"/>
    <w:rsid w:val="00463EF3"/>
    <w:rsid w:val="00464AD3"/>
    <w:rsid w:val="00464EE0"/>
    <w:rsid w:val="0046530D"/>
    <w:rsid w:val="004668B3"/>
    <w:rsid w:val="00466B48"/>
    <w:rsid w:val="0047046A"/>
    <w:rsid w:val="004707AA"/>
    <w:rsid w:val="00470B7D"/>
    <w:rsid w:val="00470C2E"/>
    <w:rsid w:val="00471041"/>
    <w:rsid w:val="00471670"/>
    <w:rsid w:val="00471AEE"/>
    <w:rsid w:val="00471E10"/>
    <w:rsid w:val="00472C79"/>
    <w:rsid w:val="00472CEB"/>
    <w:rsid w:val="0047345A"/>
    <w:rsid w:val="00474198"/>
    <w:rsid w:val="0047429E"/>
    <w:rsid w:val="0047524C"/>
    <w:rsid w:val="004758B3"/>
    <w:rsid w:val="00476F7B"/>
    <w:rsid w:val="0048006A"/>
    <w:rsid w:val="004803B7"/>
    <w:rsid w:val="00481A6E"/>
    <w:rsid w:val="00481AE5"/>
    <w:rsid w:val="004823BB"/>
    <w:rsid w:val="004829B0"/>
    <w:rsid w:val="00482A9B"/>
    <w:rsid w:val="00482E89"/>
    <w:rsid w:val="00483743"/>
    <w:rsid w:val="004846EC"/>
    <w:rsid w:val="00484E9D"/>
    <w:rsid w:val="00484EE2"/>
    <w:rsid w:val="00485554"/>
    <w:rsid w:val="00486D7D"/>
    <w:rsid w:val="00487927"/>
    <w:rsid w:val="00487BEB"/>
    <w:rsid w:val="004906D8"/>
    <w:rsid w:val="00492C8A"/>
    <w:rsid w:val="00492FB1"/>
    <w:rsid w:val="004932B1"/>
    <w:rsid w:val="00493AC8"/>
    <w:rsid w:val="00493F56"/>
    <w:rsid w:val="00493F66"/>
    <w:rsid w:val="0049419C"/>
    <w:rsid w:val="00495126"/>
    <w:rsid w:val="00495648"/>
    <w:rsid w:val="00496A64"/>
    <w:rsid w:val="00497FAC"/>
    <w:rsid w:val="004A032D"/>
    <w:rsid w:val="004A0429"/>
    <w:rsid w:val="004A0C4F"/>
    <w:rsid w:val="004A1261"/>
    <w:rsid w:val="004A1409"/>
    <w:rsid w:val="004A2488"/>
    <w:rsid w:val="004A25C4"/>
    <w:rsid w:val="004A3B12"/>
    <w:rsid w:val="004A3B8C"/>
    <w:rsid w:val="004A40C6"/>
    <w:rsid w:val="004A4F15"/>
    <w:rsid w:val="004A552F"/>
    <w:rsid w:val="004A55F3"/>
    <w:rsid w:val="004A67EB"/>
    <w:rsid w:val="004A7C5B"/>
    <w:rsid w:val="004B00FE"/>
    <w:rsid w:val="004B0A97"/>
    <w:rsid w:val="004B13DF"/>
    <w:rsid w:val="004B2290"/>
    <w:rsid w:val="004B381C"/>
    <w:rsid w:val="004B3826"/>
    <w:rsid w:val="004B390F"/>
    <w:rsid w:val="004B3DC9"/>
    <w:rsid w:val="004B4452"/>
    <w:rsid w:val="004B4AFE"/>
    <w:rsid w:val="004B4F21"/>
    <w:rsid w:val="004B5422"/>
    <w:rsid w:val="004B5632"/>
    <w:rsid w:val="004B5712"/>
    <w:rsid w:val="004B65A6"/>
    <w:rsid w:val="004B666E"/>
    <w:rsid w:val="004B6BDB"/>
    <w:rsid w:val="004B793E"/>
    <w:rsid w:val="004B7F3B"/>
    <w:rsid w:val="004C08C1"/>
    <w:rsid w:val="004C0A4B"/>
    <w:rsid w:val="004C0C0D"/>
    <w:rsid w:val="004C1D5F"/>
    <w:rsid w:val="004C1FDF"/>
    <w:rsid w:val="004C2E55"/>
    <w:rsid w:val="004C32EE"/>
    <w:rsid w:val="004C32F9"/>
    <w:rsid w:val="004C3C08"/>
    <w:rsid w:val="004C53D3"/>
    <w:rsid w:val="004C6568"/>
    <w:rsid w:val="004C65B0"/>
    <w:rsid w:val="004C66C2"/>
    <w:rsid w:val="004C6CC1"/>
    <w:rsid w:val="004C713E"/>
    <w:rsid w:val="004C7F2B"/>
    <w:rsid w:val="004D06EA"/>
    <w:rsid w:val="004D25DF"/>
    <w:rsid w:val="004D2655"/>
    <w:rsid w:val="004D3578"/>
    <w:rsid w:val="004D46E0"/>
    <w:rsid w:val="004D4814"/>
    <w:rsid w:val="004D5BCE"/>
    <w:rsid w:val="004D620A"/>
    <w:rsid w:val="004D73A1"/>
    <w:rsid w:val="004D7B12"/>
    <w:rsid w:val="004E019B"/>
    <w:rsid w:val="004E0835"/>
    <w:rsid w:val="004E166B"/>
    <w:rsid w:val="004E16E9"/>
    <w:rsid w:val="004E1A73"/>
    <w:rsid w:val="004E2ABA"/>
    <w:rsid w:val="004E2C0A"/>
    <w:rsid w:val="004E2E9D"/>
    <w:rsid w:val="004E3BAB"/>
    <w:rsid w:val="004E527A"/>
    <w:rsid w:val="004E60CE"/>
    <w:rsid w:val="004E643F"/>
    <w:rsid w:val="004E7DF0"/>
    <w:rsid w:val="004F0425"/>
    <w:rsid w:val="004F1E2D"/>
    <w:rsid w:val="004F29CC"/>
    <w:rsid w:val="004F2BE3"/>
    <w:rsid w:val="004F37CA"/>
    <w:rsid w:val="004F3A81"/>
    <w:rsid w:val="004F43CF"/>
    <w:rsid w:val="004F4BE6"/>
    <w:rsid w:val="004F50C0"/>
    <w:rsid w:val="004F5397"/>
    <w:rsid w:val="004F544F"/>
    <w:rsid w:val="004F627F"/>
    <w:rsid w:val="004F70AE"/>
    <w:rsid w:val="004F7778"/>
    <w:rsid w:val="004F798D"/>
    <w:rsid w:val="00500472"/>
    <w:rsid w:val="00500FFB"/>
    <w:rsid w:val="00501D00"/>
    <w:rsid w:val="00502390"/>
    <w:rsid w:val="00502BB0"/>
    <w:rsid w:val="00502D72"/>
    <w:rsid w:val="0050346B"/>
    <w:rsid w:val="00504368"/>
    <w:rsid w:val="00504742"/>
    <w:rsid w:val="0050480D"/>
    <w:rsid w:val="0050496B"/>
    <w:rsid w:val="005049E5"/>
    <w:rsid w:val="00504F53"/>
    <w:rsid w:val="00505AE7"/>
    <w:rsid w:val="00505FBE"/>
    <w:rsid w:val="00506547"/>
    <w:rsid w:val="00506E62"/>
    <w:rsid w:val="00506FFD"/>
    <w:rsid w:val="005072EE"/>
    <w:rsid w:val="00507322"/>
    <w:rsid w:val="00507389"/>
    <w:rsid w:val="00507D54"/>
    <w:rsid w:val="0051022A"/>
    <w:rsid w:val="00511780"/>
    <w:rsid w:val="00512A23"/>
    <w:rsid w:val="00513EF7"/>
    <w:rsid w:val="0051497B"/>
    <w:rsid w:val="00515151"/>
    <w:rsid w:val="0051586C"/>
    <w:rsid w:val="005171E0"/>
    <w:rsid w:val="005200B8"/>
    <w:rsid w:val="00521C68"/>
    <w:rsid w:val="005223AA"/>
    <w:rsid w:val="005225B0"/>
    <w:rsid w:val="00522E62"/>
    <w:rsid w:val="00524940"/>
    <w:rsid w:val="00525E79"/>
    <w:rsid w:val="00526BAA"/>
    <w:rsid w:val="00527597"/>
    <w:rsid w:val="00527C7A"/>
    <w:rsid w:val="00530204"/>
    <w:rsid w:val="00530D3E"/>
    <w:rsid w:val="0053115C"/>
    <w:rsid w:val="00531901"/>
    <w:rsid w:val="005323ED"/>
    <w:rsid w:val="005326CE"/>
    <w:rsid w:val="00533105"/>
    <w:rsid w:val="00534286"/>
    <w:rsid w:val="005345B1"/>
    <w:rsid w:val="00534AAA"/>
    <w:rsid w:val="00535F3D"/>
    <w:rsid w:val="0053635B"/>
    <w:rsid w:val="00536455"/>
    <w:rsid w:val="00537300"/>
    <w:rsid w:val="0053739A"/>
    <w:rsid w:val="00537C75"/>
    <w:rsid w:val="00537CE3"/>
    <w:rsid w:val="00540732"/>
    <w:rsid w:val="0054106D"/>
    <w:rsid w:val="00541BC3"/>
    <w:rsid w:val="00541ECF"/>
    <w:rsid w:val="00542E70"/>
    <w:rsid w:val="0054345E"/>
    <w:rsid w:val="0054346E"/>
    <w:rsid w:val="00544361"/>
    <w:rsid w:val="005457DC"/>
    <w:rsid w:val="00545EB1"/>
    <w:rsid w:val="0054623E"/>
    <w:rsid w:val="00546A2E"/>
    <w:rsid w:val="00546DAE"/>
    <w:rsid w:val="005515B4"/>
    <w:rsid w:val="005515E6"/>
    <w:rsid w:val="00552566"/>
    <w:rsid w:val="00552E0C"/>
    <w:rsid w:val="00553927"/>
    <w:rsid w:val="00553F24"/>
    <w:rsid w:val="005542A4"/>
    <w:rsid w:val="005544DB"/>
    <w:rsid w:val="00554FC7"/>
    <w:rsid w:val="00554FD3"/>
    <w:rsid w:val="005551E7"/>
    <w:rsid w:val="0055598C"/>
    <w:rsid w:val="00555A05"/>
    <w:rsid w:val="005560E2"/>
    <w:rsid w:val="0055663B"/>
    <w:rsid w:val="00556B88"/>
    <w:rsid w:val="0055718B"/>
    <w:rsid w:val="00557355"/>
    <w:rsid w:val="0055751D"/>
    <w:rsid w:val="00560A0C"/>
    <w:rsid w:val="00560E83"/>
    <w:rsid w:val="00560F43"/>
    <w:rsid w:val="00561957"/>
    <w:rsid w:val="00561ED0"/>
    <w:rsid w:val="00562248"/>
    <w:rsid w:val="00562FE2"/>
    <w:rsid w:val="005634E6"/>
    <w:rsid w:val="00563587"/>
    <w:rsid w:val="0056373B"/>
    <w:rsid w:val="00563E8F"/>
    <w:rsid w:val="00563F9F"/>
    <w:rsid w:val="00563FA0"/>
    <w:rsid w:val="005644CF"/>
    <w:rsid w:val="00564F0F"/>
    <w:rsid w:val="005657DE"/>
    <w:rsid w:val="005659CA"/>
    <w:rsid w:val="00565DD4"/>
    <w:rsid w:val="00565F19"/>
    <w:rsid w:val="005668BC"/>
    <w:rsid w:val="00566A14"/>
    <w:rsid w:val="00566BA8"/>
    <w:rsid w:val="00567402"/>
    <w:rsid w:val="005705A3"/>
    <w:rsid w:val="0057071E"/>
    <w:rsid w:val="005710C0"/>
    <w:rsid w:val="00571E4C"/>
    <w:rsid w:val="005721BA"/>
    <w:rsid w:val="00572F5B"/>
    <w:rsid w:val="00573451"/>
    <w:rsid w:val="00574139"/>
    <w:rsid w:val="005747DE"/>
    <w:rsid w:val="00574E18"/>
    <w:rsid w:val="005751F9"/>
    <w:rsid w:val="00576A3F"/>
    <w:rsid w:val="00576C9C"/>
    <w:rsid w:val="00576E67"/>
    <w:rsid w:val="00577FDA"/>
    <w:rsid w:val="00580553"/>
    <w:rsid w:val="00580E7F"/>
    <w:rsid w:val="00580F1C"/>
    <w:rsid w:val="00581924"/>
    <w:rsid w:val="00581C8C"/>
    <w:rsid w:val="005821EA"/>
    <w:rsid w:val="00582CAC"/>
    <w:rsid w:val="00583B3C"/>
    <w:rsid w:val="005843F1"/>
    <w:rsid w:val="00584919"/>
    <w:rsid w:val="00586061"/>
    <w:rsid w:val="005865F3"/>
    <w:rsid w:val="005866F1"/>
    <w:rsid w:val="00586D76"/>
    <w:rsid w:val="005900E7"/>
    <w:rsid w:val="005903F9"/>
    <w:rsid w:val="005927F8"/>
    <w:rsid w:val="00593BDE"/>
    <w:rsid w:val="005946AF"/>
    <w:rsid w:val="00594EC1"/>
    <w:rsid w:val="005962B5"/>
    <w:rsid w:val="0059654D"/>
    <w:rsid w:val="00596856"/>
    <w:rsid w:val="00596894"/>
    <w:rsid w:val="00596FD6"/>
    <w:rsid w:val="005971FD"/>
    <w:rsid w:val="0059755E"/>
    <w:rsid w:val="005A03A6"/>
    <w:rsid w:val="005A0693"/>
    <w:rsid w:val="005A0BD3"/>
    <w:rsid w:val="005A111D"/>
    <w:rsid w:val="005A130F"/>
    <w:rsid w:val="005A1578"/>
    <w:rsid w:val="005A1EC7"/>
    <w:rsid w:val="005A2101"/>
    <w:rsid w:val="005A2435"/>
    <w:rsid w:val="005A303D"/>
    <w:rsid w:val="005A3794"/>
    <w:rsid w:val="005A3A5D"/>
    <w:rsid w:val="005A3D47"/>
    <w:rsid w:val="005A3E12"/>
    <w:rsid w:val="005A409D"/>
    <w:rsid w:val="005A59FD"/>
    <w:rsid w:val="005A710A"/>
    <w:rsid w:val="005A7F0F"/>
    <w:rsid w:val="005B0250"/>
    <w:rsid w:val="005B0475"/>
    <w:rsid w:val="005B04DA"/>
    <w:rsid w:val="005B0965"/>
    <w:rsid w:val="005B0E30"/>
    <w:rsid w:val="005B1096"/>
    <w:rsid w:val="005B228B"/>
    <w:rsid w:val="005B2739"/>
    <w:rsid w:val="005B2E9C"/>
    <w:rsid w:val="005B2F20"/>
    <w:rsid w:val="005B3084"/>
    <w:rsid w:val="005B385D"/>
    <w:rsid w:val="005B481F"/>
    <w:rsid w:val="005B557C"/>
    <w:rsid w:val="005B57E9"/>
    <w:rsid w:val="005B59FA"/>
    <w:rsid w:val="005B6D37"/>
    <w:rsid w:val="005B6F7C"/>
    <w:rsid w:val="005B75BA"/>
    <w:rsid w:val="005B7B78"/>
    <w:rsid w:val="005B7BCC"/>
    <w:rsid w:val="005B7D06"/>
    <w:rsid w:val="005B7D29"/>
    <w:rsid w:val="005C008B"/>
    <w:rsid w:val="005C0C4F"/>
    <w:rsid w:val="005C2D4D"/>
    <w:rsid w:val="005C2DF8"/>
    <w:rsid w:val="005C3308"/>
    <w:rsid w:val="005C3B69"/>
    <w:rsid w:val="005C4404"/>
    <w:rsid w:val="005C46B4"/>
    <w:rsid w:val="005C4877"/>
    <w:rsid w:val="005C52E0"/>
    <w:rsid w:val="005C57FC"/>
    <w:rsid w:val="005C6322"/>
    <w:rsid w:val="005C76EB"/>
    <w:rsid w:val="005D0B0B"/>
    <w:rsid w:val="005D0BF9"/>
    <w:rsid w:val="005D12FD"/>
    <w:rsid w:val="005D32CD"/>
    <w:rsid w:val="005D4C38"/>
    <w:rsid w:val="005D4CBD"/>
    <w:rsid w:val="005D5ACC"/>
    <w:rsid w:val="005D5ED5"/>
    <w:rsid w:val="005D60B6"/>
    <w:rsid w:val="005D6656"/>
    <w:rsid w:val="005D6BF4"/>
    <w:rsid w:val="005D7214"/>
    <w:rsid w:val="005E06EF"/>
    <w:rsid w:val="005E0753"/>
    <w:rsid w:val="005E07EA"/>
    <w:rsid w:val="005E0E12"/>
    <w:rsid w:val="005E1266"/>
    <w:rsid w:val="005E166C"/>
    <w:rsid w:val="005E2310"/>
    <w:rsid w:val="005E28A9"/>
    <w:rsid w:val="005E3F42"/>
    <w:rsid w:val="005E6ADF"/>
    <w:rsid w:val="005E6C71"/>
    <w:rsid w:val="005F0DDB"/>
    <w:rsid w:val="005F1F34"/>
    <w:rsid w:val="005F1FBB"/>
    <w:rsid w:val="005F219F"/>
    <w:rsid w:val="005F220E"/>
    <w:rsid w:val="005F2E5A"/>
    <w:rsid w:val="005F32BF"/>
    <w:rsid w:val="005F3323"/>
    <w:rsid w:val="005F3F41"/>
    <w:rsid w:val="005F40F3"/>
    <w:rsid w:val="005F414C"/>
    <w:rsid w:val="005F487F"/>
    <w:rsid w:val="005F4AD7"/>
    <w:rsid w:val="005F4C1D"/>
    <w:rsid w:val="005F5EEF"/>
    <w:rsid w:val="005F666B"/>
    <w:rsid w:val="005F6B09"/>
    <w:rsid w:val="005F6BDA"/>
    <w:rsid w:val="005F6EDF"/>
    <w:rsid w:val="00601272"/>
    <w:rsid w:val="00601348"/>
    <w:rsid w:val="006018A2"/>
    <w:rsid w:val="006024F5"/>
    <w:rsid w:val="00602941"/>
    <w:rsid w:val="006044C6"/>
    <w:rsid w:val="006044F0"/>
    <w:rsid w:val="00606202"/>
    <w:rsid w:val="00606D9B"/>
    <w:rsid w:val="006074D0"/>
    <w:rsid w:val="0061091A"/>
    <w:rsid w:val="00610B8B"/>
    <w:rsid w:val="00610D68"/>
    <w:rsid w:val="00611B86"/>
    <w:rsid w:val="00611D82"/>
    <w:rsid w:val="00611EE9"/>
    <w:rsid w:val="00612372"/>
    <w:rsid w:val="00612E44"/>
    <w:rsid w:val="0061330F"/>
    <w:rsid w:val="0061335A"/>
    <w:rsid w:val="0061338F"/>
    <w:rsid w:val="00613D4E"/>
    <w:rsid w:val="00614BE7"/>
    <w:rsid w:val="00615120"/>
    <w:rsid w:val="00615A80"/>
    <w:rsid w:val="00615C84"/>
    <w:rsid w:val="00615D19"/>
    <w:rsid w:val="00616E29"/>
    <w:rsid w:val="0061731C"/>
    <w:rsid w:val="00617AD2"/>
    <w:rsid w:val="00617DFC"/>
    <w:rsid w:val="0062034E"/>
    <w:rsid w:val="00620BA9"/>
    <w:rsid w:val="0062126C"/>
    <w:rsid w:val="006225A8"/>
    <w:rsid w:val="00623395"/>
    <w:rsid w:val="00623F7A"/>
    <w:rsid w:val="0062437C"/>
    <w:rsid w:val="0062482E"/>
    <w:rsid w:val="00624E34"/>
    <w:rsid w:val="006259F5"/>
    <w:rsid w:val="0062617B"/>
    <w:rsid w:val="006264F9"/>
    <w:rsid w:val="00626F9B"/>
    <w:rsid w:val="0062728D"/>
    <w:rsid w:val="00627E6B"/>
    <w:rsid w:val="00630691"/>
    <w:rsid w:val="006308B1"/>
    <w:rsid w:val="00630DA1"/>
    <w:rsid w:val="006311ED"/>
    <w:rsid w:val="00631BA4"/>
    <w:rsid w:val="00631D5F"/>
    <w:rsid w:val="00631FBA"/>
    <w:rsid w:val="006326AC"/>
    <w:rsid w:val="00632BB2"/>
    <w:rsid w:val="00633F71"/>
    <w:rsid w:val="00634AC0"/>
    <w:rsid w:val="0063548F"/>
    <w:rsid w:val="0063576E"/>
    <w:rsid w:val="006366EC"/>
    <w:rsid w:val="006374EF"/>
    <w:rsid w:val="00640709"/>
    <w:rsid w:val="00640C57"/>
    <w:rsid w:val="0064118B"/>
    <w:rsid w:val="0064160A"/>
    <w:rsid w:val="00641A54"/>
    <w:rsid w:val="006424E7"/>
    <w:rsid w:val="00642A7B"/>
    <w:rsid w:val="006438D6"/>
    <w:rsid w:val="006446F4"/>
    <w:rsid w:val="0064517F"/>
    <w:rsid w:val="006456F8"/>
    <w:rsid w:val="006464BC"/>
    <w:rsid w:val="00646A14"/>
    <w:rsid w:val="00646D71"/>
    <w:rsid w:val="00646E78"/>
    <w:rsid w:val="00647614"/>
    <w:rsid w:val="006478E1"/>
    <w:rsid w:val="00647E19"/>
    <w:rsid w:val="00647F68"/>
    <w:rsid w:val="00650014"/>
    <w:rsid w:val="006504E5"/>
    <w:rsid w:val="00651476"/>
    <w:rsid w:val="00651764"/>
    <w:rsid w:val="00651E53"/>
    <w:rsid w:val="006520BD"/>
    <w:rsid w:val="00652194"/>
    <w:rsid w:val="00652C7F"/>
    <w:rsid w:val="00653007"/>
    <w:rsid w:val="006533CF"/>
    <w:rsid w:val="0065446F"/>
    <w:rsid w:val="00654AAD"/>
    <w:rsid w:val="00654AE8"/>
    <w:rsid w:val="006555B7"/>
    <w:rsid w:val="00655802"/>
    <w:rsid w:val="00656F3F"/>
    <w:rsid w:val="0066068B"/>
    <w:rsid w:val="00660978"/>
    <w:rsid w:val="006612E9"/>
    <w:rsid w:val="006614FD"/>
    <w:rsid w:val="00661572"/>
    <w:rsid w:val="0066276C"/>
    <w:rsid w:val="00662F49"/>
    <w:rsid w:val="006631D3"/>
    <w:rsid w:val="006636E2"/>
    <w:rsid w:val="00665078"/>
    <w:rsid w:val="006652C8"/>
    <w:rsid w:val="0066539D"/>
    <w:rsid w:val="00665454"/>
    <w:rsid w:val="0066575F"/>
    <w:rsid w:val="0066593B"/>
    <w:rsid w:val="00665C6A"/>
    <w:rsid w:val="00665DDA"/>
    <w:rsid w:val="00666D22"/>
    <w:rsid w:val="00667181"/>
    <w:rsid w:val="00670005"/>
    <w:rsid w:val="00670B6F"/>
    <w:rsid w:val="00671329"/>
    <w:rsid w:val="0067191E"/>
    <w:rsid w:val="00671949"/>
    <w:rsid w:val="0067204E"/>
    <w:rsid w:val="0067209A"/>
    <w:rsid w:val="0067244B"/>
    <w:rsid w:val="00672A7F"/>
    <w:rsid w:val="00672EDC"/>
    <w:rsid w:val="0067302A"/>
    <w:rsid w:val="00673785"/>
    <w:rsid w:val="006739A7"/>
    <w:rsid w:val="00673E06"/>
    <w:rsid w:val="006741FD"/>
    <w:rsid w:val="00674685"/>
    <w:rsid w:val="00676056"/>
    <w:rsid w:val="006768C5"/>
    <w:rsid w:val="0067712C"/>
    <w:rsid w:val="0067787A"/>
    <w:rsid w:val="00680870"/>
    <w:rsid w:val="006808F4"/>
    <w:rsid w:val="00681037"/>
    <w:rsid w:val="0068139E"/>
    <w:rsid w:val="0068183B"/>
    <w:rsid w:val="00682251"/>
    <w:rsid w:val="006827D3"/>
    <w:rsid w:val="00684620"/>
    <w:rsid w:val="00684C82"/>
    <w:rsid w:val="006856B5"/>
    <w:rsid w:val="0068581B"/>
    <w:rsid w:val="0068669E"/>
    <w:rsid w:val="00686D69"/>
    <w:rsid w:val="00687C80"/>
    <w:rsid w:val="00687D5D"/>
    <w:rsid w:val="00687EC7"/>
    <w:rsid w:val="00690970"/>
    <w:rsid w:val="006921BB"/>
    <w:rsid w:val="00692394"/>
    <w:rsid w:val="00692754"/>
    <w:rsid w:val="00692EDF"/>
    <w:rsid w:val="00693218"/>
    <w:rsid w:val="006934B2"/>
    <w:rsid w:val="00693981"/>
    <w:rsid w:val="00694814"/>
    <w:rsid w:val="00694F7C"/>
    <w:rsid w:val="006950D4"/>
    <w:rsid w:val="00695795"/>
    <w:rsid w:val="0069701B"/>
    <w:rsid w:val="00697511"/>
    <w:rsid w:val="006979C6"/>
    <w:rsid w:val="006A0669"/>
    <w:rsid w:val="006A0A3F"/>
    <w:rsid w:val="006A0C46"/>
    <w:rsid w:val="006A0C67"/>
    <w:rsid w:val="006A0E80"/>
    <w:rsid w:val="006A2083"/>
    <w:rsid w:val="006A24A5"/>
    <w:rsid w:val="006A2F6C"/>
    <w:rsid w:val="006A333F"/>
    <w:rsid w:val="006A3A1E"/>
    <w:rsid w:val="006A3FED"/>
    <w:rsid w:val="006A4757"/>
    <w:rsid w:val="006A4F01"/>
    <w:rsid w:val="006A543C"/>
    <w:rsid w:val="006A55CB"/>
    <w:rsid w:val="006A7209"/>
    <w:rsid w:val="006B0BFB"/>
    <w:rsid w:val="006B0DE3"/>
    <w:rsid w:val="006B28C0"/>
    <w:rsid w:val="006B37AF"/>
    <w:rsid w:val="006B39BD"/>
    <w:rsid w:val="006B4442"/>
    <w:rsid w:val="006B4BC4"/>
    <w:rsid w:val="006B4D38"/>
    <w:rsid w:val="006B5A87"/>
    <w:rsid w:val="006B5EB0"/>
    <w:rsid w:val="006B6544"/>
    <w:rsid w:val="006B7628"/>
    <w:rsid w:val="006C119F"/>
    <w:rsid w:val="006C1284"/>
    <w:rsid w:val="006C166B"/>
    <w:rsid w:val="006C1AF4"/>
    <w:rsid w:val="006C32C7"/>
    <w:rsid w:val="006C3344"/>
    <w:rsid w:val="006C53CA"/>
    <w:rsid w:val="006C5C1B"/>
    <w:rsid w:val="006C5E85"/>
    <w:rsid w:val="006C6709"/>
    <w:rsid w:val="006C7E02"/>
    <w:rsid w:val="006C7F35"/>
    <w:rsid w:val="006D0130"/>
    <w:rsid w:val="006D03E3"/>
    <w:rsid w:val="006D06CC"/>
    <w:rsid w:val="006D0E3D"/>
    <w:rsid w:val="006D17F6"/>
    <w:rsid w:val="006D214A"/>
    <w:rsid w:val="006D236F"/>
    <w:rsid w:val="006D2554"/>
    <w:rsid w:val="006D2723"/>
    <w:rsid w:val="006D2BFD"/>
    <w:rsid w:val="006D30CB"/>
    <w:rsid w:val="006D32D6"/>
    <w:rsid w:val="006D5523"/>
    <w:rsid w:val="006D57BE"/>
    <w:rsid w:val="006D5C90"/>
    <w:rsid w:val="006D5EEE"/>
    <w:rsid w:val="006D628C"/>
    <w:rsid w:val="006D6745"/>
    <w:rsid w:val="006D6B43"/>
    <w:rsid w:val="006D775E"/>
    <w:rsid w:val="006D7A50"/>
    <w:rsid w:val="006D7F41"/>
    <w:rsid w:val="006D7FB9"/>
    <w:rsid w:val="006E016E"/>
    <w:rsid w:val="006E1D49"/>
    <w:rsid w:val="006E29C3"/>
    <w:rsid w:val="006E3066"/>
    <w:rsid w:val="006E3BE5"/>
    <w:rsid w:val="006E3F97"/>
    <w:rsid w:val="006E6586"/>
    <w:rsid w:val="006E679D"/>
    <w:rsid w:val="006E6C9A"/>
    <w:rsid w:val="006E7280"/>
    <w:rsid w:val="006E7F58"/>
    <w:rsid w:val="006F0033"/>
    <w:rsid w:val="006F09B6"/>
    <w:rsid w:val="006F195D"/>
    <w:rsid w:val="006F1B34"/>
    <w:rsid w:val="006F1C67"/>
    <w:rsid w:val="006F21C0"/>
    <w:rsid w:val="006F278A"/>
    <w:rsid w:val="006F2B27"/>
    <w:rsid w:val="006F2F90"/>
    <w:rsid w:val="006F3AB5"/>
    <w:rsid w:val="006F40D8"/>
    <w:rsid w:val="006F45F3"/>
    <w:rsid w:val="006F4CB4"/>
    <w:rsid w:val="006F527B"/>
    <w:rsid w:val="006F5412"/>
    <w:rsid w:val="006F5782"/>
    <w:rsid w:val="006F57EE"/>
    <w:rsid w:val="006F5D30"/>
    <w:rsid w:val="006F5E0B"/>
    <w:rsid w:val="006F5F5B"/>
    <w:rsid w:val="006F6A8F"/>
    <w:rsid w:val="006F734E"/>
    <w:rsid w:val="006F747D"/>
    <w:rsid w:val="006F74CB"/>
    <w:rsid w:val="007002F1"/>
    <w:rsid w:val="0070085A"/>
    <w:rsid w:val="00701B8B"/>
    <w:rsid w:val="00702007"/>
    <w:rsid w:val="007024C4"/>
    <w:rsid w:val="007024FC"/>
    <w:rsid w:val="00702507"/>
    <w:rsid w:val="00702CB5"/>
    <w:rsid w:val="00702D7E"/>
    <w:rsid w:val="00704BD3"/>
    <w:rsid w:val="00705235"/>
    <w:rsid w:val="00705D9E"/>
    <w:rsid w:val="00705FD0"/>
    <w:rsid w:val="007060E5"/>
    <w:rsid w:val="00706672"/>
    <w:rsid w:val="007074B4"/>
    <w:rsid w:val="007076E2"/>
    <w:rsid w:val="00710355"/>
    <w:rsid w:val="00712F23"/>
    <w:rsid w:val="0071445C"/>
    <w:rsid w:val="00714BC4"/>
    <w:rsid w:val="00714EAC"/>
    <w:rsid w:val="007151DA"/>
    <w:rsid w:val="00715404"/>
    <w:rsid w:val="0071589A"/>
    <w:rsid w:val="00716E90"/>
    <w:rsid w:val="007201EA"/>
    <w:rsid w:val="00720789"/>
    <w:rsid w:val="007207A8"/>
    <w:rsid w:val="00720BE3"/>
    <w:rsid w:val="00720C92"/>
    <w:rsid w:val="00720E63"/>
    <w:rsid w:val="007210E7"/>
    <w:rsid w:val="00721CB6"/>
    <w:rsid w:val="00721DBB"/>
    <w:rsid w:val="0072227F"/>
    <w:rsid w:val="007233EB"/>
    <w:rsid w:val="00723626"/>
    <w:rsid w:val="0072383F"/>
    <w:rsid w:val="0072412C"/>
    <w:rsid w:val="00724ECB"/>
    <w:rsid w:val="007272CA"/>
    <w:rsid w:val="00727892"/>
    <w:rsid w:val="00727BE5"/>
    <w:rsid w:val="00730B42"/>
    <w:rsid w:val="00730E8A"/>
    <w:rsid w:val="00731F0B"/>
    <w:rsid w:val="00732830"/>
    <w:rsid w:val="00732FD8"/>
    <w:rsid w:val="0073344A"/>
    <w:rsid w:val="007335A6"/>
    <w:rsid w:val="00733658"/>
    <w:rsid w:val="00733FCB"/>
    <w:rsid w:val="0073410F"/>
    <w:rsid w:val="0073450C"/>
    <w:rsid w:val="007346D3"/>
    <w:rsid w:val="00735F20"/>
    <w:rsid w:val="007361E4"/>
    <w:rsid w:val="0073682E"/>
    <w:rsid w:val="007368E3"/>
    <w:rsid w:val="00736F3D"/>
    <w:rsid w:val="007371AD"/>
    <w:rsid w:val="0073779C"/>
    <w:rsid w:val="00737E42"/>
    <w:rsid w:val="00741398"/>
    <w:rsid w:val="00741503"/>
    <w:rsid w:val="0074170B"/>
    <w:rsid w:val="007423C4"/>
    <w:rsid w:val="00742F7C"/>
    <w:rsid w:val="007431AB"/>
    <w:rsid w:val="00743A82"/>
    <w:rsid w:val="00743CD3"/>
    <w:rsid w:val="00744054"/>
    <w:rsid w:val="007444AF"/>
    <w:rsid w:val="00744AD2"/>
    <w:rsid w:val="0074522E"/>
    <w:rsid w:val="007459E4"/>
    <w:rsid w:val="00745AB0"/>
    <w:rsid w:val="00746222"/>
    <w:rsid w:val="00746919"/>
    <w:rsid w:val="007473DF"/>
    <w:rsid w:val="00750650"/>
    <w:rsid w:val="0075092D"/>
    <w:rsid w:val="007535B8"/>
    <w:rsid w:val="007537E6"/>
    <w:rsid w:val="00754195"/>
    <w:rsid w:val="0075475B"/>
    <w:rsid w:val="00754EC2"/>
    <w:rsid w:val="0075504C"/>
    <w:rsid w:val="00755324"/>
    <w:rsid w:val="007553D9"/>
    <w:rsid w:val="00756E4F"/>
    <w:rsid w:val="00756F98"/>
    <w:rsid w:val="007577DC"/>
    <w:rsid w:val="0076058B"/>
    <w:rsid w:val="007605AC"/>
    <w:rsid w:val="00760EAE"/>
    <w:rsid w:val="007615C1"/>
    <w:rsid w:val="007619BF"/>
    <w:rsid w:val="0076250E"/>
    <w:rsid w:val="00762E7D"/>
    <w:rsid w:val="00763B0F"/>
    <w:rsid w:val="0076495E"/>
    <w:rsid w:val="00764A6B"/>
    <w:rsid w:val="00764EA8"/>
    <w:rsid w:val="007658D2"/>
    <w:rsid w:val="007659D8"/>
    <w:rsid w:val="00765C73"/>
    <w:rsid w:val="00765CAA"/>
    <w:rsid w:val="00765D27"/>
    <w:rsid w:val="00765EB1"/>
    <w:rsid w:val="007661C1"/>
    <w:rsid w:val="00766A85"/>
    <w:rsid w:val="00767207"/>
    <w:rsid w:val="00767A9C"/>
    <w:rsid w:val="00771D56"/>
    <w:rsid w:val="007722C2"/>
    <w:rsid w:val="0077250F"/>
    <w:rsid w:val="007729AB"/>
    <w:rsid w:val="00773608"/>
    <w:rsid w:val="00773699"/>
    <w:rsid w:val="00773972"/>
    <w:rsid w:val="00773DEC"/>
    <w:rsid w:val="00774134"/>
    <w:rsid w:val="00774B1A"/>
    <w:rsid w:val="00774BFF"/>
    <w:rsid w:val="00774DD3"/>
    <w:rsid w:val="00775522"/>
    <w:rsid w:val="00775971"/>
    <w:rsid w:val="00775DF0"/>
    <w:rsid w:val="007760CA"/>
    <w:rsid w:val="00776EA1"/>
    <w:rsid w:val="00777280"/>
    <w:rsid w:val="00777700"/>
    <w:rsid w:val="00777D0F"/>
    <w:rsid w:val="007801C3"/>
    <w:rsid w:val="007814F2"/>
    <w:rsid w:val="00781588"/>
    <w:rsid w:val="007816C3"/>
    <w:rsid w:val="00781E21"/>
    <w:rsid w:val="007829E6"/>
    <w:rsid w:val="00783A5E"/>
    <w:rsid w:val="007844E8"/>
    <w:rsid w:val="0078458E"/>
    <w:rsid w:val="00784764"/>
    <w:rsid w:val="007848E2"/>
    <w:rsid w:val="00785395"/>
    <w:rsid w:val="00785CD8"/>
    <w:rsid w:val="00785F28"/>
    <w:rsid w:val="0078683D"/>
    <w:rsid w:val="00786B4D"/>
    <w:rsid w:val="00790554"/>
    <w:rsid w:val="00791667"/>
    <w:rsid w:val="00791672"/>
    <w:rsid w:val="00792890"/>
    <w:rsid w:val="0079422A"/>
    <w:rsid w:val="00794680"/>
    <w:rsid w:val="00794BEF"/>
    <w:rsid w:val="00795213"/>
    <w:rsid w:val="00795B09"/>
    <w:rsid w:val="00795E6A"/>
    <w:rsid w:val="00796552"/>
    <w:rsid w:val="00796565"/>
    <w:rsid w:val="007971F3"/>
    <w:rsid w:val="00797332"/>
    <w:rsid w:val="0079754D"/>
    <w:rsid w:val="007A0056"/>
    <w:rsid w:val="007A102C"/>
    <w:rsid w:val="007A126D"/>
    <w:rsid w:val="007A240F"/>
    <w:rsid w:val="007A3111"/>
    <w:rsid w:val="007A4771"/>
    <w:rsid w:val="007A678E"/>
    <w:rsid w:val="007B053D"/>
    <w:rsid w:val="007B05F3"/>
    <w:rsid w:val="007B0E41"/>
    <w:rsid w:val="007B0EA2"/>
    <w:rsid w:val="007B1212"/>
    <w:rsid w:val="007B13EA"/>
    <w:rsid w:val="007B181B"/>
    <w:rsid w:val="007B2AE0"/>
    <w:rsid w:val="007B2FF2"/>
    <w:rsid w:val="007B3838"/>
    <w:rsid w:val="007B3F56"/>
    <w:rsid w:val="007B464C"/>
    <w:rsid w:val="007B46C3"/>
    <w:rsid w:val="007B4A75"/>
    <w:rsid w:val="007B57AB"/>
    <w:rsid w:val="007B5FC7"/>
    <w:rsid w:val="007B7790"/>
    <w:rsid w:val="007B7B3B"/>
    <w:rsid w:val="007B7C7B"/>
    <w:rsid w:val="007B7D47"/>
    <w:rsid w:val="007C02ED"/>
    <w:rsid w:val="007C05CF"/>
    <w:rsid w:val="007C087A"/>
    <w:rsid w:val="007C0A1E"/>
    <w:rsid w:val="007C0B09"/>
    <w:rsid w:val="007C118A"/>
    <w:rsid w:val="007C1CA8"/>
    <w:rsid w:val="007C1DD9"/>
    <w:rsid w:val="007C203E"/>
    <w:rsid w:val="007C2328"/>
    <w:rsid w:val="007C2525"/>
    <w:rsid w:val="007C2DEC"/>
    <w:rsid w:val="007C2F2D"/>
    <w:rsid w:val="007C3624"/>
    <w:rsid w:val="007C3A4C"/>
    <w:rsid w:val="007C43A5"/>
    <w:rsid w:val="007C5086"/>
    <w:rsid w:val="007C6887"/>
    <w:rsid w:val="007C74D2"/>
    <w:rsid w:val="007C771B"/>
    <w:rsid w:val="007C788D"/>
    <w:rsid w:val="007D0DBF"/>
    <w:rsid w:val="007D102F"/>
    <w:rsid w:val="007D1968"/>
    <w:rsid w:val="007D1B7A"/>
    <w:rsid w:val="007D1CCD"/>
    <w:rsid w:val="007D29EF"/>
    <w:rsid w:val="007D3407"/>
    <w:rsid w:val="007D3618"/>
    <w:rsid w:val="007D3ADE"/>
    <w:rsid w:val="007D3B9F"/>
    <w:rsid w:val="007D3BD5"/>
    <w:rsid w:val="007D4142"/>
    <w:rsid w:val="007D4F6B"/>
    <w:rsid w:val="007D54CC"/>
    <w:rsid w:val="007D56A9"/>
    <w:rsid w:val="007D6183"/>
    <w:rsid w:val="007D61FC"/>
    <w:rsid w:val="007D6AA2"/>
    <w:rsid w:val="007D7114"/>
    <w:rsid w:val="007E038F"/>
    <w:rsid w:val="007E0635"/>
    <w:rsid w:val="007E0A2B"/>
    <w:rsid w:val="007E1618"/>
    <w:rsid w:val="007E2185"/>
    <w:rsid w:val="007E3160"/>
    <w:rsid w:val="007E3196"/>
    <w:rsid w:val="007E3C31"/>
    <w:rsid w:val="007E4D85"/>
    <w:rsid w:val="007E4E20"/>
    <w:rsid w:val="007E68E7"/>
    <w:rsid w:val="007E71D9"/>
    <w:rsid w:val="007E71F5"/>
    <w:rsid w:val="007F0580"/>
    <w:rsid w:val="007F081F"/>
    <w:rsid w:val="007F20F5"/>
    <w:rsid w:val="007F24D7"/>
    <w:rsid w:val="007F2807"/>
    <w:rsid w:val="007F3175"/>
    <w:rsid w:val="007F3405"/>
    <w:rsid w:val="007F45DD"/>
    <w:rsid w:val="007F4EC6"/>
    <w:rsid w:val="007F5301"/>
    <w:rsid w:val="007F60AF"/>
    <w:rsid w:val="007F6391"/>
    <w:rsid w:val="007F6C68"/>
    <w:rsid w:val="0080062A"/>
    <w:rsid w:val="00800B7E"/>
    <w:rsid w:val="00800C3F"/>
    <w:rsid w:val="00801865"/>
    <w:rsid w:val="00801A9A"/>
    <w:rsid w:val="008022CA"/>
    <w:rsid w:val="008028DC"/>
    <w:rsid w:val="008033E7"/>
    <w:rsid w:val="00804127"/>
    <w:rsid w:val="00804387"/>
    <w:rsid w:val="0080475D"/>
    <w:rsid w:val="0080530A"/>
    <w:rsid w:val="008054D9"/>
    <w:rsid w:val="008057CE"/>
    <w:rsid w:val="00805F9D"/>
    <w:rsid w:val="008060C3"/>
    <w:rsid w:val="008068A6"/>
    <w:rsid w:val="00806F0B"/>
    <w:rsid w:val="008074FA"/>
    <w:rsid w:val="00807E26"/>
    <w:rsid w:val="00810373"/>
    <w:rsid w:val="00810D4E"/>
    <w:rsid w:val="00811017"/>
    <w:rsid w:val="00811961"/>
    <w:rsid w:val="00813445"/>
    <w:rsid w:val="00813F55"/>
    <w:rsid w:val="00814D11"/>
    <w:rsid w:val="0081506B"/>
    <w:rsid w:val="008153EB"/>
    <w:rsid w:val="008158CC"/>
    <w:rsid w:val="00816262"/>
    <w:rsid w:val="00816611"/>
    <w:rsid w:val="00816E65"/>
    <w:rsid w:val="00817D91"/>
    <w:rsid w:val="00820296"/>
    <w:rsid w:val="0082072A"/>
    <w:rsid w:val="00820944"/>
    <w:rsid w:val="00820DEC"/>
    <w:rsid w:val="00822082"/>
    <w:rsid w:val="0082255E"/>
    <w:rsid w:val="008227E7"/>
    <w:rsid w:val="00822D01"/>
    <w:rsid w:val="00823069"/>
    <w:rsid w:val="0082369C"/>
    <w:rsid w:val="00823C24"/>
    <w:rsid w:val="008249BD"/>
    <w:rsid w:val="0082535E"/>
    <w:rsid w:val="008253EF"/>
    <w:rsid w:val="00825776"/>
    <w:rsid w:val="00825A87"/>
    <w:rsid w:val="008260E4"/>
    <w:rsid w:val="00826C0F"/>
    <w:rsid w:val="008276D2"/>
    <w:rsid w:val="008308C6"/>
    <w:rsid w:val="00830FCA"/>
    <w:rsid w:val="008320AA"/>
    <w:rsid w:val="008332B5"/>
    <w:rsid w:val="00833897"/>
    <w:rsid w:val="00833E54"/>
    <w:rsid w:val="00833FF9"/>
    <w:rsid w:val="00834176"/>
    <w:rsid w:val="008341A1"/>
    <w:rsid w:val="00834AC2"/>
    <w:rsid w:val="00836695"/>
    <w:rsid w:val="008368AA"/>
    <w:rsid w:val="00836A18"/>
    <w:rsid w:val="00837465"/>
    <w:rsid w:val="008405DE"/>
    <w:rsid w:val="0084060F"/>
    <w:rsid w:val="00840671"/>
    <w:rsid w:val="00840CD5"/>
    <w:rsid w:val="00841189"/>
    <w:rsid w:val="0084176E"/>
    <w:rsid w:val="00842782"/>
    <w:rsid w:val="00843557"/>
    <w:rsid w:val="00843B8D"/>
    <w:rsid w:val="008442D5"/>
    <w:rsid w:val="008445DE"/>
    <w:rsid w:val="0084461D"/>
    <w:rsid w:val="00844AAE"/>
    <w:rsid w:val="00846135"/>
    <w:rsid w:val="0084764E"/>
    <w:rsid w:val="00847977"/>
    <w:rsid w:val="00847DDC"/>
    <w:rsid w:val="00850241"/>
    <w:rsid w:val="008511A8"/>
    <w:rsid w:val="00851498"/>
    <w:rsid w:val="00851EA7"/>
    <w:rsid w:val="008527C1"/>
    <w:rsid w:val="00852891"/>
    <w:rsid w:val="00852D42"/>
    <w:rsid w:val="00852FCF"/>
    <w:rsid w:val="00853E5C"/>
    <w:rsid w:val="0085680B"/>
    <w:rsid w:val="00857577"/>
    <w:rsid w:val="008575EA"/>
    <w:rsid w:val="00857701"/>
    <w:rsid w:val="00861960"/>
    <w:rsid w:val="008625EF"/>
    <w:rsid w:val="008628F6"/>
    <w:rsid w:val="00862949"/>
    <w:rsid w:val="0086349A"/>
    <w:rsid w:val="00863AFD"/>
    <w:rsid w:val="00864FF5"/>
    <w:rsid w:val="008659A6"/>
    <w:rsid w:val="00865AE3"/>
    <w:rsid w:val="00865B67"/>
    <w:rsid w:val="00866300"/>
    <w:rsid w:val="00866306"/>
    <w:rsid w:val="00866473"/>
    <w:rsid w:val="0086695A"/>
    <w:rsid w:val="00866B9D"/>
    <w:rsid w:val="00867C33"/>
    <w:rsid w:val="00870308"/>
    <w:rsid w:val="00870D2C"/>
    <w:rsid w:val="008713FA"/>
    <w:rsid w:val="00872192"/>
    <w:rsid w:val="008723EC"/>
    <w:rsid w:val="00872CCC"/>
    <w:rsid w:val="008756D8"/>
    <w:rsid w:val="00875977"/>
    <w:rsid w:val="00875A22"/>
    <w:rsid w:val="00875EF9"/>
    <w:rsid w:val="00876CDD"/>
    <w:rsid w:val="00877247"/>
    <w:rsid w:val="00877990"/>
    <w:rsid w:val="00881104"/>
    <w:rsid w:val="00882C80"/>
    <w:rsid w:val="0088318F"/>
    <w:rsid w:val="008832E3"/>
    <w:rsid w:val="00883AA0"/>
    <w:rsid w:val="008846E3"/>
    <w:rsid w:val="008851D5"/>
    <w:rsid w:val="00885624"/>
    <w:rsid w:val="00885A54"/>
    <w:rsid w:val="0088606C"/>
    <w:rsid w:val="0088664A"/>
    <w:rsid w:val="0088670B"/>
    <w:rsid w:val="00886928"/>
    <w:rsid w:val="008879E2"/>
    <w:rsid w:val="00887E28"/>
    <w:rsid w:val="00891648"/>
    <w:rsid w:val="008918E6"/>
    <w:rsid w:val="008921D1"/>
    <w:rsid w:val="00893089"/>
    <w:rsid w:val="00893B8A"/>
    <w:rsid w:val="00894757"/>
    <w:rsid w:val="00894A32"/>
    <w:rsid w:val="0089571F"/>
    <w:rsid w:val="00895FFC"/>
    <w:rsid w:val="00896194"/>
    <w:rsid w:val="00896F0C"/>
    <w:rsid w:val="00897209"/>
    <w:rsid w:val="00897F65"/>
    <w:rsid w:val="008A0EF2"/>
    <w:rsid w:val="008A1491"/>
    <w:rsid w:val="008A20BC"/>
    <w:rsid w:val="008A3FCE"/>
    <w:rsid w:val="008A4223"/>
    <w:rsid w:val="008A43E2"/>
    <w:rsid w:val="008A4458"/>
    <w:rsid w:val="008A4CF6"/>
    <w:rsid w:val="008A51CA"/>
    <w:rsid w:val="008A627E"/>
    <w:rsid w:val="008A6CB7"/>
    <w:rsid w:val="008A75EE"/>
    <w:rsid w:val="008A7CA8"/>
    <w:rsid w:val="008A7FF8"/>
    <w:rsid w:val="008B0C4D"/>
    <w:rsid w:val="008B163B"/>
    <w:rsid w:val="008B183B"/>
    <w:rsid w:val="008B21A2"/>
    <w:rsid w:val="008B2B99"/>
    <w:rsid w:val="008B2EA9"/>
    <w:rsid w:val="008B3311"/>
    <w:rsid w:val="008B3966"/>
    <w:rsid w:val="008B3AC4"/>
    <w:rsid w:val="008B3EEC"/>
    <w:rsid w:val="008B3F90"/>
    <w:rsid w:val="008B4099"/>
    <w:rsid w:val="008B44D1"/>
    <w:rsid w:val="008B48C4"/>
    <w:rsid w:val="008B499B"/>
    <w:rsid w:val="008B6244"/>
    <w:rsid w:val="008B6915"/>
    <w:rsid w:val="008B69DD"/>
    <w:rsid w:val="008B6B4B"/>
    <w:rsid w:val="008B6FAF"/>
    <w:rsid w:val="008C03F1"/>
    <w:rsid w:val="008C0D06"/>
    <w:rsid w:val="008C0DCA"/>
    <w:rsid w:val="008C0EA1"/>
    <w:rsid w:val="008C1788"/>
    <w:rsid w:val="008C1B9E"/>
    <w:rsid w:val="008C1F90"/>
    <w:rsid w:val="008C2C4B"/>
    <w:rsid w:val="008C32B0"/>
    <w:rsid w:val="008C3878"/>
    <w:rsid w:val="008C452E"/>
    <w:rsid w:val="008C4560"/>
    <w:rsid w:val="008C494C"/>
    <w:rsid w:val="008C499E"/>
    <w:rsid w:val="008C4DAB"/>
    <w:rsid w:val="008C4F52"/>
    <w:rsid w:val="008D0341"/>
    <w:rsid w:val="008D1094"/>
    <w:rsid w:val="008D167D"/>
    <w:rsid w:val="008D1D62"/>
    <w:rsid w:val="008D1E72"/>
    <w:rsid w:val="008D240B"/>
    <w:rsid w:val="008D48BB"/>
    <w:rsid w:val="008D4B61"/>
    <w:rsid w:val="008D59BC"/>
    <w:rsid w:val="008D6FCC"/>
    <w:rsid w:val="008E15D6"/>
    <w:rsid w:val="008E1C3C"/>
    <w:rsid w:val="008E1C74"/>
    <w:rsid w:val="008E208F"/>
    <w:rsid w:val="008E21DF"/>
    <w:rsid w:val="008E29AD"/>
    <w:rsid w:val="008E29B1"/>
    <w:rsid w:val="008E4093"/>
    <w:rsid w:val="008E43BF"/>
    <w:rsid w:val="008E564E"/>
    <w:rsid w:val="008E57C1"/>
    <w:rsid w:val="008E5CB6"/>
    <w:rsid w:val="008E6A40"/>
    <w:rsid w:val="008E721A"/>
    <w:rsid w:val="008E788E"/>
    <w:rsid w:val="008E7B1C"/>
    <w:rsid w:val="008E7C24"/>
    <w:rsid w:val="008E7E1B"/>
    <w:rsid w:val="008F02EC"/>
    <w:rsid w:val="008F07B5"/>
    <w:rsid w:val="008F08C4"/>
    <w:rsid w:val="008F0911"/>
    <w:rsid w:val="008F1084"/>
    <w:rsid w:val="008F10B3"/>
    <w:rsid w:val="008F2665"/>
    <w:rsid w:val="008F2E23"/>
    <w:rsid w:val="008F2EE9"/>
    <w:rsid w:val="008F39C4"/>
    <w:rsid w:val="008F3C21"/>
    <w:rsid w:val="008F3EE5"/>
    <w:rsid w:val="008F3F84"/>
    <w:rsid w:val="008F3FC2"/>
    <w:rsid w:val="008F4439"/>
    <w:rsid w:val="008F462F"/>
    <w:rsid w:val="008F569A"/>
    <w:rsid w:val="008F73B9"/>
    <w:rsid w:val="008F76A8"/>
    <w:rsid w:val="008F77B2"/>
    <w:rsid w:val="00900588"/>
    <w:rsid w:val="00900C59"/>
    <w:rsid w:val="00901320"/>
    <w:rsid w:val="00901442"/>
    <w:rsid w:val="0090173B"/>
    <w:rsid w:val="009017D4"/>
    <w:rsid w:val="009027EC"/>
    <w:rsid w:val="0090304E"/>
    <w:rsid w:val="0090409A"/>
    <w:rsid w:val="00904B63"/>
    <w:rsid w:val="0090529A"/>
    <w:rsid w:val="009061CC"/>
    <w:rsid w:val="00906B9F"/>
    <w:rsid w:val="00906D8D"/>
    <w:rsid w:val="00906DDC"/>
    <w:rsid w:val="00906EB6"/>
    <w:rsid w:val="00907247"/>
    <w:rsid w:val="00907D75"/>
    <w:rsid w:val="00910152"/>
    <w:rsid w:val="00910BF8"/>
    <w:rsid w:val="009117AE"/>
    <w:rsid w:val="0091195F"/>
    <w:rsid w:val="00913537"/>
    <w:rsid w:val="00913F13"/>
    <w:rsid w:val="00914699"/>
    <w:rsid w:val="009150E2"/>
    <w:rsid w:val="009157E4"/>
    <w:rsid w:val="0091676E"/>
    <w:rsid w:val="009175AE"/>
    <w:rsid w:val="00917926"/>
    <w:rsid w:val="00917F89"/>
    <w:rsid w:val="00920972"/>
    <w:rsid w:val="00920CC2"/>
    <w:rsid w:val="00921185"/>
    <w:rsid w:val="00922150"/>
    <w:rsid w:val="00923066"/>
    <w:rsid w:val="009235F9"/>
    <w:rsid w:val="00923BF1"/>
    <w:rsid w:val="009246C7"/>
    <w:rsid w:val="009247C3"/>
    <w:rsid w:val="009247E7"/>
    <w:rsid w:val="00924CD3"/>
    <w:rsid w:val="009259E7"/>
    <w:rsid w:val="00926728"/>
    <w:rsid w:val="00926F2C"/>
    <w:rsid w:val="00926FEC"/>
    <w:rsid w:val="00927C17"/>
    <w:rsid w:val="00927C77"/>
    <w:rsid w:val="00927D4C"/>
    <w:rsid w:val="009309F1"/>
    <w:rsid w:val="0093115E"/>
    <w:rsid w:val="00931BA3"/>
    <w:rsid w:val="00931F58"/>
    <w:rsid w:val="0093327A"/>
    <w:rsid w:val="009335E5"/>
    <w:rsid w:val="009337ED"/>
    <w:rsid w:val="00933BF3"/>
    <w:rsid w:val="0093440B"/>
    <w:rsid w:val="0093480A"/>
    <w:rsid w:val="00935664"/>
    <w:rsid w:val="00935C7A"/>
    <w:rsid w:val="009365F3"/>
    <w:rsid w:val="00936B49"/>
    <w:rsid w:val="00937329"/>
    <w:rsid w:val="00937CD7"/>
    <w:rsid w:val="00937E72"/>
    <w:rsid w:val="00941272"/>
    <w:rsid w:val="00941341"/>
    <w:rsid w:val="00941E06"/>
    <w:rsid w:val="009422BB"/>
    <w:rsid w:val="009425D1"/>
    <w:rsid w:val="00942A5F"/>
    <w:rsid w:val="00942AEF"/>
    <w:rsid w:val="00942BBB"/>
    <w:rsid w:val="00944405"/>
    <w:rsid w:val="009445BE"/>
    <w:rsid w:val="0094468D"/>
    <w:rsid w:val="009449A6"/>
    <w:rsid w:val="00944A4A"/>
    <w:rsid w:val="0094569B"/>
    <w:rsid w:val="009459CA"/>
    <w:rsid w:val="00945F3A"/>
    <w:rsid w:val="00946432"/>
    <w:rsid w:val="009468BF"/>
    <w:rsid w:val="009468FC"/>
    <w:rsid w:val="00946FD1"/>
    <w:rsid w:val="00950459"/>
    <w:rsid w:val="00950EDB"/>
    <w:rsid w:val="00951AB7"/>
    <w:rsid w:val="009525C1"/>
    <w:rsid w:val="00952FD8"/>
    <w:rsid w:val="00953324"/>
    <w:rsid w:val="00953AB1"/>
    <w:rsid w:val="009545FF"/>
    <w:rsid w:val="00954D06"/>
    <w:rsid w:val="00954FB6"/>
    <w:rsid w:val="0095587F"/>
    <w:rsid w:val="009562A3"/>
    <w:rsid w:val="00957279"/>
    <w:rsid w:val="009600BE"/>
    <w:rsid w:val="00960928"/>
    <w:rsid w:val="009610A0"/>
    <w:rsid w:val="00961B31"/>
    <w:rsid w:val="00962677"/>
    <w:rsid w:val="00962F0C"/>
    <w:rsid w:val="009635D5"/>
    <w:rsid w:val="00964D6E"/>
    <w:rsid w:val="00964F79"/>
    <w:rsid w:val="009652E8"/>
    <w:rsid w:val="00965B7B"/>
    <w:rsid w:val="00966620"/>
    <w:rsid w:val="00966EBE"/>
    <w:rsid w:val="00966FFC"/>
    <w:rsid w:val="0096732B"/>
    <w:rsid w:val="0096782D"/>
    <w:rsid w:val="009679B9"/>
    <w:rsid w:val="00967AA8"/>
    <w:rsid w:val="009704C2"/>
    <w:rsid w:val="00970620"/>
    <w:rsid w:val="00970C31"/>
    <w:rsid w:val="00970C42"/>
    <w:rsid w:val="00970D93"/>
    <w:rsid w:val="00971207"/>
    <w:rsid w:val="00971EA6"/>
    <w:rsid w:val="00973502"/>
    <w:rsid w:val="00973674"/>
    <w:rsid w:val="00973BD2"/>
    <w:rsid w:val="00974C7D"/>
    <w:rsid w:val="00974E75"/>
    <w:rsid w:val="00975546"/>
    <w:rsid w:val="009762C5"/>
    <w:rsid w:val="0097720A"/>
    <w:rsid w:val="0097795B"/>
    <w:rsid w:val="00977973"/>
    <w:rsid w:val="00977FB1"/>
    <w:rsid w:val="00980C71"/>
    <w:rsid w:val="00980D2E"/>
    <w:rsid w:val="0098183B"/>
    <w:rsid w:val="00982F09"/>
    <w:rsid w:val="0098354B"/>
    <w:rsid w:val="00984029"/>
    <w:rsid w:val="00984182"/>
    <w:rsid w:val="00984502"/>
    <w:rsid w:val="00985050"/>
    <w:rsid w:val="0098532F"/>
    <w:rsid w:val="00986067"/>
    <w:rsid w:val="0098616A"/>
    <w:rsid w:val="00986643"/>
    <w:rsid w:val="00986E2D"/>
    <w:rsid w:val="00986E97"/>
    <w:rsid w:val="00987395"/>
    <w:rsid w:val="009911F7"/>
    <w:rsid w:val="009912BE"/>
    <w:rsid w:val="00991A96"/>
    <w:rsid w:val="00991E46"/>
    <w:rsid w:val="009920D4"/>
    <w:rsid w:val="00994700"/>
    <w:rsid w:val="00994ACC"/>
    <w:rsid w:val="00994E0C"/>
    <w:rsid w:val="0099527C"/>
    <w:rsid w:val="00995874"/>
    <w:rsid w:val="00996139"/>
    <w:rsid w:val="009968E0"/>
    <w:rsid w:val="00996F78"/>
    <w:rsid w:val="00996FC9"/>
    <w:rsid w:val="009A0287"/>
    <w:rsid w:val="009A0E96"/>
    <w:rsid w:val="009A1036"/>
    <w:rsid w:val="009A129D"/>
    <w:rsid w:val="009A26B2"/>
    <w:rsid w:val="009B0E0F"/>
    <w:rsid w:val="009B0FB3"/>
    <w:rsid w:val="009B15BC"/>
    <w:rsid w:val="009B16D7"/>
    <w:rsid w:val="009B3CCF"/>
    <w:rsid w:val="009B4486"/>
    <w:rsid w:val="009B49ED"/>
    <w:rsid w:val="009B4C95"/>
    <w:rsid w:val="009B6D1E"/>
    <w:rsid w:val="009B778B"/>
    <w:rsid w:val="009C0392"/>
    <w:rsid w:val="009C0585"/>
    <w:rsid w:val="009C0B3B"/>
    <w:rsid w:val="009C0C26"/>
    <w:rsid w:val="009C1312"/>
    <w:rsid w:val="009C15A9"/>
    <w:rsid w:val="009C1651"/>
    <w:rsid w:val="009C1C49"/>
    <w:rsid w:val="009C24C2"/>
    <w:rsid w:val="009C2D56"/>
    <w:rsid w:val="009C3029"/>
    <w:rsid w:val="009C35B7"/>
    <w:rsid w:val="009C425F"/>
    <w:rsid w:val="009C55EA"/>
    <w:rsid w:val="009C5987"/>
    <w:rsid w:val="009C5A5F"/>
    <w:rsid w:val="009C5DEA"/>
    <w:rsid w:val="009C6120"/>
    <w:rsid w:val="009C6621"/>
    <w:rsid w:val="009C6984"/>
    <w:rsid w:val="009C6A96"/>
    <w:rsid w:val="009C7283"/>
    <w:rsid w:val="009C7A19"/>
    <w:rsid w:val="009D06D1"/>
    <w:rsid w:val="009D0F02"/>
    <w:rsid w:val="009D0FD7"/>
    <w:rsid w:val="009D1F67"/>
    <w:rsid w:val="009D26D3"/>
    <w:rsid w:val="009D33FA"/>
    <w:rsid w:val="009D3C23"/>
    <w:rsid w:val="009D3DF4"/>
    <w:rsid w:val="009D45D0"/>
    <w:rsid w:val="009D4E1C"/>
    <w:rsid w:val="009D520C"/>
    <w:rsid w:val="009D57AB"/>
    <w:rsid w:val="009E0ADC"/>
    <w:rsid w:val="009E15A0"/>
    <w:rsid w:val="009E185F"/>
    <w:rsid w:val="009E1B85"/>
    <w:rsid w:val="009E20C5"/>
    <w:rsid w:val="009E261B"/>
    <w:rsid w:val="009E2ACE"/>
    <w:rsid w:val="009E3378"/>
    <w:rsid w:val="009E35A0"/>
    <w:rsid w:val="009E39FC"/>
    <w:rsid w:val="009E4162"/>
    <w:rsid w:val="009E4192"/>
    <w:rsid w:val="009E41CF"/>
    <w:rsid w:val="009E4362"/>
    <w:rsid w:val="009E4D92"/>
    <w:rsid w:val="009E5C7A"/>
    <w:rsid w:val="009E6024"/>
    <w:rsid w:val="009E63ED"/>
    <w:rsid w:val="009E7CBC"/>
    <w:rsid w:val="009E7E0A"/>
    <w:rsid w:val="009F01E3"/>
    <w:rsid w:val="009F09FC"/>
    <w:rsid w:val="009F124B"/>
    <w:rsid w:val="009F15CC"/>
    <w:rsid w:val="009F18EA"/>
    <w:rsid w:val="009F26F3"/>
    <w:rsid w:val="009F48E3"/>
    <w:rsid w:val="009F4B39"/>
    <w:rsid w:val="009F4C83"/>
    <w:rsid w:val="009F4D2F"/>
    <w:rsid w:val="009F4FAB"/>
    <w:rsid w:val="009F5C75"/>
    <w:rsid w:val="009F5D81"/>
    <w:rsid w:val="009F6AFA"/>
    <w:rsid w:val="009F6B4B"/>
    <w:rsid w:val="009F6CBE"/>
    <w:rsid w:val="009F7486"/>
    <w:rsid w:val="00A0132D"/>
    <w:rsid w:val="00A01AE9"/>
    <w:rsid w:val="00A01D35"/>
    <w:rsid w:val="00A01DFC"/>
    <w:rsid w:val="00A0204C"/>
    <w:rsid w:val="00A020C5"/>
    <w:rsid w:val="00A024E6"/>
    <w:rsid w:val="00A02922"/>
    <w:rsid w:val="00A03C79"/>
    <w:rsid w:val="00A03E65"/>
    <w:rsid w:val="00A03E8F"/>
    <w:rsid w:val="00A05259"/>
    <w:rsid w:val="00A056E1"/>
    <w:rsid w:val="00A058AE"/>
    <w:rsid w:val="00A06B8A"/>
    <w:rsid w:val="00A0743F"/>
    <w:rsid w:val="00A1000A"/>
    <w:rsid w:val="00A11132"/>
    <w:rsid w:val="00A113AF"/>
    <w:rsid w:val="00A11811"/>
    <w:rsid w:val="00A118A9"/>
    <w:rsid w:val="00A11B9A"/>
    <w:rsid w:val="00A11C39"/>
    <w:rsid w:val="00A11E0E"/>
    <w:rsid w:val="00A11F45"/>
    <w:rsid w:val="00A121FC"/>
    <w:rsid w:val="00A144C8"/>
    <w:rsid w:val="00A150E8"/>
    <w:rsid w:val="00A15E9C"/>
    <w:rsid w:val="00A173B5"/>
    <w:rsid w:val="00A20227"/>
    <w:rsid w:val="00A20C53"/>
    <w:rsid w:val="00A219B0"/>
    <w:rsid w:val="00A21C73"/>
    <w:rsid w:val="00A21C78"/>
    <w:rsid w:val="00A226E3"/>
    <w:rsid w:val="00A22EA9"/>
    <w:rsid w:val="00A23FBF"/>
    <w:rsid w:val="00A243CD"/>
    <w:rsid w:val="00A258CC"/>
    <w:rsid w:val="00A25DB7"/>
    <w:rsid w:val="00A25DD5"/>
    <w:rsid w:val="00A267A5"/>
    <w:rsid w:val="00A27B5F"/>
    <w:rsid w:val="00A27F52"/>
    <w:rsid w:val="00A27FB0"/>
    <w:rsid w:val="00A30AA4"/>
    <w:rsid w:val="00A30BFF"/>
    <w:rsid w:val="00A31CBA"/>
    <w:rsid w:val="00A31D81"/>
    <w:rsid w:val="00A31E49"/>
    <w:rsid w:val="00A33140"/>
    <w:rsid w:val="00A336B7"/>
    <w:rsid w:val="00A33ADD"/>
    <w:rsid w:val="00A33FEF"/>
    <w:rsid w:val="00A3408F"/>
    <w:rsid w:val="00A35256"/>
    <w:rsid w:val="00A35562"/>
    <w:rsid w:val="00A35B2E"/>
    <w:rsid w:val="00A365B5"/>
    <w:rsid w:val="00A36FA4"/>
    <w:rsid w:val="00A37225"/>
    <w:rsid w:val="00A374F6"/>
    <w:rsid w:val="00A402BD"/>
    <w:rsid w:val="00A402EF"/>
    <w:rsid w:val="00A403CE"/>
    <w:rsid w:val="00A40590"/>
    <w:rsid w:val="00A408EF"/>
    <w:rsid w:val="00A40FBA"/>
    <w:rsid w:val="00A41227"/>
    <w:rsid w:val="00A41911"/>
    <w:rsid w:val="00A41C47"/>
    <w:rsid w:val="00A41EC7"/>
    <w:rsid w:val="00A425AF"/>
    <w:rsid w:val="00A42708"/>
    <w:rsid w:val="00A42F11"/>
    <w:rsid w:val="00A434AC"/>
    <w:rsid w:val="00A437FA"/>
    <w:rsid w:val="00A43815"/>
    <w:rsid w:val="00A442A4"/>
    <w:rsid w:val="00A445B8"/>
    <w:rsid w:val="00A44EAC"/>
    <w:rsid w:val="00A44ECE"/>
    <w:rsid w:val="00A45169"/>
    <w:rsid w:val="00A453F4"/>
    <w:rsid w:val="00A45952"/>
    <w:rsid w:val="00A469C0"/>
    <w:rsid w:val="00A50314"/>
    <w:rsid w:val="00A508A2"/>
    <w:rsid w:val="00A50CCB"/>
    <w:rsid w:val="00A50D3C"/>
    <w:rsid w:val="00A51357"/>
    <w:rsid w:val="00A5212F"/>
    <w:rsid w:val="00A527A1"/>
    <w:rsid w:val="00A52B86"/>
    <w:rsid w:val="00A52FDA"/>
    <w:rsid w:val="00A5303D"/>
    <w:rsid w:val="00A530A7"/>
    <w:rsid w:val="00A5390A"/>
    <w:rsid w:val="00A54010"/>
    <w:rsid w:val="00A55A0D"/>
    <w:rsid w:val="00A55E4F"/>
    <w:rsid w:val="00A5731C"/>
    <w:rsid w:val="00A5785F"/>
    <w:rsid w:val="00A5797D"/>
    <w:rsid w:val="00A57C14"/>
    <w:rsid w:val="00A57FB2"/>
    <w:rsid w:val="00A61032"/>
    <w:rsid w:val="00A61581"/>
    <w:rsid w:val="00A61CBF"/>
    <w:rsid w:val="00A623C4"/>
    <w:rsid w:val="00A62CBC"/>
    <w:rsid w:val="00A62F21"/>
    <w:rsid w:val="00A63689"/>
    <w:rsid w:val="00A63B29"/>
    <w:rsid w:val="00A63D7E"/>
    <w:rsid w:val="00A64934"/>
    <w:rsid w:val="00A64F7D"/>
    <w:rsid w:val="00A65544"/>
    <w:rsid w:val="00A66828"/>
    <w:rsid w:val="00A6716C"/>
    <w:rsid w:val="00A672DC"/>
    <w:rsid w:val="00A67F37"/>
    <w:rsid w:val="00A70002"/>
    <w:rsid w:val="00A70D35"/>
    <w:rsid w:val="00A7145E"/>
    <w:rsid w:val="00A714EA"/>
    <w:rsid w:val="00A71A89"/>
    <w:rsid w:val="00A71AF9"/>
    <w:rsid w:val="00A72757"/>
    <w:rsid w:val="00A729E1"/>
    <w:rsid w:val="00A729EA"/>
    <w:rsid w:val="00A72AE9"/>
    <w:rsid w:val="00A734E0"/>
    <w:rsid w:val="00A73D33"/>
    <w:rsid w:val="00A74511"/>
    <w:rsid w:val="00A75266"/>
    <w:rsid w:val="00A75D09"/>
    <w:rsid w:val="00A76023"/>
    <w:rsid w:val="00A77596"/>
    <w:rsid w:val="00A77B4E"/>
    <w:rsid w:val="00A80BE8"/>
    <w:rsid w:val="00A80CA8"/>
    <w:rsid w:val="00A80D5A"/>
    <w:rsid w:val="00A8113F"/>
    <w:rsid w:val="00A81200"/>
    <w:rsid w:val="00A82190"/>
    <w:rsid w:val="00A821CB"/>
    <w:rsid w:val="00A8220D"/>
    <w:rsid w:val="00A829B5"/>
    <w:rsid w:val="00A8320D"/>
    <w:rsid w:val="00A8346F"/>
    <w:rsid w:val="00A835FD"/>
    <w:rsid w:val="00A83D8A"/>
    <w:rsid w:val="00A84190"/>
    <w:rsid w:val="00A84453"/>
    <w:rsid w:val="00A84854"/>
    <w:rsid w:val="00A848A7"/>
    <w:rsid w:val="00A84F52"/>
    <w:rsid w:val="00A85864"/>
    <w:rsid w:val="00A85CBD"/>
    <w:rsid w:val="00A862F4"/>
    <w:rsid w:val="00A86DEE"/>
    <w:rsid w:val="00A91303"/>
    <w:rsid w:val="00A916FA"/>
    <w:rsid w:val="00A922EC"/>
    <w:rsid w:val="00A924F2"/>
    <w:rsid w:val="00A93311"/>
    <w:rsid w:val="00A93D90"/>
    <w:rsid w:val="00A94197"/>
    <w:rsid w:val="00A94480"/>
    <w:rsid w:val="00A94A54"/>
    <w:rsid w:val="00A94B08"/>
    <w:rsid w:val="00A94C78"/>
    <w:rsid w:val="00A94F6A"/>
    <w:rsid w:val="00A95209"/>
    <w:rsid w:val="00A96538"/>
    <w:rsid w:val="00A97CD1"/>
    <w:rsid w:val="00AA0357"/>
    <w:rsid w:val="00AA16E2"/>
    <w:rsid w:val="00AA1B02"/>
    <w:rsid w:val="00AA2518"/>
    <w:rsid w:val="00AA33E6"/>
    <w:rsid w:val="00AA36EE"/>
    <w:rsid w:val="00AA39BF"/>
    <w:rsid w:val="00AA4063"/>
    <w:rsid w:val="00AA446B"/>
    <w:rsid w:val="00AA46D2"/>
    <w:rsid w:val="00AA5010"/>
    <w:rsid w:val="00AA520A"/>
    <w:rsid w:val="00AA57AA"/>
    <w:rsid w:val="00AA59B0"/>
    <w:rsid w:val="00AA6006"/>
    <w:rsid w:val="00AA675D"/>
    <w:rsid w:val="00AA6773"/>
    <w:rsid w:val="00AA6951"/>
    <w:rsid w:val="00AA6ADD"/>
    <w:rsid w:val="00AA6F43"/>
    <w:rsid w:val="00AA7089"/>
    <w:rsid w:val="00AA72A0"/>
    <w:rsid w:val="00AA7ABF"/>
    <w:rsid w:val="00AB0190"/>
    <w:rsid w:val="00AB091E"/>
    <w:rsid w:val="00AB1785"/>
    <w:rsid w:val="00AB1AF8"/>
    <w:rsid w:val="00AB2599"/>
    <w:rsid w:val="00AB2878"/>
    <w:rsid w:val="00AB3042"/>
    <w:rsid w:val="00AB34B1"/>
    <w:rsid w:val="00AB366C"/>
    <w:rsid w:val="00AB42E6"/>
    <w:rsid w:val="00AB48F6"/>
    <w:rsid w:val="00AB4CE1"/>
    <w:rsid w:val="00AB5957"/>
    <w:rsid w:val="00AB626E"/>
    <w:rsid w:val="00AB67F7"/>
    <w:rsid w:val="00AB75D1"/>
    <w:rsid w:val="00AB7ADC"/>
    <w:rsid w:val="00AB7FD5"/>
    <w:rsid w:val="00AC0D26"/>
    <w:rsid w:val="00AC0EDD"/>
    <w:rsid w:val="00AC10DE"/>
    <w:rsid w:val="00AC1A38"/>
    <w:rsid w:val="00AC1A50"/>
    <w:rsid w:val="00AC2197"/>
    <w:rsid w:val="00AC262C"/>
    <w:rsid w:val="00AC38FF"/>
    <w:rsid w:val="00AC3A76"/>
    <w:rsid w:val="00AC3CD5"/>
    <w:rsid w:val="00AC3DDD"/>
    <w:rsid w:val="00AC41E2"/>
    <w:rsid w:val="00AC4355"/>
    <w:rsid w:val="00AC486C"/>
    <w:rsid w:val="00AC4C9C"/>
    <w:rsid w:val="00AC4D59"/>
    <w:rsid w:val="00AC577F"/>
    <w:rsid w:val="00AC58CF"/>
    <w:rsid w:val="00AC651B"/>
    <w:rsid w:val="00AC7FDE"/>
    <w:rsid w:val="00AD04F2"/>
    <w:rsid w:val="00AD1719"/>
    <w:rsid w:val="00AD17C4"/>
    <w:rsid w:val="00AD1CEE"/>
    <w:rsid w:val="00AD2354"/>
    <w:rsid w:val="00AD352F"/>
    <w:rsid w:val="00AD35B2"/>
    <w:rsid w:val="00AD367B"/>
    <w:rsid w:val="00AD4468"/>
    <w:rsid w:val="00AD4829"/>
    <w:rsid w:val="00AD6866"/>
    <w:rsid w:val="00AD68EC"/>
    <w:rsid w:val="00AD7553"/>
    <w:rsid w:val="00AD7815"/>
    <w:rsid w:val="00AE15AC"/>
    <w:rsid w:val="00AE1AC1"/>
    <w:rsid w:val="00AE2576"/>
    <w:rsid w:val="00AE32AC"/>
    <w:rsid w:val="00AE3424"/>
    <w:rsid w:val="00AE5C8C"/>
    <w:rsid w:val="00AE5EEB"/>
    <w:rsid w:val="00AE616D"/>
    <w:rsid w:val="00AE6252"/>
    <w:rsid w:val="00AE653A"/>
    <w:rsid w:val="00AE685C"/>
    <w:rsid w:val="00AE6D02"/>
    <w:rsid w:val="00AE6E5E"/>
    <w:rsid w:val="00AE78BA"/>
    <w:rsid w:val="00AF0613"/>
    <w:rsid w:val="00AF06A1"/>
    <w:rsid w:val="00AF2EB3"/>
    <w:rsid w:val="00AF37F3"/>
    <w:rsid w:val="00AF3B19"/>
    <w:rsid w:val="00AF44F0"/>
    <w:rsid w:val="00AF4DC1"/>
    <w:rsid w:val="00AF4F15"/>
    <w:rsid w:val="00AF5B81"/>
    <w:rsid w:val="00AF6302"/>
    <w:rsid w:val="00AF635C"/>
    <w:rsid w:val="00AF67AE"/>
    <w:rsid w:val="00AF6BEB"/>
    <w:rsid w:val="00B0051D"/>
    <w:rsid w:val="00B0061D"/>
    <w:rsid w:val="00B00CB8"/>
    <w:rsid w:val="00B010E3"/>
    <w:rsid w:val="00B01F8F"/>
    <w:rsid w:val="00B02007"/>
    <w:rsid w:val="00B0221B"/>
    <w:rsid w:val="00B0294A"/>
    <w:rsid w:val="00B02BEB"/>
    <w:rsid w:val="00B03107"/>
    <w:rsid w:val="00B037D9"/>
    <w:rsid w:val="00B03C03"/>
    <w:rsid w:val="00B040B6"/>
    <w:rsid w:val="00B042F2"/>
    <w:rsid w:val="00B05715"/>
    <w:rsid w:val="00B0682F"/>
    <w:rsid w:val="00B0700E"/>
    <w:rsid w:val="00B0778F"/>
    <w:rsid w:val="00B07BCA"/>
    <w:rsid w:val="00B07D3F"/>
    <w:rsid w:val="00B109CC"/>
    <w:rsid w:val="00B114D1"/>
    <w:rsid w:val="00B11528"/>
    <w:rsid w:val="00B118AD"/>
    <w:rsid w:val="00B132A6"/>
    <w:rsid w:val="00B13725"/>
    <w:rsid w:val="00B13DED"/>
    <w:rsid w:val="00B1435D"/>
    <w:rsid w:val="00B14E54"/>
    <w:rsid w:val="00B15B3B"/>
    <w:rsid w:val="00B15D23"/>
    <w:rsid w:val="00B15DBE"/>
    <w:rsid w:val="00B16123"/>
    <w:rsid w:val="00B1637A"/>
    <w:rsid w:val="00B16948"/>
    <w:rsid w:val="00B170D8"/>
    <w:rsid w:val="00B1765E"/>
    <w:rsid w:val="00B17B40"/>
    <w:rsid w:val="00B20354"/>
    <w:rsid w:val="00B206C0"/>
    <w:rsid w:val="00B21376"/>
    <w:rsid w:val="00B2160C"/>
    <w:rsid w:val="00B22354"/>
    <w:rsid w:val="00B2257A"/>
    <w:rsid w:val="00B22AC9"/>
    <w:rsid w:val="00B23713"/>
    <w:rsid w:val="00B24300"/>
    <w:rsid w:val="00B24941"/>
    <w:rsid w:val="00B24C48"/>
    <w:rsid w:val="00B25254"/>
    <w:rsid w:val="00B252CB"/>
    <w:rsid w:val="00B2596D"/>
    <w:rsid w:val="00B26969"/>
    <w:rsid w:val="00B30183"/>
    <w:rsid w:val="00B3052D"/>
    <w:rsid w:val="00B324F9"/>
    <w:rsid w:val="00B33477"/>
    <w:rsid w:val="00B337FF"/>
    <w:rsid w:val="00B33E50"/>
    <w:rsid w:val="00B3409E"/>
    <w:rsid w:val="00B34847"/>
    <w:rsid w:val="00B34EA0"/>
    <w:rsid w:val="00B34FED"/>
    <w:rsid w:val="00B35BEC"/>
    <w:rsid w:val="00B37152"/>
    <w:rsid w:val="00B37531"/>
    <w:rsid w:val="00B37833"/>
    <w:rsid w:val="00B3789F"/>
    <w:rsid w:val="00B40EB8"/>
    <w:rsid w:val="00B415A5"/>
    <w:rsid w:val="00B41CC1"/>
    <w:rsid w:val="00B42A5F"/>
    <w:rsid w:val="00B4320F"/>
    <w:rsid w:val="00B45D98"/>
    <w:rsid w:val="00B46243"/>
    <w:rsid w:val="00B46CE2"/>
    <w:rsid w:val="00B46D29"/>
    <w:rsid w:val="00B46FA0"/>
    <w:rsid w:val="00B4731C"/>
    <w:rsid w:val="00B4773F"/>
    <w:rsid w:val="00B47B57"/>
    <w:rsid w:val="00B47BD0"/>
    <w:rsid w:val="00B47F83"/>
    <w:rsid w:val="00B50989"/>
    <w:rsid w:val="00B5158A"/>
    <w:rsid w:val="00B515A3"/>
    <w:rsid w:val="00B51A83"/>
    <w:rsid w:val="00B51CB0"/>
    <w:rsid w:val="00B51CBB"/>
    <w:rsid w:val="00B52220"/>
    <w:rsid w:val="00B522E5"/>
    <w:rsid w:val="00B53F72"/>
    <w:rsid w:val="00B541E3"/>
    <w:rsid w:val="00B55FCA"/>
    <w:rsid w:val="00B56294"/>
    <w:rsid w:val="00B56334"/>
    <w:rsid w:val="00B56946"/>
    <w:rsid w:val="00B56BED"/>
    <w:rsid w:val="00B56D27"/>
    <w:rsid w:val="00B56D84"/>
    <w:rsid w:val="00B5713E"/>
    <w:rsid w:val="00B5794A"/>
    <w:rsid w:val="00B57AFA"/>
    <w:rsid w:val="00B60FAC"/>
    <w:rsid w:val="00B6186C"/>
    <w:rsid w:val="00B61F67"/>
    <w:rsid w:val="00B62B24"/>
    <w:rsid w:val="00B63256"/>
    <w:rsid w:val="00B63B5E"/>
    <w:rsid w:val="00B64359"/>
    <w:rsid w:val="00B6441E"/>
    <w:rsid w:val="00B644A8"/>
    <w:rsid w:val="00B648D8"/>
    <w:rsid w:val="00B64C76"/>
    <w:rsid w:val="00B65236"/>
    <w:rsid w:val="00B65440"/>
    <w:rsid w:val="00B67460"/>
    <w:rsid w:val="00B6768F"/>
    <w:rsid w:val="00B67FCD"/>
    <w:rsid w:val="00B70173"/>
    <w:rsid w:val="00B70756"/>
    <w:rsid w:val="00B70C25"/>
    <w:rsid w:val="00B70DFB"/>
    <w:rsid w:val="00B714BB"/>
    <w:rsid w:val="00B71990"/>
    <w:rsid w:val="00B7376F"/>
    <w:rsid w:val="00B73D80"/>
    <w:rsid w:val="00B74ECE"/>
    <w:rsid w:val="00B7547C"/>
    <w:rsid w:val="00B7551D"/>
    <w:rsid w:val="00B763D8"/>
    <w:rsid w:val="00B82D85"/>
    <w:rsid w:val="00B83077"/>
    <w:rsid w:val="00B83191"/>
    <w:rsid w:val="00B831B7"/>
    <w:rsid w:val="00B84ADF"/>
    <w:rsid w:val="00B859BA"/>
    <w:rsid w:val="00B8608A"/>
    <w:rsid w:val="00B8690D"/>
    <w:rsid w:val="00B8702D"/>
    <w:rsid w:val="00B87B43"/>
    <w:rsid w:val="00B87EF3"/>
    <w:rsid w:val="00B9056A"/>
    <w:rsid w:val="00B910E8"/>
    <w:rsid w:val="00B916C6"/>
    <w:rsid w:val="00B92FB1"/>
    <w:rsid w:val="00B9311A"/>
    <w:rsid w:val="00B937B4"/>
    <w:rsid w:val="00B94858"/>
    <w:rsid w:val="00B94B48"/>
    <w:rsid w:val="00B94EA5"/>
    <w:rsid w:val="00B95643"/>
    <w:rsid w:val="00B96600"/>
    <w:rsid w:val="00B968FA"/>
    <w:rsid w:val="00B970C9"/>
    <w:rsid w:val="00B9763F"/>
    <w:rsid w:val="00BA0976"/>
    <w:rsid w:val="00BA0E22"/>
    <w:rsid w:val="00BA0F12"/>
    <w:rsid w:val="00BA1E44"/>
    <w:rsid w:val="00BA2FFF"/>
    <w:rsid w:val="00BA39FA"/>
    <w:rsid w:val="00BA3A69"/>
    <w:rsid w:val="00BA4436"/>
    <w:rsid w:val="00BA4DDA"/>
    <w:rsid w:val="00BA4F24"/>
    <w:rsid w:val="00BA5AB2"/>
    <w:rsid w:val="00BA5B4E"/>
    <w:rsid w:val="00BA6319"/>
    <w:rsid w:val="00BA6F2B"/>
    <w:rsid w:val="00BA79B3"/>
    <w:rsid w:val="00BB085A"/>
    <w:rsid w:val="00BB0B63"/>
    <w:rsid w:val="00BB107B"/>
    <w:rsid w:val="00BB18E5"/>
    <w:rsid w:val="00BB18E7"/>
    <w:rsid w:val="00BB264B"/>
    <w:rsid w:val="00BB26D3"/>
    <w:rsid w:val="00BB3697"/>
    <w:rsid w:val="00BB3A82"/>
    <w:rsid w:val="00BB3B10"/>
    <w:rsid w:val="00BB3B99"/>
    <w:rsid w:val="00BB44B3"/>
    <w:rsid w:val="00BB72FE"/>
    <w:rsid w:val="00BB73D4"/>
    <w:rsid w:val="00BB76AF"/>
    <w:rsid w:val="00BC0231"/>
    <w:rsid w:val="00BC05A4"/>
    <w:rsid w:val="00BC0A0C"/>
    <w:rsid w:val="00BC1443"/>
    <w:rsid w:val="00BC237E"/>
    <w:rsid w:val="00BC2594"/>
    <w:rsid w:val="00BC5202"/>
    <w:rsid w:val="00BC5633"/>
    <w:rsid w:val="00BC60E7"/>
    <w:rsid w:val="00BC636F"/>
    <w:rsid w:val="00BC6A8B"/>
    <w:rsid w:val="00BC71B7"/>
    <w:rsid w:val="00BD092A"/>
    <w:rsid w:val="00BD0A0D"/>
    <w:rsid w:val="00BD0ADC"/>
    <w:rsid w:val="00BD0BCB"/>
    <w:rsid w:val="00BD0C93"/>
    <w:rsid w:val="00BD0D53"/>
    <w:rsid w:val="00BD100D"/>
    <w:rsid w:val="00BD1226"/>
    <w:rsid w:val="00BD165B"/>
    <w:rsid w:val="00BD1984"/>
    <w:rsid w:val="00BD1D6D"/>
    <w:rsid w:val="00BD1FCA"/>
    <w:rsid w:val="00BD214D"/>
    <w:rsid w:val="00BD2BC1"/>
    <w:rsid w:val="00BD31BE"/>
    <w:rsid w:val="00BD3293"/>
    <w:rsid w:val="00BD35CF"/>
    <w:rsid w:val="00BD430D"/>
    <w:rsid w:val="00BD458C"/>
    <w:rsid w:val="00BD48D0"/>
    <w:rsid w:val="00BD5002"/>
    <w:rsid w:val="00BD5A8F"/>
    <w:rsid w:val="00BD62A0"/>
    <w:rsid w:val="00BE0040"/>
    <w:rsid w:val="00BE0340"/>
    <w:rsid w:val="00BE04CD"/>
    <w:rsid w:val="00BE0613"/>
    <w:rsid w:val="00BE0CAD"/>
    <w:rsid w:val="00BE1C1F"/>
    <w:rsid w:val="00BE2077"/>
    <w:rsid w:val="00BE2D79"/>
    <w:rsid w:val="00BE3E71"/>
    <w:rsid w:val="00BE400B"/>
    <w:rsid w:val="00BE4779"/>
    <w:rsid w:val="00BE4A98"/>
    <w:rsid w:val="00BE4E6C"/>
    <w:rsid w:val="00BE5818"/>
    <w:rsid w:val="00BE58B2"/>
    <w:rsid w:val="00BE5994"/>
    <w:rsid w:val="00BE650B"/>
    <w:rsid w:val="00BE6D23"/>
    <w:rsid w:val="00BE6D77"/>
    <w:rsid w:val="00BE6DC7"/>
    <w:rsid w:val="00BE7091"/>
    <w:rsid w:val="00BE7936"/>
    <w:rsid w:val="00BE7F0A"/>
    <w:rsid w:val="00BE7FFB"/>
    <w:rsid w:val="00BF02C7"/>
    <w:rsid w:val="00BF04FA"/>
    <w:rsid w:val="00BF1D3E"/>
    <w:rsid w:val="00BF2B72"/>
    <w:rsid w:val="00BF2DEC"/>
    <w:rsid w:val="00BF3291"/>
    <w:rsid w:val="00BF3628"/>
    <w:rsid w:val="00BF40F2"/>
    <w:rsid w:val="00BF4606"/>
    <w:rsid w:val="00BF4D8A"/>
    <w:rsid w:val="00BF5A7A"/>
    <w:rsid w:val="00BF5B70"/>
    <w:rsid w:val="00BF7316"/>
    <w:rsid w:val="00BF7884"/>
    <w:rsid w:val="00BF7953"/>
    <w:rsid w:val="00BF7B34"/>
    <w:rsid w:val="00C001AD"/>
    <w:rsid w:val="00C00CA0"/>
    <w:rsid w:val="00C010BC"/>
    <w:rsid w:val="00C01C8C"/>
    <w:rsid w:val="00C02215"/>
    <w:rsid w:val="00C039EB"/>
    <w:rsid w:val="00C04041"/>
    <w:rsid w:val="00C048A6"/>
    <w:rsid w:val="00C05429"/>
    <w:rsid w:val="00C054AD"/>
    <w:rsid w:val="00C0554C"/>
    <w:rsid w:val="00C057D5"/>
    <w:rsid w:val="00C073F1"/>
    <w:rsid w:val="00C07B93"/>
    <w:rsid w:val="00C07EB3"/>
    <w:rsid w:val="00C11BDC"/>
    <w:rsid w:val="00C1230D"/>
    <w:rsid w:val="00C1286A"/>
    <w:rsid w:val="00C13403"/>
    <w:rsid w:val="00C13519"/>
    <w:rsid w:val="00C1374C"/>
    <w:rsid w:val="00C13EF1"/>
    <w:rsid w:val="00C1559C"/>
    <w:rsid w:val="00C15AEA"/>
    <w:rsid w:val="00C15C57"/>
    <w:rsid w:val="00C15EC4"/>
    <w:rsid w:val="00C15F4B"/>
    <w:rsid w:val="00C16143"/>
    <w:rsid w:val="00C16379"/>
    <w:rsid w:val="00C165FE"/>
    <w:rsid w:val="00C16B9C"/>
    <w:rsid w:val="00C16CB7"/>
    <w:rsid w:val="00C17004"/>
    <w:rsid w:val="00C170A4"/>
    <w:rsid w:val="00C17907"/>
    <w:rsid w:val="00C20577"/>
    <w:rsid w:val="00C205FF"/>
    <w:rsid w:val="00C20AE5"/>
    <w:rsid w:val="00C20DAF"/>
    <w:rsid w:val="00C20F23"/>
    <w:rsid w:val="00C20F61"/>
    <w:rsid w:val="00C215FB"/>
    <w:rsid w:val="00C225D7"/>
    <w:rsid w:val="00C24D9E"/>
    <w:rsid w:val="00C251EB"/>
    <w:rsid w:val="00C257A5"/>
    <w:rsid w:val="00C2595A"/>
    <w:rsid w:val="00C268E2"/>
    <w:rsid w:val="00C270EF"/>
    <w:rsid w:val="00C27357"/>
    <w:rsid w:val="00C2740A"/>
    <w:rsid w:val="00C2786B"/>
    <w:rsid w:val="00C27BED"/>
    <w:rsid w:val="00C27C60"/>
    <w:rsid w:val="00C27F46"/>
    <w:rsid w:val="00C302BA"/>
    <w:rsid w:val="00C302C3"/>
    <w:rsid w:val="00C3041D"/>
    <w:rsid w:val="00C310C6"/>
    <w:rsid w:val="00C31582"/>
    <w:rsid w:val="00C31C5F"/>
    <w:rsid w:val="00C31DC2"/>
    <w:rsid w:val="00C3260F"/>
    <w:rsid w:val="00C3279D"/>
    <w:rsid w:val="00C328A5"/>
    <w:rsid w:val="00C329B0"/>
    <w:rsid w:val="00C33148"/>
    <w:rsid w:val="00C332C4"/>
    <w:rsid w:val="00C3391F"/>
    <w:rsid w:val="00C34EFD"/>
    <w:rsid w:val="00C35778"/>
    <w:rsid w:val="00C357DC"/>
    <w:rsid w:val="00C3608A"/>
    <w:rsid w:val="00C37EF2"/>
    <w:rsid w:val="00C41015"/>
    <w:rsid w:val="00C41441"/>
    <w:rsid w:val="00C420F5"/>
    <w:rsid w:val="00C42A1C"/>
    <w:rsid w:val="00C42C6F"/>
    <w:rsid w:val="00C42F4B"/>
    <w:rsid w:val="00C45183"/>
    <w:rsid w:val="00C462A6"/>
    <w:rsid w:val="00C46C1F"/>
    <w:rsid w:val="00C46EA0"/>
    <w:rsid w:val="00C47200"/>
    <w:rsid w:val="00C477D7"/>
    <w:rsid w:val="00C47C42"/>
    <w:rsid w:val="00C47CF2"/>
    <w:rsid w:val="00C47EB0"/>
    <w:rsid w:val="00C5094D"/>
    <w:rsid w:val="00C51550"/>
    <w:rsid w:val="00C52AE4"/>
    <w:rsid w:val="00C53142"/>
    <w:rsid w:val="00C53636"/>
    <w:rsid w:val="00C53A6C"/>
    <w:rsid w:val="00C53E93"/>
    <w:rsid w:val="00C54AE6"/>
    <w:rsid w:val="00C54D7D"/>
    <w:rsid w:val="00C54E91"/>
    <w:rsid w:val="00C552E3"/>
    <w:rsid w:val="00C55F62"/>
    <w:rsid w:val="00C56055"/>
    <w:rsid w:val="00C567B1"/>
    <w:rsid w:val="00C56815"/>
    <w:rsid w:val="00C56D4D"/>
    <w:rsid w:val="00C56DD9"/>
    <w:rsid w:val="00C573A9"/>
    <w:rsid w:val="00C57DAA"/>
    <w:rsid w:val="00C57E20"/>
    <w:rsid w:val="00C603FD"/>
    <w:rsid w:val="00C606B6"/>
    <w:rsid w:val="00C61567"/>
    <w:rsid w:val="00C62368"/>
    <w:rsid w:val="00C629AD"/>
    <w:rsid w:val="00C62A17"/>
    <w:rsid w:val="00C62BA3"/>
    <w:rsid w:val="00C63216"/>
    <w:rsid w:val="00C63241"/>
    <w:rsid w:val="00C6336B"/>
    <w:rsid w:val="00C63B51"/>
    <w:rsid w:val="00C63E9B"/>
    <w:rsid w:val="00C644C7"/>
    <w:rsid w:val="00C6485C"/>
    <w:rsid w:val="00C64E9A"/>
    <w:rsid w:val="00C65A92"/>
    <w:rsid w:val="00C664E7"/>
    <w:rsid w:val="00C66CCB"/>
    <w:rsid w:val="00C66D47"/>
    <w:rsid w:val="00C66EEB"/>
    <w:rsid w:val="00C6722E"/>
    <w:rsid w:val="00C673D0"/>
    <w:rsid w:val="00C67525"/>
    <w:rsid w:val="00C709CF"/>
    <w:rsid w:val="00C70B49"/>
    <w:rsid w:val="00C71022"/>
    <w:rsid w:val="00C71219"/>
    <w:rsid w:val="00C71F92"/>
    <w:rsid w:val="00C72D78"/>
    <w:rsid w:val="00C73191"/>
    <w:rsid w:val="00C74B27"/>
    <w:rsid w:val="00C74FD9"/>
    <w:rsid w:val="00C7533D"/>
    <w:rsid w:val="00C75F25"/>
    <w:rsid w:val="00C761E0"/>
    <w:rsid w:val="00C762FD"/>
    <w:rsid w:val="00C76E91"/>
    <w:rsid w:val="00C7712E"/>
    <w:rsid w:val="00C776D3"/>
    <w:rsid w:val="00C8018A"/>
    <w:rsid w:val="00C8022F"/>
    <w:rsid w:val="00C804DF"/>
    <w:rsid w:val="00C80DEA"/>
    <w:rsid w:val="00C814B7"/>
    <w:rsid w:val="00C81765"/>
    <w:rsid w:val="00C834AE"/>
    <w:rsid w:val="00C83513"/>
    <w:rsid w:val="00C83BC7"/>
    <w:rsid w:val="00C83D85"/>
    <w:rsid w:val="00C850DB"/>
    <w:rsid w:val="00C858AE"/>
    <w:rsid w:val="00C85AFC"/>
    <w:rsid w:val="00C85E33"/>
    <w:rsid w:val="00C86E07"/>
    <w:rsid w:val="00C87161"/>
    <w:rsid w:val="00C87422"/>
    <w:rsid w:val="00C875FC"/>
    <w:rsid w:val="00C87644"/>
    <w:rsid w:val="00C87AB4"/>
    <w:rsid w:val="00C901D9"/>
    <w:rsid w:val="00C903C6"/>
    <w:rsid w:val="00C919EE"/>
    <w:rsid w:val="00C91D30"/>
    <w:rsid w:val="00C922BC"/>
    <w:rsid w:val="00C93194"/>
    <w:rsid w:val="00C9366F"/>
    <w:rsid w:val="00C949CD"/>
    <w:rsid w:val="00C9548C"/>
    <w:rsid w:val="00C9574C"/>
    <w:rsid w:val="00C95A9C"/>
    <w:rsid w:val="00C966AD"/>
    <w:rsid w:val="00C96B00"/>
    <w:rsid w:val="00C970CB"/>
    <w:rsid w:val="00C9786B"/>
    <w:rsid w:val="00CA0274"/>
    <w:rsid w:val="00CA0CC1"/>
    <w:rsid w:val="00CA16D3"/>
    <w:rsid w:val="00CA1C83"/>
    <w:rsid w:val="00CA2582"/>
    <w:rsid w:val="00CA2914"/>
    <w:rsid w:val="00CA2AFE"/>
    <w:rsid w:val="00CA35E9"/>
    <w:rsid w:val="00CA42C9"/>
    <w:rsid w:val="00CA4355"/>
    <w:rsid w:val="00CA47AC"/>
    <w:rsid w:val="00CA47AD"/>
    <w:rsid w:val="00CA4AAE"/>
    <w:rsid w:val="00CA4EF5"/>
    <w:rsid w:val="00CA518A"/>
    <w:rsid w:val="00CA51FA"/>
    <w:rsid w:val="00CA5704"/>
    <w:rsid w:val="00CA5A3A"/>
    <w:rsid w:val="00CA6729"/>
    <w:rsid w:val="00CA6E43"/>
    <w:rsid w:val="00CA6EA4"/>
    <w:rsid w:val="00CA734D"/>
    <w:rsid w:val="00CA74BA"/>
    <w:rsid w:val="00CA7538"/>
    <w:rsid w:val="00CB03E3"/>
    <w:rsid w:val="00CB0B1C"/>
    <w:rsid w:val="00CB0C49"/>
    <w:rsid w:val="00CB17AE"/>
    <w:rsid w:val="00CB21DC"/>
    <w:rsid w:val="00CB2208"/>
    <w:rsid w:val="00CB25C4"/>
    <w:rsid w:val="00CB3F5D"/>
    <w:rsid w:val="00CB59B1"/>
    <w:rsid w:val="00CB6A6F"/>
    <w:rsid w:val="00CB6AD4"/>
    <w:rsid w:val="00CB6F85"/>
    <w:rsid w:val="00CB73D4"/>
    <w:rsid w:val="00CC0F18"/>
    <w:rsid w:val="00CC25E8"/>
    <w:rsid w:val="00CC2C28"/>
    <w:rsid w:val="00CC33C9"/>
    <w:rsid w:val="00CC3528"/>
    <w:rsid w:val="00CC36E9"/>
    <w:rsid w:val="00CC3966"/>
    <w:rsid w:val="00CC475B"/>
    <w:rsid w:val="00CC5974"/>
    <w:rsid w:val="00CC5C79"/>
    <w:rsid w:val="00CC5E59"/>
    <w:rsid w:val="00CC6158"/>
    <w:rsid w:val="00CC6A36"/>
    <w:rsid w:val="00CC6BB6"/>
    <w:rsid w:val="00CC7886"/>
    <w:rsid w:val="00CC79E3"/>
    <w:rsid w:val="00CD03AC"/>
    <w:rsid w:val="00CD0500"/>
    <w:rsid w:val="00CD0E47"/>
    <w:rsid w:val="00CD14D0"/>
    <w:rsid w:val="00CD168F"/>
    <w:rsid w:val="00CD18D7"/>
    <w:rsid w:val="00CD1C10"/>
    <w:rsid w:val="00CD1EDC"/>
    <w:rsid w:val="00CD3189"/>
    <w:rsid w:val="00CD3742"/>
    <w:rsid w:val="00CD37C5"/>
    <w:rsid w:val="00CD4E94"/>
    <w:rsid w:val="00CD61BE"/>
    <w:rsid w:val="00CD6F0D"/>
    <w:rsid w:val="00CD7C86"/>
    <w:rsid w:val="00CE0049"/>
    <w:rsid w:val="00CE0256"/>
    <w:rsid w:val="00CE0294"/>
    <w:rsid w:val="00CE0506"/>
    <w:rsid w:val="00CE0A41"/>
    <w:rsid w:val="00CE0C9E"/>
    <w:rsid w:val="00CE0E08"/>
    <w:rsid w:val="00CE0FA9"/>
    <w:rsid w:val="00CE1187"/>
    <w:rsid w:val="00CE123A"/>
    <w:rsid w:val="00CE19A1"/>
    <w:rsid w:val="00CE1CC9"/>
    <w:rsid w:val="00CE1D3E"/>
    <w:rsid w:val="00CE2C37"/>
    <w:rsid w:val="00CE521C"/>
    <w:rsid w:val="00CE59E1"/>
    <w:rsid w:val="00CE5A26"/>
    <w:rsid w:val="00CE6231"/>
    <w:rsid w:val="00CE6283"/>
    <w:rsid w:val="00CE6321"/>
    <w:rsid w:val="00CE651F"/>
    <w:rsid w:val="00CE6B00"/>
    <w:rsid w:val="00CE755D"/>
    <w:rsid w:val="00CE79E1"/>
    <w:rsid w:val="00CF059C"/>
    <w:rsid w:val="00CF0ACD"/>
    <w:rsid w:val="00CF0D09"/>
    <w:rsid w:val="00CF1035"/>
    <w:rsid w:val="00CF1BBC"/>
    <w:rsid w:val="00CF2AF2"/>
    <w:rsid w:val="00CF3F1D"/>
    <w:rsid w:val="00CF423F"/>
    <w:rsid w:val="00CF42ED"/>
    <w:rsid w:val="00CF508E"/>
    <w:rsid w:val="00CF50D0"/>
    <w:rsid w:val="00CF5F31"/>
    <w:rsid w:val="00CF6812"/>
    <w:rsid w:val="00CF6D86"/>
    <w:rsid w:val="00D007E7"/>
    <w:rsid w:val="00D00CF7"/>
    <w:rsid w:val="00D01316"/>
    <w:rsid w:val="00D02476"/>
    <w:rsid w:val="00D02C04"/>
    <w:rsid w:val="00D03345"/>
    <w:rsid w:val="00D03463"/>
    <w:rsid w:val="00D03CDB"/>
    <w:rsid w:val="00D04169"/>
    <w:rsid w:val="00D047CF"/>
    <w:rsid w:val="00D100F0"/>
    <w:rsid w:val="00D105B4"/>
    <w:rsid w:val="00D107A5"/>
    <w:rsid w:val="00D11BEB"/>
    <w:rsid w:val="00D120E1"/>
    <w:rsid w:val="00D12716"/>
    <w:rsid w:val="00D12FB0"/>
    <w:rsid w:val="00D13058"/>
    <w:rsid w:val="00D1339A"/>
    <w:rsid w:val="00D149EA"/>
    <w:rsid w:val="00D151D6"/>
    <w:rsid w:val="00D154F7"/>
    <w:rsid w:val="00D15AE5"/>
    <w:rsid w:val="00D160B4"/>
    <w:rsid w:val="00D16286"/>
    <w:rsid w:val="00D20B2F"/>
    <w:rsid w:val="00D2149E"/>
    <w:rsid w:val="00D21A75"/>
    <w:rsid w:val="00D24282"/>
    <w:rsid w:val="00D2444B"/>
    <w:rsid w:val="00D2475A"/>
    <w:rsid w:val="00D24BF1"/>
    <w:rsid w:val="00D24F80"/>
    <w:rsid w:val="00D25279"/>
    <w:rsid w:val="00D25655"/>
    <w:rsid w:val="00D257A4"/>
    <w:rsid w:val="00D265BB"/>
    <w:rsid w:val="00D26611"/>
    <w:rsid w:val="00D268BD"/>
    <w:rsid w:val="00D26ABB"/>
    <w:rsid w:val="00D26D1A"/>
    <w:rsid w:val="00D27A78"/>
    <w:rsid w:val="00D3005B"/>
    <w:rsid w:val="00D30349"/>
    <w:rsid w:val="00D31035"/>
    <w:rsid w:val="00D3116D"/>
    <w:rsid w:val="00D3316A"/>
    <w:rsid w:val="00D332B3"/>
    <w:rsid w:val="00D344D1"/>
    <w:rsid w:val="00D35490"/>
    <w:rsid w:val="00D355DA"/>
    <w:rsid w:val="00D359C6"/>
    <w:rsid w:val="00D3723C"/>
    <w:rsid w:val="00D375A2"/>
    <w:rsid w:val="00D37634"/>
    <w:rsid w:val="00D37941"/>
    <w:rsid w:val="00D37A22"/>
    <w:rsid w:val="00D37B1D"/>
    <w:rsid w:val="00D37B36"/>
    <w:rsid w:val="00D37CFE"/>
    <w:rsid w:val="00D40129"/>
    <w:rsid w:val="00D411F8"/>
    <w:rsid w:val="00D4185E"/>
    <w:rsid w:val="00D41895"/>
    <w:rsid w:val="00D42867"/>
    <w:rsid w:val="00D4321B"/>
    <w:rsid w:val="00D43344"/>
    <w:rsid w:val="00D44A5B"/>
    <w:rsid w:val="00D44B94"/>
    <w:rsid w:val="00D46532"/>
    <w:rsid w:val="00D468EC"/>
    <w:rsid w:val="00D47BC0"/>
    <w:rsid w:val="00D5013B"/>
    <w:rsid w:val="00D50250"/>
    <w:rsid w:val="00D5053E"/>
    <w:rsid w:val="00D510A3"/>
    <w:rsid w:val="00D516CB"/>
    <w:rsid w:val="00D518AB"/>
    <w:rsid w:val="00D518DC"/>
    <w:rsid w:val="00D519F1"/>
    <w:rsid w:val="00D51AF6"/>
    <w:rsid w:val="00D5206E"/>
    <w:rsid w:val="00D52A7D"/>
    <w:rsid w:val="00D52D8F"/>
    <w:rsid w:val="00D53208"/>
    <w:rsid w:val="00D53617"/>
    <w:rsid w:val="00D550C9"/>
    <w:rsid w:val="00D55FAF"/>
    <w:rsid w:val="00D56B3F"/>
    <w:rsid w:val="00D56B7F"/>
    <w:rsid w:val="00D5759E"/>
    <w:rsid w:val="00D60CFC"/>
    <w:rsid w:val="00D60E72"/>
    <w:rsid w:val="00D61136"/>
    <w:rsid w:val="00D6133A"/>
    <w:rsid w:val="00D61F3A"/>
    <w:rsid w:val="00D6368F"/>
    <w:rsid w:val="00D636F4"/>
    <w:rsid w:val="00D64846"/>
    <w:rsid w:val="00D65021"/>
    <w:rsid w:val="00D6503F"/>
    <w:rsid w:val="00D6516D"/>
    <w:rsid w:val="00D654DF"/>
    <w:rsid w:val="00D65C8F"/>
    <w:rsid w:val="00D67342"/>
    <w:rsid w:val="00D677D0"/>
    <w:rsid w:val="00D67A24"/>
    <w:rsid w:val="00D67A76"/>
    <w:rsid w:val="00D67CBF"/>
    <w:rsid w:val="00D70327"/>
    <w:rsid w:val="00D70605"/>
    <w:rsid w:val="00D70621"/>
    <w:rsid w:val="00D71896"/>
    <w:rsid w:val="00D71C9E"/>
    <w:rsid w:val="00D72912"/>
    <w:rsid w:val="00D72CB1"/>
    <w:rsid w:val="00D72E2A"/>
    <w:rsid w:val="00D73738"/>
    <w:rsid w:val="00D743A4"/>
    <w:rsid w:val="00D7464C"/>
    <w:rsid w:val="00D74D6C"/>
    <w:rsid w:val="00D759B5"/>
    <w:rsid w:val="00D7615A"/>
    <w:rsid w:val="00D7666C"/>
    <w:rsid w:val="00D766D6"/>
    <w:rsid w:val="00D76A75"/>
    <w:rsid w:val="00D80088"/>
    <w:rsid w:val="00D8117A"/>
    <w:rsid w:val="00D81265"/>
    <w:rsid w:val="00D81863"/>
    <w:rsid w:val="00D8274D"/>
    <w:rsid w:val="00D82926"/>
    <w:rsid w:val="00D836EC"/>
    <w:rsid w:val="00D83BFE"/>
    <w:rsid w:val="00D84D3B"/>
    <w:rsid w:val="00D85BFE"/>
    <w:rsid w:val="00D8634E"/>
    <w:rsid w:val="00D86935"/>
    <w:rsid w:val="00D86C59"/>
    <w:rsid w:val="00D86EA6"/>
    <w:rsid w:val="00D87BF3"/>
    <w:rsid w:val="00D901B7"/>
    <w:rsid w:val="00D903E6"/>
    <w:rsid w:val="00D904AB"/>
    <w:rsid w:val="00D9158B"/>
    <w:rsid w:val="00D92222"/>
    <w:rsid w:val="00D9259B"/>
    <w:rsid w:val="00D929F3"/>
    <w:rsid w:val="00D92B76"/>
    <w:rsid w:val="00D92CF0"/>
    <w:rsid w:val="00D92F35"/>
    <w:rsid w:val="00D9429A"/>
    <w:rsid w:val="00D94434"/>
    <w:rsid w:val="00D945A9"/>
    <w:rsid w:val="00D949F7"/>
    <w:rsid w:val="00D95537"/>
    <w:rsid w:val="00D95C17"/>
    <w:rsid w:val="00D95EFD"/>
    <w:rsid w:val="00D95F57"/>
    <w:rsid w:val="00D95F72"/>
    <w:rsid w:val="00D9609E"/>
    <w:rsid w:val="00D96414"/>
    <w:rsid w:val="00D965ED"/>
    <w:rsid w:val="00D972C6"/>
    <w:rsid w:val="00D974AA"/>
    <w:rsid w:val="00D97C62"/>
    <w:rsid w:val="00DA0BB7"/>
    <w:rsid w:val="00DA0DFF"/>
    <w:rsid w:val="00DA0E9F"/>
    <w:rsid w:val="00DA1EFD"/>
    <w:rsid w:val="00DA1F02"/>
    <w:rsid w:val="00DA2589"/>
    <w:rsid w:val="00DA2A0E"/>
    <w:rsid w:val="00DA2E3C"/>
    <w:rsid w:val="00DA303A"/>
    <w:rsid w:val="00DA329D"/>
    <w:rsid w:val="00DA366D"/>
    <w:rsid w:val="00DA3D64"/>
    <w:rsid w:val="00DA430E"/>
    <w:rsid w:val="00DA451B"/>
    <w:rsid w:val="00DA5502"/>
    <w:rsid w:val="00DA58A8"/>
    <w:rsid w:val="00DA660C"/>
    <w:rsid w:val="00DA6791"/>
    <w:rsid w:val="00DA73DF"/>
    <w:rsid w:val="00DA7843"/>
    <w:rsid w:val="00DA791C"/>
    <w:rsid w:val="00DB0499"/>
    <w:rsid w:val="00DB04EF"/>
    <w:rsid w:val="00DB0B3B"/>
    <w:rsid w:val="00DB10C0"/>
    <w:rsid w:val="00DB1A5A"/>
    <w:rsid w:val="00DB1B4A"/>
    <w:rsid w:val="00DB1F48"/>
    <w:rsid w:val="00DB25BB"/>
    <w:rsid w:val="00DB2D00"/>
    <w:rsid w:val="00DB37CD"/>
    <w:rsid w:val="00DB3D8B"/>
    <w:rsid w:val="00DB3E08"/>
    <w:rsid w:val="00DB4FA1"/>
    <w:rsid w:val="00DB557B"/>
    <w:rsid w:val="00DB59D1"/>
    <w:rsid w:val="00DB5EA1"/>
    <w:rsid w:val="00DB6238"/>
    <w:rsid w:val="00DB623A"/>
    <w:rsid w:val="00DB6515"/>
    <w:rsid w:val="00DB6DF0"/>
    <w:rsid w:val="00DB7ADC"/>
    <w:rsid w:val="00DC06E9"/>
    <w:rsid w:val="00DC2AD2"/>
    <w:rsid w:val="00DC31EB"/>
    <w:rsid w:val="00DC368B"/>
    <w:rsid w:val="00DC45FD"/>
    <w:rsid w:val="00DC5DFA"/>
    <w:rsid w:val="00DC5E8C"/>
    <w:rsid w:val="00DC67B5"/>
    <w:rsid w:val="00DC6ECB"/>
    <w:rsid w:val="00DC76D1"/>
    <w:rsid w:val="00DD10D2"/>
    <w:rsid w:val="00DD1381"/>
    <w:rsid w:val="00DD1865"/>
    <w:rsid w:val="00DD1B2E"/>
    <w:rsid w:val="00DD27ED"/>
    <w:rsid w:val="00DD2946"/>
    <w:rsid w:val="00DD2E09"/>
    <w:rsid w:val="00DD32D8"/>
    <w:rsid w:val="00DD3365"/>
    <w:rsid w:val="00DD3AFC"/>
    <w:rsid w:val="00DD43ED"/>
    <w:rsid w:val="00DD48D0"/>
    <w:rsid w:val="00DD5129"/>
    <w:rsid w:val="00DD53FA"/>
    <w:rsid w:val="00DE0175"/>
    <w:rsid w:val="00DE3BB8"/>
    <w:rsid w:val="00DE4210"/>
    <w:rsid w:val="00DE4AAF"/>
    <w:rsid w:val="00DE4D6E"/>
    <w:rsid w:val="00DE51B8"/>
    <w:rsid w:val="00DE58ED"/>
    <w:rsid w:val="00DE62FE"/>
    <w:rsid w:val="00DE6311"/>
    <w:rsid w:val="00DE6D6F"/>
    <w:rsid w:val="00DE6D8A"/>
    <w:rsid w:val="00DE6E4E"/>
    <w:rsid w:val="00DE7033"/>
    <w:rsid w:val="00DE76CE"/>
    <w:rsid w:val="00DE7A8A"/>
    <w:rsid w:val="00DF0EE1"/>
    <w:rsid w:val="00DF1677"/>
    <w:rsid w:val="00DF1992"/>
    <w:rsid w:val="00DF2C96"/>
    <w:rsid w:val="00DF31D5"/>
    <w:rsid w:val="00DF3A3B"/>
    <w:rsid w:val="00DF4096"/>
    <w:rsid w:val="00DF6664"/>
    <w:rsid w:val="00DF6ADE"/>
    <w:rsid w:val="00DF6D18"/>
    <w:rsid w:val="00DF6FCD"/>
    <w:rsid w:val="00DF7195"/>
    <w:rsid w:val="00E001E3"/>
    <w:rsid w:val="00E008B5"/>
    <w:rsid w:val="00E0129D"/>
    <w:rsid w:val="00E015A1"/>
    <w:rsid w:val="00E02D10"/>
    <w:rsid w:val="00E02E6F"/>
    <w:rsid w:val="00E03CD7"/>
    <w:rsid w:val="00E03F14"/>
    <w:rsid w:val="00E04020"/>
    <w:rsid w:val="00E04027"/>
    <w:rsid w:val="00E0471F"/>
    <w:rsid w:val="00E04E85"/>
    <w:rsid w:val="00E0545B"/>
    <w:rsid w:val="00E054AA"/>
    <w:rsid w:val="00E0573B"/>
    <w:rsid w:val="00E064AE"/>
    <w:rsid w:val="00E07926"/>
    <w:rsid w:val="00E10088"/>
    <w:rsid w:val="00E10831"/>
    <w:rsid w:val="00E10F47"/>
    <w:rsid w:val="00E11816"/>
    <w:rsid w:val="00E11FD2"/>
    <w:rsid w:val="00E1210E"/>
    <w:rsid w:val="00E124ED"/>
    <w:rsid w:val="00E125B4"/>
    <w:rsid w:val="00E12EE3"/>
    <w:rsid w:val="00E13556"/>
    <w:rsid w:val="00E13F67"/>
    <w:rsid w:val="00E1526D"/>
    <w:rsid w:val="00E153FA"/>
    <w:rsid w:val="00E15478"/>
    <w:rsid w:val="00E1594D"/>
    <w:rsid w:val="00E15E65"/>
    <w:rsid w:val="00E16232"/>
    <w:rsid w:val="00E16431"/>
    <w:rsid w:val="00E16D96"/>
    <w:rsid w:val="00E17788"/>
    <w:rsid w:val="00E201B1"/>
    <w:rsid w:val="00E21BF4"/>
    <w:rsid w:val="00E21E02"/>
    <w:rsid w:val="00E226A8"/>
    <w:rsid w:val="00E22701"/>
    <w:rsid w:val="00E22FBF"/>
    <w:rsid w:val="00E2313A"/>
    <w:rsid w:val="00E2392D"/>
    <w:rsid w:val="00E23AC0"/>
    <w:rsid w:val="00E24EA6"/>
    <w:rsid w:val="00E25209"/>
    <w:rsid w:val="00E252DE"/>
    <w:rsid w:val="00E25385"/>
    <w:rsid w:val="00E25C4B"/>
    <w:rsid w:val="00E269B1"/>
    <w:rsid w:val="00E269FF"/>
    <w:rsid w:val="00E2751F"/>
    <w:rsid w:val="00E27EAD"/>
    <w:rsid w:val="00E30A86"/>
    <w:rsid w:val="00E30ECE"/>
    <w:rsid w:val="00E310C4"/>
    <w:rsid w:val="00E31E91"/>
    <w:rsid w:val="00E32C01"/>
    <w:rsid w:val="00E33E3C"/>
    <w:rsid w:val="00E34A28"/>
    <w:rsid w:val="00E34B5D"/>
    <w:rsid w:val="00E34E3B"/>
    <w:rsid w:val="00E353C1"/>
    <w:rsid w:val="00E35B6B"/>
    <w:rsid w:val="00E36721"/>
    <w:rsid w:val="00E36A37"/>
    <w:rsid w:val="00E41487"/>
    <w:rsid w:val="00E41629"/>
    <w:rsid w:val="00E41ACE"/>
    <w:rsid w:val="00E41BD9"/>
    <w:rsid w:val="00E41F03"/>
    <w:rsid w:val="00E42A1C"/>
    <w:rsid w:val="00E439D1"/>
    <w:rsid w:val="00E4480A"/>
    <w:rsid w:val="00E44CAB"/>
    <w:rsid w:val="00E453CE"/>
    <w:rsid w:val="00E46AEA"/>
    <w:rsid w:val="00E46D2D"/>
    <w:rsid w:val="00E46E00"/>
    <w:rsid w:val="00E4783F"/>
    <w:rsid w:val="00E50D53"/>
    <w:rsid w:val="00E5162F"/>
    <w:rsid w:val="00E5167E"/>
    <w:rsid w:val="00E51882"/>
    <w:rsid w:val="00E51E84"/>
    <w:rsid w:val="00E52799"/>
    <w:rsid w:val="00E52D36"/>
    <w:rsid w:val="00E53C9C"/>
    <w:rsid w:val="00E53D9C"/>
    <w:rsid w:val="00E546BA"/>
    <w:rsid w:val="00E548B0"/>
    <w:rsid w:val="00E54E2D"/>
    <w:rsid w:val="00E55352"/>
    <w:rsid w:val="00E56D95"/>
    <w:rsid w:val="00E571A3"/>
    <w:rsid w:val="00E57A28"/>
    <w:rsid w:val="00E57CFC"/>
    <w:rsid w:val="00E61AF8"/>
    <w:rsid w:val="00E61B6B"/>
    <w:rsid w:val="00E622C5"/>
    <w:rsid w:val="00E62BFD"/>
    <w:rsid w:val="00E63BAC"/>
    <w:rsid w:val="00E641CD"/>
    <w:rsid w:val="00E64333"/>
    <w:rsid w:val="00E64B11"/>
    <w:rsid w:val="00E655CA"/>
    <w:rsid w:val="00E66EC6"/>
    <w:rsid w:val="00E67D8D"/>
    <w:rsid w:val="00E67EE8"/>
    <w:rsid w:val="00E703F2"/>
    <w:rsid w:val="00E704FA"/>
    <w:rsid w:val="00E70CD0"/>
    <w:rsid w:val="00E70D98"/>
    <w:rsid w:val="00E710AE"/>
    <w:rsid w:val="00E7245B"/>
    <w:rsid w:val="00E73801"/>
    <w:rsid w:val="00E73CCE"/>
    <w:rsid w:val="00E7405E"/>
    <w:rsid w:val="00E745FF"/>
    <w:rsid w:val="00E7566D"/>
    <w:rsid w:val="00E7588B"/>
    <w:rsid w:val="00E758F5"/>
    <w:rsid w:val="00E75B75"/>
    <w:rsid w:val="00E75FE1"/>
    <w:rsid w:val="00E76BDF"/>
    <w:rsid w:val="00E76EFF"/>
    <w:rsid w:val="00E773DC"/>
    <w:rsid w:val="00E802E3"/>
    <w:rsid w:val="00E81885"/>
    <w:rsid w:val="00E82273"/>
    <w:rsid w:val="00E826BA"/>
    <w:rsid w:val="00E828A7"/>
    <w:rsid w:val="00E82AEE"/>
    <w:rsid w:val="00E82CAE"/>
    <w:rsid w:val="00E82CC9"/>
    <w:rsid w:val="00E84C0C"/>
    <w:rsid w:val="00E84E3D"/>
    <w:rsid w:val="00E85E68"/>
    <w:rsid w:val="00E868DF"/>
    <w:rsid w:val="00E86CB8"/>
    <w:rsid w:val="00E8708B"/>
    <w:rsid w:val="00E87A5D"/>
    <w:rsid w:val="00E91445"/>
    <w:rsid w:val="00E91468"/>
    <w:rsid w:val="00E916BF"/>
    <w:rsid w:val="00E91C84"/>
    <w:rsid w:val="00E91CDC"/>
    <w:rsid w:val="00E922D1"/>
    <w:rsid w:val="00E92788"/>
    <w:rsid w:val="00E93EDD"/>
    <w:rsid w:val="00E943D5"/>
    <w:rsid w:val="00E946BF"/>
    <w:rsid w:val="00E94B8B"/>
    <w:rsid w:val="00E94B8C"/>
    <w:rsid w:val="00E95BB1"/>
    <w:rsid w:val="00E95D53"/>
    <w:rsid w:val="00E96197"/>
    <w:rsid w:val="00E962F4"/>
    <w:rsid w:val="00E97B62"/>
    <w:rsid w:val="00E97DA6"/>
    <w:rsid w:val="00EA127A"/>
    <w:rsid w:val="00EA13A4"/>
    <w:rsid w:val="00EA17E0"/>
    <w:rsid w:val="00EA1C6D"/>
    <w:rsid w:val="00EA22D0"/>
    <w:rsid w:val="00EA28E6"/>
    <w:rsid w:val="00EA2D55"/>
    <w:rsid w:val="00EA3B19"/>
    <w:rsid w:val="00EA4188"/>
    <w:rsid w:val="00EA4BF5"/>
    <w:rsid w:val="00EA4E98"/>
    <w:rsid w:val="00EA55C5"/>
    <w:rsid w:val="00EA5B59"/>
    <w:rsid w:val="00EA64B0"/>
    <w:rsid w:val="00EA6F46"/>
    <w:rsid w:val="00EA78D7"/>
    <w:rsid w:val="00EB0184"/>
    <w:rsid w:val="00EB04F2"/>
    <w:rsid w:val="00EB0B9A"/>
    <w:rsid w:val="00EB1325"/>
    <w:rsid w:val="00EB1434"/>
    <w:rsid w:val="00EB190A"/>
    <w:rsid w:val="00EB1A17"/>
    <w:rsid w:val="00EB272B"/>
    <w:rsid w:val="00EB31B6"/>
    <w:rsid w:val="00EB32B7"/>
    <w:rsid w:val="00EB3AC2"/>
    <w:rsid w:val="00EB3D93"/>
    <w:rsid w:val="00EB6766"/>
    <w:rsid w:val="00EB7139"/>
    <w:rsid w:val="00EB7EF1"/>
    <w:rsid w:val="00EC006E"/>
    <w:rsid w:val="00EC030C"/>
    <w:rsid w:val="00EC085D"/>
    <w:rsid w:val="00EC191E"/>
    <w:rsid w:val="00EC1F84"/>
    <w:rsid w:val="00EC2407"/>
    <w:rsid w:val="00EC24B4"/>
    <w:rsid w:val="00EC270A"/>
    <w:rsid w:val="00EC2C11"/>
    <w:rsid w:val="00EC3559"/>
    <w:rsid w:val="00EC3A12"/>
    <w:rsid w:val="00EC3C48"/>
    <w:rsid w:val="00EC5340"/>
    <w:rsid w:val="00EC5868"/>
    <w:rsid w:val="00EC7088"/>
    <w:rsid w:val="00EC70D2"/>
    <w:rsid w:val="00EC730B"/>
    <w:rsid w:val="00EC7A8F"/>
    <w:rsid w:val="00ED0313"/>
    <w:rsid w:val="00ED0566"/>
    <w:rsid w:val="00ED07CA"/>
    <w:rsid w:val="00ED1278"/>
    <w:rsid w:val="00ED19A0"/>
    <w:rsid w:val="00ED1C37"/>
    <w:rsid w:val="00ED203D"/>
    <w:rsid w:val="00ED2287"/>
    <w:rsid w:val="00ED3107"/>
    <w:rsid w:val="00ED36D2"/>
    <w:rsid w:val="00ED383B"/>
    <w:rsid w:val="00ED42C1"/>
    <w:rsid w:val="00ED4710"/>
    <w:rsid w:val="00ED51FE"/>
    <w:rsid w:val="00ED631E"/>
    <w:rsid w:val="00ED6739"/>
    <w:rsid w:val="00ED788C"/>
    <w:rsid w:val="00ED791B"/>
    <w:rsid w:val="00ED79BC"/>
    <w:rsid w:val="00EE0402"/>
    <w:rsid w:val="00EE0EFB"/>
    <w:rsid w:val="00EE11E0"/>
    <w:rsid w:val="00EE174C"/>
    <w:rsid w:val="00EE1DD7"/>
    <w:rsid w:val="00EE37B4"/>
    <w:rsid w:val="00EE3DEF"/>
    <w:rsid w:val="00EE68C1"/>
    <w:rsid w:val="00EE69C8"/>
    <w:rsid w:val="00EE739B"/>
    <w:rsid w:val="00EE761A"/>
    <w:rsid w:val="00EE7CC5"/>
    <w:rsid w:val="00EF0583"/>
    <w:rsid w:val="00EF060B"/>
    <w:rsid w:val="00EF093F"/>
    <w:rsid w:val="00EF1377"/>
    <w:rsid w:val="00EF293D"/>
    <w:rsid w:val="00EF2A93"/>
    <w:rsid w:val="00EF324E"/>
    <w:rsid w:val="00EF3AE7"/>
    <w:rsid w:val="00EF3F53"/>
    <w:rsid w:val="00EF40EF"/>
    <w:rsid w:val="00EF440F"/>
    <w:rsid w:val="00EF50EA"/>
    <w:rsid w:val="00EF5A19"/>
    <w:rsid w:val="00EF5C14"/>
    <w:rsid w:val="00EF6155"/>
    <w:rsid w:val="00EF61F4"/>
    <w:rsid w:val="00EF6D68"/>
    <w:rsid w:val="00EF7308"/>
    <w:rsid w:val="00F00453"/>
    <w:rsid w:val="00F00530"/>
    <w:rsid w:val="00F00588"/>
    <w:rsid w:val="00F005CF"/>
    <w:rsid w:val="00F0097E"/>
    <w:rsid w:val="00F014B2"/>
    <w:rsid w:val="00F03692"/>
    <w:rsid w:val="00F03D6F"/>
    <w:rsid w:val="00F04C90"/>
    <w:rsid w:val="00F05A0C"/>
    <w:rsid w:val="00F0644A"/>
    <w:rsid w:val="00F0648A"/>
    <w:rsid w:val="00F07BCF"/>
    <w:rsid w:val="00F10150"/>
    <w:rsid w:val="00F1017E"/>
    <w:rsid w:val="00F114B1"/>
    <w:rsid w:val="00F11EA9"/>
    <w:rsid w:val="00F126A9"/>
    <w:rsid w:val="00F126DE"/>
    <w:rsid w:val="00F127E4"/>
    <w:rsid w:val="00F129B5"/>
    <w:rsid w:val="00F12C07"/>
    <w:rsid w:val="00F12DF5"/>
    <w:rsid w:val="00F13820"/>
    <w:rsid w:val="00F141D8"/>
    <w:rsid w:val="00F14253"/>
    <w:rsid w:val="00F16829"/>
    <w:rsid w:val="00F170B0"/>
    <w:rsid w:val="00F17244"/>
    <w:rsid w:val="00F175E7"/>
    <w:rsid w:val="00F17CC0"/>
    <w:rsid w:val="00F17D17"/>
    <w:rsid w:val="00F17FA7"/>
    <w:rsid w:val="00F214A8"/>
    <w:rsid w:val="00F2215C"/>
    <w:rsid w:val="00F22195"/>
    <w:rsid w:val="00F23149"/>
    <w:rsid w:val="00F231DA"/>
    <w:rsid w:val="00F23306"/>
    <w:rsid w:val="00F23471"/>
    <w:rsid w:val="00F2477C"/>
    <w:rsid w:val="00F250DF"/>
    <w:rsid w:val="00F254F9"/>
    <w:rsid w:val="00F257EC"/>
    <w:rsid w:val="00F26E42"/>
    <w:rsid w:val="00F2720C"/>
    <w:rsid w:val="00F27B6D"/>
    <w:rsid w:val="00F27F79"/>
    <w:rsid w:val="00F302D6"/>
    <w:rsid w:val="00F30E4A"/>
    <w:rsid w:val="00F31920"/>
    <w:rsid w:val="00F31CA0"/>
    <w:rsid w:val="00F31EA7"/>
    <w:rsid w:val="00F32C86"/>
    <w:rsid w:val="00F32F47"/>
    <w:rsid w:val="00F33610"/>
    <w:rsid w:val="00F33690"/>
    <w:rsid w:val="00F33E6F"/>
    <w:rsid w:val="00F33F9F"/>
    <w:rsid w:val="00F34DC3"/>
    <w:rsid w:val="00F35175"/>
    <w:rsid w:val="00F35596"/>
    <w:rsid w:val="00F355EB"/>
    <w:rsid w:val="00F376B5"/>
    <w:rsid w:val="00F40190"/>
    <w:rsid w:val="00F40500"/>
    <w:rsid w:val="00F40661"/>
    <w:rsid w:val="00F40C7A"/>
    <w:rsid w:val="00F413A9"/>
    <w:rsid w:val="00F41470"/>
    <w:rsid w:val="00F4189B"/>
    <w:rsid w:val="00F421E3"/>
    <w:rsid w:val="00F4256D"/>
    <w:rsid w:val="00F42610"/>
    <w:rsid w:val="00F42641"/>
    <w:rsid w:val="00F437DD"/>
    <w:rsid w:val="00F44554"/>
    <w:rsid w:val="00F446A3"/>
    <w:rsid w:val="00F456F5"/>
    <w:rsid w:val="00F45AE5"/>
    <w:rsid w:val="00F46085"/>
    <w:rsid w:val="00F46A7C"/>
    <w:rsid w:val="00F46F34"/>
    <w:rsid w:val="00F47102"/>
    <w:rsid w:val="00F473F0"/>
    <w:rsid w:val="00F4784F"/>
    <w:rsid w:val="00F47A17"/>
    <w:rsid w:val="00F50271"/>
    <w:rsid w:val="00F515C0"/>
    <w:rsid w:val="00F515D3"/>
    <w:rsid w:val="00F5199B"/>
    <w:rsid w:val="00F52201"/>
    <w:rsid w:val="00F5259A"/>
    <w:rsid w:val="00F529E8"/>
    <w:rsid w:val="00F52DD8"/>
    <w:rsid w:val="00F53371"/>
    <w:rsid w:val="00F546C5"/>
    <w:rsid w:val="00F54C83"/>
    <w:rsid w:val="00F55183"/>
    <w:rsid w:val="00F55D9B"/>
    <w:rsid w:val="00F56998"/>
    <w:rsid w:val="00F56ECA"/>
    <w:rsid w:val="00F570CF"/>
    <w:rsid w:val="00F57A2C"/>
    <w:rsid w:val="00F6128E"/>
    <w:rsid w:val="00F616E6"/>
    <w:rsid w:val="00F62428"/>
    <w:rsid w:val="00F62B6C"/>
    <w:rsid w:val="00F632C6"/>
    <w:rsid w:val="00F642A4"/>
    <w:rsid w:val="00F64483"/>
    <w:rsid w:val="00F6450F"/>
    <w:rsid w:val="00F65276"/>
    <w:rsid w:val="00F65711"/>
    <w:rsid w:val="00F657C5"/>
    <w:rsid w:val="00F65C77"/>
    <w:rsid w:val="00F65CFA"/>
    <w:rsid w:val="00F66713"/>
    <w:rsid w:val="00F669F0"/>
    <w:rsid w:val="00F671DA"/>
    <w:rsid w:val="00F67988"/>
    <w:rsid w:val="00F70A4E"/>
    <w:rsid w:val="00F7144D"/>
    <w:rsid w:val="00F717F8"/>
    <w:rsid w:val="00F71E9D"/>
    <w:rsid w:val="00F723AA"/>
    <w:rsid w:val="00F724D9"/>
    <w:rsid w:val="00F7287D"/>
    <w:rsid w:val="00F72DEC"/>
    <w:rsid w:val="00F7307F"/>
    <w:rsid w:val="00F73AFC"/>
    <w:rsid w:val="00F73D1E"/>
    <w:rsid w:val="00F73F69"/>
    <w:rsid w:val="00F747F6"/>
    <w:rsid w:val="00F74C30"/>
    <w:rsid w:val="00F74E58"/>
    <w:rsid w:val="00F75287"/>
    <w:rsid w:val="00F75D10"/>
    <w:rsid w:val="00F7709C"/>
    <w:rsid w:val="00F7727F"/>
    <w:rsid w:val="00F773C1"/>
    <w:rsid w:val="00F779F4"/>
    <w:rsid w:val="00F80C13"/>
    <w:rsid w:val="00F81666"/>
    <w:rsid w:val="00F81743"/>
    <w:rsid w:val="00F819B6"/>
    <w:rsid w:val="00F82318"/>
    <w:rsid w:val="00F82D27"/>
    <w:rsid w:val="00F84123"/>
    <w:rsid w:val="00F84E74"/>
    <w:rsid w:val="00F85B7F"/>
    <w:rsid w:val="00F86E6F"/>
    <w:rsid w:val="00F87D55"/>
    <w:rsid w:val="00F90A21"/>
    <w:rsid w:val="00F91F78"/>
    <w:rsid w:val="00F91F9D"/>
    <w:rsid w:val="00F928DE"/>
    <w:rsid w:val="00F92C45"/>
    <w:rsid w:val="00F92DC2"/>
    <w:rsid w:val="00F92F2A"/>
    <w:rsid w:val="00F9373C"/>
    <w:rsid w:val="00F9379D"/>
    <w:rsid w:val="00F93D05"/>
    <w:rsid w:val="00F93F23"/>
    <w:rsid w:val="00F9450B"/>
    <w:rsid w:val="00F96463"/>
    <w:rsid w:val="00F979E8"/>
    <w:rsid w:val="00FA1168"/>
    <w:rsid w:val="00FA210A"/>
    <w:rsid w:val="00FA3266"/>
    <w:rsid w:val="00FA3AB4"/>
    <w:rsid w:val="00FA3FBB"/>
    <w:rsid w:val="00FA42B4"/>
    <w:rsid w:val="00FA4DEC"/>
    <w:rsid w:val="00FA554A"/>
    <w:rsid w:val="00FA5D30"/>
    <w:rsid w:val="00FA6284"/>
    <w:rsid w:val="00FA6525"/>
    <w:rsid w:val="00FA7494"/>
    <w:rsid w:val="00FA7498"/>
    <w:rsid w:val="00FA78D1"/>
    <w:rsid w:val="00FA7B00"/>
    <w:rsid w:val="00FA7B5A"/>
    <w:rsid w:val="00FA7F1F"/>
    <w:rsid w:val="00FB04CE"/>
    <w:rsid w:val="00FB05E9"/>
    <w:rsid w:val="00FB093D"/>
    <w:rsid w:val="00FB20CB"/>
    <w:rsid w:val="00FB223D"/>
    <w:rsid w:val="00FB300E"/>
    <w:rsid w:val="00FB31D5"/>
    <w:rsid w:val="00FB3F26"/>
    <w:rsid w:val="00FB4696"/>
    <w:rsid w:val="00FB51D7"/>
    <w:rsid w:val="00FB5977"/>
    <w:rsid w:val="00FB5C73"/>
    <w:rsid w:val="00FB6C3F"/>
    <w:rsid w:val="00FB6DED"/>
    <w:rsid w:val="00FB75B7"/>
    <w:rsid w:val="00FB77E5"/>
    <w:rsid w:val="00FB7D01"/>
    <w:rsid w:val="00FC0151"/>
    <w:rsid w:val="00FC0D91"/>
    <w:rsid w:val="00FC1308"/>
    <w:rsid w:val="00FC2951"/>
    <w:rsid w:val="00FC2A97"/>
    <w:rsid w:val="00FC30D8"/>
    <w:rsid w:val="00FC3229"/>
    <w:rsid w:val="00FC3692"/>
    <w:rsid w:val="00FC36C2"/>
    <w:rsid w:val="00FC371A"/>
    <w:rsid w:val="00FC379D"/>
    <w:rsid w:val="00FC381C"/>
    <w:rsid w:val="00FC3ACF"/>
    <w:rsid w:val="00FC3FE5"/>
    <w:rsid w:val="00FC4009"/>
    <w:rsid w:val="00FC40BF"/>
    <w:rsid w:val="00FC6EA6"/>
    <w:rsid w:val="00FC6EAD"/>
    <w:rsid w:val="00FC7A29"/>
    <w:rsid w:val="00FD0144"/>
    <w:rsid w:val="00FD0D76"/>
    <w:rsid w:val="00FD1CBF"/>
    <w:rsid w:val="00FD1DAC"/>
    <w:rsid w:val="00FD2042"/>
    <w:rsid w:val="00FD2589"/>
    <w:rsid w:val="00FD26BB"/>
    <w:rsid w:val="00FD32DE"/>
    <w:rsid w:val="00FD4CB0"/>
    <w:rsid w:val="00FD533A"/>
    <w:rsid w:val="00FD618F"/>
    <w:rsid w:val="00FD6499"/>
    <w:rsid w:val="00FD6C98"/>
    <w:rsid w:val="00FD7E03"/>
    <w:rsid w:val="00FE04F4"/>
    <w:rsid w:val="00FE2B8F"/>
    <w:rsid w:val="00FE30F7"/>
    <w:rsid w:val="00FE3172"/>
    <w:rsid w:val="00FE3277"/>
    <w:rsid w:val="00FE348F"/>
    <w:rsid w:val="00FE36C2"/>
    <w:rsid w:val="00FE3E4B"/>
    <w:rsid w:val="00FE46CF"/>
    <w:rsid w:val="00FE5384"/>
    <w:rsid w:val="00FE573C"/>
    <w:rsid w:val="00FE5C85"/>
    <w:rsid w:val="00FE62C4"/>
    <w:rsid w:val="00FE73B2"/>
    <w:rsid w:val="00FE7420"/>
    <w:rsid w:val="00FE799B"/>
    <w:rsid w:val="00FF0D1A"/>
    <w:rsid w:val="00FF1604"/>
    <w:rsid w:val="00FF202D"/>
    <w:rsid w:val="00FF2511"/>
    <w:rsid w:val="00FF2B14"/>
    <w:rsid w:val="00FF302C"/>
    <w:rsid w:val="00FF354E"/>
    <w:rsid w:val="00FF3A9C"/>
    <w:rsid w:val="00FF3F42"/>
    <w:rsid w:val="00FF3F6C"/>
    <w:rsid w:val="00FF4712"/>
    <w:rsid w:val="00FF4A5C"/>
    <w:rsid w:val="00FF4FC4"/>
    <w:rsid w:val="00FF5FD0"/>
    <w:rsid w:val="00FF6ABB"/>
    <w:rsid w:val="55EE63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3"/>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name="endnote reference"/>
    <w:lsdException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adjustRightInd w:val="0"/>
      <w:snapToGrid w:val="0"/>
      <w:spacing w:line="360" w:lineRule="auto"/>
      <w:jc w:val="both"/>
    </w:pPr>
    <w:rPr>
      <w:rFonts w:eastAsia="仿宋_GB2312"/>
      <w:kern w:val="28"/>
      <w:sz w:val="28"/>
      <w:szCs w:val="24"/>
      <w:lang w:val="en-US" w:eastAsia="zh-CN" w:bidi="ar-SA"/>
    </w:rPr>
  </w:style>
  <w:style w:type="paragraph" w:styleId="2">
    <w:name w:val="heading 1"/>
    <w:basedOn w:val="1"/>
    <w:next w:val="1"/>
    <w:uiPriority w:val="0"/>
    <w:pPr>
      <w:keepNext/>
      <w:keepLines/>
      <w:pageBreakBefore/>
      <w:spacing w:before="120" w:after="120" w:line="500" w:lineRule="exact"/>
      <w:jc w:val="center"/>
      <w:outlineLvl w:val="0"/>
    </w:pPr>
    <w:rPr>
      <w:rFonts w:ascii="仿宋_GB2312" w:hAnsi="宋体"/>
      <w:b/>
      <w:snapToGrid w:val="0"/>
      <w:sz w:val="30"/>
      <w:szCs w:val="30"/>
    </w:rPr>
  </w:style>
  <w:style w:type="paragraph" w:styleId="3">
    <w:name w:val="heading 2"/>
    <w:basedOn w:val="1"/>
    <w:next w:val="1"/>
    <w:uiPriority w:val="0"/>
    <w:pPr>
      <w:keepNext/>
      <w:keepLines/>
      <w:spacing w:before="120" w:after="120"/>
      <w:outlineLvl w:val="1"/>
    </w:pPr>
    <w:rPr>
      <w:b/>
      <w:bCs/>
      <w:szCs w:val="28"/>
    </w:rPr>
  </w:style>
  <w:style w:type="paragraph" w:styleId="4">
    <w:name w:val="heading 3"/>
    <w:basedOn w:val="1"/>
    <w:next w:val="1"/>
    <w:link w:val="58"/>
    <w:uiPriority w:val="0"/>
    <w:pPr>
      <w:spacing w:line="500" w:lineRule="exact"/>
      <w:ind w:left="561" w:hanging="561" w:hangingChars="200"/>
      <w:outlineLvl w:val="2"/>
    </w:pPr>
    <w:rPr>
      <w:rFonts w:ascii="仿宋_GB2312" w:hAnsi="宋体"/>
      <w:b/>
      <w:szCs w:val="28"/>
    </w:rPr>
  </w:style>
  <w:style w:type="paragraph" w:styleId="5">
    <w:name w:val="heading 4"/>
    <w:basedOn w:val="1"/>
    <w:next w:val="1"/>
    <w:uiPriority w:val="0"/>
    <w:pPr>
      <w:spacing w:before="120" w:after="120" w:line="300" w:lineRule="auto"/>
      <w:ind w:left="227"/>
      <w:outlineLvl w:val="3"/>
    </w:pPr>
    <w:rPr>
      <w:rFonts w:eastAsia="黑体"/>
      <w:kern w:val="2"/>
      <w:szCs w:val="20"/>
    </w:rPr>
  </w:style>
  <w:style w:type="paragraph" w:styleId="6">
    <w:name w:val="heading 5"/>
    <w:basedOn w:val="1"/>
    <w:next w:val="1"/>
    <w:uiPriority w:val="0"/>
    <w:pPr>
      <w:spacing w:line="300" w:lineRule="auto"/>
      <w:ind w:left="573"/>
      <w:outlineLvl w:val="4"/>
    </w:pPr>
    <w:rPr>
      <w:rFonts w:eastAsia="黑体"/>
      <w:kern w:val="2"/>
      <w:szCs w:val="20"/>
    </w:rPr>
  </w:style>
  <w:style w:type="character" w:default="1" w:styleId="36">
    <w:name w:val="Default Paragraph Font"/>
    <w:link w:val="37"/>
    <w:semiHidden/>
    <w:uiPriority w:val="0"/>
  </w:style>
  <w:style w:type="table" w:default="1" w:styleId="33">
    <w:name w:val="Normal Table"/>
    <w:semiHidden/>
    <w:uiPriority w:val="0"/>
    <w:tblPr>
      <w:tblStyle w:val="33"/>
      <w:tblCellMar>
        <w:top w:w="0" w:type="dxa"/>
        <w:left w:w="108" w:type="dxa"/>
        <w:bottom w:w="0" w:type="dxa"/>
        <w:right w:w="108" w:type="dxa"/>
      </w:tblCellMar>
    </w:tblPr>
    <w:trPr>
      <w:wBefore w:w="0" w:type="dxa"/>
    </w:trPr>
  </w:style>
  <w:style w:type="paragraph" w:styleId="7">
    <w:name w:val="toc 7"/>
    <w:basedOn w:val="1"/>
    <w:next w:val="1"/>
    <w:semiHidden/>
    <w:uiPriority w:val="0"/>
    <w:pPr>
      <w:ind w:left="2520" w:leftChars="1200"/>
    </w:pPr>
  </w:style>
  <w:style w:type="paragraph" w:styleId="8">
    <w:name w:val="Normal Indent"/>
    <w:basedOn w:val="1"/>
    <w:link w:val="64"/>
    <w:uiPriority w:val="0"/>
    <w:pPr>
      <w:adjustRightInd/>
      <w:snapToGrid/>
      <w:spacing w:line="240" w:lineRule="auto"/>
      <w:ind w:firstLine="420" w:firstLineChars="200"/>
    </w:pPr>
    <w:rPr>
      <w:rFonts w:eastAsia="宋体"/>
      <w:kern w:val="2"/>
      <w:sz w:val="21"/>
    </w:rPr>
  </w:style>
  <w:style w:type="paragraph" w:styleId="9">
    <w:name w:val="Document Map"/>
    <w:basedOn w:val="1"/>
    <w:semiHidden/>
    <w:uiPriority w:val="0"/>
    <w:pPr>
      <w:shd w:val="clear" w:color="auto" w:fill="000080"/>
    </w:pPr>
  </w:style>
  <w:style w:type="paragraph" w:styleId="10">
    <w:name w:val="Body Text 3"/>
    <w:basedOn w:val="1"/>
    <w:uiPriority w:val="0"/>
    <w:pPr>
      <w:spacing w:line="240" w:lineRule="auto"/>
      <w:jc w:val="center"/>
    </w:pPr>
    <w:rPr>
      <w:rFonts w:ascii="宋体" w:hAnsi="宋体"/>
      <w:sz w:val="24"/>
      <w:szCs w:val="21"/>
    </w:rPr>
  </w:style>
  <w:style w:type="paragraph" w:styleId="11">
    <w:name w:val="Body Text"/>
    <w:basedOn w:val="1"/>
    <w:uiPriority w:val="0"/>
    <w:pPr>
      <w:spacing w:line="240" w:lineRule="auto"/>
      <w:jc w:val="center"/>
    </w:pPr>
    <w:rPr>
      <w:sz w:val="21"/>
    </w:rPr>
  </w:style>
  <w:style w:type="paragraph" w:styleId="12">
    <w:name w:val="Body Text Indent"/>
    <w:basedOn w:val="1"/>
    <w:uiPriority w:val="0"/>
    <w:pPr>
      <w:spacing w:after="120"/>
      <w:ind w:left="420" w:leftChars="200"/>
    </w:pPr>
  </w:style>
  <w:style w:type="paragraph" w:styleId="13">
    <w:name w:val="toc 5"/>
    <w:basedOn w:val="1"/>
    <w:next w:val="1"/>
    <w:semiHidden/>
    <w:uiPriority w:val="0"/>
    <w:pPr>
      <w:ind w:left="1680" w:leftChars="800"/>
    </w:pPr>
  </w:style>
  <w:style w:type="paragraph" w:styleId="14">
    <w:name w:val="toc 3"/>
    <w:basedOn w:val="1"/>
    <w:next w:val="1"/>
    <w:semiHidden/>
    <w:uiPriority w:val="0"/>
    <w:pPr>
      <w:ind w:left="840" w:leftChars="400"/>
    </w:pPr>
    <w:rPr>
      <w:sz w:val="24"/>
    </w:rPr>
  </w:style>
  <w:style w:type="paragraph" w:styleId="15">
    <w:name w:val="Plain Text"/>
    <w:basedOn w:val="1"/>
    <w:uiPriority w:val="0"/>
    <w:pPr>
      <w:adjustRightInd/>
      <w:snapToGrid/>
      <w:spacing w:line="240" w:lineRule="auto"/>
    </w:pPr>
    <w:rPr>
      <w:rFonts w:hint="eastAsia" w:ascii="宋体" w:hAnsi="Courier New" w:eastAsia="宋体"/>
      <w:kern w:val="2"/>
      <w:sz w:val="21"/>
      <w:szCs w:val="20"/>
    </w:rPr>
  </w:style>
  <w:style w:type="paragraph" w:styleId="16">
    <w:name w:val="toc 8"/>
    <w:basedOn w:val="1"/>
    <w:next w:val="1"/>
    <w:semiHidden/>
    <w:uiPriority w:val="0"/>
    <w:pPr>
      <w:ind w:left="2940" w:leftChars="1400"/>
    </w:pPr>
  </w:style>
  <w:style w:type="paragraph" w:styleId="17">
    <w:name w:val="Date"/>
    <w:basedOn w:val="1"/>
    <w:next w:val="1"/>
    <w:uiPriority w:val="0"/>
    <w:pPr>
      <w:ind w:left="100" w:leftChars="2500"/>
    </w:pPr>
  </w:style>
  <w:style w:type="paragraph" w:styleId="18">
    <w:name w:val="Body Text Indent 2"/>
    <w:basedOn w:val="1"/>
    <w:uiPriority w:val="0"/>
    <w:pPr>
      <w:spacing w:after="120" w:line="480" w:lineRule="auto"/>
      <w:ind w:left="420" w:leftChars="200"/>
    </w:pPr>
  </w:style>
  <w:style w:type="paragraph" w:styleId="19">
    <w:name w:val="endnote text"/>
    <w:basedOn w:val="1"/>
    <w:semiHidden/>
    <w:uiPriority w:val="0"/>
    <w:rPr>
      <w:rFonts w:eastAsia="宋体"/>
      <w:kern w:val="24"/>
      <w:sz w:val="24"/>
    </w:rPr>
  </w:style>
  <w:style w:type="paragraph" w:styleId="20">
    <w:name w:val="footer"/>
    <w:basedOn w:val="1"/>
    <w:uiPriority w:val="0"/>
    <w:pPr>
      <w:tabs>
        <w:tab w:val="center" w:pos="4153"/>
        <w:tab w:val="right" w:pos="8306"/>
      </w:tabs>
      <w:snapToGrid w:val="0"/>
      <w:spacing w:line="240" w:lineRule="auto"/>
      <w:jc w:val="left"/>
    </w:pPr>
    <w:rPr>
      <w:sz w:val="18"/>
      <w:szCs w:val="18"/>
    </w:rPr>
  </w:style>
  <w:style w:type="paragraph" w:styleId="21">
    <w:name w:val="header"/>
    <w:basedOn w:val="1"/>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22">
    <w:name w:val="toc 1"/>
    <w:basedOn w:val="1"/>
    <w:next w:val="1"/>
    <w:semiHidden/>
    <w:uiPriority w:val="0"/>
    <w:rPr>
      <w:sz w:val="24"/>
    </w:rPr>
  </w:style>
  <w:style w:type="paragraph" w:styleId="23">
    <w:name w:val="toc 4"/>
    <w:basedOn w:val="1"/>
    <w:next w:val="1"/>
    <w:semiHidden/>
    <w:uiPriority w:val="0"/>
    <w:pPr>
      <w:ind w:left="1260" w:leftChars="600"/>
    </w:pPr>
  </w:style>
  <w:style w:type="paragraph" w:styleId="24">
    <w:name w:val="footnote text"/>
    <w:basedOn w:val="1"/>
    <w:semiHidden/>
    <w:uiPriority w:val="0"/>
    <w:pPr>
      <w:jc w:val="left"/>
    </w:pPr>
    <w:rPr>
      <w:sz w:val="18"/>
      <w:szCs w:val="18"/>
    </w:rPr>
  </w:style>
  <w:style w:type="paragraph" w:styleId="25">
    <w:name w:val="toc 6"/>
    <w:basedOn w:val="1"/>
    <w:next w:val="1"/>
    <w:semiHidden/>
    <w:uiPriority w:val="0"/>
    <w:pPr>
      <w:ind w:left="2100" w:leftChars="1000"/>
    </w:pPr>
  </w:style>
  <w:style w:type="paragraph" w:styleId="26">
    <w:name w:val="Body Text Indent 3"/>
    <w:basedOn w:val="1"/>
    <w:uiPriority w:val="0"/>
    <w:pPr>
      <w:spacing w:after="120"/>
      <w:ind w:left="420" w:leftChars="200"/>
    </w:pPr>
    <w:rPr>
      <w:sz w:val="16"/>
      <w:szCs w:val="16"/>
    </w:rPr>
  </w:style>
  <w:style w:type="paragraph" w:styleId="27">
    <w:name w:val="table of figures"/>
    <w:basedOn w:val="1"/>
    <w:next w:val="1"/>
    <w:semiHidden/>
    <w:uiPriority w:val="0"/>
    <w:pPr>
      <w:adjustRightInd/>
      <w:snapToGrid/>
      <w:spacing w:line="240" w:lineRule="auto"/>
      <w:jc w:val="center"/>
    </w:pPr>
    <w:rPr>
      <w:rFonts w:eastAsia="宋体"/>
      <w:kern w:val="2"/>
      <w:sz w:val="18"/>
    </w:rPr>
  </w:style>
  <w:style w:type="paragraph" w:styleId="28">
    <w:name w:val="toc 2"/>
    <w:basedOn w:val="1"/>
    <w:next w:val="1"/>
    <w:semiHidden/>
    <w:uiPriority w:val="0"/>
    <w:pPr>
      <w:ind w:left="420" w:leftChars="200"/>
    </w:pPr>
    <w:rPr>
      <w:sz w:val="24"/>
    </w:rPr>
  </w:style>
  <w:style w:type="paragraph" w:styleId="29">
    <w:name w:val="toc 9"/>
    <w:basedOn w:val="1"/>
    <w:next w:val="1"/>
    <w:semiHidden/>
    <w:uiPriority w:val="0"/>
    <w:pPr>
      <w:ind w:left="3360" w:leftChars="1600"/>
    </w:pPr>
  </w:style>
  <w:style w:type="paragraph" w:styleId="30">
    <w:name w:val="Body Text 2"/>
    <w:basedOn w:val="1"/>
    <w:uiPriority w:val="0"/>
    <w:pPr>
      <w:spacing w:after="120" w:line="480" w:lineRule="auto"/>
    </w:pPr>
  </w:style>
  <w:style w:type="paragraph" w:styleId="31">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jc w:val="left"/>
    </w:pPr>
    <w:rPr>
      <w:rFonts w:ascii="宋体" w:hAnsi="宋体" w:eastAsia="宋体" w:cs="宋体"/>
      <w:kern w:val="0"/>
      <w:sz w:val="24"/>
    </w:rPr>
  </w:style>
  <w:style w:type="paragraph" w:styleId="32">
    <w:name w:val="Normal (Web)"/>
    <w:basedOn w:val="1"/>
    <w:uiPriority w:val="0"/>
    <w:pPr>
      <w:widowControl/>
      <w:adjustRightInd/>
      <w:snapToGrid/>
      <w:spacing w:before="100" w:beforeAutospacing="1" w:after="100" w:afterAutospacing="1" w:line="240" w:lineRule="auto"/>
      <w:jc w:val="left"/>
    </w:pPr>
    <w:rPr>
      <w:rFonts w:ascii="Arial Unicode MS" w:hAnsi="Arial Unicode MS" w:eastAsia="Arial Unicode MS"/>
      <w:kern w:val="0"/>
      <w:sz w:val="18"/>
      <w:szCs w:val="18"/>
    </w:rPr>
  </w:style>
  <w:style w:type="table" w:styleId="34">
    <w:name w:val="Table Grid"/>
    <w:basedOn w:val="33"/>
    <w:uiPriority w:val="0"/>
    <w:pPr>
      <w:widowControl w:val="0"/>
      <w:jc w:val="both"/>
    </w:pPr>
    <w:tblPr>
      <w:tblStyle w:val="3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Table Classic 1"/>
    <w:basedOn w:val="33"/>
    <w:uiPriority w:val="0"/>
    <w:pPr>
      <w:widowControl w:val="0"/>
      <w:adjustRightInd w:val="0"/>
      <w:snapToGrid w:val="0"/>
      <w:spacing w:line="360" w:lineRule="auto"/>
      <w:jc w:val="both"/>
    </w:pPr>
    <w:tblPr>
      <w:tblStyle w:val="33"/>
      <w:tblBorders>
        <w:top w:val="single" w:color="000000" w:sz="12" w:space="0"/>
        <w:bottom w:val="single" w:color="000000" w:sz="12" w:space="0"/>
      </w:tblBorders>
    </w:tblPr>
    <w:tcPr>
      <w:shd w:val="clear" w:color="auto" w:fill="auto"/>
    </w:tcPr>
    <w:tblStylePr w:type="firstRow">
      <w:rPr>
        <w:i/>
        <w:iCs/>
      </w:rPr>
      <w:tblPr>
        <w:tblStyle w:val="33"/>
      </w:tblPr>
      <w:tcPr>
        <w:tcBorders>
          <w:left w:val="single" w:color="000000" w:sz="6" w:space="0"/>
          <w:tl2br w:val="nil"/>
          <w:tr2bl w:val="nil"/>
        </w:tcBorders>
      </w:tcPr>
    </w:tblStylePr>
    <w:tblStylePr w:type="lastRow">
      <w:rPr>
        <w:color w:val="auto"/>
      </w:rPr>
      <w:tblPr>
        <w:tblStyle w:val="33"/>
      </w:tblPr>
      <w:tcPr>
        <w:tcBorders>
          <w:top w:val="single" w:color="000000" w:sz="6" w:space="0"/>
          <w:tl2br w:val="nil"/>
          <w:tr2bl w:val="nil"/>
        </w:tcBorders>
      </w:tcPr>
    </w:tblStylePr>
    <w:tblStylePr w:type="firstCol">
      <w:tblPr>
        <w:tblStyle w:val="33"/>
      </w:tblPr>
      <w:tcPr>
        <w:tcBorders>
          <w:right w:val="single" w:color="000000" w:sz="6" w:space="0"/>
          <w:tl2br w:val="nil"/>
          <w:tr2bl w:val="nil"/>
        </w:tcBorders>
      </w:tcPr>
    </w:tblStylePr>
    <w:tblStylePr w:type="neCell">
      <w:rPr>
        <w:b/>
        <w:bCs/>
        <w:i w:val="0"/>
        <w:iCs w:val="0"/>
      </w:rPr>
      <w:tblPr>
        <w:tblStyle w:val="33"/>
      </w:tblPr>
      <w:tcPr>
        <w:tcBorders>
          <w:tl2br w:val="nil"/>
          <w:tr2bl w:val="nil"/>
        </w:tcBorders>
      </w:tcPr>
    </w:tblStylePr>
    <w:tblStylePr w:type="swCell">
      <w:rPr>
        <w:b/>
        <w:bCs/>
      </w:rPr>
      <w:tblPr>
        <w:tblStyle w:val="33"/>
      </w:tblPr>
      <w:tcPr>
        <w:tcBorders>
          <w:tl2br w:val="nil"/>
          <w:tr2bl w:val="nil"/>
        </w:tcBorders>
      </w:tcPr>
    </w:tblStylePr>
  </w:style>
  <w:style w:type="paragraph" w:customStyle="1" w:styleId="37">
    <w:name w:val=" Char Char Char"/>
    <w:basedOn w:val="1"/>
    <w:link w:val="36"/>
    <w:uiPriority w:val="0"/>
    <w:pPr>
      <w:widowControl/>
      <w:adjustRightInd/>
      <w:snapToGrid/>
      <w:spacing w:after="160" w:line="240" w:lineRule="exact"/>
      <w:jc w:val="left"/>
    </w:pPr>
    <w:rPr>
      <w:rFonts w:ascii="Arial" w:hAnsi="Arial" w:eastAsia="Times New Roman" w:cs="Verdana"/>
      <w:b/>
      <w:kern w:val="0"/>
      <w:sz w:val="24"/>
      <w:lang w:eastAsia="en-US"/>
    </w:rPr>
  </w:style>
  <w:style w:type="character" w:styleId="38">
    <w:name w:val="endnote reference"/>
    <w:basedOn w:val="36"/>
    <w:semiHidden/>
    <w:uiPriority w:val="0"/>
    <w:rPr>
      <w:vertAlign w:val="superscript"/>
    </w:rPr>
  </w:style>
  <w:style w:type="character" w:styleId="39">
    <w:name w:val="page number"/>
    <w:basedOn w:val="36"/>
    <w:uiPriority w:val="0"/>
  </w:style>
  <w:style w:type="character" w:styleId="40">
    <w:name w:val="FollowedHyperlink"/>
    <w:basedOn w:val="36"/>
    <w:uiPriority w:val="0"/>
    <w:rPr>
      <w:color w:val="800080"/>
      <w:u w:val="single"/>
    </w:rPr>
  </w:style>
  <w:style w:type="character" w:styleId="41">
    <w:name w:val="Hyperlink"/>
    <w:basedOn w:val="36"/>
    <w:uiPriority w:val="0"/>
    <w:rPr>
      <w:color w:val="0000FF"/>
      <w:u w:val="single"/>
    </w:rPr>
  </w:style>
  <w:style w:type="character" w:styleId="42">
    <w:name w:val="footnote reference"/>
    <w:basedOn w:val="36"/>
    <w:semiHidden/>
    <w:uiPriority w:val="0"/>
    <w:rPr>
      <w:vertAlign w:val="superscript"/>
    </w:rPr>
  </w:style>
  <w:style w:type="paragraph" w:customStyle="1" w:styleId="43">
    <w:name w:val="5"/>
    <w:basedOn w:val="1"/>
    <w:next w:val="12"/>
    <w:uiPriority w:val="0"/>
    <w:pPr>
      <w:adjustRightInd/>
      <w:snapToGrid/>
      <w:spacing w:line="500" w:lineRule="exact"/>
      <w:ind w:firstLine="560" w:firstLineChars="200"/>
    </w:pPr>
    <w:rPr>
      <w:kern w:val="2"/>
    </w:rPr>
  </w:style>
  <w:style w:type="paragraph" w:customStyle="1" w:styleId="44">
    <w:name w:val="4"/>
    <w:basedOn w:val="1"/>
    <w:next w:val="12"/>
    <w:uiPriority w:val="0"/>
    <w:pPr>
      <w:adjustRightInd/>
      <w:snapToGrid/>
      <w:spacing w:line="500" w:lineRule="exact"/>
      <w:ind w:firstLine="560" w:firstLineChars="200"/>
    </w:pPr>
    <w:rPr>
      <w:kern w:val="2"/>
    </w:rPr>
  </w:style>
  <w:style w:type="paragraph" w:customStyle="1" w:styleId="45">
    <w:name w:val="3"/>
    <w:basedOn w:val="1"/>
    <w:next w:val="12"/>
    <w:uiPriority w:val="0"/>
    <w:pPr>
      <w:adjustRightInd/>
      <w:snapToGrid/>
      <w:spacing w:line="500" w:lineRule="exact"/>
      <w:ind w:firstLine="560" w:firstLineChars="200"/>
    </w:pPr>
    <w:rPr>
      <w:kern w:val="2"/>
    </w:rPr>
  </w:style>
  <w:style w:type="character" w:customStyle="1" w:styleId="46">
    <w:name w:val="newstxt"/>
    <w:basedOn w:val="36"/>
    <w:uiPriority w:val="0"/>
  </w:style>
  <w:style w:type="paragraph" w:customStyle="1" w:styleId="47">
    <w:name w:val="2"/>
    <w:basedOn w:val="1"/>
    <w:next w:val="30"/>
    <w:uiPriority w:val="0"/>
    <w:pPr>
      <w:spacing w:line="240" w:lineRule="auto"/>
      <w:jc w:val="center"/>
    </w:pPr>
  </w:style>
  <w:style w:type="paragraph" w:customStyle="1" w:styleId="48">
    <w:name w:val="表格标题"/>
    <w:basedOn w:val="1"/>
    <w:uiPriority w:val="0"/>
    <w:pPr>
      <w:widowControl/>
      <w:adjustRightInd/>
      <w:snapToGrid/>
      <w:spacing w:before="100" w:beforeAutospacing="1" w:after="100" w:afterAutospacing="1" w:line="240" w:lineRule="auto"/>
      <w:jc w:val="left"/>
    </w:pPr>
    <w:rPr>
      <w:rFonts w:ascii="Arial Unicode MS" w:hAnsi="Arial Unicode MS" w:eastAsia="Arial Unicode MS"/>
      <w:kern w:val="0"/>
      <w:sz w:val="24"/>
    </w:rPr>
  </w:style>
  <w:style w:type="character" w:customStyle="1" w:styleId="49">
    <w:name w:val="fontgray"/>
    <w:basedOn w:val="36"/>
    <w:uiPriority w:val="0"/>
  </w:style>
  <w:style w:type="paragraph" w:customStyle="1" w:styleId="50">
    <w:name w:val="1"/>
    <w:basedOn w:val="1"/>
    <w:next w:val="30"/>
    <w:uiPriority w:val="0"/>
    <w:pPr>
      <w:spacing w:after="120" w:line="480" w:lineRule="auto"/>
    </w:pPr>
  </w:style>
  <w:style w:type="character" w:customStyle="1" w:styleId="51">
    <w:name w:val="css-text3"/>
    <w:basedOn w:val="36"/>
    <w:uiPriority w:val="0"/>
  </w:style>
  <w:style w:type="character" w:customStyle="1" w:styleId="52">
    <w:name w:val="d"/>
    <w:basedOn w:val="36"/>
    <w:uiPriority w:val="0"/>
  </w:style>
  <w:style w:type="character" w:customStyle="1" w:styleId="53">
    <w:name w:val="c1"/>
    <w:basedOn w:val="36"/>
    <w:uiPriority w:val="0"/>
    <w:rPr>
      <w:rFonts w:hint="default" w:ascii="ˎ̥" w:hAnsi="ˎ̥"/>
      <w:color w:val="000000"/>
      <w:sz w:val="21"/>
      <w:szCs w:val="21"/>
      <w:u w:val="none"/>
    </w:rPr>
  </w:style>
  <w:style w:type="paragraph" w:customStyle="1" w:styleId="54">
    <w:name w:val="表格"/>
    <w:basedOn w:val="1"/>
    <w:link w:val="55"/>
    <w:uiPriority w:val="0"/>
    <w:pPr>
      <w:spacing w:before="62" w:beforeLines="20" w:after="62" w:afterLines="20" w:line="240" w:lineRule="auto"/>
      <w:jc w:val="center"/>
    </w:pPr>
    <w:rPr>
      <w:rFonts w:ascii="Arial" w:hAnsi="Arial" w:eastAsia="楷体_GB2312" w:cs="Arial"/>
      <w:bCs/>
      <w:snapToGrid w:val="0"/>
      <w:kern w:val="0"/>
      <w:sz w:val="21"/>
      <w:szCs w:val="21"/>
    </w:rPr>
  </w:style>
  <w:style w:type="character" w:customStyle="1" w:styleId="55">
    <w:name w:val="表格 Char"/>
    <w:aliases w:val="文本条款 Char Char"/>
    <w:basedOn w:val="36"/>
    <w:link w:val="54"/>
    <w:uiPriority w:val="0"/>
    <w:rPr>
      <w:rFonts w:ascii="Arial" w:hAnsi="Arial" w:eastAsia="楷体_GB2312" w:cs="Arial"/>
      <w:bCs/>
      <w:snapToGrid w:val="0"/>
      <w:sz w:val="21"/>
      <w:szCs w:val="21"/>
      <w:lang w:val="en-US" w:eastAsia="zh-CN" w:bidi="ar-SA"/>
    </w:rPr>
  </w:style>
  <w:style w:type="paragraph" w:customStyle="1" w:styleId="56">
    <w:name w:val="列出段落"/>
    <w:basedOn w:val="1"/>
    <w:qFormat/>
    <w:uiPriority w:val="0"/>
    <w:pPr>
      <w:widowControl/>
      <w:adjustRightInd/>
      <w:snapToGrid/>
      <w:spacing w:line="240" w:lineRule="auto"/>
      <w:ind w:left="720"/>
      <w:contextualSpacing/>
      <w:jc w:val="left"/>
    </w:pPr>
    <w:rPr>
      <w:rFonts w:ascii="Calibri" w:hAnsi="Calibri" w:eastAsia="宋体"/>
      <w:kern w:val="0"/>
      <w:sz w:val="24"/>
      <w:lang w:eastAsia="en-US" w:bidi="en-US"/>
    </w:rPr>
  </w:style>
  <w:style w:type="paragraph" w:customStyle="1" w:styleId="57">
    <w:name w:val=" Char Char Char Char"/>
    <w:basedOn w:val="1"/>
    <w:uiPriority w:val="0"/>
    <w:pPr>
      <w:adjustRightInd/>
      <w:snapToGrid/>
    </w:pPr>
    <w:rPr>
      <w:rFonts w:ascii="Tahoma" w:hAnsi="Tahoma" w:eastAsia="宋体"/>
      <w:kern w:val="2"/>
      <w:szCs w:val="20"/>
    </w:rPr>
  </w:style>
  <w:style w:type="character" w:customStyle="1" w:styleId="58">
    <w:name w:val="标题 3 Char Char1"/>
    <w:aliases w:val="A标题 3 Char,标题 3 Char Char Char Char Char Char Char,标题 3 Char Char Char,标题 3 Char Char Char Char Char,标题 31 Char Char,标题 32 Char,标题 3 Char Char Char Char1 Char Char,H3 Char,Heading 3 - old Char,头 Char,BSH-3 Char,条标题1.1.1 Char1,h3 Char1"/>
    <w:basedOn w:val="36"/>
    <w:link w:val="4"/>
    <w:uiPriority w:val="0"/>
    <w:rPr>
      <w:rFonts w:ascii="仿宋_GB2312" w:hAnsi="宋体" w:eastAsia="仿宋_GB2312"/>
      <w:b/>
      <w:kern w:val="28"/>
      <w:sz w:val="28"/>
      <w:szCs w:val="28"/>
      <w:lang w:val="en-US" w:eastAsia="zh-CN" w:bidi="ar-SA"/>
    </w:rPr>
  </w:style>
  <w:style w:type="paragraph" w:customStyle="1" w:styleId="59">
    <w:name w:val="表名图名"/>
    <w:basedOn w:val="1"/>
    <w:uiPriority w:val="0"/>
    <w:pPr>
      <w:adjustRightInd/>
      <w:snapToGrid/>
      <w:spacing w:before="50" w:beforeLines="50" w:after="20" w:afterLines="20" w:line="240" w:lineRule="auto"/>
      <w:jc w:val="center"/>
    </w:pPr>
    <w:rPr>
      <w:b/>
      <w:bCs/>
      <w:kern w:val="2"/>
      <w:sz w:val="24"/>
    </w:rPr>
  </w:style>
  <w:style w:type="paragraph" w:customStyle="1" w:styleId="60">
    <w:name w:val="公表文"/>
    <w:basedOn w:val="1"/>
    <w:uiPriority w:val="0"/>
    <w:pPr>
      <w:spacing w:before="30" w:beforeLines="30" w:after="30" w:afterLines="30" w:line="240" w:lineRule="auto"/>
      <w:jc w:val="center"/>
    </w:pPr>
    <w:rPr>
      <w:rFonts w:ascii="宋体" w:hAnsi="Swis721 Lt BT" w:eastAsia="楷体_GB2312"/>
      <w:kern w:val="2"/>
      <w:sz w:val="21"/>
      <w:szCs w:val="28"/>
    </w:rPr>
  </w:style>
  <w:style w:type="paragraph" w:customStyle="1" w:styleId="61">
    <w:name w:val=" Char Char Char Char Char Char Char"/>
    <w:basedOn w:val="1"/>
    <w:uiPriority w:val="0"/>
    <w:pPr>
      <w:adjustRightInd/>
      <w:snapToGrid/>
      <w:spacing w:line="240" w:lineRule="auto"/>
    </w:pPr>
    <w:rPr>
      <w:rFonts w:eastAsia="宋体"/>
      <w:kern w:val="2"/>
      <w:sz w:val="24"/>
    </w:rPr>
  </w:style>
  <w:style w:type="paragraph" w:customStyle="1" w:styleId="62">
    <w:name w:val="样式 标题 4 + 段前: 0 磅 段后: 0 磅 行距: 1.5 倍行距"/>
    <w:basedOn w:val="5"/>
    <w:link w:val="63"/>
    <w:uiPriority w:val="0"/>
    <w:pPr>
      <w:keepNext/>
      <w:keepLines/>
      <w:adjustRightInd/>
      <w:snapToGrid/>
      <w:spacing w:before="0" w:after="0" w:line="360" w:lineRule="auto"/>
      <w:ind w:left="0"/>
    </w:pPr>
    <w:rPr>
      <w:rFonts w:ascii="Arial" w:hAnsi="Arial" w:eastAsia="宋体" w:cs="宋体"/>
      <w:bCs/>
      <w:szCs w:val="28"/>
    </w:rPr>
  </w:style>
  <w:style w:type="character" w:customStyle="1" w:styleId="63">
    <w:name w:val="样式 标题 4 + 段前: 0 磅 段后: 0 磅 行距: 1.5 倍行距 Char"/>
    <w:basedOn w:val="36"/>
    <w:link w:val="62"/>
    <w:uiPriority w:val="0"/>
    <w:rPr>
      <w:rFonts w:ascii="Arial" w:hAnsi="Arial" w:eastAsia="宋体" w:cs="宋体"/>
      <w:bCs/>
      <w:kern w:val="2"/>
      <w:sz w:val="28"/>
      <w:szCs w:val="28"/>
      <w:lang w:val="en-US" w:eastAsia="zh-CN" w:bidi="ar-SA"/>
    </w:rPr>
  </w:style>
  <w:style w:type="character" w:customStyle="1" w:styleId="64">
    <w:name w:val=" Char Char2"/>
    <w:basedOn w:val="36"/>
    <w:link w:val="8"/>
    <w:uiPriority w:val="0"/>
    <w:rPr>
      <w:rFonts w:eastAsia="宋体"/>
      <w:kern w:val="2"/>
      <w:sz w:val="21"/>
      <w:szCs w:val="24"/>
      <w:lang w:val="en-US" w:eastAsia="zh-CN" w:bidi="ar-SA"/>
    </w:rPr>
  </w:style>
  <w:style w:type="paragraph" w:customStyle="1" w:styleId="65">
    <w:name w:val="Char Char Char Char"/>
    <w:basedOn w:val="1"/>
    <w:uiPriority w:val="0"/>
    <w:pPr>
      <w:adjustRightInd/>
      <w:snapToGrid/>
      <w:spacing w:line="240" w:lineRule="auto"/>
    </w:pPr>
    <w:rPr>
      <w:rFonts w:eastAsia="宋体"/>
      <w:kern w:val="2"/>
      <w:sz w:val="32"/>
      <w:szCs w:val="32"/>
    </w:rPr>
  </w:style>
  <w:style w:type="character" w:customStyle="1" w:styleId="66">
    <w:name w:val="表格标题 Char"/>
    <w:aliases w:val="正文（首行缩进两字） Char Char Char Char Char Char Char Char,文本条款 Char,正文（首行缩进两字） Char1,正文缩进2 Char,表正文 Char,正文非缩进 Char,正文缩进1 Char,Standardeinz Char,Standardeinz1 Char,正文（首行缩进两字） Char Char1,正文（首行缩进两字） Char Char Char Char Char Char Char1,s4 Char,特点 Char"/>
    <w:basedOn w:val="36"/>
    <w:uiPriority w:val="0"/>
    <w:rPr>
      <w:rFonts w:eastAsia="宋体"/>
      <w:kern w:val="2"/>
      <w:sz w:val="21"/>
      <w:szCs w:val="24"/>
      <w:lang w:val="en-US" w:eastAsia="zh-CN" w:bidi="ar-SA"/>
    </w:rPr>
  </w:style>
  <w:style w:type="paragraph" w:customStyle="1" w:styleId="67">
    <w:name w:val="样式 样式 (西文) 仿宋_GB2312 (中文) 仿宋_GB2312 黑色 段前: 0.5 行 行距: 1.5 倍行距 首....."/>
    <w:basedOn w:val="1"/>
    <w:uiPriority w:val="0"/>
    <w:pPr>
      <w:spacing w:after="100" w:afterLines="100" w:line="300" w:lineRule="auto"/>
      <w:ind w:firstLine="200" w:firstLineChars="200"/>
    </w:pPr>
    <w:rPr>
      <w:rFonts w:cs="宋体"/>
      <w:color w:val="000000"/>
      <w:kern w:val="2"/>
      <w:szCs w:val="20"/>
    </w:rPr>
  </w:style>
  <w:style w:type="paragraph" w:customStyle="1" w:styleId="68">
    <w:name w:val="公正文"/>
    <w:basedOn w:val="8"/>
    <w:uiPriority w:val="0"/>
    <w:pPr>
      <w:adjustRightInd w:val="0"/>
      <w:snapToGrid w:val="0"/>
      <w:spacing w:line="355" w:lineRule="auto"/>
      <w:ind w:firstLine="200"/>
    </w:pPr>
    <w:rPr>
      <w:rFonts w:ascii="宋体" w:hAnsi="宋体" w:eastAsia="仿宋_GB2312"/>
      <w:sz w:val="28"/>
    </w:rPr>
  </w:style>
  <w:style w:type="character" w:customStyle="1" w:styleId="69">
    <w:name w:val="标题2 Char"/>
    <w:basedOn w:val="36"/>
    <w:uiPriority w:val="0"/>
    <w:rPr>
      <w:rFonts w:eastAsia="方正楷体_GBK"/>
      <w:snapToGrid w:val="0"/>
      <w:sz w:val="3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0.emf"/><Relationship Id="rId2" Type="http://schemas.openxmlformats.org/officeDocument/2006/relationships/settings" Target="settings.xml"/><Relationship Id="rId19" Type="http://schemas.openxmlformats.org/officeDocument/2006/relationships/image" Target="media/image9.emf"/><Relationship Id="rId18" Type="http://schemas.openxmlformats.org/officeDocument/2006/relationships/image" Target="media/image8.emf"/><Relationship Id="rId17" Type="http://schemas.openxmlformats.org/officeDocument/2006/relationships/image" Target="media/image7.emf"/><Relationship Id="rId16" Type="http://schemas.openxmlformats.org/officeDocument/2006/relationships/image" Target="media/image6.emf"/><Relationship Id="rId15" Type="http://schemas.openxmlformats.org/officeDocument/2006/relationships/image" Target="media/image5.emf"/><Relationship Id="rId14" Type="http://schemas.openxmlformats.org/officeDocument/2006/relationships/image" Target="media/image4.emf"/><Relationship Id="rId13" Type="http://schemas.openxmlformats.org/officeDocument/2006/relationships/image" Target="media/image3.emf"/><Relationship Id="rId12" Type="http://schemas.openxmlformats.org/officeDocument/2006/relationships/image" Target="media/image2.emf"/><Relationship Id="rId11" Type="http://schemas.openxmlformats.org/officeDocument/2006/relationships/image" Target="media/image1.emf"/><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上海市环境保护局</Company>
  <Pages>1</Pages>
  <Words>10246</Words>
  <Characters>58404</Characters>
  <Lines>486</Lines>
  <Paragraphs>137</Paragraphs>
  <TotalTime>0</TotalTime>
  <ScaleCrop>false</ScaleCrop>
  <LinksUpToDate>false</LinksUpToDate>
  <CharactersWithSpaces>68513</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2010-09-18T08:11:00Z</dcterms:created>
  <dc:creator>黄沈发</dc:creator>
  <cp:lastModifiedBy>夏华珍</cp:lastModifiedBy>
  <cp:lastPrinted>2010-09-18T08:28:00Z</cp:lastPrinted>
  <dcterms:modified xsi:type="dcterms:W3CDTF">2023-07-22T14:43:43Z</dcterms:modified>
  <dc:subject>环保规划；三年行动计划</dc:subject>
  <dc:title>区县环境保护“十一五”规划和第三轮环保三年行动计划编制技术大纲</dc:title>
  <cp:revision>1378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7127F3838565451691E073BF6E557613_13</vt:lpwstr>
  </property>
</Properties>
</file>