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0"/>
        <w:jc w:val="center"/>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44"/>
          <w:szCs w:val="44"/>
          <w:bdr w:val="none" w:color="auto" w:sz="0" w:space="0"/>
          <w:shd w:val="clear" w:fill="F9F9F9"/>
          <w:lang w:val="en-US" w:eastAsia="zh-CN" w:bidi="ar"/>
        </w:rPr>
        <w:t>沭阳县医疗卫生服务体系规划（</w:t>
      </w:r>
      <w:r>
        <w:rPr>
          <w:rFonts w:hint="default" w:ascii="Times New Roman" w:hAnsi="Times New Roman" w:eastAsia="微软雅黑" w:cs="Times New Roman"/>
          <w:i w:val="0"/>
          <w:iCs w:val="0"/>
          <w:caps w:val="0"/>
          <w:color w:val="333333"/>
          <w:spacing w:val="0"/>
          <w:kern w:val="0"/>
          <w:sz w:val="44"/>
          <w:szCs w:val="44"/>
          <w:bdr w:val="none" w:color="auto" w:sz="0" w:space="0"/>
          <w:shd w:val="clear" w:fill="F9F9F9"/>
          <w:lang w:val="en-US" w:eastAsia="zh-CN" w:bidi="ar"/>
        </w:rPr>
        <w:t>2017-2020</w:t>
      </w:r>
      <w:r>
        <w:rPr>
          <w:rFonts w:hint="eastAsia" w:ascii="微软雅黑" w:hAnsi="微软雅黑" w:eastAsia="微软雅黑" w:cs="微软雅黑"/>
          <w:i w:val="0"/>
          <w:iCs w:val="0"/>
          <w:caps w:val="0"/>
          <w:color w:val="333333"/>
          <w:spacing w:val="0"/>
          <w:kern w:val="0"/>
          <w:sz w:val="44"/>
          <w:szCs w:val="44"/>
          <w:bdr w:val="none" w:color="auto" w:sz="0" w:space="0"/>
          <w:shd w:val="clear" w:fill="F9F9F9"/>
          <w:lang w:val="en-US" w:eastAsia="zh-CN" w:bidi="ar"/>
        </w:rPr>
        <w:t>年）</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0"/>
        <w:jc w:val="center"/>
        <w:rPr>
          <w:rFonts w:hint="eastAsia" w:ascii="微软雅黑" w:hAnsi="微软雅黑" w:eastAsia="微软雅黑" w:cs="微软雅黑"/>
          <w:i w:val="0"/>
          <w:iCs w:val="0"/>
          <w:caps w:val="0"/>
          <w:color w:val="333333"/>
          <w:spacing w:val="0"/>
          <w:sz w:val="16"/>
          <w:szCs w:val="16"/>
        </w:rPr>
      </w:pPr>
      <w:r>
        <w:rPr>
          <w:rFonts w:hint="default" w:ascii="Times New Roman" w:hAnsi="Times New Roman" w:eastAsia="微软雅黑" w:cs="Times New Roman"/>
          <w:i w:val="0"/>
          <w:iCs w:val="0"/>
          <w:caps w:val="0"/>
          <w:color w:val="333333"/>
          <w:spacing w:val="0"/>
          <w:kern w:val="0"/>
          <w:sz w:val="44"/>
          <w:szCs w:val="44"/>
          <w:bdr w:val="none" w:color="auto" w:sz="0" w:space="0"/>
          <w:shd w:val="clear" w:fill="F9F9F9"/>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十三五”时期，是沭阳全面建成小康社会的决胜期，是转变经济增长方式的攻坚期，是全面贯彻落实创新、协调、绿色、开放、共享发展理念的关键期，也是深化医药卫生体制改革、加快建设现代医疗卫生体系的关键阶段。根据《宿迁市“十三五”卫生与健康发展规划》（宿政办发〔2017〕97号）、《宿迁市医疗卫生服务体系规划（2017-2020年）》（宿政办发〔2017〕154号）、《沭阳县国民经济和社会发展第十三个五年规划纲要》（沭政发〔2016〕20号）和《沭阳县医疗机构设置规划》（沭政发〔2015〕70号）等文件，编制本规划。</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一、规划背景和发展基础</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（一）基本情况</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到</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2015</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年底，全县户籍人口193.5万人，常住人口155.2万人，人均期望寿命73岁，孕产妇死亡率3.67/10万，婴幼儿死亡率3.76‰，甲、乙类传染病报告发病率130.70/10万。全县医疗卫生机构总数696个，医疗机构床位数为5383张，卫技人员(含乡村医生)8994人，每千人口卫生技术人员数、执业（助理）医师数、注册护士数分别为5.8人、2.25人、3.16人。</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（二）建设基础</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十二五”期间，全县卫生计生工作紧紧围绕规划目标要求，深化改革，突出重点，创新思路，强化管理，狠抓落实，扎实推进各项卫生计生工作的深</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入开展。</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一是</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医疗卫生资源总量持续增长。医疗卫生总资产</w:t>
      </w:r>
      <w:r>
        <w:rPr>
          <w:rFonts w:hint="default" w:ascii="Times New Roman" w:hAnsi="Times New Roman" w:eastAsia="微软雅黑" w:cs="Times New Roman"/>
          <w:i w:val="0"/>
          <w:iCs w:val="0"/>
          <w:caps w:val="0"/>
          <w:color w:val="000000"/>
          <w:spacing w:val="0"/>
          <w:kern w:val="0"/>
          <w:sz w:val="32"/>
          <w:szCs w:val="32"/>
          <w:bdr w:val="none" w:color="auto" w:sz="0" w:space="0"/>
          <w:shd w:val="clear" w:fill="F9F9F9"/>
          <w:lang w:val="en-US" w:eastAsia="zh-CN" w:bidi="ar"/>
        </w:rPr>
        <w:t>2015</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年末达到38.31亿元，比2010年的14.83亿元增长了1.59倍，是改制前的22.54倍。县财政投资1100万元用于疾控中心标准化建设。县人民医院晋升为三级综合医院；县中医院晋升为三级乙等中医院；仁慈医院晋升为二级甲等综合医院；县中心医院协和医院晋升为二级乙等综合医院；中山医院晋升为二级综合医院；协和康复医院、眼科医院和耳鼻喉医院晋升为二级专科医院。</w:t>
      </w:r>
      <w:r>
        <w:rPr>
          <w:rFonts w:hint="eastAsia" w:ascii="微软雅黑" w:hAnsi="微软雅黑" w:eastAsia="微软雅黑" w:cs="微软雅黑"/>
          <w:b/>
          <w:bCs/>
          <w:i w:val="0"/>
          <w:iCs w:val="0"/>
          <w:caps w:val="0"/>
          <w:color w:val="000000"/>
          <w:spacing w:val="0"/>
          <w:kern w:val="0"/>
          <w:sz w:val="32"/>
          <w:szCs w:val="32"/>
          <w:bdr w:val="none" w:color="auto" w:sz="0" w:space="0"/>
          <w:shd w:val="clear" w:fill="F9F9F9"/>
          <w:lang w:val="en-US" w:eastAsia="zh-CN" w:bidi="ar"/>
        </w:rPr>
        <w:t>二是</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基层医疗卫生服务能力全面提升。建成标准化村卫生室</w:t>
      </w:r>
      <w:r>
        <w:rPr>
          <w:rFonts w:hint="default" w:ascii="Times New Roman" w:hAnsi="Times New Roman" w:eastAsia="微软雅黑" w:cs="Times New Roman"/>
          <w:i w:val="0"/>
          <w:iCs w:val="0"/>
          <w:caps w:val="0"/>
          <w:color w:val="000000"/>
          <w:spacing w:val="0"/>
          <w:kern w:val="0"/>
          <w:sz w:val="32"/>
          <w:szCs w:val="32"/>
          <w:bdr w:val="none" w:color="auto" w:sz="0" w:space="0"/>
          <w:shd w:val="clear" w:fill="F9F9F9"/>
          <w:lang w:val="en-US" w:eastAsia="zh-CN" w:bidi="ar"/>
        </w:rPr>
        <w:t>308</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个、社区卫生服务站28个；落实基本公共卫生服务项目，</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将服务</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项目从</w:t>
      </w:r>
      <w:r>
        <w:rPr>
          <w:rFonts w:hint="default" w:ascii="Times New Roman" w:hAnsi="Times New Roman" w:eastAsia="微软雅黑" w:cs="Times New Roman"/>
          <w:i w:val="0"/>
          <w:iCs w:val="0"/>
          <w:caps w:val="0"/>
          <w:color w:val="000000"/>
          <w:spacing w:val="0"/>
          <w:kern w:val="0"/>
          <w:sz w:val="32"/>
          <w:szCs w:val="32"/>
          <w:bdr w:val="none" w:color="auto" w:sz="0" w:space="0"/>
          <w:shd w:val="clear" w:fill="F9F9F9"/>
          <w:lang w:val="en-US" w:eastAsia="zh-CN" w:bidi="ar"/>
        </w:rPr>
        <w:t>2011</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年的10类41项提高到12类45项，经费标准由2011年的25元提高到40元。</w:t>
      </w:r>
      <w:r>
        <w:rPr>
          <w:rFonts w:hint="eastAsia" w:ascii="微软雅黑" w:hAnsi="微软雅黑" w:eastAsia="微软雅黑" w:cs="微软雅黑"/>
          <w:b/>
          <w:bCs/>
          <w:i w:val="0"/>
          <w:iCs w:val="0"/>
          <w:caps w:val="0"/>
          <w:color w:val="000000"/>
          <w:spacing w:val="0"/>
          <w:kern w:val="0"/>
          <w:sz w:val="32"/>
          <w:szCs w:val="32"/>
          <w:bdr w:val="none" w:color="auto" w:sz="0" w:space="0"/>
          <w:shd w:val="clear" w:fill="F9F9F9"/>
          <w:lang w:val="en-US" w:eastAsia="zh-CN" w:bidi="ar"/>
        </w:rPr>
        <w:t>三是</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公共卫生服务水平显著提高。建立居民电子健康档案</w:t>
      </w:r>
      <w:r>
        <w:rPr>
          <w:rFonts w:hint="default" w:ascii="Times New Roman" w:hAnsi="Times New Roman" w:eastAsia="微软雅黑" w:cs="Times New Roman"/>
          <w:i w:val="0"/>
          <w:iCs w:val="0"/>
          <w:caps w:val="0"/>
          <w:color w:val="000000"/>
          <w:spacing w:val="0"/>
          <w:kern w:val="0"/>
          <w:sz w:val="32"/>
          <w:szCs w:val="32"/>
          <w:bdr w:val="none" w:color="auto" w:sz="0" w:space="0"/>
          <w:shd w:val="clear" w:fill="F9F9F9"/>
          <w:lang w:val="en-US" w:eastAsia="zh-CN" w:bidi="ar"/>
        </w:rPr>
        <w:t>149.6</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万份，占现有常住人口的96.3%；适龄儿童免疫规划疫苗接种率达到95%以上；助产技术服务机构达32家、爱婴医院达24家；建成</w:t>
      </w:r>
      <w:r>
        <w:rPr>
          <w:rFonts w:hint="default" w:ascii="Times New Roman" w:hAnsi="Times New Roman" w:eastAsia="微软雅黑" w:cs="Times New Roman"/>
          <w:i w:val="0"/>
          <w:iCs w:val="0"/>
          <w:caps w:val="0"/>
          <w:color w:val="000000"/>
          <w:spacing w:val="0"/>
          <w:kern w:val="0"/>
          <w:sz w:val="32"/>
          <w:szCs w:val="32"/>
          <w:bdr w:val="none" w:color="auto" w:sz="0" w:space="0"/>
          <w:shd w:val="clear" w:fill="F9F9F9"/>
          <w:lang w:val="en-US" w:eastAsia="zh-CN" w:bidi="ar"/>
        </w:rPr>
        <w:t>5</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个数字化门诊、35个规范化门诊，所有预防接种门诊均通过达标验收。</w:t>
      </w:r>
      <w:r>
        <w:rPr>
          <w:rFonts w:hint="eastAsia" w:ascii="微软雅黑" w:hAnsi="微软雅黑" w:eastAsia="微软雅黑" w:cs="微软雅黑"/>
          <w:b/>
          <w:bCs/>
          <w:i w:val="0"/>
          <w:iCs w:val="0"/>
          <w:caps w:val="0"/>
          <w:color w:val="000000"/>
          <w:spacing w:val="0"/>
          <w:kern w:val="0"/>
          <w:sz w:val="32"/>
          <w:szCs w:val="32"/>
          <w:bdr w:val="none" w:color="auto" w:sz="0" w:space="0"/>
          <w:shd w:val="clear" w:fill="F9F9F9"/>
          <w:lang w:val="en-US" w:eastAsia="zh-CN" w:bidi="ar"/>
        </w:rPr>
        <w:t>四是</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医疗卫生科教水平持续攀升。共有</w:t>
      </w:r>
      <w:r>
        <w:rPr>
          <w:rFonts w:hint="default" w:ascii="Times New Roman" w:hAnsi="Times New Roman" w:eastAsia="微软雅黑" w:cs="Times New Roman"/>
          <w:i w:val="0"/>
          <w:iCs w:val="0"/>
          <w:caps w:val="0"/>
          <w:color w:val="000000"/>
          <w:spacing w:val="0"/>
          <w:kern w:val="0"/>
          <w:sz w:val="32"/>
          <w:szCs w:val="32"/>
          <w:bdr w:val="none" w:color="auto" w:sz="0" w:space="0"/>
          <w:shd w:val="clear" w:fill="F9F9F9"/>
          <w:lang w:val="en-US" w:eastAsia="zh-CN" w:bidi="ar"/>
        </w:rPr>
        <w:t>22</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人进入省“333”工程培养，21名专家成为市级学科带头人，</w:t>
      </w:r>
      <w:r>
        <w:rPr>
          <w:rFonts w:hint="default" w:ascii="Times New Roman" w:hAnsi="Times New Roman" w:eastAsia="微软雅黑" w:cs="Times New Roman"/>
          <w:i w:val="0"/>
          <w:iCs w:val="0"/>
          <w:caps w:val="0"/>
          <w:color w:val="000000"/>
          <w:spacing w:val="0"/>
          <w:kern w:val="0"/>
          <w:sz w:val="32"/>
          <w:szCs w:val="32"/>
          <w:bdr w:val="none" w:color="auto" w:sz="0" w:space="0"/>
          <w:shd w:val="clear" w:fill="F9F9F9"/>
          <w:lang w:val="en-US" w:eastAsia="zh-CN" w:bidi="ar"/>
        </w:rPr>
        <w:t>15</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人入选市“135”工程，140人次获得市级科技进步奖</w:t>
      </w:r>
      <w:r>
        <w:rPr>
          <w:rFonts w:hint="eastAsia" w:ascii="微软雅黑" w:hAnsi="微软雅黑" w:eastAsia="微软雅黑" w:cs="微软雅黑"/>
          <w:i w:val="0"/>
          <w:iCs w:val="0"/>
          <w:caps w:val="0"/>
          <w:color w:val="000000"/>
          <w:spacing w:val="0"/>
          <w:kern w:val="0"/>
          <w:sz w:val="28"/>
          <w:szCs w:val="28"/>
          <w:bdr w:val="none" w:color="auto" w:sz="0" w:space="0"/>
          <w:shd w:val="clear" w:fill="F9F9F9"/>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（三）面临挑战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随着经济社会转型中居民生活环境与生活方式快速变化，人口老龄化加剧，人口流动频繁，两孩政策实施，相关疾病和危险因素成为影响群众健康的主要问题，人民群众健康需求和医疗卫生服务体系还不相适应。</w:t>
      </w:r>
      <w:r>
        <w:rPr>
          <w:rFonts w:hint="eastAsia" w:ascii="微软雅黑" w:hAnsi="微软雅黑" w:eastAsia="微软雅黑" w:cs="微软雅黑"/>
          <w:b/>
          <w:bCs/>
          <w:i w:val="0"/>
          <w:iCs w:val="0"/>
          <w:caps w:val="0"/>
          <w:color w:val="333333"/>
          <w:spacing w:val="0"/>
          <w:kern w:val="0"/>
          <w:sz w:val="32"/>
          <w:szCs w:val="32"/>
          <w:bdr w:val="none" w:color="auto" w:sz="0" w:space="0"/>
          <w:shd w:val="clear" w:fill="F9F9F9"/>
          <w:lang w:val="en-US" w:eastAsia="zh-CN" w:bidi="ar"/>
        </w:rPr>
        <w:t>一是</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基层服务能力仍然薄弱。基层医疗卫生机构卫生技术人员匮乏，基本公共卫生服务人员专业技术结构不合理。</w:t>
      </w:r>
      <w:r>
        <w:rPr>
          <w:rFonts w:hint="eastAsia" w:ascii="微软雅黑" w:hAnsi="微软雅黑" w:eastAsia="微软雅黑" w:cs="微软雅黑"/>
          <w:b/>
          <w:bCs/>
          <w:i w:val="0"/>
          <w:iCs w:val="0"/>
          <w:caps w:val="0"/>
          <w:color w:val="333333"/>
          <w:spacing w:val="0"/>
          <w:kern w:val="0"/>
          <w:sz w:val="32"/>
          <w:szCs w:val="32"/>
          <w:bdr w:val="none" w:color="auto" w:sz="0" w:space="0"/>
          <w:shd w:val="clear" w:fill="F9F9F9"/>
          <w:lang w:val="en-US" w:eastAsia="zh-CN" w:bidi="ar"/>
        </w:rPr>
        <w:t>二是</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资源分布不合理。优质医疗卫生资源集中在城区且发展较快，基层医疗卫生机构发展相对较慢，同时儿科、妇产、精神卫生、康复、护理等领域服务能力相对较薄弱。</w:t>
      </w:r>
      <w:r>
        <w:rPr>
          <w:rFonts w:hint="eastAsia" w:ascii="微软雅黑" w:hAnsi="微软雅黑" w:eastAsia="微软雅黑" w:cs="微软雅黑"/>
          <w:b/>
          <w:bCs/>
          <w:i w:val="0"/>
          <w:iCs w:val="0"/>
          <w:caps w:val="0"/>
          <w:color w:val="333333"/>
          <w:spacing w:val="0"/>
          <w:kern w:val="0"/>
          <w:sz w:val="32"/>
          <w:szCs w:val="32"/>
          <w:bdr w:val="none" w:color="auto" w:sz="0" w:space="0"/>
          <w:shd w:val="clear" w:fill="F9F9F9"/>
          <w:lang w:val="en-US" w:eastAsia="zh-CN" w:bidi="ar"/>
        </w:rPr>
        <w:t>三是</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临床重点专科学科建设滞后。在重点专科学科建设上重视不足，人员配备、经费投入不够；市级临床重点专科学科占比有待提高，国家、省级临床重点专科学科目前仍处于空白。</w:t>
      </w:r>
      <w:r>
        <w:rPr>
          <w:rFonts w:hint="eastAsia" w:ascii="微软雅黑" w:hAnsi="微软雅黑" w:eastAsia="微软雅黑" w:cs="微软雅黑"/>
          <w:b/>
          <w:bCs/>
          <w:i w:val="0"/>
          <w:iCs w:val="0"/>
          <w:caps w:val="0"/>
          <w:color w:val="333333"/>
          <w:spacing w:val="0"/>
          <w:kern w:val="0"/>
          <w:sz w:val="32"/>
          <w:szCs w:val="32"/>
          <w:bdr w:val="none" w:color="auto" w:sz="0" w:space="0"/>
          <w:shd w:val="clear" w:fill="F9F9F9"/>
          <w:lang w:val="en-US" w:eastAsia="zh-CN" w:bidi="ar"/>
        </w:rPr>
        <w:t>四是</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医疗卫生服务体系协作机制不完善。公共卫生机构、医疗机构联通共享机制有待完善；基层首诊、双向转诊、急慢分治、上下联动的分级诊疗模式有待健全。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（四）发展机遇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十九大报告指出：实施健康中国战略，深化医药卫生体制改革，全面建立中国特色基本医疗卫生制度、医疗保障制度和优质高效的医疗卫生服务体系，健全现代医院管理制度。省委、省政府高度重视保障和增进人民健康，围绕推进</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两聚一高”，制定《“健康江苏2030”规划纲要》，对全省卫生与健康事业改革发展作出全面部署。县委、县政府始终坚持民生优先发展战略，全面推进公共卫生服务、村卫生室提档升级、城乡居民基本医疗保险制度、国家基本药物制度和健康体检等工作，不断增强群众的获得感和幸福感。人民群众对全面建成小康社会美好生活的追求，为健康服务创造了新空间；深化医药卫生体制改革、促进健康产业发展对医疗卫生提出了新任务；大数据、云计算等新兴信息技术，为卫生与健康工作提供了新思路。卫生与健康发展面临难得的历史机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二、基本原则和规划目标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（一）基本原则</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480"/>
        <w:jc w:val="left"/>
        <w:rPr>
          <w:rFonts w:hint="eastAsia" w:ascii="微软雅黑" w:hAnsi="微软雅黑" w:eastAsia="微软雅黑" w:cs="微软雅黑"/>
          <w:i w:val="0"/>
          <w:iCs w:val="0"/>
          <w:caps w:val="0"/>
          <w:color w:val="333333"/>
          <w:spacing w:val="0"/>
          <w:sz w:val="16"/>
          <w:szCs w:val="16"/>
        </w:rPr>
      </w:pPr>
      <w:r>
        <w:rPr>
          <w:rFonts w:hint="default" w:ascii="Times New Roman" w:hAnsi="Times New Roman" w:eastAsia="微软雅黑" w:cs="Times New Roman"/>
          <w:i w:val="0"/>
          <w:iCs w:val="0"/>
          <w:caps w:val="0"/>
          <w:color w:val="333333"/>
          <w:spacing w:val="0"/>
          <w:kern w:val="0"/>
          <w:sz w:val="32"/>
          <w:szCs w:val="32"/>
          <w:bdr w:val="none" w:color="auto" w:sz="0" w:space="0"/>
          <w:shd w:val="clear" w:fill="FFFFFF"/>
          <w:lang w:val="en-US" w:eastAsia="zh-CN" w:bidi="ar"/>
        </w:rPr>
        <w:t>1</w:t>
      </w:r>
      <w:r>
        <w:rPr>
          <w:rFonts w:hint="eastAsia" w:ascii="微软雅黑" w:hAnsi="微软雅黑" w:eastAsia="微软雅黑" w:cs="微软雅黑"/>
          <w:i w:val="0"/>
          <w:iCs w:val="0"/>
          <w:caps w:val="0"/>
          <w:color w:val="333333"/>
          <w:spacing w:val="0"/>
          <w:kern w:val="0"/>
          <w:sz w:val="32"/>
          <w:szCs w:val="32"/>
          <w:bdr w:val="none" w:color="auto" w:sz="0" w:space="0"/>
          <w:shd w:val="clear" w:fill="FFFFFF"/>
          <w:lang w:val="en-US" w:eastAsia="zh-CN" w:bidi="ar"/>
        </w:rPr>
        <w:t>．坚持健康需求导向。以健康需求和解决人民群众主要健康问题为导向，适度有序发展，强化薄弱环节，科学合理确定全县医疗卫生机构的数量、规模及布局。</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480"/>
        <w:jc w:val="left"/>
        <w:rPr>
          <w:rFonts w:hint="eastAsia" w:ascii="微软雅黑" w:hAnsi="微软雅黑" w:eastAsia="微软雅黑" w:cs="微软雅黑"/>
          <w:i w:val="0"/>
          <w:iCs w:val="0"/>
          <w:caps w:val="0"/>
          <w:color w:val="333333"/>
          <w:spacing w:val="0"/>
          <w:sz w:val="16"/>
          <w:szCs w:val="16"/>
        </w:rPr>
      </w:pPr>
      <w:r>
        <w:rPr>
          <w:rFonts w:hint="default" w:ascii="Times New Roman" w:hAnsi="Times New Roman" w:eastAsia="微软雅黑" w:cs="Times New Roman"/>
          <w:i w:val="0"/>
          <w:iCs w:val="0"/>
          <w:caps w:val="0"/>
          <w:color w:val="333333"/>
          <w:spacing w:val="0"/>
          <w:kern w:val="0"/>
          <w:sz w:val="32"/>
          <w:szCs w:val="32"/>
          <w:bdr w:val="none" w:color="auto" w:sz="0" w:space="0"/>
          <w:shd w:val="clear" w:fill="FFFFFF"/>
          <w:lang w:val="en-US" w:eastAsia="zh-CN" w:bidi="ar"/>
        </w:rPr>
        <w:t>2</w:t>
      </w:r>
      <w:r>
        <w:rPr>
          <w:rFonts w:hint="eastAsia" w:ascii="微软雅黑" w:hAnsi="微软雅黑" w:eastAsia="微软雅黑" w:cs="微软雅黑"/>
          <w:i w:val="0"/>
          <w:iCs w:val="0"/>
          <w:caps w:val="0"/>
          <w:color w:val="333333"/>
          <w:spacing w:val="0"/>
          <w:kern w:val="0"/>
          <w:sz w:val="32"/>
          <w:szCs w:val="32"/>
          <w:bdr w:val="none" w:color="auto" w:sz="0" w:space="0"/>
          <w:shd w:val="clear" w:fill="FFFFFF"/>
          <w:lang w:val="en-US" w:eastAsia="zh-CN" w:bidi="ar"/>
        </w:rPr>
        <w:t>．坚持公平与效率统一。优先保障基本医疗卫生服务的可及性，促进公平公正。注重医疗卫生资源配置与使用的科学性和协调性，实现公平与效率统一。</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480"/>
        <w:jc w:val="left"/>
        <w:rPr>
          <w:rFonts w:hint="eastAsia" w:ascii="微软雅黑" w:hAnsi="微软雅黑" w:eastAsia="微软雅黑" w:cs="微软雅黑"/>
          <w:i w:val="0"/>
          <w:iCs w:val="0"/>
          <w:caps w:val="0"/>
          <w:color w:val="333333"/>
          <w:spacing w:val="0"/>
          <w:sz w:val="16"/>
          <w:szCs w:val="16"/>
        </w:rPr>
      </w:pPr>
      <w:r>
        <w:rPr>
          <w:rFonts w:hint="default" w:ascii="Times New Roman" w:hAnsi="Times New Roman" w:eastAsia="微软雅黑" w:cs="Times New Roman"/>
          <w:i w:val="0"/>
          <w:iCs w:val="0"/>
          <w:caps w:val="0"/>
          <w:color w:val="333333"/>
          <w:spacing w:val="0"/>
          <w:kern w:val="0"/>
          <w:sz w:val="32"/>
          <w:szCs w:val="32"/>
          <w:bdr w:val="none" w:color="auto" w:sz="0" w:space="0"/>
          <w:shd w:val="clear" w:fill="FFFFFF"/>
          <w:lang w:val="en-US" w:eastAsia="zh-CN" w:bidi="ar"/>
        </w:rPr>
        <w:t>3</w:t>
      </w:r>
      <w:r>
        <w:rPr>
          <w:rFonts w:hint="eastAsia" w:ascii="微软雅黑" w:hAnsi="微软雅黑" w:eastAsia="微软雅黑" w:cs="微软雅黑"/>
          <w:i w:val="0"/>
          <w:iCs w:val="0"/>
          <w:caps w:val="0"/>
          <w:color w:val="333333"/>
          <w:spacing w:val="0"/>
          <w:kern w:val="0"/>
          <w:sz w:val="32"/>
          <w:szCs w:val="32"/>
          <w:bdr w:val="none" w:color="auto" w:sz="0" w:space="0"/>
          <w:shd w:val="clear" w:fill="FFFFFF"/>
          <w:lang w:val="en-US" w:eastAsia="zh-CN" w:bidi="ar"/>
        </w:rPr>
        <w:t>．坚持资源合理配置。切实落实政府在制度、规划、服务、监管等方面的责任，大力发挥市场机制在配置资源方面的作用，充分调动社会力量的积极性和创造性，满足人民群众多层次、多元化医疗卫生服务需求。</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480"/>
        <w:jc w:val="left"/>
        <w:rPr>
          <w:rFonts w:hint="eastAsia" w:ascii="微软雅黑" w:hAnsi="微软雅黑" w:eastAsia="微软雅黑" w:cs="微软雅黑"/>
          <w:i w:val="0"/>
          <w:iCs w:val="0"/>
          <w:caps w:val="0"/>
          <w:color w:val="333333"/>
          <w:spacing w:val="0"/>
          <w:sz w:val="16"/>
          <w:szCs w:val="16"/>
        </w:rPr>
      </w:pPr>
      <w:r>
        <w:rPr>
          <w:rFonts w:hint="default" w:ascii="Times New Roman" w:hAnsi="Times New Roman" w:eastAsia="微软雅黑" w:cs="Times New Roman"/>
          <w:i w:val="0"/>
          <w:iCs w:val="0"/>
          <w:caps w:val="0"/>
          <w:color w:val="333333"/>
          <w:spacing w:val="0"/>
          <w:kern w:val="0"/>
          <w:sz w:val="32"/>
          <w:szCs w:val="32"/>
          <w:bdr w:val="none" w:color="auto" w:sz="0" w:space="0"/>
          <w:shd w:val="clear" w:fill="FFFFFF"/>
          <w:lang w:val="en-US" w:eastAsia="zh-CN" w:bidi="ar"/>
        </w:rPr>
        <w:t>4</w:t>
      </w:r>
      <w:r>
        <w:rPr>
          <w:rFonts w:hint="eastAsia" w:ascii="微软雅黑" w:hAnsi="微软雅黑" w:eastAsia="微软雅黑" w:cs="微软雅黑"/>
          <w:i w:val="0"/>
          <w:iCs w:val="0"/>
          <w:caps w:val="0"/>
          <w:color w:val="333333"/>
          <w:spacing w:val="0"/>
          <w:kern w:val="0"/>
          <w:sz w:val="32"/>
          <w:szCs w:val="32"/>
          <w:bdr w:val="none" w:color="auto" w:sz="0" w:space="0"/>
          <w:shd w:val="clear" w:fill="FFFFFF"/>
          <w:lang w:val="en-US" w:eastAsia="zh-CN" w:bidi="ar"/>
        </w:rPr>
        <w:t>．坚持统筹发展。统筹城乡资源配置，统筹公卫、医疗、康复、中医、医养结合等机构，统筹当前与长远，注重发挥医疗卫生服务体系的整体功能，促进均衡发展。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（二）规划目标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坚持以人为本的科学发展观，不断优化资源配置结构，合理布局医疗卫生资源，提升整体服务能力，构建与经济社会发展水平相适应、与城乡居民健康需求相匹配，体系完整、分工明确、功能互补、密切协作、运行高效的整合型医疗卫生服务体系，适应沭阳经济社会发展和居民多层次医疗卫生服务需求。</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70" w:lineRule="atLeast"/>
        <w:ind w:left="0" w:righ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全县医疗卫生主要资源配置表（</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2017-2020</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年）</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ind w:left="0" w:right="0" w:firstLine="640"/>
        <w:jc w:val="left"/>
        <w:rPr>
          <w:rFonts w:hint="eastAsia" w:ascii="微软雅黑" w:hAnsi="微软雅黑" w:eastAsia="微软雅黑" w:cs="微软雅黑"/>
          <w:i w:val="0"/>
          <w:iCs w:val="0"/>
          <w:caps w:val="0"/>
          <w:color w:val="333333"/>
          <w:spacing w:val="0"/>
          <w:sz w:val="16"/>
          <w:szCs w:val="16"/>
        </w:rPr>
      </w:pP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 </w:t>
      </w:r>
    </w:p>
    <w:tbl>
      <w:tblPr>
        <w:tblW w:w="939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Layout w:type="autofit"/>
        <w:tblCellMar>
          <w:top w:w="0" w:type="dxa"/>
          <w:left w:w="0" w:type="dxa"/>
          <w:bottom w:w="0" w:type="dxa"/>
          <w:right w:w="0" w:type="dxa"/>
        </w:tblCellMar>
      </w:tblPr>
      <w:tblGrid>
        <w:gridCol w:w="4546"/>
        <w:gridCol w:w="980"/>
        <w:gridCol w:w="878"/>
        <w:gridCol w:w="878"/>
        <w:gridCol w:w="848"/>
        <w:gridCol w:w="126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jc w:val="center"/>
        </w:trPr>
        <w:tc>
          <w:tcPr>
            <w:tcW w:w="4546" w:type="dxa"/>
            <w:vMerge w:val="restart"/>
            <w:tcBorders>
              <w:top w:val="single" w:color="auto" w:sz="8" w:space="0"/>
              <w:left w:val="single" w:color="auto" w:sz="8" w:space="0"/>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b/>
                <w:bCs/>
                <w:i w:val="0"/>
                <w:iCs w:val="0"/>
                <w:caps w:val="0"/>
                <w:color w:val="333333"/>
                <w:spacing w:val="0"/>
                <w:kern w:val="0"/>
                <w:sz w:val="24"/>
                <w:szCs w:val="24"/>
                <w:bdr w:val="none" w:color="auto" w:sz="0" w:space="0"/>
                <w:lang w:val="en-US" w:eastAsia="zh-CN" w:bidi="ar"/>
              </w:rPr>
              <w:t>主要指标</w:t>
            </w:r>
          </w:p>
        </w:tc>
        <w:tc>
          <w:tcPr>
            <w:tcW w:w="1858" w:type="dxa"/>
            <w:gridSpan w:val="2"/>
            <w:tcBorders>
              <w:top w:val="single" w:color="auto" w:sz="8" w:space="0"/>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b/>
                <w:bCs/>
                <w:i w:val="0"/>
                <w:iCs w:val="0"/>
                <w:caps w:val="0"/>
                <w:color w:val="333333"/>
                <w:spacing w:val="0"/>
                <w:kern w:val="0"/>
                <w:sz w:val="24"/>
                <w:szCs w:val="24"/>
                <w:bdr w:val="none" w:color="auto" w:sz="0" w:space="0"/>
                <w:lang w:val="en-US" w:eastAsia="zh-CN" w:bidi="ar"/>
              </w:rPr>
              <w:t>2015</w:t>
            </w:r>
            <w:r>
              <w:rPr>
                <w:rFonts w:hint="eastAsia" w:ascii="微软雅黑" w:hAnsi="微软雅黑" w:eastAsia="微软雅黑" w:cs="微软雅黑"/>
                <w:b/>
                <w:bCs/>
                <w:i w:val="0"/>
                <w:iCs w:val="0"/>
                <w:caps w:val="0"/>
                <w:color w:val="333333"/>
                <w:spacing w:val="0"/>
                <w:kern w:val="0"/>
                <w:sz w:val="24"/>
                <w:szCs w:val="24"/>
                <w:bdr w:val="none" w:color="auto" w:sz="0" w:space="0"/>
                <w:lang w:val="en-US" w:eastAsia="zh-CN" w:bidi="ar"/>
              </w:rPr>
              <w:t>年指标</w:t>
            </w:r>
          </w:p>
        </w:tc>
        <w:tc>
          <w:tcPr>
            <w:tcW w:w="1726" w:type="dxa"/>
            <w:gridSpan w:val="2"/>
            <w:tcBorders>
              <w:top w:val="single" w:color="auto" w:sz="8" w:space="0"/>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b/>
                <w:bCs/>
                <w:i w:val="0"/>
                <w:iCs w:val="0"/>
                <w:caps w:val="0"/>
                <w:color w:val="333333"/>
                <w:spacing w:val="0"/>
                <w:kern w:val="0"/>
                <w:sz w:val="24"/>
                <w:szCs w:val="24"/>
                <w:bdr w:val="none" w:color="auto" w:sz="0" w:space="0"/>
                <w:lang w:val="en-US" w:eastAsia="zh-CN" w:bidi="ar"/>
              </w:rPr>
              <w:t>2020</w:t>
            </w:r>
            <w:r>
              <w:rPr>
                <w:rFonts w:hint="eastAsia" w:ascii="微软雅黑" w:hAnsi="微软雅黑" w:eastAsia="微软雅黑" w:cs="微软雅黑"/>
                <w:b/>
                <w:bCs/>
                <w:i w:val="0"/>
                <w:iCs w:val="0"/>
                <w:caps w:val="0"/>
                <w:color w:val="333333"/>
                <w:spacing w:val="0"/>
                <w:kern w:val="0"/>
                <w:sz w:val="24"/>
                <w:szCs w:val="24"/>
                <w:bdr w:val="none" w:color="auto" w:sz="0" w:space="0"/>
                <w:lang w:val="en-US" w:eastAsia="zh-CN" w:bidi="ar"/>
              </w:rPr>
              <w:t>年目标</w:t>
            </w:r>
          </w:p>
        </w:tc>
        <w:tc>
          <w:tcPr>
            <w:tcW w:w="1263" w:type="dxa"/>
            <w:vMerge w:val="restart"/>
            <w:tcBorders>
              <w:top w:val="single" w:color="auto" w:sz="8" w:space="0"/>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b/>
                <w:bCs/>
                <w:i w:val="0"/>
                <w:iCs w:val="0"/>
                <w:caps w:val="0"/>
                <w:color w:val="333333"/>
                <w:spacing w:val="0"/>
                <w:kern w:val="0"/>
                <w:sz w:val="24"/>
                <w:szCs w:val="24"/>
                <w:bdr w:val="none" w:color="auto" w:sz="0" w:space="0"/>
                <w:lang w:val="en-US" w:eastAsia="zh-CN" w:bidi="ar"/>
              </w:rPr>
              <w:t>指标性质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jc w:val="center"/>
        </w:trPr>
        <w:tc>
          <w:tcPr>
            <w:tcW w:w="4546" w:type="dxa"/>
            <w:vMerge w:val="continue"/>
            <w:tcBorders>
              <w:top w:val="single" w:color="auto" w:sz="8" w:space="0"/>
              <w:left w:val="single" w:color="auto" w:sz="8" w:space="0"/>
              <w:bottom w:val="single" w:color="auto" w:sz="8" w:space="0"/>
              <w:right w:val="single" w:color="auto" w:sz="8" w:space="0"/>
            </w:tcBorders>
            <w:shd w:val="clear" w:color="auto" w:fill="F9F9F9"/>
            <w:tcMar>
              <w:left w:w="28" w:type="dxa"/>
              <w:right w:w="28" w:type="dxa"/>
            </w:tcMar>
            <w:vAlign w:val="center"/>
          </w:tcPr>
          <w:p>
            <w:pPr>
              <w:rPr>
                <w:rFonts w:hint="eastAsia" w:ascii="微软雅黑" w:hAnsi="微软雅黑" w:eastAsia="微软雅黑" w:cs="微软雅黑"/>
                <w:i w:val="0"/>
                <w:iCs w:val="0"/>
                <w:caps w:val="0"/>
                <w:color w:val="333333"/>
                <w:spacing w:val="0"/>
                <w:sz w:val="16"/>
                <w:szCs w:val="16"/>
              </w:rPr>
            </w:pPr>
          </w:p>
        </w:tc>
        <w:tc>
          <w:tcPr>
            <w:tcW w:w="980"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b/>
                <w:bCs/>
                <w:i w:val="0"/>
                <w:iCs w:val="0"/>
                <w:caps w:val="0"/>
                <w:color w:val="333333"/>
                <w:spacing w:val="0"/>
                <w:kern w:val="0"/>
                <w:sz w:val="24"/>
                <w:szCs w:val="24"/>
                <w:bdr w:val="none" w:color="auto" w:sz="0" w:space="0"/>
                <w:lang w:val="en-US" w:eastAsia="zh-CN" w:bidi="ar"/>
              </w:rPr>
              <w:t>宿迁</w:t>
            </w:r>
          </w:p>
        </w:tc>
        <w:tc>
          <w:tcPr>
            <w:tcW w:w="87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b/>
                <w:bCs/>
                <w:i w:val="0"/>
                <w:iCs w:val="0"/>
                <w:caps w:val="0"/>
                <w:color w:val="333333"/>
                <w:spacing w:val="0"/>
                <w:kern w:val="0"/>
                <w:sz w:val="24"/>
                <w:szCs w:val="24"/>
                <w:bdr w:val="none" w:color="auto" w:sz="0" w:space="0"/>
                <w:lang w:val="en-US" w:eastAsia="zh-CN" w:bidi="ar"/>
              </w:rPr>
              <w:t>沭阳</w:t>
            </w:r>
          </w:p>
        </w:tc>
        <w:tc>
          <w:tcPr>
            <w:tcW w:w="87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b/>
                <w:bCs/>
                <w:i w:val="0"/>
                <w:iCs w:val="0"/>
                <w:caps w:val="0"/>
                <w:color w:val="333333"/>
                <w:spacing w:val="0"/>
                <w:kern w:val="0"/>
                <w:sz w:val="24"/>
                <w:szCs w:val="24"/>
                <w:bdr w:val="none" w:color="auto" w:sz="0" w:space="0"/>
                <w:lang w:val="en-US" w:eastAsia="zh-CN" w:bidi="ar"/>
              </w:rPr>
              <w:t>宿迁</w:t>
            </w:r>
          </w:p>
        </w:tc>
        <w:tc>
          <w:tcPr>
            <w:tcW w:w="848" w:type="dxa"/>
            <w:tcBorders>
              <w:top w:val="single" w:color="auto" w:sz="8" w:space="0"/>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b/>
                <w:bCs/>
                <w:i w:val="0"/>
                <w:iCs w:val="0"/>
                <w:caps w:val="0"/>
                <w:color w:val="333333"/>
                <w:spacing w:val="0"/>
                <w:kern w:val="0"/>
                <w:sz w:val="24"/>
                <w:szCs w:val="24"/>
                <w:bdr w:val="none" w:color="auto" w:sz="0" w:space="0"/>
                <w:lang w:val="en-US" w:eastAsia="zh-CN" w:bidi="ar"/>
              </w:rPr>
              <w:t>沭阳</w:t>
            </w:r>
          </w:p>
        </w:tc>
        <w:tc>
          <w:tcPr>
            <w:tcW w:w="1263" w:type="dxa"/>
            <w:vMerge w:val="continue"/>
            <w:tcBorders>
              <w:top w:val="single" w:color="auto" w:sz="8" w:space="0"/>
              <w:left w:val="nil"/>
              <w:bottom w:val="single" w:color="auto" w:sz="8" w:space="0"/>
              <w:right w:val="single" w:color="auto" w:sz="8" w:space="0"/>
            </w:tcBorders>
            <w:shd w:val="clear" w:color="auto" w:fill="F9F9F9"/>
            <w:tcMar>
              <w:left w:w="28" w:type="dxa"/>
              <w:right w:w="28" w:type="dxa"/>
            </w:tcMar>
            <w:vAlign w:val="center"/>
          </w:tcPr>
          <w:p>
            <w:pPr>
              <w:rPr>
                <w:rFonts w:hint="eastAsia" w:ascii="微软雅黑" w:hAnsi="微软雅黑" w:eastAsia="微软雅黑" w:cs="微软雅黑"/>
                <w:i w:val="0"/>
                <w:iCs w:val="0"/>
                <w:caps w:val="0"/>
                <w:color w:val="333333"/>
                <w:spacing w:val="0"/>
                <w:sz w:val="16"/>
                <w:szCs w:val="16"/>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jc w:val="center"/>
        </w:trPr>
        <w:tc>
          <w:tcPr>
            <w:tcW w:w="4546" w:type="dxa"/>
            <w:tcBorders>
              <w:top w:val="nil"/>
              <w:left w:val="single" w:color="auto" w:sz="8" w:space="0"/>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left"/>
              <w:rPr>
                <w:rFonts w:hint="eastAsia" w:ascii="微软雅黑" w:hAnsi="微软雅黑" w:eastAsia="微软雅黑" w:cs="微软雅黑"/>
              </w:rPr>
            </w:pPr>
            <w:r>
              <w:rPr>
                <w:rFonts w:hint="default" w:ascii="Times New Roman" w:hAnsi="Times New Roman" w:eastAsia="微软雅黑" w:cs="Times New Roman"/>
                <w:i w:val="0"/>
                <w:iCs w:val="0"/>
                <w:caps w:val="0"/>
                <w:color w:val="333333"/>
                <w:spacing w:val="0"/>
                <w:kern w:val="0"/>
                <w:sz w:val="26"/>
                <w:szCs w:val="26"/>
                <w:bdr w:val="none" w:color="auto" w:sz="0" w:space="0"/>
                <w:lang w:val="en-US" w:eastAsia="zh-CN" w:bidi="ar"/>
              </w:rPr>
              <w:t>1.</w:t>
            </w:r>
            <w:r>
              <w:rPr>
                <w:rFonts w:hint="eastAsia" w:ascii="微软雅黑" w:hAnsi="微软雅黑" w:eastAsia="微软雅黑" w:cs="微软雅黑"/>
                <w:i w:val="0"/>
                <w:iCs w:val="0"/>
                <w:caps w:val="0"/>
                <w:color w:val="333333"/>
                <w:spacing w:val="0"/>
                <w:kern w:val="0"/>
                <w:sz w:val="26"/>
                <w:szCs w:val="26"/>
                <w:bdr w:val="none" w:color="auto" w:sz="0" w:space="0"/>
                <w:lang w:val="en-US" w:eastAsia="zh-CN" w:bidi="ar"/>
              </w:rPr>
              <w:t>每千常住人口医疗卫生机构床位数（张）</w:t>
            </w:r>
          </w:p>
        </w:tc>
        <w:tc>
          <w:tcPr>
            <w:tcW w:w="980"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4.79</w:t>
            </w:r>
          </w:p>
        </w:tc>
        <w:tc>
          <w:tcPr>
            <w:tcW w:w="87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3.47</w:t>
            </w:r>
          </w:p>
        </w:tc>
        <w:tc>
          <w:tcPr>
            <w:tcW w:w="87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5.5</w:t>
            </w:r>
          </w:p>
        </w:tc>
        <w:tc>
          <w:tcPr>
            <w:tcW w:w="84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5.0</w:t>
            </w:r>
          </w:p>
        </w:tc>
        <w:tc>
          <w:tcPr>
            <w:tcW w:w="1263"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6"/>
                <w:szCs w:val="26"/>
                <w:bdr w:val="none" w:color="auto" w:sz="0" w:space="0"/>
                <w:lang w:val="en-US" w:eastAsia="zh-CN" w:bidi="ar"/>
              </w:rPr>
              <w:t>指导性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jc w:val="center"/>
        </w:trPr>
        <w:tc>
          <w:tcPr>
            <w:tcW w:w="4546" w:type="dxa"/>
            <w:tcBorders>
              <w:top w:val="nil"/>
              <w:left w:val="single" w:color="auto" w:sz="8" w:space="0"/>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left"/>
              <w:rPr>
                <w:rFonts w:hint="eastAsia" w:ascii="微软雅黑" w:hAnsi="微软雅黑" w:eastAsia="微软雅黑" w:cs="微软雅黑"/>
              </w:rPr>
            </w:pPr>
            <w:r>
              <w:rPr>
                <w:rFonts w:hint="default" w:ascii="Times New Roman" w:hAnsi="Times New Roman" w:eastAsia="微软雅黑" w:cs="Times New Roman"/>
                <w:i w:val="0"/>
                <w:iCs w:val="0"/>
                <w:caps w:val="0"/>
                <w:color w:val="333333"/>
                <w:spacing w:val="0"/>
                <w:kern w:val="0"/>
                <w:sz w:val="26"/>
                <w:szCs w:val="26"/>
                <w:bdr w:val="none" w:color="auto" w:sz="0" w:space="0"/>
                <w:lang w:val="en-US" w:eastAsia="zh-CN" w:bidi="ar"/>
              </w:rPr>
              <w:t>医院</w:t>
            </w:r>
          </w:p>
        </w:tc>
        <w:tc>
          <w:tcPr>
            <w:tcW w:w="980"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4.73</w:t>
            </w:r>
          </w:p>
        </w:tc>
        <w:tc>
          <w:tcPr>
            <w:tcW w:w="87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3.45</w:t>
            </w:r>
          </w:p>
        </w:tc>
        <w:tc>
          <w:tcPr>
            <w:tcW w:w="87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5.44</w:t>
            </w:r>
          </w:p>
        </w:tc>
        <w:tc>
          <w:tcPr>
            <w:tcW w:w="84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4.99</w:t>
            </w:r>
          </w:p>
        </w:tc>
        <w:tc>
          <w:tcPr>
            <w:tcW w:w="1263"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6"/>
                <w:szCs w:val="26"/>
                <w:bdr w:val="none" w:color="auto" w:sz="0" w:space="0"/>
                <w:lang w:val="en-US" w:eastAsia="zh-CN" w:bidi="ar"/>
              </w:rPr>
              <w:t>指导性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jc w:val="center"/>
        </w:trPr>
        <w:tc>
          <w:tcPr>
            <w:tcW w:w="4546" w:type="dxa"/>
            <w:tcBorders>
              <w:top w:val="nil"/>
              <w:left w:val="single" w:color="auto" w:sz="8" w:space="0"/>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left"/>
              <w:rPr>
                <w:rFonts w:hint="eastAsia" w:ascii="微软雅黑" w:hAnsi="微软雅黑" w:eastAsia="微软雅黑" w:cs="微软雅黑"/>
              </w:rPr>
            </w:pPr>
            <w:r>
              <w:rPr>
                <w:rFonts w:hint="default" w:ascii="Times New Roman" w:hAnsi="Times New Roman" w:eastAsia="微软雅黑" w:cs="Times New Roman"/>
                <w:i w:val="0"/>
                <w:iCs w:val="0"/>
                <w:caps w:val="0"/>
                <w:color w:val="333333"/>
                <w:spacing w:val="0"/>
                <w:kern w:val="0"/>
                <w:sz w:val="26"/>
                <w:szCs w:val="26"/>
                <w:bdr w:val="none" w:color="auto" w:sz="0" w:space="0"/>
                <w:lang w:val="en-US" w:eastAsia="zh-CN" w:bidi="ar"/>
              </w:rPr>
              <w:t>其中：公立医院</w:t>
            </w:r>
          </w:p>
        </w:tc>
        <w:tc>
          <w:tcPr>
            <w:tcW w:w="980"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0.11</w:t>
            </w:r>
          </w:p>
        </w:tc>
        <w:tc>
          <w:tcPr>
            <w:tcW w:w="87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0.02</w:t>
            </w:r>
          </w:p>
        </w:tc>
        <w:tc>
          <w:tcPr>
            <w:tcW w:w="87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0.21</w:t>
            </w:r>
          </w:p>
        </w:tc>
        <w:tc>
          <w:tcPr>
            <w:tcW w:w="84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0.41</w:t>
            </w:r>
          </w:p>
        </w:tc>
        <w:tc>
          <w:tcPr>
            <w:tcW w:w="1263"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6"/>
                <w:szCs w:val="26"/>
                <w:bdr w:val="none" w:color="auto" w:sz="0" w:space="0"/>
                <w:lang w:val="en-US" w:eastAsia="zh-CN" w:bidi="ar"/>
              </w:rPr>
              <w:t>指导性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jc w:val="center"/>
        </w:trPr>
        <w:tc>
          <w:tcPr>
            <w:tcW w:w="4546" w:type="dxa"/>
            <w:tcBorders>
              <w:top w:val="nil"/>
              <w:left w:val="single" w:color="auto" w:sz="8" w:space="0"/>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left"/>
              <w:rPr>
                <w:rFonts w:hint="eastAsia" w:ascii="微软雅黑" w:hAnsi="微软雅黑" w:eastAsia="微软雅黑" w:cs="微软雅黑"/>
              </w:rPr>
            </w:pPr>
            <w:r>
              <w:rPr>
                <w:rFonts w:hint="default" w:ascii="Times New Roman" w:hAnsi="Times New Roman" w:eastAsia="微软雅黑" w:cs="Times New Roman"/>
                <w:i w:val="0"/>
                <w:iCs w:val="0"/>
                <w:caps w:val="0"/>
                <w:color w:val="333333"/>
                <w:spacing w:val="0"/>
                <w:kern w:val="0"/>
                <w:sz w:val="26"/>
                <w:szCs w:val="26"/>
                <w:bdr w:val="none" w:color="auto" w:sz="0" w:space="0"/>
                <w:lang w:val="en-US" w:eastAsia="zh-CN" w:bidi="ar"/>
              </w:rPr>
              <w:t>社会办医院</w:t>
            </w:r>
          </w:p>
        </w:tc>
        <w:tc>
          <w:tcPr>
            <w:tcW w:w="980"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4.61</w:t>
            </w:r>
          </w:p>
        </w:tc>
        <w:tc>
          <w:tcPr>
            <w:tcW w:w="87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3.43</w:t>
            </w:r>
          </w:p>
        </w:tc>
        <w:tc>
          <w:tcPr>
            <w:tcW w:w="87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5.23</w:t>
            </w:r>
          </w:p>
        </w:tc>
        <w:tc>
          <w:tcPr>
            <w:tcW w:w="84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4.59</w:t>
            </w:r>
          </w:p>
        </w:tc>
        <w:tc>
          <w:tcPr>
            <w:tcW w:w="1263"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6"/>
                <w:szCs w:val="26"/>
                <w:bdr w:val="none" w:color="auto" w:sz="0" w:space="0"/>
                <w:lang w:val="en-US" w:eastAsia="zh-CN" w:bidi="ar"/>
              </w:rPr>
              <w:t>指导性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jc w:val="center"/>
        </w:trPr>
        <w:tc>
          <w:tcPr>
            <w:tcW w:w="4546" w:type="dxa"/>
            <w:tcBorders>
              <w:top w:val="nil"/>
              <w:left w:val="single" w:color="auto" w:sz="8" w:space="0"/>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left"/>
              <w:rPr>
                <w:rFonts w:hint="eastAsia" w:ascii="微软雅黑" w:hAnsi="微软雅黑" w:eastAsia="微软雅黑" w:cs="微软雅黑"/>
              </w:rPr>
            </w:pPr>
            <w:r>
              <w:rPr>
                <w:rFonts w:hint="default" w:ascii="Times New Roman" w:hAnsi="Times New Roman" w:eastAsia="微软雅黑" w:cs="Times New Roman"/>
                <w:i w:val="0"/>
                <w:iCs w:val="0"/>
                <w:caps w:val="0"/>
                <w:color w:val="333333"/>
                <w:spacing w:val="0"/>
                <w:kern w:val="0"/>
                <w:sz w:val="26"/>
                <w:szCs w:val="26"/>
                <w:bdr w:val="none" w:color="auto" w:sz="0" w:space="0"/>
                <w:lang w:val="en-US" w:eastAsia="zh-CN" w:bidi="ar"/>
              </w:rPr>
              <w:t>2.</w:t>
            </w:r>
            <w:r>
              <w:rPr>
                <w:rFonts w:hint="eastAsia" w:ascii="微软雅黑" w:hAnsi="微软雅黑" w:eastAsia="微软雅黑" w:cs="微软雅黑"/>
                <w:i w:val="0"/>
                <w:iCs w:val="0"/>
                <w:caps w:val="0"/>
                <w:color w:val="333333"/>
                <w:spacing w:val="0"/>
                <w:kern w:val="0"/>
                <w:sz w:val="26"/>
                <w:szCs w:val="26"/>
                <w:bdr w:val="none" w:color="auto" w:sz="0" w:space="0"/>
                <w:lang w:val="en-US" w:eastAsia="zh-CN" w:bidi="ar"/>
              </w:rPr>
              <w:t>每千常住人口执业（助理）医师数（人）</w:t>
            </w:r>
          </w:p>
        </w:tc>
        <w:tc>
          <w:tcPr>
            <w:tcW w:w="980"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1.84</w:t>
            </w:r>
          </w:p>
        </w:tc>
        <w:tc>
          <w:tcPr>
            <w:tcW w:w="87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2.25</w:t>
            </w:r>
          </w:p>
        </w:tc>
        <w:tc>
          <w:tcPr>
            <w:tcW w:w="87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≥2.2</w:t>
            </w:r>
          </w:p>
        </w:tc>
        <w:tc>
          <w:tcPr>
            <w:tcW w:w="84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≥2.3</w:t>
            </w:r>
          </w:p>
        </w:tc>
        <w:tc>
          <w:tcPr>
            <w:tcW w:w="1263"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6"/>
                <w:szCs w:val="26"/>
                <w:bdr w:val="none" w:color="auto" w:sz="0" w:space="0"/>
                <w:lang w:val="en-US" w:eastAsia="zh-CN" w:bidi="ar"/>
              </w:rPr>
              <w:t>指导性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jc w:val="center"/>
        </w:trPr>
        <w:tc>
          <w:tcPr>
            <w:tcW w:w="4546" w:type="dxa"/>
            <w:tcBorders>
              <w:top w:val="nil"/>
              <w:left w:val="single" w:color="auto" w:sz="8" w:space="0"/>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left"/>
              <w:rPr>
                <w:rFonts w:hint="eastAsia" w:ascii="微软雅黑" w:hAnsi="微软雅黑" w:eastAsia="微软雅黑" w:cs="微软雅黑"/>
              </w:rPr>
            </w:pPr>
            <w:r>
              <w:rPr>
                <w:rFonts w:hint="default" w:ascii="Times New Roman" w:hAnsi="Times New Roman" w:eastAsia="微软雅黑" w:cs="Times New Roman"/>
                <w:i w:val="0"/>
                <w:iCs w:val="0"/>
                <w:caps w:val="0"/>
                <w:color w:val="333333"/>
                <w:spacing w:val="0"/>
                <w:kern w:val="0"/>
                <w:sz w:val="26"/>
                <w:szCs w:val="26"/>
                <w:bdr w:val="none" w:color="auto" w:sz="0" w:space="0"/>
                <w:lang w:val="en-US" w:eastAsia="zh-CN" w:bidi="ar"/>
              </w:rPr>
              <w:t>3.</w:t>
            </w:r>
            <w:r>
              <w:rPr>
                <w:rFonts w:hint="eastAsia" w:ascii="微软雅黑" w:hAnsi="微软雅黑" w:eastAsia="微软雅黑" w:cs="微软雅黑"/>
                <w:i w:val="0"/>
                <w:iCs w:val="0"/>
                <w:caps w:val="0"/>
                <w:color w:val="333333"/>
                <w:spacing w:val="0"/>
                <w:kern w:val="0"/>
                <w:sz w:val="26"/>
                <w:szCs w:val="26"/>
                <w:bdr w:val="none" w:color="auto" w:sz="0" w:space="0"/>
                <w:lang w:val="en-US" w:eastAsia="zh-CN" w:bidi="ar"/>
              </w:rPr>
              <w:t>每千常住人口注册护士数（人）</w:t>
            </w:r>
          </w:p>
        </w:tc>
        <w:tc>
          <w:tcPr>
            <w:tcW w:w="980"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2.41</w:t>
            </w:r>
          </w:p>
        </w:tc>
        <w:tc>
          <w:tcPr>
            <w:tcW w:w="87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3.16</w:t>
            </w:r>
          </w:p>
        </w:tc>
        <w:tc>
          <w:tcPr>
            <w:tcW w:w="87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≥3.3</w:t>
            </w:r>
          </w:p>
        </w:tc>
        <w:tc>
          <w:tcPr>
            <w:tcW w:w="84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≥3.4</w:t>
            </w:r>
          </w:p>
        </w:tc>
        <w:tc>
          <w:tcPr>
            <w:tcW w:w="1263"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6"/>
                <w:szCs w:val="26"/>
                <w:bdr w:val="none" w:color="auto" w:sz="0" w:space="0"/>
                <w:lang w:val="en-US" w:eastAsia="zh-CN" w:bidi="ar"/>
              </w:rPr>
              <w:t>指导性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jc w:val="center"/>
        </w:trPr>
        <w:tc>
          <w:tcPr>
            <w:tcW w:w="4546" w:type="dxa"/>
            <w:tcBorders>
              <w:top w:val="nil"/>
              <w:left w:val="single" w:color="auto" w:sz="8" w:space="0"/>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left"/>
              <w:rPr>
                <w:rFonts w:hint="eastAsia" w:ascii="微软雅黑" w:hAnsi="微软雅黑" w:eastAsia="微软雅黑" w:cs="微软雅黑"/>
              </w:rPr>
            </w:pPr>
            <w:r>
              <w:rPr>
                <w:rFonts w:hint="default" w:ascii="Times New Roman" w:hAnsi="Times New Roman" w:eastAsia="微软雅黑" w:cs="Times New Roman"/>
                <w:i w:val="0"/>
                <w:iCs w:val="0"/>
                <w:caps w:val="0"/>
                <w:color w:val="333333"/>
                <w:spacing w:val="0"/>
                <w:kern w:val="0"/>
                <w:sz w:val="26"/>
                <w:szCs w:val="26"/>
                <w:bdr w:val="none" w:color="auto" w:sz="0" w:space="0"/>
                <w:lang w:val="en-US" w:eastAsia="zh-CN" w:bidi="ar"/>
              </w:rPr>
              <w:t>4.</w:t>
            </w:r>
            <w:r>
              <w:rPr>
                <w:rFonts w:hint="eastAsia" w:ascii="微软雅黑" w:hAnsi="微软雅黑" w:eastAsia="微软雅黑" w:cs="微软雅黑"/>
                <w:i w:val="0"/>
                <w:iCs w:val="0"/>
                <w:caps w:val="0"/>
                <w:color w:val="333333"/>
                <w:spacing w:val="0"/>
                <w:kern w:val="0"/>
                <w:sz w:val="26"/>
                <w:szCs w:val="26"/>
                <w:bdr w:val="none" w:color="auto" w:sz="0" w:space="0"/>
                <w:lang w:val="en-US" w:eastAsia="zh-CN" w:bidi="ar"/>
              </w:rPr>
              <w:t>每千常住人口公共卫生人员数（人）</w:t>
            </w:r>
          </w:p>
        </w:tc>
        <w:tc>
          <w:tcPr>
            <w:tcW w:w="980"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0.43</w:t>
            </w:r>
          </w:p>
        </w:tc>
        <w:tc>
          <w:tcPr>
            <w:tcW w:w="87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0.20</w:t>
            </w:r>
          </w:p>
        </w:tc>
        <w:tc>
          <w:tcPr>
            <w:tcW w:w="87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0.63</w:t>
            </w:r>
          </w:p>
        </w:tc>
        <w:tc>
          <w:tcPr>
            <w:tcW w:w="84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0.51</w:t>
            </w:r>
          </w:p>
        </w:tc>
        <w:tc>
          <w:tcPr>
            <w:tcW w:w="1263" w:type="dxa"/>
            <w:vMerge w:val="restart"/>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6"/>
                <w:szCs w:val="26"/>
                <w:bdr w:val="none" w:color="auto" w:sz="0" w:space="0"/>
                <w:lang w:val="en-US" w:eastAsia="zh-CN" w:bidi="ar"/>
              </w:rPr>
              <w:t>指导性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jc w:val="center"/>
        </w:trPr>
        <w:tc>
          <w:tcPr>
            <w:tcW w:w="4546" w:type="dxa"/>
            <w:tcBorders>
              <w:top w:val="nil"/>
              <w:left w:val="single" w:color="auto" w:sz="8" w:space="0"/>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left"/>
              <w:rPr>
                <w:rFonts w:hint="eastAsia" w:ascii="微软雅黑" w:hAnsi="微软雅黑" w:eastAsia="微软雅黑" w:cs="微软雅黑"/>
              </w:rPr>
            </w:pPr>
            <w:r>
              <w:rPr>
                <w:rFonts w:hint="default" w:ascii="Times New Roman" w:hAnsi="Times New Roman" w:eastAsia="微软雅黑" w:cs="Times New Roman"/>
                <w:i w:val="0"/>
                <w:iCs w:val="0"/>
                <w:caps w:val="0"/>
                <w:color w:val="333333"/>
                <w:spacing w:val="0"/>
                <w:kern w:val="0"/>
                <w:sz w:val="26"/>
                <w:szCs w:val="26"/>
                <w:bdr w:val="none" w:color="auto" w:sz="0" w:space="0"/>
                <w:lang w:val="en-US" w:eastAsia="zh-CN" w:bidi="ar"/>
              </w:rPr>
              <w:t>5.</w:t>
            </w:r>
            <w:r>
              <w:rPr>
                <w:rFonts w:hint="eastAsia" w:ascii="微软雅黑" w:hAnsi="微软雅黑" w:eastAsia="微软雅黑" w:cs="微软雅黑"/>
                <w:i w:val="0"/>
                <w:iCs w:val="0"/>
                <w:caps w:val="0"/>
                <w:color w:val="333333"/>
                <w:spacing w:val="0"/>
                <w:kern w:val="0"/>
                <w:sz w:val="26"/>
                <w:szCs w:val="26"/>
                <w:bdr w:val="none" w:color="auto" w:sz="0" w:space="0"/>
                <w:lang w:val="en-US" w:eastAsia="zh-CN" w:bidi="ar"/>
              </w:rPr>
              <w:t>每万常住人口全科医生数（人）</w:t>
            </w:r>
          </w:p>
        </w:tc>
        <w:tc>
          <w:tcPr>
            <w:tcW w:w="980"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3</w:t>
            </w:r>
          </w:p>
        </w:tc>
        <w:tc>
          <w:tcPr>
            <w:tcW w:w="87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6.4</w:t>
            </w:r>
          </w:p>
        </w:tc>
        <w:tc>
          <w:tcPr>
            <w:tcW w:w="87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3.5</w:t>
            </w:r>
          </w:p>
        </w:tc>
        <w:tc>
          <w:tcPr>
            <w:tcW w:w="84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6.5</w:t>
            </w:r>
          </w:p>
        </w:tc>
        <w:tc>
          <w:tcPr>
            <w:tcW w:w="1263" w:type="dxa"/>
            <w:vMerge w:val="continue"/>
            <w:tcBorders>
              <w:top w:val="nil"/>
              <w:left w:val="nil"/>
              <w:bottom w:val="single" w:color="auto" w:sz="8" w:space="0"/>
              <w:right w:val="single" w:color="auto" w:sz="8" w:space="0"/>
            </w:tcBorders>
            <w:shd w:val="clear" w:color="auto" w:fill="F9F9F9"/>
            <w:tcMar>
              <w:left w:w="28" w:type="dxa"/>
              <w:right w:w="28" w:type="dxa"/>
            </w:tcMar>
            <w:vAlign w:val="center"/>
          </w:tcPr>
          <w:p>
            <w:pPr>
              <w:rPr>
                <w:rFonts w:hint="eastAsia" w:ascii="微软雅黑" w:hAnsi="微软雅黑" w:eastAsia="微软雅黑" w:cs="微软雅黑"/>
                <w:i w:val="0"/>
                <w:iCs w:val="0"/>
                <w:caps w:val="0"/>
                <w:color w:val="333333"/>
                <w:spacing w:val="0"/>
                <w:sz w:val="16"/>
                <w:szCs w:val="16"/>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546" w:type="dxa"/>
            <w:tcBorders>
              <w:top w:val="nil"/>
              <w:left w:val="single" w:color="auto" w:sz="8" w:space="0"/>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left"/>
              <w:rPr>
                <w:rFonts w:hint="eastAsia" w:ascii="微软雅黑" w:hAnsi="微软雅黑" w:eastAsia="微软雅黑" w:cs="微软雅黑"/>
              </w:rPr>
            </w:pPr>
            <w:r>
              <w:rPr>
                <w:rFonts w:hint="default" w:ascii="Times New Roman" w:hAnsi="Times New Roman" w:eastAsia="微软雅黑" w:cs="Times New Roman"/>
                <w:i w:val="0"/>
                <w:iCs w:val="0"/>
                <w:caps w:val="0"/>
                <w:color w:val="333333"/>
                <w:spacing w:val="0"/>
                <w:kern w:val="0"/>
                <w:sz w:val="26"/>
                <w:szCs w:val="26"/>
                <w:bdr w:val="none" w:color="auto" w:sz="0" w:space="0"/>
                <w:lang w:val="en-US" w:eastAsia="zh-CN" w:bidi="ar"/>
              </w:rPr>
              <w:t>6.</w:t>
            </w:r>
            <w:r>
              <w:rPr>
                <w:rFonts w:hint="eastAsia" w:ascii="微软雅黑" w:hAnsi="微软雅黑" w:eastAsia="微软雅黑" w:cs="微软雅黑"/>
                <w:i w:val="0"/>
                <w:iCs w:val="0"/>
                <w:caps w:val="0"/>
                <w:color w:val="333333"/>
                <w:spacing w:val="0"/>
                <w:kern w:val="0"/>
                <w:sz w:val="26"/>
                <w:szCs w:val="26"/>
                <w:bdr w:val="none" w:color="auto" w:sz="0" w:space="0"/>
                <w:lang w:val="en-US" w:eastAsia="zh-CN" w:bidi="ar"/>
              </w:rPr>
              <w:t>床医比</w:t>
            </w:r>
          </w:p>
        </w:tc>
        <w:tc>
          <w:tcPr>
            <w:tcW w:w="980"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1:0.38</w:t>
            </w:r>
          </w:p>
        </w:tc>
        <w:tc>
          <w:tcPr>
            <w:tcW w:w="87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left"/>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1:0.65</w:t>
            </w:r>
          </w:p>
        </w:tc>
        <w:tc>
          <w:tcPr>
            <w:tcW w:w="87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1:0.4</w:t>
            </w:r>
          </w:p>
        </w:tc>
        <w:tc>
          <w:tcPr>
            <w:tcW w:w="84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1:0.54</w:t>
            </w:r>
          </w:p>
        </w:tc>
        <w:tc>
          <w:tcPr>
            <w:tcW w:w="1263"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6"/>
                <w:szCs w:val="26"/>
                <w:bdr w:val="none" w:color="auto" w:sz="0" w:space="0"/>
                <w:lang w:val="en-US" w:eastAsia="zh-CN" w:bidi="ar"/>
              </w:rPr>
              <w:t>指导性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546" w:type="dxa"/>
            <w:tcBorders>
              <w:top w:val="nil"/>
              <w:left w:val="single" w:color="auto" w:sz="8" w:space="0"/>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left"/>
              <w:rPr>
                <w:rFonts w:hint="eastAsia" w:ascii="微软雅黑" w:hAnsi="微软雅黑" w:eastAsia="微软雅黑" w:cs="微软雅黑"/>
              </w:rPr>
            </w:pPr>
            <w:r>
              <w:rPr>
                <w:rFonts w:hint="default" w:ascii="Times New Roman" w:hAnsi="Times New Roman" w:eastAsia="微软雅黑" w:cs="Times New Roman"/>
                <w:i w:val="0"/>
                <w:iCs w:val="0"/>
                <w:caps w:val="0"/>
                <w:color w:val="333333"/>
                <w:spacing w:val="0"/>
                <w:kern w:val="0"/>
                <w:sz w:val="26"/>
                <w:szCs w:val="26"/>
                <w:bdr w:val="none" w:color="auto" w:sz="0" w:space="0"/>
                <w:lang w:val="en-US" w:eastAsia="zh-CN" w:bidi="ar"/>
              </w:rPr>
              <w:t>7.</w:t>
            </w:r>
            <w:r>
              <w:rPr>
                <w:rFonts w:hint="eastAsia" w:ascii="微软雅黑" w:hAnsi="微软雅黑" w:eastAsia="微软雅黑" w:cs="微软雅黑"/>
                <w:i w:val="0"/>
                <w:iCs w:val="0"/>
                <w:caps w:val="0"/>
                <w:color w:val="333333"/>
                <w:spacing w:val="0"/>
                <w:kern w:val="0"/>
                <w:sz w:val="26"/>
                <w:szCs w:val="26"/>
                <w:bdr w:val="none" w:color="auto" w:sz="0" w:space="0"/>
                <w:lang w:val="en-US" w:eastAsia="zh-CN" w:bidi="ar"/>
              </w:rPr>
              <w:t>床护比</w:t>
            </w:r>
          </w:p>
        </w:tc>
        <w:tc>
          <w:tcPr>
            <w:tcW w:w="980"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1:0.5</w:t>
            </w:r>
          </w:p>
        </w:tc>
        <w:tc>
          <w:tcPr>
            <w:tcW w:w="87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1:0.9</w:t>
            </w:r>
          </w:p>
        </w:tc>
        <w:tc>
          <w:tcPr>
            <w:tcW w:w="87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1:0.55</w:t>
            </w:r>
          </w:p>
        </w:tc>
        <w:tc>
          <w:tcPr>
            <w:tcW w:w="848"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2"/>
                <w:szCs w:val="22"/>
                <w:bdr w:val="none" w:color="auto" w:sz="0" w:space="0"/>
                <w:lang w:val="en-US" w:eastAsia="zh-CN" w:bidi="ar"/>
              </w:rPr>
              <w:t>1:0.69</w:t>
            </w:r>
          </w:p>
        </w:tc>
        <w:tc>
          <w:tcPr>
            <w:tcW w:w="1263" w:type="dxa"/>
            <w:tcBorders>
              <w:top w:val="nil"/>
              <w:left w:val="nil"/>
              <w:bottom w:val="single" w:color="auto" w:sz="8" w:space="0"/>
              <w:right w:val="single" w:color="auto" w:sz="8" w:space="0"/>
            </w:tcBorders>
            <w:shd w:val="clear" w:color="auto" w:fill="F9F9F9"/>
            <w:tcMar>
              <w:left w:w="28" w:type="dxa"/>
              <w:right w:w="2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6"/>
                <w:szCs w:val="26"/>
                <w:bdr w:val="none" w:color="auto" w:sz="0" w:space="0"/>
                <w:lang w:val="en-US" w:eastAsia="zh-CN" w:bidi="ar"/>
              </w:rPr>
              <w:t>指导性</w:t>
            </w:r>
          </w:p>
        </w:tc>
      </w:tr>
    </w:tbl>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三、资源布局和机构设置</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按照</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保基本、强基层、建机制”的基本原则，以公平可及、群众受益为出发点和立足点，加强医疗资源科学规划和合理布局，注重提升医疗服务能力和水平，加快建设现代医疗卫生服务体系，满足全县人民群众的健康需求。</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（一）机构设置</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1</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．医疗机构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1</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）三级综合医院。到2020年，三级乙等综合医院1所，为县人民医院。争创三级甲等综合医院。</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2</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二级综合医院。到2020年，全县二级综合医院达到10所。其中新增5所，分别由县第二人民医院、县人民医院城西医院、贤官新城、韩山新城、马厂新城医院转设。县中心医院和协和医院晋升为二级甲等综合医院，南关医院争创二级甲等综合医院，中山医院争创二级乙等综合医院，鼓励仁慈医院创建三级综合医院。</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3</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）一级综合医院（含乡镇医院）。到2020年，一级综合医院35所。原则上每个乡镇设1所乡镇医院，城区原则上不再增设一级综合医院。</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4</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）中医医院：到2020年，三级甲等中医医院1所，由县中医院晋升。二级中医医院1所，由成桂医院转设。二级乙等中西医结合医院1所，由沭阳中西医结合医院/扎下医院晋升。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5</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）专科医院：到2020年，二级专科医院达到9所，新增5所，分别由建陵医院、云龙医院、博爱医院、永红医院和维康医院转设。鼓励新办有专科特色的专科医院。</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6</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）到2020年，建成医学检验实验室、医学影像诊断中心和病理诊断中心各1所。鼓励发展社会化的医学检验实验室和影像中心，实现医学影像、医学检验等结果互认和资源共享。</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2</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．基层医疗卫生机构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1</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）门诊部。到2020年末，增设仅提供中医药服务的中医门诊部6所；西医综合门诊部原则上不再新设；鼓励新办有专科特色的门诊部。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2</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个体诊所和医务室。个体中医诊所按照国家、省市相关文件规定设置，仅提供中医药服务的中医诊所实行备案制。养老机构内部设置诊所、卫生所（室）、医务室、护理站的，实行备案管理。其它个体诊所实行市场调节的管理方式进行合理设置。各级学校等单位可按照规定及规模设置对内服务的医务室。</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3</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）社区卫生服务机构和村卫生室。到2020年末，社区卫生服务中心达到9所，新增7所。社区卫生服务站和村卫生室，按每个居委会设一个社区卫生服务站、每个行政村设一个卫生室标准设置。</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3</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．医养结合机构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认真贯彻落实《市政府关于加强医养融合发展的若干意见》（宿政发〔</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2017</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59号）文件要求，建立健全医疗卫生资源和养老服务资源有效衔接机制，全面推进医养融合发展。鼓励全县社区卫生服务中心、乡镇医院增设养老、护理、老年等病床。到2020年，在城区、沂河南、沂河北分别新增3家医养结合型医疗机构。鼓励社区资本举办康复医院、护理员、老年病医院和安宁疗护中心等医养结合型医疗机构。根据市场需求，医养结合型医疗机构不受本规划限制。</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4</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．专业公共卫生机构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1</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疾病预防控制机构。设置县疾病预防控制中心1所，设置卫生和计划生育服务中心40所。县以下由社区卫生服务中心或乡镇医院承担疾病预防控制相关工作职能。到2020年，县疾病预防控制中心全面达到国家《疾病预防控制中心建设标准》要求。</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2</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）卫生计生综合监督执法机构。设置县卫生计生综合行政执法大队1所；通过40所卫生和计划生育服务中心，加强计划生育管理和卫生计生综合监督等职能</w:t>
      </w:r>
      <w:r>
        <w:rPr>
          <w:rFonts w:hint="eastAsia" w:ascii="微软雅黑" w:hAnsi="微软雅黑" w:eastAsia="微软雅黑" w:cs="微软雅黑"/>
          <w:i w:val="0"/>
          <w:iCs w:val="0"/>
          <w:caps w:val="0"/>
          <w:color w:val="333333"/>
          <w:spacing w:val="0"/>
          <w:kern w:val="0"/>
          <w:sz w:val="21"/>
          <w:szCs w:val="21"/>
          <w:bdr w:val="none" w:color="auto" w:sz="0" w:space="0"/>
          <w:shd w:val="clear" w:fill="F9F9F9"/>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3</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）妇幼保健计生服务机构。设二级妇幼保健院1所，争创二级甲等妇幼保健院。增挂妇幼保健计生服务中心牌子，县以下由社区卫生服务中心或乡镇医院承担妇幼保健职能。</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4</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）采供血机构。设置宿迁市中心血站沭阳分站1所，建立2个爱心献血屋。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5</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）精神卫生防治机构。设置沭阳县精神病医院1所，2020年达到二级精神病医院专科标准，争创三级精神病医院。每万人口精神科病床不低于3张，精神科执业（助理）医师不低于0.38名。</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6</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）急救医疗服务机构。到2020年，设立120急救指挥中心1所、120急救站1所、分站7所、急救点38所。</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（二）床位配置</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121212"/>
          <w:spacing w:val="0"/>
          <w:kern w:val="0"/>
          <w:sz w:val="32"/>
          <w:szCs w:val="32"/>
          <w:bdr w:val="none" w:color="auto" w:sz="0" w:space="0"/>
          <w:shd w:val="clear" w:fill="F9F9F9"/>
          <w:lang w:val="en-US" w:eastAsia="zh-CN" w:bidi="ar"/>
        </w:rPr>
        <w:t>到</w:t>
      </w:r>
      <w:r>
        <w:rPr>
          <w:rFonts w:hint="default" w:ascii="Times New Roman" w:hAnsi="Times New Roman" w:eastAsia="微软雅黑" w:cs="Times New Roman"/>
          <w:i w:val="0"/>
          <w:iCs w:val="0"/>
          <w:caps w:val="0"/>
          <w:color w:val="121212"/>
          <w:spacing w:val="0"/>
          <w:kern w:val="0"/>
          <w:sz w:val="32"/>
          <w:szCs w:val="32"/>
          <w:bdr w:val="none" w:color="auto" w:sz="0" w:space="0"/>
          <w:shd w:val="clear" w:fill="F9F9F9"/>
          <w:lang w:val="en-US" w:eastAsia="zh-CN" w:bidi="ar"/>
        </w:rPr>
        <w:t>2020</w:t>
      </w:r>
      <w:r>
        <w:rPr>
          <w:rFonts w:hint="eastAsia" w:ascii="微软雅黑" w:hAnsi="微软雅黑" w:eastAsia="微软雅黑" w:cs="微软雅黑"/>
          <w:i w:val="0"/>
          <w:iCs w:val="0"/>
          <w:caps w:val="0"/>
          <w:color w:val="121212"/>
          <w:spacing w:val="0"/>
          <w:kern w:val="0"/>
          <w:sz w:val="32"/>
          <w:szCs w:val="32"/>
          <w:bdr w:val="none" w:color="auto" w:sz="0" w:space="0"/>
          <w:shd w:val="clear" w:fill="F9F9F9"/>
          <w:lang w:val="en-US" w:eastAsia="zh-CN" w:bidi="ar"/>
        </w:rPr>
        <w:t>年末，拥有医疗床位7850张，全县每千常住人口医疗卫生机构床位数达到5.0张（按到2020年末，全县常住人口预计157万计算）。社区卫生服务中心和乡镇医院在有效承接全部基本公共卫生服务和开展</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医养康护工作后，床位数可适当调整。</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（三）人力资源</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1</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．卫生人员总量稳步增长。到2020年，全县卫生人员总数达到11194人，卫生技术人员总数达到10294人。</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2</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．卫生人才结构趋于合理。到2020年，每千常住人口卫生技术人员数达到6.56人、执业医师（含执业助理）数达到2.7人、注册护士数达到3.4人</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、公共卫生人员数达</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到</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 0.51</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人；力争城乡每万名居民有</w:t>
      </w:r>
      <w:r>
        <w:rPr>
          <w:rFonts w:hint="default" w:ascii="Times New Roman" w:hAnsi="Times New Roman" w:eastAsia="微软雅黑" w:cs="Times New Roman"/>
          <w:i w:val="0"/>
          <w:iCs w:val="0"/>
          <w:caps w:val="0"/>
          <w:color w:val="000000"/>
          <w:spacing w:val="0"/>
          <w:kern w:val="0"/>
          <w:sz w:val="32"/>
          <w:szCs w:val="32"/>
          <w:bdr w:val="none" w:color="auto" w:sz="0" w:space="0"/>
          <w:shd w:val="clear" w:fill="F9F9F9"/>
          <w:lang w:val="en-US" w:eastAsia="zh-CN" w:bidi="ar"/>
        </w:rPr>
        <w:t>3.5</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名以上合格</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（注册）的全科医生，每个乡镇医院、社区卫生服务中心全科医生数不少于</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5</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人，力争每个家庭有1名医生签约服务。原则上按照每千服务人口不少于1名的标准配备乡村医生，每所村卫生室至少有1名执业助理医师。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3</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卫生人才能力稳步提高。到2020年，住院医师规范化培训制度趋于完善，所有医师晋升中级职称前均需接受住院医师规范化培训并考核合格；深入推进“年轻护士素质提高行动计划”，全面提升年轻护士临床护理能力。进一步发展专科护士队伍，加大专科护士培训力度，不断提高专科护理水平；全县卫生技术人员继续医学教育覆盖率达到95%以上。</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4</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卫生人才政策显著改善。深入贯彻落实省卫计委等部门《关于开展基层卫生骨干人才遴选工作的通知》（苏卫基层〔2016〕2号）《沭阳县进一步加快医疗卫生事业发展意见》（沭政发〔2014〕57号）和《沭阳县乡镇医院本科及以上学历卫生技术人员奖励办法》（沭政办发〔2017〕 105号）等文件要求，完善卫生人才奖励机制。成立卫生人才服务中心，为全县卫生技术人员提供人事档案保管和聘用合同鉴证工作；集中办理各类医学类考试和评审工作。</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5</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．高层次人才队伍明显壮大。到2020年，全县省“333工程”培养对象22人</w:t>
      </w:r>
      <w:r>
        <w:rPr>
          <w:rFonts w:hint="eastAsia" w:ascii="微软雅黑" w:hAnsi="微软雅黑" w:eastAsia="微软雅黑" w:cs="微软雅黑"/>
          <w:i w:val="0"/>
          <w:iCs w:val="0"/>
          <w:caps w:val="0"/>
          <w:color w:val="333333"/>
          <w:spacing w:val="0"/>
          <w:kern w:val="0"/>
          <w:sz w:val="28"/>
          <w:szCs w:val="28"/>
          <w:bdr w:val="none" w:color="auto" w:sz="0" w:space="0"/>
          <w:shd w:val="clear" w:fill="F9F9F9"/>
          <w:lang w:val="en-US" w:eastAsia="zh-CN" w:bidi="ar"/>
        </w:rPr>
        <w:t>；</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市级</w:t>
      </w:r>
      <w:r>
        <w:rPr>
          <w:rFonts w:hint="default" w:ascii="Times New Roman" w:hAnsi="Times New Roman" w:eastAsia="微软雅黑" w:cs="Times New Roman"/>
          <w:i w:val="0"/>
          <w:iCs w:val="0"/>
          <w:caps w:val="0"/>
          <w:color w:val="000000"/>
          <w:spacing w:val="0"/>
          <w:kern w:val="0"/>
          <w:sz w:val="32"/>
          <w:szCs w:val="32"/>
          <w:bdr w:val="none" w:color="auto" w:sz="0" w:space="0"/>
          <w:shd w:val="clear" w:fill="F9F9F9"/>
          <w:lang w:val="en-US" w:eastAsia="zh-CN" w:bidi="ar"/>
        </w:rPr>
        <w:t>“</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千名拔尖人才培养工程”培养对象第一层次10人，第二层次15人；培养和引进市级学科领军人才1-3人、骨干人才5-10人、青年人才10-30人</w:t>
      </w:r>
      <w:r>
        <w:rPr>
          <w:rFonts w:hint="eastAsia" w:ascii="微软雅黑" w:hAnsi="微软雅黑" w:eastAsia="微软雅黑" w:cs="微软雅黑"/>
          <w:i w:val="0"/>
          <w:iCs w:val="0"/>
          <w:caps w:val="0"/>
          <w:color w:val="000000"/>
          <w:spacing w:val="0"/>
          <w:kern w:val="0"/>
          <w:sz w:val="28"/>
          <w:szCs w:val="28"/>
          <w:bdr w:val="none" w:color="auto" w:sz="0" w:space="0"/>
          <w:shd w:val="clear" w:fill="F9F9F9"/>
          <w:lang w:val="en-US" w:eastAsia="zh-CN" w:bidi="ar"/>
        </w:rPr>
        <w:t>；</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培养县级名医</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30</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人、县级学科带头人60名、县级优秀护理人员60名、县级优秀医技人员60名、优秀基层卫生骨干人才72名、县级优秀乡村医生60名。</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（四）</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卫生信息资源配置</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建设县级诊疗信息数据交换平台，实现首诊信息实时上传。各医疗机构健全患者基本信息，实施数据共享，实现结果互认。在三级医院建成影像诊断中心、心电中心、手机</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APP</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终端等远程会诊、查询系统，实施“互联网+”健康服务，将远程会诊、远程影像诊断、远程心电图诊断、在线随访等延伸到基层。</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ind w:left="0" w:right="0" w:firstLine="240"/>
        <w:jc w:val="left"/>
        <w:rPr>
          <w:rFonts w:hint="eastAsia" w:ascii="微软雅黑" w:hAnsi="微软雅黑" w:eastAsia="微软雅黑" w:cs="微软雅黑"/>
          <w:i w:val="0"/>
          <w:iCs w:val="0"/>
          <w:caps w:val="0"/>
          <w:color w:val="333333"/>
          <w:spacing w:val="0"/>
          <w:sz w:val="16"/>
          <w:szCs w:val="16"/>
        </w:rPr>
      </w:pPr>
      <w:r>
        <w:rPr>
          <w:rFonts w:hint="default" w:ascii="Times New Roman" w:hAnsi="Times New Roman" w:eastAsia="微软雅黑" w:cs="Times New Roman"/>
          <w:i w:val="0"/>
          <w:iCs w:val="0"/>
          <w:caps w:val="0"/>
          <w:color w:val="000000"/>
          <w:spacing w:val="0"/>
          <w:kern w:val="0"/>
          <w:sz w:val="12"/>
          <w:szCs w:val="12"/>
          <w:bdr w:val="none" w:color="auto" w:sz="0" w:space="0"/>
          <w:shd w:val="clear" w:fill="F9F9F9"/>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60" w:lineRule="atLeast"/>
        <w:ind w:left="0" w:righ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全县医疗卫生服务体系重点项目（</w:t>
      </w:r>
      <w:r>
        <w:rPr>
          <w:rFonts w:hint="default" w:ascii="Times New Roman" w:hAnsi="Times New Roman" w:eastAsia="微软雅黑" w:cs="Times New Roman"/>
          <w:i w:val="0"/>
          <w:iCs w:val="0"/>
          <w:caps w:val="0"/>
          <w:color w:val="000000"/>
          <w:spacing w:val="0"/>
          <w:kern w:val="0"/>
          <w:sz w:val="32"/>
          <w:szCs w:val="32"/>
          <w:bdr w:val="none" w:color="auto" w:sz="0" w:space="0"/>
          <w:shd w:val="clear" w:fill="F9F9F9"/>
          <w:lang w:val="en-US" w:eastAsia="zh-CN" w:bidi="ar"/>
        </w:rPr>
        <w:t>2017-2020</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年）</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ind w:left="0" w:right="0" w:firstLine="240"/>
        <w:jc w:val="left"/>
        <w:rPr>
          <w:rFonts w:hint="eastAsia" w:ascii="微软雅黑" w:hAnsi="微软雅黑" w:eastAsia="微软雅黑" w:cs="微软雅黑"/>
          <w:i w:val="0"/>
          <w:iCs w:val="0"/>
          <w:caps w:val="0"/>
          <w:color w:val="333333"/>
          <w:spacing w:val="0"/>
          <w:sz w:val="16"/>
          <w:szCs w:val="16"/>
        </w:rPr>
      </w:pPr>
      <w:r>
        <w:rPr>
          <w:rFonts w:hint="default" w:ascii="Times New Roman" w:hAnsi="Times New Roman" w:eastAsia="微软雅黑" w:cs="Times New Roman"/>
          <w:i w:val="0"/>
          <w:iCs w:val="0"/>
          <w:caps w:val="0"/>
          <w:color w:val="000000"/>
          <w:spacing w:val="0"/>
          <w:kern w:val="0"/>
          <w:sz w:val="12"/>
          <w:szCs w:val="12"/>
          <w:bdr w:val="none" w:color="auto" w:sz="0" w:space="0"/>
          <w:shd w:val="clear" w:fill="F9F9F9"/>
          <w:lang w:val="en-US" w:eastAsia="zh-CN" w:bidi="ar"/>
        </w:rPr>
        <w:t> </w:t>
      </w:r>
    </w:p>
    <w:tbl>
      <w:tblPr>
        <w:tblW w:w="995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Layout w:type="autofit"/>
        <w:tblCellMar>
          <w:top w:w="0" w:type="dxa"/>
          <w:left w:w="0" w:type="dxa"/>
          <w:bottom w:w="0" w:type="dxa"/>
          <w:right w:w="0" w:type="dxa"/>
        </w:tblCellMar>
      </w:tblPr>
      <w:tblGrid>
        <w:gridCol w:w="1316"/>
        <w:gridCol w:w="3324"/>
        <w:gridCol w:w="3543"/>
        <w:gridCol w:w="177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c>
          <w:tcPr>
            <w:tcW w:w="1316" w:type="dxa"/>
            <w:tcBorders>
              <w:top w:val="single" w:color="auto" w:sz="8" w:space="0"/>
              <w:left w:val="single" w:color="auto" w:sz="8" w:space="0"/>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类别</w:t>
            </w:r>
          </w:p>
        </w:tc>
        <w:tc>
          <w:tcPr>
            <w:tcW w:w="3324" w:type="dxa"/>
            <w:tcBorders>
              <w:top w:val="single" w:color="auto" w:sz="8" w:space="0"/>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项目名称</w:t>
            </w:r>
          </w:p>
        </w:tc>
        <w:tc>
          <w:tcPr>
            <w:tcW w:w="3543" w:type="dxa"/>
            <w:tcBorders>
              <w:top w:val="single" w:color="auto" w:sz="8" w:space="0"/>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建设内容</w:t>
            </w:r>
          </w:p>
        </w:tc>
        <w:tc>
          <w:tcPr>
            <w:tcW w:w="1773" w:type="dxa"/>
            <w:tcBorders>
              <w:top w:val="single" w:color="auto" w:sz="8" w:space="0"/>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计划完成时间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433" w:hRule="atLeast"/>
        </w:trPr>
        <w:tc>
          <w:tcPr>
            <w:tcW w:w="1316" w:type="dxa"/>
            <w:vMerge w:val="restart"/>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医疗服务</w:t>
            </w:r>
          </w:p>
        </w:tc>
        <w:tc>
          <w:tcPr>
            <w:tcW w:w="3324"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县人民医院城西医院</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新建</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2018</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年6月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433" w:hRule="atLeast"/>
        </w:trPr>
        <w:tc>
          <w:tcPr>
            <w:tcW w:w="1316" w:type="dxa"/>
            <w:vMerge w:val="continue"/>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rPr>
                <w:rFonts w:hint="eastAsia" w:ascii="微软雅黑" w:hAnsi="微软雅黑" w:eastAsia="微软雅黑" w:cs="微软雅黑"/>
                <w:i w:val="0"/>
                <w:iCs w:val="0"/>
                <w:caps w:val="0"/>
                <w:color w:val="333333"/>
                <w:spacing w:val="0"/>
                <w:sz w:val="16"/>
                <w:szCs w:val="16"/>
              </w:rPr>
            </w:pPr>
          </w:p>
        </w:tc>
        <w:tc>
          <w:tcPr>
            <w:tcW w:w="3324"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县人民医院贤官新城医院（新城养老护理院）</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扩建</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2019</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年6月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433" w:hRule="atLeast"/>
        </w:trPr>
        <w:tc>
          <w:tcPr>
            <w:tcW w:w="1316" w:type="dxa"/>
            <w:vMerge w:val="continue"/>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rPr>
                <w:rFonts w:hint="eastAsia" w:ascii="微软雅黑" w:hAnsi="微软雅黑" w:eastAsia="微软雅黑" w:cs="微软雅黑"/>
                <w:i w:val="0"/>
                <w:iCs w:val="0"/>
                <w:caps w:val="0"/>
                <w:color w:val="333333"/>
                <w:spacing w:val="0"/>
                <w:sz w:val="16"/>
                <w:szCs w:val="16"/>
              </w:rPr>
            </w:pPr>
          </w:p>
        </w:tc>
        <w:tc>
          <w:tcPr>
            <w:tcW w:w="3324"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县人民医院马厂新城医院</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扩建</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2019</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年12月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433" w:hRule="atLeast"/>
        </w:trPr>
        <w:tc>
          <w:tcPr>
            <w:tcW w:w="1316" w:type="dxa"/>
            <w:vMerge w:val="continue"/>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rPr>
                <w:rFonts w:hint="eastAsia" w:ascii="微软雅黑" w:hAnsi="微软雅黑" w:eastAsia="微软雅黑" w:cs="微软雅黑"/>
                <w:i w:val="0"/>
                <w:iCs w:val="0"/>
                <w:caps w:val="0"/>
                <w:color w:val="333333"/>
                <w:spacing w:val="0"/>
                <w:sz w:val="16"/>
                <w:szCs w:val="16"/>
              </w:rPr>
            </w:pPr>
          </w:p>
        </w:tc>
        <w:tc>
          <w:tcPr>
            <w:tcW w:w="3324"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县人民医院韩山新城医院</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扩建</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2019</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年12月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433" w:hRule="atLeast"/>
        </w:trPr>
        <w:tc>
          <w:tcPr>
            <w:tcW w:w="1316" w:type="dxa"/>
            <w:vMerge w:val="continue"/>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rPr>
                <w:rFonts w:hint="eastAsia" w:ascii="微软雅黑" w:hAnsi="微软雅黑" w:eastAsia="微软雅黑" w:cs="微软雅黑"/>
                <w:i w:val="0"/>
                <w:iCs w:val="0"/>
                <w:caps w:val="0"/>
                <w:color w:val="333333"/>
                <w:spacing w:val="0"/>
                <w:sz w:val="16"/>
                <w:szCs w:val="16"/>
              </w:rPr>
            </w:pPr>
          </w:p>
        </w:tc>
        <w:tc>
          <w:tcPr>
            <w:tcW w:w="3324" w:type="dxa"/>
            <w:vMerge w:val="restart"/>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仁慈医院</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开展三级综合医院创建</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2020</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年12月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433" w:hRule="atLeast"/>
        </w:trPr>
        <w:tc>
          <w:tcPr>
            <w:tcW w:w="1316" w:type="dxa"/>
            <w:vMerge w:val="continue"/>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rPr>
                <w:rFonts w:hint="eastAsia" w:ascii="微软雅黑" w:hAnsi="微软雅黑" w:eastAsia="微软雅黑" w:cs="微软雅黑"/>
                <w:i w:val="0"/>
                <w:iCs w:val="0"/>
                <w:caps w:val="0"/>
                <w:color w:val="333333"/>
                <w:spacing w:val="0"/>
                <w:sz w:val="16"/>
                <w:szCs w:val="16"/>
              </w:rPr>
            </w:pPr>
          </w:p>
        </w:tc>
        <w:tc>
          <w:tcPr>
            <w:tcW w:w="3324" w:type="dxa"/>
            <w:vMerge w:val="continue"/>
            <w:tcBorders>
              <w:top w:val="nil"/>
              <w:left w:val="nil"/>
              <w:bottom w:val="single" w:color="auto" w:sz="8" w:space="0"/>
              <w:right w:val="single" w:color="auto" w:sz="8" w:space="0"/>
            </w:tcBorders>
            <w:shd w:val="clear" w:color="auto" w:fill="F9F9F9"/>
            <w:tcMar>
              <w:left w:w="108" w:type="dxa"/>
              <w:right w:w="108" w:type="dxa"/>
            </w:tcMar>
            <w:vAlign w:val="center"/>
          </w:tcPr>
          <w:p>
            <w:pPr>
              <w:rPr>
                <w:rFonts w:hint="eastAsia" w:ascii="微软雅黑" w:hAnsi="微软雅黑" w:eastAsia="微软雅黑" w:cs="微软雅黑"/>
                <w:i w:val="0"/>
                <w:iCs w:val="0"/>
                <w:caps w:val="0"/>
                <w:color w:val="333333"/>
                <w:spacing w:val="0"/>
                <w:sz w:val="16"/>
                <w:szCs w:val="16"/>
              </w:rPr>
            </w:pP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新病房楼启用</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2018</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年12月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433" w:hRule="atLeast"/>
        </w:trPr>
        <w:tc>
          <w:tcPr>
            <w:tcW w:w="1316" w:type="dxa"/>
            <w:vMerge w:val="continue"/>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rPr>
                <w:rFonts w:hint="eastAsia" w:ascii="微软雅黑" w:hAnsi="微软雅黑" w:eastAsia="微软雅黑" w:cs="微软雅黑"/>
                <w:i w:val="0"/>
                <w:iCs w:val="0"/>
                <w:caps w:val="0"/>
                <w:color w:val="333333"/>
                <w:spacing w:val="0"/>
                <w:sz w:val="16"/>
                <w:szCs w:val="16"/>
              </w:rPr>
            </w:pPr>
          </w:p>
        </w:tc>
        <w:tc>
          <w:tcPr>
            <w:tcW w:w="3324"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县中心医院</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开展二级甲等综合医院创建</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2017</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年12月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433" w:hRule="atLeast"/>
        </w:trPr>
        <w:tc>
          <w:tcPr>
            <w:tcW w:w="1316" w:type="dxa"/>
            <w:vMerge w:val="restart"/>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医疗服务</w:t>
            </w:r>
          </w:p>
        </w:tc>
        <w:tc>
          <w:tcPr>
            <w:tcW w:w="3324" w:type="dxa"/>
            <w:vMerge w:val="restart"/>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协和医院</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开展二级甲等综合医院创建</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2018</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年12月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433" w:hRule="atLeast"/>
        </w:trPr>
        <w:tc>
          <w:tcPr>
            <w:tcW w:w="1316" w:type="dxa"/>
            <w:vMerge w:val="continue"/>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rPr>
                <w:rFonts w:hint="eastAsia" w:ascii="微软雅黑" w:hAnsi="微软雅黑" w:eastAsia="微软雅黑" w:cs="微软雅黑"/>
                <w:i w:val="0"/>
                <w:iCs w:val="0"/>
                <w:caps w:val="0"/>
                <w:color w:val="333333"/>
                <w:spacing w:val="0"/>
                <w:sz w:val="16"/>
                <w:szCs w:val="16"/>
              </w:rPr>
            </w:pPr>
          </w:p>
        </w:tc>
        <w:tc>
          <w:tcPr>
            <w:tcW w:w="3324" w:type="dxa"/>
            <w:vMerge w:val="continue"/>
            <w:tcBorders>
              <w:top w:val="nil"/>
              <w:left w:val="nil"/>
              <w:bottom w:val="single" w:color="auto" w:sz="8" w:space="0"/>
              <w:right w:val="single" w:color="auto" w:sz="8" w:space="0"/>
            </w:tcBorders>
            <w:shd w:val="clear" w:color="auto" w:fill="F9F9F9"/>
            <w:tcMar>
              <w:left w:w="108" w:type="dxa"/>
              <w:right w:w="108" w:type="dxa"/>
            </w:tcMar>
            <w:vAlign w:val="center"/>
          </w:tcPr>
          <w:p>
            <w:pPr>
              <w:rPr>
                <w:rFonts w:hint="eastAsia" w:ascii="微软雅黑" w:hAnsi="微软雅黑" w:eastAsia="微软雅黑" w:cs="微软雅黑"/>
                <w:i w:val="0"/>
                <w:iCs w:val="0"/>
                <w:caps w:val="0"/>
                <w:color w:val="333333"/>
                <w:spacing w:val="0"/>
                <w:sz w:val="16"/>
                <w:szCs w:val="16"/>
              </w:rPr>
            </w:pP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新建协和医院综合楼</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2020</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年12月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c>
          <w:tcPr>
            <w:tcW w:w="1316" w:type="dxa"/>
            <w:vMerge w:val="continue"/>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rPr>
                <w:rFonts w:hint="eastAsia" w:ascii="微软雅黑" w:hAnsi="微软雅黑" w:eastAsia="微软雅黑" w:cs="微软雅黑"/>
                <w:i w:val="0"/>
                <w:iCs w:val="0"/>
                <w:caps w:val="0"/>
                <w:color w:val="333333"/>
                <w:spacing w:val="0"/>
                <w:sz w:val="16"/>
                <w:szCs w:val="16"/>
              </w:rPr>
            </w:pPr>
          </w:p>
        </w:tc>
        <w:tc>
          <w:tcPr>
            <w:tcW w:w="3324"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南关医院</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开展二级甲等综合医院创建</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2020</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年6月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c>
          <w:tcPr>
            <w:tcW w:w="1316" w:type="dxa"/>
            <w:vMerge w:val="continue"/>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rPr>
                <w:rFonts w:hint="eastAsia" w:ascii="微软雅黑" w:hAnsi="微软雅黑" w:eastAsia="微软雅黑" w:cs="微软雅黑"/>
                <w:i w:val="0"/>
                <w:iCs w:val="0"/>
                <w:caps w:val="0"/>
                <w:color w:val="333333"/>
                <w:spacing w:val="0"/>
                <w:sz w:val="16"/>
                <w:szCs w:val="16"/>
              </w:rPr>
            </w:pPr>
          </w:p>
        </w:tc>
        <w:tc>
          <w:tcPr>
            <w:tcW w:w="3324"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中山医院</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开展二级乙等综合医院创建</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2018</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年12月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c>
          <w:tcPr>
            <w:tcW w:w="1316" w:type="dxa"/>
            <w:vMerge w:val="continue"/>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rPr>
                <w:rFonts w:hint="eastAsia" w:ascii="微软雅黑" w:hAnsi="微软雅黑" w:eastAsia="微软雅黑" w:cs="微软雅黑"/>
                <w:i w:val="0"/>
                <w:iCs w:val="0"/>
                <w:caps w:val="0"/>
                <w:color w:val="333333"/>
                <w:spacing w:val="0"/>
                <w:sz w:val="16"/>
                <w:szCs w:val="16"/>
              </w:rPr>
            </w:pPr>
          </w:p>
        </w:tc>
        <w:tc>
          <w:tcPr>
            <w:tcW w:w="3324"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同济医院</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开展二级专科医院创建</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2018</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年12月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c>
          <w:tcPr>
            <w:tcW w:w="1316" w:type="dxa"/>
            <w:vMerge w:val="continue"/>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rPr>
                <w:rFonts w:hint="eastAsia" w:ascii="微软雅黑" w:hAnsi="微软雅黑" w:eastAsia="微软雅黑" w:cs="微软雅黑"/>
                <w:i w:val="0"/>
                <w:iCs w:val="0"/>
                <w:caps w:val="0"/>
                <w:color w:val="333333"/>
                <w:spacing w:val="0"/>
                <w:sz w:val="16"/>
                <w:szCs w:val="16"/>
              </w:rPr>
            </w:pPr>
          </w:p>
        </w:tc>
        <w:tc>
          <w:tcPr>
            <w:tcW w:w="3324"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成桂医院</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开展二级中医医院创建</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2020</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年12月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c>
          <w:tcPr>
            <w:tcW w:w="1316" w:type="dxa"/>
            <w:vMerge w:val="continue"/>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rPr>
                <w:rFonts w:hint="eastAsia" w:ascii="微软雅黑" w:hAnsi="微软雅黑" w:eastAsia="微软雅黑" w:cs="微软雅黑"/>
                <w:i w:val="0"/>
                <w:iCs w:val="0"/>
                <w:caps w:val="0"/>
                <w:color w:val="333333"/>
                <w:spacing w:val="0"/>
                <w:sz w:val="16"/>
                <w:szCs w:val="16"/>
              </w:rPr>
            </w:pPr>
          </w:p>
        </w:tc>
        <w:tc>
          <w:tcPr>
            <w:tcW w:w="3324"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建陵医院</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开展二级专科医院创建</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2020</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年12月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c>
          <w:tcPr>
            <w:tcW w:w="1316" w:type="dxa"/>
            <w:vMerge w:val="continue"/>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rPr>
                <w:rFonts w:hint="eastAsia" w:ascii="微软雅黑" w:hAnsi="微软雅黑" w:eastAsia="微软雅黑" w:cs="微软雅黑"/>
                <w:i w:val="0"/>
                <w:iCs w:val="0"/>
                <w:caps w:val="0"/>
                <w:color w:val="333333"/>
                <w:spacing w:val="0"/>
                <w:sz w:val="16"/>
                <w:szCs w:val="16"/>
              </w:rPr>
            </w:pPr>
          </w:p>
        </w:tc>
        <w:tc>
          <w:tcPr>
            <w:tcW w:w="3324"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永红医院</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开展二级专科医院创建</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2020</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年12月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c>
          <w:tcPr>
            <w:tcW w:w="1316" w:type="dxa"/>
            <w:vMerge w:val="continue"/>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rPr>
                <w:rFonts w:hint="eastAsia" w:ascii="微软雅黑" w:hAnsi="微软雅黑" w:eastAsia="微软雅黑" w:cs="微软雅黑"/>
                <w:i w:val="0"/>
                <w:iCs w:val="0"/>
                <w:caps w:val="0"/>
                <w:color w:val="333333"/>
                <w:spacing w:val="0"/>
                <w:sz w:val="16"/>
                <w:szCs w:val="16"/>
              </w:rPr>
            </w:pPr>
          </w:p>
        </w:tc>
        <w:tc>
          <w:tcPr>
            <w:tcW w:w="3324"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红房子医院</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开展二级专科医院创建</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2020</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年12月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c>
          <w:tcPr>
            <w:tcW w:w="1316" w:type="dxa"/>
            <w:vMerge w:val="continue"/>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rPr>
                <w:rFonts w:hint="eastAsia" w:ascii="微软雅黑" w:hAnsi="微软雅黑" w:eastAsia="微软雅黑" w:cs="微软雅黑"/>
                <w:i w:val="0"/>
                <w:iCs w:val="0"/>
                <w:caps w:val="0"/>
                <w:color w:val="333333"/>
                <w:spacing w:val="0"/>
                <w:sz w:val="16"/>
                <w:szCs w:val="16"/>
              </w:rPr>
            </w:pPr>
          </w:p>
        </w:tc>
        <w:tc>
          <w:tcPr>
            <w:tcW w:w="3324"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云龙医院</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开展二级专科医院创建</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2020</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年12月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c>
          <w:tcPr>
            <w:tcW w:w="1316" w:type="dxa"/>
            <w:vMerge w:val="continue"/>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rPr>
                <w:rFonts w:hint="eastAsia" w:ascii="微软雅黑" w:hAnsi="微软雅黑" w:eastAsia="微软雅黑" w:cs="微软雅黑"/>
                <w:i w:val="0"/>
                <w:iCs w:val="0"/>
                <w:caps w:val="0"/>
                <w:color w:val="333333"/>
                <w:spacing w:val="0"/>
                <w:sz w:val="16"/>
                <w:szCs w:val="16"/>
              </w:rPr>
            </w:pPr>
          </w:p>
        </w:tc>
        <w:tc>
          <w:tcPr>
            <w:tcW w:w="3324"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博爱医院</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开展二级专科医院创建</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2020</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年12月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c>
          <w:tcPr>
            <w:tcW w:w="1316" w:type="dxa"/>
            <w:vMerge w:val="continue"/>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rPr>
                <w:rFonts w:hint="eastAsia" w:ascii="微软雅黑" w:hAnsi="微软雅黑" w:eastAsia="微软雅黑" w:cs="微软雅黑"/>
                <w:i w:val="0"/>
                <w:iCs w:val="0"/>
                <w:caps w:val="0"/>
                <w:color w:val="333333"/>
                <w:spacing w:val="0"/>
                <w:sz w:val="16"/>
                <w:szCs w:val="16"/>
              </w:rPr>
            </w:pPr>
          </w:p>
        </w:tc>
        <w:tc>
          <w:tcPr>
            <w:tcW w:w="3324"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维康医院</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开展二级专科医院创建</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2020</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年12月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c>
          <w:tcPr>
            <w:tcW w:w="1316" w:type="dxa"/>
            <w:vMerge w:val="restart"/>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公共服务</w:t>
            </w:r>
          </w:p>
        </w:tc>
        <w:tc>
          <w:tcPr>
            <w:tcW w:w="3324"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妇幼保健院升级改造</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门诊、病区、手术室、供应室、化验室、新生儿重症监护室</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2017</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年10月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c>
          <w:tcPr>
            <w:tcW w:w="1316" w:type="dxa"/>
            <w:vMerge w:val="continue"/>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rPr>
                <w:rFonts w:hint="eastAsia" w:ascii="微软雅黑" w:hAnsi="微软雅黑" w:eastAsia="微软雅黑" w:cs="微软雅黑"/>
                <w:i w:val="0"/>
                <w:iCs w:val="0"/>
                <w:caps w:val="0"/>
                <w:color w:val="333333"/>
                <w:spacing w:val="0"/>
                <w:sz w:val="16"/>
                <w:szCs w:val="16"/>
              </w:rPr>
            </w:pPr>
          </w:p>
        </w:tc>
        <w:tc>
          <w:tcPr>
            <w:tcW w:w="3324"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精神病医院迁建</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异地新建精神病医院</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2018</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年12月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c>
          <w:tcPr>
            <w:tcW w:w="1316" w:type="dxa"/>
            <w:vMerge w:val="continue"/>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rPr>
                <w:rFonts w:hint="eastAsia" w:ascii="微软雅黑" w:hAnsi="微软雅黑" w:eastAsia="微软雅黑" w:cs="微软雅黑"/>
                <w:i w:val="0"/>
                <w:iCs w:val="0"/>
                <w:caps w:val="0"/>
                <w:color w:val="333333"/>
                <w:spacing w:val="0"/>
                <w:sz w:val="16"/>
                <w:szCs w:val="16"/>
              </w:rPr>
            </w:pPr>
          </w:p>
        </w:tc>
        <w:tc>
          <w:tcPr>
            <w:tcW w:w="3324"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血站建设</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shd w:val="clear" w:fill="FFFFFF"/>
                <w:lang w:val="en-US" w:eastAsia="zh-CN" w:bidi="ar"/>
              </w:rPr>
              <w:t>建立</w:t>
            </w: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1个爱心献血屋；购买献血车</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2018</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年12月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c>
          <w:tcPr>
            <w:tcW w:w="1316" w:type="dxa"/>
            <w:vMerge w:val="continue"/>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rPr>
                <w:rFonts w:hint="eastAsia" w:ascii="微软雅黑" w:hAnsi="微软雅黑" w:eastAsia="微软雅黑" w:cs="微软雅黑"/>
                <w:i w:val="0"/>
                <w:iCs w:val="0"/>
                <w:caps w:val="0"/>
                <w:color w:val="333333"/>
                <w:spacing w:val="0"/>
                <w:sz w:val="16"/>
                <w:szCs w:val="16"/>
              </w:rPr>
            </w:pPr>
          </w:p>
        </w:tc>
        <w:tc>
          <w:tcPr>
            <w:tcW w:w="3324"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皮防院改建</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shd w:val="clear" w:fill="FFFFFF"/>
                <w:lang w:val="en-US" w:eastAsia="zh-CN" w:bidi="ar"/>
              </w:rPr>
              <w:t>皮防院搬迁新址、新建大楼</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2019</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年12月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c>
          <w:tcPr>
            <w:tcW w:w="1316" w:type="dxa"/>
            <w:vMerge w:val="restart"/>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信息支撑</w:t>
            </w:r>
          </w:p>
        </w:tc>
        <w:tc>
          <w:tcPr>
            <w:tcW w:w="3324"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shd w:val="clear" w:fill="FFFFFF"/>
                <w:lang w:val="en-US" w:eastAsia="zh-CN" w:bidi="ar"/>
              </w:rPr>
              <w:t>突发公共卫生事件应急指挥决策系统建设</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shd w:val="clear" w:fill="FFFFFF"/>
                <w:lang w:val="en-US" w:eastAsia="zh-CN" w:bidi="ar"/>
              </w:rPr>
              <w:t>建立全县突发公共卫生事件应急指挥中心</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shd w:val="clear" w:fill="FFFFFF"/>
                <w:lang w:val="en-US" w:eastAsia="zh-CN" w:bidi="ar"/>
              </w:rPr>
              <w:t>2017</w:t>
            </w: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年12月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c>
          <w:tcPr>
            <w:tcW w:w="1316" w:type="dxa"/>
            <w:vMerge w:val="continue"/>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rPr>
                <w:rFonts w:hint="eastAsia" w:ascii="微软雅黑" w:hAnsi="微软雅黑" w:eastAsia="微软雅黑" w:cs="微软雅黑"/>
                <w:i w:val="0"/>
                <w:iCs w:val="0"/>
                <w:caps w:val="0"/>
                <w:color w:val="333333"/>
                <w:spacing w:val="0"/>
                <w:sz w:val="16"/>
                <w:szCs w:val="16"/>
              </w:rPr>
            </w:pPr>
          </w:p>
        </w:tc>
        <w:tc>
          <w:tcPr>
            <w:tcW w:w="3324"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shd w:val="clear" w:fill="FFFFFF"/>
                <w:lang w:val="en-US" w:eastAsia="zh-CN" w:bidi="ar"/>
              </w:rPr>
              <w:t>分级诊疗服务信息系统建设</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shd w:val="clear" w:fill="FFFFFF"/>
                <w:lang w:val="en-US" w:eastAsia="zh-CN" w:bidi="ar"/>
              </w:rPr>
              <w:t>建设分级诊疗和双向转诊系统</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shd w:val="clear" w:fill="FFFFFF"/>
                <w:lang w:val="en-US" w:eastAsia="zh-CN" w:bidi="ar"/>
              </w:rPr>
              <w:t>2018</w:t>
            </w: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年6月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c>
          <w:tcPr>
            <w:tcW w:w="1316" w:type="dxa"/>
            <w:vMerge w:val="restart"/>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人才保障</w:t>
            </w:r>
          </w:p>
        </w:tc>
        <w:tc>
          <w:tcPr>
            <w:tcW w:w="3324"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shd w:val="clear" w:fill="FFFFFF"/>
                <w:lang w:val="en-US" w:eastAsia="zh-CN" w:bidi="ar"/>
              </w:rPr>
              <w:t>住院医师规范化培训基地建设</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shd w:val="clear" w:fill="FFFFFF"/>
                <w:lang w:val="en-US" w:eastAsia="zh-CN" w:bidi="ar"/>
              </w:rPr>
              <w:t>县中医院创建省中医住院医师规范化培训基地协同单位</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2020</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年12月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c>
          <w:tcPr>
            <w:tcW w:w="1316" w:type="dxa"/>
            <w:vMerge w:val="continue"/>
            <w:tcBorders>
              <w:top w:val="nil"/>
              <w:left w:val="single" w:color="auto" w:sz="8" w:space="0"/>
              <w:bottom w:val="single" w:color="auto" w:sz="8" w:space="0"/>
              <w:right w:val="single" w:color="auto" w:sz="8" w:space="0"/>
            </w:tcBorders>
            <w:shd w:val="clear" w:color="auto" w:fill="F9F9F9"/>
            <w:tcMar>
              <w:left w:w="108" w:type="dxa"/>
              <w:right w:w="108" w:type="dxa"/>
            </w:tcMar>
            <w:vAlign w:val="center"/>
          </w:tcPr>
          <w:p>
            <w:pPr>
              <w:rPr>
                <w:rFonts w:hint="eastAsia" w:ascii="微软雅黑" w:hAnsi="微软雅黑" w:eastAsia="微软雅黑" w:cs="微软雅黑"/>
                <w:i w:val="0"/>
                <w:iCs w:val="0"/>
                <w:caps w:val="0"/>
                <w:color w:val="333333"/>
                <w:spacing w:val="0"/>
                <w:sz w:val="16"/>
                <w:szCs w:val="16"/>
              </w:rPr>
            </w:pPr>
          </w:p>
        </w:tc>
        <w:tc>
          <w:tcPr>
            <w:tcW w:w="3324"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shd w:val="clear" w:fill="FFFFFF"/>
                <w:lang w:val="en-US" w:eastAsia="zh-CN" w:bidi="ar"/>
              </w:rPr>
              <w:t>医学重点学科专科建设</w:t>
            </w:r>
          </w:p>
        </w:tc>
        <w:tc>
          <w:tcPr>
            <w:tcW w:w="354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shd w:val="clear" w:fill="FFFFFF"/>
                <w:lang w:val="en-US" w:eastAsia="zh-CN" w:bidi="ar"/>
              </w:rPr>
              <w:t>培育省级重点专科</w:t>
            </w:r>
          </w:p>
        </w:tc>
        <w:tc>
          <w:tcPr>
            <w:tcW w:w="1773" w:type="dxa"/>
            <w:tcBorders>
              <w:top w:val="nil"/>
              <w:left w:val="nil"/>
              <w:bottom w:val="single" w:color="auto" w:sz="8" w:space="0"/>
              <w:right w:val="single" w:color="auto" w:sz="8" w:space="0"/>
            </w:tcBorders>
            <w:shd w:val="clear" w:color="auto" w:fill="F9F9F9"/>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eastAsia" w:ascii="微软雅黑" w:hAnsi="微软雅黑" w:eastAsia="微软雅黑" w:cs="微软雅黑"/>
              </w:rPr>
            </w:pPr>
            <w:r>
              <w:rPr>
                <w:rFonts w:hint="default" w:ascii="Times New Roman" w:hAnsi="Times New Roman" w:eastAsia="微软雅黑" w:cs="Times New Roman"/>
                <w:i w:val="0"/>
                <w:iCs w:val="0"/>
                <w:caps w:val="0"/>
                <w:color w:val="000000"/>
                <w:spacing w:val="0"/>
                <w:kern w:val="0"/>
                <w:sz w:val="24"/>
                <w:szCs w:val="24"/>
                <w:bdr w:val="none" w:color="auto" w:sz="0" w:space="0"/>
                <w:lang w:val="en-US" w:eastAsia="zh-CN" w:bidi="ar"/>
              </w:rPr>
              <w:t>2020</w:t>
            </w:r>
            <w:r>
              <w:rPr>
                <w:rFonts w:hint="eastAsia" w:ascii="微软雅黑" w:hAnsi="微软雅黑" w:eastAsia="微软雅黑" w:cs="微软雅黑"/>
                <w:i w:val="0"/>
                <w:iCs w:val="0"/>
                <w:caps w:val="0"/>
                <w:color w:val="000000"/>
                <w:spacing w:val="0"/>
                <w:kern w:val="0"/>
                <w:sz w:val="24"/>
                <w:szCs w:val="24"/>
                <w:bdr w:val="none" w:color="auto" w:sz="0" w:space="0"/>
                <w:lang w:val="en-US" w:eastAsia="zh-CN" w:bidi="ar"/>
              </w:rPr>
              <w:t>年12月</w:t>
            </w:r>
          </w:p>
        </w:tc>
      </w:tr>
    </w:tbl>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4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四、保障措施和规划实施</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（一）完善分级诊疗制度。贯彻落实《沭阳县实施分级诊疗工作意见》（沭政办发〔</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2017</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96号）文件要求，明确分级诊疗基本原则、工作目标、工作措施、实施步骤和保障措施。在县域范围内实施城乡医疗保险双向转诊住院起付线一次性支付政策，经村级医疗机构转诊的患者免收住院起付线，同时提高基层医疗机构就诊的报销比例，引导参保人员在基层首诊，向基层转诊。到2020年，</w:t>
      </w:r>
      <w:r>
        <w:rPr>
          <w:rFonts w:hint="default" w:ascii="Times New Roman" w:hAnsi="Times New Roman" w:eastAsia="微软雅黑" w:cs="Times New Roman"/>
          <w:i w:val="0"/>
          <w:iCs w:val="0"/>
          <w:caps w:val="0"/>
          <w:color w:val="000000"/>
          <w:spacing w:val="0"/>
          <w:kern w:val="0"/>
          <w:sz w:val="32"/>
          <w:szCs w:val="32"/>
          <w:bdr w:val="none" w:color="auto" w:sz="0" w:space="0"/>
          <w:shd w:val="clear" w:fill="F9F9F9"/>
          <w:lang w:val="en-US" w:eastAsia="zh-CN" w:bidi="ar"/>
        </w:rPr>
        <w:t>85%</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乡镇医院（社区卫生服务中心）达到一级甲等标准，全县重点人群签约率达60%，县域内就诊率达到90%。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（二）推进医疗联合体建设。</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贯彻落实</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《沭阳县进一步加快医疗卫生事业发展意见》（沭政发〔</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2014</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〕57号）和</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《关</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于进一步加强医疗联合体建设工作的通知》（沭政办发〔</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2017</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〕97号）等文件要求，</w:t>
      </w:r>
      <w:r>
        <w:rPr>
          <w:rFonts w:hint="eastAsia" w:ascii="微软雅黑" w:hAnsi="微软雅黑" w:eastAsia="微软雅黑" w:cs="微软雅黑"/>
          <w:i w:val="0"/>
          <w:iCs w:val="0"/>
          <w:caps w:val="0"/>
          <w:color w:val="111111"/>
          <w:spacing w:val="0"/>
          <w:kern w:val="0"/>
          <w:sz w:val="32"/>
          <w:szCs w:val="32"/>
          <w:bdr w:val="none" w:color="auto" w:sz="0" w:space="0"/>
          <w:shd w:val="clear" w:fill="F9F9F9"/>
          <w:lang w:val="en-US" w:eastAsia="zh-CN" w:bidi="ar"/>
        </w:rPr>
        <w:t>推动医疗卫生工作重心下移、优质医疗资源下沉，提升基层医疗服务综合能力，让群众就近享受优质医疗服务。</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一是统筹规划医联体建设。根据医疗服务体系、医疗机构地域分布、功能定位、服务能力、业务关系、合作意愿等因素，推进医联体建设。二是加快推进信息化建设。依托区域卫生计生信息平台，加强医联体内部的预约诊疗、双向转诊、远程医疗、慢病管理、资金结算等协同应用与服务。三是推进优质医疗资源下沉。鼓励二级及以上医院医务人员、管理人员在基层医疗卫生机构中担任首席专家、管理部门负责人。四是规范双向转诊程序。医联体内部上下机构间签订双向转诊协议书，建立双向转诊绿色通道。五是建立完善激励约束机制。出台医联体绩效考核，探索建立科学合理的医联体整体绩效评估指标体系。</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三）提升基层医疗卫生服务能力。鼓励基层医疗卫生机构优先发展儿科特色科室，开展儿童疾病涉及专业的医师培训。建立科学有序、分级分工明确的传染病医疗救治机制。将重点传染病预防、诊断、治疗的相关内容纳入</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三基”内容进行培训考核，加强门诊、急诊、呼吸科、消化科、皮肤科等重点岗位医务人员的培训。加强乡镇医院康复医疗服务能力建设，培养专职或兼职康复医师、专职康复治疗师，引进适宜技术和设备。推动医院信息化内部集成平台建设，全面实现院内互联互通。推动医院信息系统与区域平台互联互通。发挥“互联网＋”在医疗服务领域的作用，落实相关管理制度和规范。</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（四）深化乡镇医疗卫生事业改革。按照</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医防结合、管办分开、购买服务、契约管理”的原则，优化基层医疗卫生服务体系。通过政府购买服务的方式，由乡镇医疗机构等第三方提供预防、保健、医疗、康复、健康教育及计划生育技术指导等基本医疗卫生服务。卫生计生服务中心纳入县卫生计生部门管理，全面落实辖区内健康管理、计划免疫、妇女保健、传染病管理、重型精神病管理、卫生监督协管、计划生育等公共卫生的服务与管理，切实加强基本医疗服务、基本药物制度以及城乡居民基本医疗保险等业务的监督管理，全面推进基本公共卫生服务均等化和规范化。</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（五）提升基层中医药服务能力。</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根据《宿迁市基层中医药服务能力提升工程</w:t>
      </w:r>
      <w:r>
        <w:rPr>
          <w:rFonts w:hint="default" w:ascii="Times New Roman" w:hAnsi="Times New Roman" w:eastAsia="微软雅黑" w:cs="Times New Roman"/>
          <w:i w:val="0"/>
          <w:iCs w:val="0"/>
          <w:caps w:val="0"/>
          <w:color w:val="000000"/>
          <w:spacing w:val="0"/>
          <w:kern w:val="0"/>
          <w:sz w:val="32"/>
          <w:szCs w:val="32"/>
          <w:bdr w:val="none" w:color="auto" w:sz="0" w:space="0"/>
          <w:shd w:val="clear" w:fill="F9F9F9"/>
          <w:lang w:val="en-US" w:eastAsia="zh-CN" w:bidi="ar"/>
        </w:rPr>
        <w:t>“</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十三五”行动计划实施方案》要求，进一步加大工作力度，全面落实提升工程的24项建设任务。</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充分发挥中医医</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疗预防保健特色优势，不断完善中医医疗机构、县级综合医院、妇幼健康服务机构和基层医疗卫生机构共同组成的中医医疗服务体系。到</w:t>
      </w:r>
      <w:r>
        <w:rPr>
          <w:rFonts w:hint="default" w:ascii="Times New Roman" w:hAnsi="Times New Roman" w:eastAsia="微软雅黑" w:cs="Times New Roman"/>
          <w:i w:val="0"/>
          <w:iCs w:val="0"/>
          <w:caps w:val="0"/>
          <w:color w:val="000000"/>
          <w:spacing w:val="0"/>
          <w:kern w:val="0"/>
          <w:sz w:val="32"/>
          <w:szCs w:val="32"/>
          <w:bdr w:val="none" w:color="auto" w:sz="0" w:space="0"/>
          <w:shd w:val="clear" w:fill="F9F9F9"/>
          <w:lang w:val="en-US" w:eastAsia="zh-CN" w:bidi="ar"/>
        </w:rPr>
        <w:t>2020</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年，力争所有社区卫生服务机构、乡镇医院和95%的村卫生室具备稳定、持续的中医药服务能力；基层医疗卫生机构中医诊疗量占基层医疗卫生机构诊疗总量比例力争达到30%；每个社区卫生服务机构、村卫生室能够开展3项以上中医药适宜技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（六）支持社会办医加快发展。</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鼓励城乡综合医院向专科特色医院或社区卫生服务机构转型；鼓励社会力量举办中医类专科医院和只提供传统中医药服务的中医门诊部、中医诊所，加快社会办中医类机构发展；鼓励社会力量举办妇产、儿童、康复、护理、老年等高水平的特色专科医疗机构。加大医疗服务领域对外开放，鼓励县（境）外投资者按国家有关规定，以合资、合作、独资等多种形式在我县举办高层次医疗机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（七）加强医疗卫生人才保障。</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一是梳理现有的人才培养项目，集中优势资源，推进卫生计生人才队伍建设快速发展。建立人才发展工作目标责任制，逐步建立符合科学发展观、科学人才观和正确政绩观的考核办法。二是广泛宣传卫生计生人才的重要意义，营造推动人才发展的政策环境、社会环境、工作环境和生活环境。三是加强卫生计生人才信息的沟通和服务，逐步形成以市场化人才配置、社会化人事代理、网络化信息服务为主要内容的卫生人才市场服务体系。通过对市场的宏观调控，引导人才向基层、农村流动。四是各医疗机构加大资金投入，支持医学领军人才、骨干人才和优秀青年医学人才培养；支持住院医师、全科医师、专科医师规范化培训，不断完善临床医师培养体系，提升卫生专业技术人员的业务水平。</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力争</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2020</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年末，全县每个乡镇医院内外妇儿科至少配有1名主治医师以上职称的执业医师，每个村卫生室至少配备1名执业（助理）医师（其中1名女性），城乡每万居民拥有3名以上的全科医生。</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（八）推进医疗养老融合发展。贯彻落实《国家卫生计生委办公厅关于养老机构内部设置医疗机构取消行政审批实行备案管理的通知》（国卫办医发〔</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2017</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38号）和《市政府关于加强医养融合发展的若干意见》（宿政发〔2017〕59号）等文件精神，建立健全医疗机构与养老机构之间的业务协作机制，支持养老机构开展医疗服务，鼓励有条件的医疗机构单独设立养老护理院、增设养老护理型床位或病区；支持乡镇医院设立老年医疗护理服务特色科室，加快形成规模适宜、功能互补、安全便捷的健康养老服务网络。</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加强中医医院老年病科建设，逐步建立中医医院与老年护理、康复疗养等机构的合作机制，</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推进中医药与养老结合，</w:t>
      </w:r>
      <w:r>
        <w:rPr>
          <w:rFonts w:hint="eastAsia" w:ascii="微软雅黑" w:hAnsi="微软雅黑" w:eastAsia="微软雅黑" w:cs="微软雅黑"/>
          <w:i w:val="0"/>
          <w:iCs w:val="0"/>
          <w:caps w:val="0"/>
          <w:color w:val="000000"/>
          <w:spacing w:val="0"/>
          <w:kern w:val="0"/>
          <w:sz w:val="32"/>
          <w:szCs w:val="32"/>
          <w:bdr w:val="none" w:color="auto" w:sz="0" w:space="0"/>
          <w:shd w:val="clear" w:fill="F9F9F9"/>
          <w:lang w:val="en-US" w:eastAsia="zh-CN" w:bidi="ar"/>
        </w:rPr>
        <w:t>扩大中医药健康服务业务空间。</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（九）实施</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智慧健康”服务工程。整合各类资源，以互联互通、务实应用为目标，大力推进</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智慧健康”建设，着力推进面向“互联网+”的新型医疗健康服务模式，形成规范、便捷、共享、互信的健康服务流程，满足群众多样化、多形式的健康信息服务需求。建立健全基层分级诊疗系统和双向转诊服务应用，促进有序就医，推进信息化便民、惠民服务。促进物联网、大数据、云计算、移动医疗等新兴技术在健康服务中的使用，为居民提供个性化的健康指导、康复治疗、健康咨询与评估、疾病筛查、跟踪随访等，强化健康管理服务。以城乡基层医疗卫生机构与辖区居民建立签约服务关系为纽带，围绕城乡居民健康服务需求、将健康管理延伸覆盖到每个家庭，实施家庭医生签约服务、建立规范的居民电子健康档案、普及应用居民健康卡“三个一”工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（十）增加卫生与健康发展投入。遵循强化政府责任和坚持市场主导相结合、注重统筹兼顾和稳妥推进相结合的原则，切实保障基本公共卫生服务、基本医疗保障、基本药物补助、社会办医疗机构</w:t>
      </w: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w:t>
      </w: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以奖代投”和乡镇医院卫技人员奖励机制等财政性资金的优先落实。设立社会办医疗机构专项奖补资金，用来奖励临床重点专科（学科）建设、科研成果、医疗机构升级晋等、先进医疗机构和基本建设设备配备等。对乡镇医院、精神卫生、传染病、妇产儿童等医疗机构给予奖补政策倾斜。支持建立药品供应保障体系和智慧健康信息化保障体系。鼓励和引导社会资金持续增加对医疗卫生事业的投入，推动卫生与健康事业加快发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十一）加强社会办医的动态监管。强化部门协调，加强对社会办医疗机构的综合监督执法。引进群众满意度测评，支持患者对医疗机构的监督。加大医疗机构信息公开力度，接受社会监督。建立医疗机构及其从业人员信用管理制度，对严重违规失信者依法采取一定期限内行业禁入等惩戒措施，提高失信成本。促进社会办医疗机构建立现代医院管理制度，构建规范的法人治理结构，鼓励董院分开，依法制定《医院章程》，明确院长专业任职要求，设立董（理）事会、监事会和执行机构，建立产权明晰、职责明确、监管有力、运转协调、有效制衡的法人治理结构。运用第三方评价机制，强化评价成果运用，不断提升医疗质量管理水平。严厉打击非法行医，严肃查处租借执业证照开设医疗机构和出租、承包科室等行为，严惩经查实的恶性医疗事故、骗取社保资金、虚假广告宣传、过度医疗、推诿患者等行为。</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32"/>
          <w:szCs w:val="32"/>
          <w:bdr w:val="none" w:color="auto" w:sz="0" w:space="0"/>
          <w:shd w:val="clear" w:fill="F9F9F9"/>
          <w:lang w:val="en-US" w:eastAsia="zh-CN" w:bidi="ar"/>
        </w:rPr>
        <w:t>（十二）强化规划落实监督评价。建立全县医疗卫生服务体系规划实施和资源配置的监测评价机制，动态性的对重点指标完成情况进行监测，不定期组织对规划实施效果进行评估，对规划内容进行调整和完善。各有关部门按照职责分工，细化目标任务，组织实施重点项目。业务主管部门牵头组织对规划的实施进度和效果，进行年度监测和中期、末期评估，对发现规划的实施存在的问题，并研究解决对策，确保规划的顺利实施。</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520" w:lineRule="atLeast"/>
        <w:ind w:left="0" w:right="0" w:firstLine="640"/>
        <w:jc w:val="left"/>
        <w:rPr>
          <w:rFonts w:hint="eastAsia" w:ascii="微软雅黑" w:hAnsi="微软雅黑" w:eastAsia="微软雅黑" w:cs="微软雅黑"/>
          <w:i w:val="0"/>
          <w:iCs w:val="0"/>
          <w:caps w:val="0"/>
          <w:color w:val="333333"/>
          <w:spacing w:val="0"/>
          <w:sz w:val="16"/>
          <w:szCs w:val="16"/>
        </w:rPr>
      </w:pPr>
      <w:r>
        <w:rPr>
          <w:rFonts w:hint="default" w:ascii="Times New Roman" w:hAnsi="Times New Roman" w:eastAsia="微软雅黑" w:cs="Times New Roman"/>
          <w:i w:val="0"/>
          <w:iCs w:val="0"/>
          <w:caps w:val="0"/>
          <w:color w:val="333333"/>
          <w:spacing w:val="0"/>
          <w:kern w:val="0"/>
          <w:sz w:val="32"/>
          <w:szCs w:val="32"/>
          <w:bdr w:val="none" w:color="auto" w:sz="0" w:space="0"/>
          <w:shd w:val="clear" w:fill="F9F9F9"/>
          <w:lang w:val="en-US" w:eastAsia="zh-CN" w:bidi="ar"/>
        </w:rPr>
        <w:t> </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JiNzY3MjEwNzVhYzEyZTZjMjkyNGU3MDJkM2M3YTkifQ=="/>
  </w:docVars>
  <w:rsids>
    <w:rsidRoot w:val="00000000"/>
    <w:rsid w:val="19F92D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2023-07-18T10:08:11Z</dcterms:created>
  <dc:creator>Youth</dc:creator>
  <cp:lastModifiedBy>Te amo.</cp:lastModifiedBy>
  <dcterms:modified xsi:type="dcterms:W3CDTF">2023-07-18T10:08:21Z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DA90181F1FAE4E60AD4B995AD5D40214_12</vt:lpwstr>
  </property>
</Properties>
</file>